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Biophysical Framework of Multipole Expansion, Interstitial Fluid Dynamics, and Electrostatic Molecular Matching for Lymphatic Core Vectors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quantitative macro-biophysics, institutional immunology, and advanced bioelectronic modeling, the </w:t>
      </w:r>
      <w:r w:rsidDel="00000000" w:rsidR="00000000" w:rsidRPr="00000000">
        <w:rPr>
          <w:b w:val="1"/>
          <w:bCs w:val="1"/>
          <w:rtl w:val="0"/>
        </w:rPr>
        <w:t xml:space="preserve">lymphatic system</w:t>
      </w:r>
      <w:r w:rsidDel="00000000" w:rsidR="00000000" w:rsidRPr="00000000">
        <w:rPr>
          <w:rtl w:val="0"/>
        </w:rPr>
        <w:t xml:space="preserve"> serves as the body’s principal physical fluid drainage infrastructure and structural immunological transit grid [Gabriel, 1996; Sartori &amp; Lloyd, 2014]. Because the lymphatic network lacks a central mechanical pump like the cardiovascular system, the movement, tracking, and localized delivery of macro-molecular plant matrices and mineral complexes rely heavily on interstitial pressure gradients, muscular kinetics, and </w:t>
      </w:r>
      <w:r w:rsidDel="00000000" w:rsidR="00000000" w:rsidRPr="00000000">
        <w:rPr>
          <w:b w:val="1"/>
          <w:bCs w:val="1"/>
          <w:rtl w:val="0"/>
        </w:rPr>
        <w:t xml:space="preserve">electrostatic potential fields, spatial charge vectors, and dipole-dipole interactions</w:t>
      </w:r>
      <w:r w:rsidDel="00000000" w:rsidR="00000000" w:rsidRPr="00000000">
        <w:rPr>
          <w:rtl w:val="0"/>
        </w:rPr>
        <w:t xml:space="preserve"> [Al-Adami &amp; Ibrahim, 2025; Gabriel et al., 1996].</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modeling how the </w:t>
      </w:r>
      <w:r w:rsidDel="00000000" w:rsidR="00000000" w:rsidRPr="00000000">
        <w:rPr>
          <w:b w:val="1"/>
          <w:bCs w:val="1"/>
          <w:rtl w:val="0"/>
        </w:rPr>
        <w:t xml:space="preserve">VirusTC Formulations Registry</w:t>
      </w:r>
      <w:r w:rsidDel="00000000" w:rsidR="00000000" w:rsidRPr="00000000">
        <w:rPr>
          <w:rtl w:val="0"/>
        </w:rPr>
        <w:t xml:space="preserve">—including </w:t>
      </w:r>
      <w:r w:rsidDel="00000000" w:rsidR="00000000" w:rsidRPr="00000000">
        <w:rPr>
          <w:i w:val="1"/>
          <w:iCs w:val="1"/>
          <w:rtl w:val="0"/>
        </w:rPr>
        <w:t xml:space="preserve">Zagarese Licorice</w:t>
      </w:r>
      <w:r w:rsidDel="00000000" w:rsidR="00000000" w:rsidRPr="00000000">
        <w:rPr>
          <w:rtl w:val="0"/>
        </w:rPr>
        <w:t xml:space="preserve">, </w:t>
      </w:r>
      <w:r w:rsidDel="00000000" w:rsidR="00000000" w:rsidRPr="00000000">
        <w:rPr>
          <w:i w:val="1"/>
          <w:iCs w:val="1"/>
          <w:rtl w:val="0"/>
        </w:rPr>
        <w:t xml:space="preserve">HaldEX</w:t>
      </w:r>
      <w:r w:rsidDel="00000000" w:rsidR="00000000" w:rsidRPr="00000000">
        <w:rPr>
          <w:rtl w:val="0"/>
        </w:rPr>
        <w:t xml:space="preserve">, </w:t>
      </w:r>
      <w:r w:rsidDel="00000000" w:rsidR="00000000" w:rsidRPr="00000000">
        <w:rPr>
          <w:i w:val="1"/>
          <w:iCs w:val="1"/>
          <w:rtl w:val="0"/>
        </w:rPr>
        <w:t xml:space="preserve">MusKT</w:t>
      </w:r>
      <w:r w:rsidDel="00000000" w:rsidR="00000000" w:rsidRPr="00000000">
        <w:rPr>
          <w:rtl w:val="0"/>
        </w:rPr>
        <w:t xml:space="preserve">, </w:t>
      </w:r>
      <w:r w:rsidDel="00000000" w:rsidR="00000000" w:rsidRPr="00000000">
        <w:rPr>
          <w:i w:val="1"/>
          <w:iCs w:val="1"/>
          <w:rtl w:val="0"/>
        </w:rPr>
        <w:t xml:space="preserve">KaroBT</w:t>
      </w:r>
      <w:r w:rsidDel="00000000" w:rsidR="00000000" w:rsidRPr="00000000">
        <w:rPr>
          <w:rtl w:val="0"/>
        </w:rPr>
        <w:t xml:space="preserve">, </w:t>
      </w:r>
      <w:r w:rsidDel="00000000" w:rsidR="00000000" w:rsidRPr="00000000">
        <w:rPr>
          <w:i w:val="1"/>
          <w:iCs w:val="1"/>
          <w:rtl w:val="0"/>
        </w:rPr>
        <w:t xml:space="preserve">Corte Sal Branco</w:t>
      </w:r>
      <w:r w:rsidDel="00000000" w:rsidR="00000000" w:rsidRPr="00000000">
        <w:rPr>
          <w:rtl w:val="0"/>
        </w:rPr>
        <w:t xml:space="preserve">, </w:t>
      </w:r>
      <w:r w:rsidDel="00000000" w:rsidR="00000000" w:rsidRPr="00000000">
        <w:rPr>
          <w:i w:val="1"/>
          <w:iCs w:val="1"/>
          <w:rtl w:val="0"/>
        </w:rPr>
        <w:t xml:space="preserve">TsinKX</w:t>
      </w:r>
      <w:r w:rsidDel="00000000" w:rsidR="00000000" w:rsidRPr="00000000">
        <w:rPr>
          <w:rtl w:val="0"/>
        </w:rPr>
        <w:t xml:space="preserve">, </w:t>
      </w:r>
      <w:r w:rsidDel="00000000" w:rsidR="00000000" w:rsidRPr="00000000">
        <w:rPr>
          <w:i w:val="1"/>
          <w:iCs w:val="1"/>
          <w:rtl w:val="0"/>
        </w:rPr>
        <w:t xml:space="preserve">AlnayaSN</w:t>
      </w:r>
      <w:r w:rsidDel="00000000" w:rsidR="00000000" w:rsidRPr="00000000">
        <w:rPr>
          <w:rtl w:val="0"/>
        </w:rPr>
        <w:t xml:space="preserve">, </w:t>
      </w:r>
      <w:r w:rsidDel="00000000" w:rsidR="00000000" w:rsidRPr="00000000">
        <w:rPr>
          <w:i w:val="1"/>
          <w:iCs w:val="1"/>
          <w:rtl w:val="0"/>
        </w:rPr>
        <w:t xml:space="preserve">KureaSH</w:t>
      </w:r>
      <w:r w:rsidDel="00000000" w:rsidR="00000000" w:rsidRPr="00000000">
        <w:rPr>
          <w:rtl w:val="0"/>
        </w:rPr>
        <w:t xml:space="preserve">, and </w:t>
      </w:r>
      <w:r w:rsidDel="00000000" w:rsidR="00000000" w:rsidRPr="00000000">
        <w:rPr>
          <w:i w:val="1"/>
          <w:iCs w:val="1"/>
          <w:rtl w:val="0"/>
        </w:rPr>
        <w:t xml:space="preserve">Nimbu-RX</w:t>
      </w:r>
      <w:r w:rsidDel="00000000" w:rsidR="00000000" w:rsidRPr="00000000">
        <w:rPr>
          <w:rtl w:val="0"/>
        </w:rPr>
        <w:t xml:space="preserve">—targets or accesses this lymphatic lattice to resolve systemic cellular depletion, chronic inflammatory stagnation, and pathological cachexia states, computational design models calculate these interactions using discrete spatial geometries and electromagnetic field constants [VirusTC, 2026].</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1. Spatial Field Lengths and Dipole Vectors of the Lymphatic Architecture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extracellular space and initial lymphatic capillaries form a dynamic dielectric boundary where biological water molecules (H₂O) and lipophilic macromolecular aggregates are organized by structural charge distributions. The permanent dipole moment of an arriving complex defines its spatial electrostatic field length (r):</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$$\mu = \sum_{i} q_i \cdot \mathbf{r}_i$$</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Where $q_i$ represents the partial atomic charge of each atom in the complex, and $\mathbf{r}_i$ is its position vector.</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Rule="auto"/>
        <w:ind w:left="240" w:right="240" w:firstLine="0"/>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ind w:left="240" w:right="240" w:firstLine="0"/>
        <w:rPr>
          <w:rFonts w:ascii="Courier" w:cs="Courier" w:eastAsia="Courier" w:hAnsi="Courier"/>
          <w:shd w:fill="f4f6f7" w:val="clear"/>
        </w:rPr>
      </w:pPr>
      <w:r w:rsidDel="00000000" w:rsidR="00000000" w:rsidRPr="00000000">
        <w:rPr>
          <w:rFonts w:ascii="Courier" w:cs="Courier" w:eastAsia="Courier" w:hAnsi="Courier"/>
          <w:shd w:fill="f4f6f7" w:val="clear"/>
          <w:rtl w:val="0"/>
        </w:rPr>
        <w:t xml:space="preserve">[ Interstitial Space Boundary Layer ] </w:t>
        <w:br w:type="textWrapping"/>
        <w:t xml:space="preserve">  ├── High-Hydration Matrix: Bound Glycosaminoglycan Dipoles (εr = 61.2)</w:t>
        <w:br w:type="textWrapping"/>
        <w:t xml:space="preserve">  ├── Initial Lymphatic Valve: Anchoring Filaments &amp; Endothelial Flaps</w:t>
        <w:br w:type="textWrapping"/>
        <w:t xml:space="preserve">  └── Intralymphatic Fluid Core: Mobile Chylomicrons &amp; Ionic Suspensions (σ = 2.41 S/m)</w:t>
        <w:br w:type="textWrapping"/>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Zwitterionic Interstitial Anchors:</w:t>
      </w:r>
      <w:r w:rsidDel="00000000" w:rsidR="00000000" w:rsidRPr="00000000">
        <w:rPr>
          <w:rtl w:val="0"/>
        </w:rPr>
        <w:t xml:space="preserve"> The extracellular matrix surrounding initial lymphatic capillaries is rich in highly polarized hyaluronan and glycosaminoglycan chains. The repeating carboxylate (-COO⁻) and sulfate groups generate permanent, intense localized dipoles perpendicular to the endothelial wall. This structural alignment sets up an active electrostatic gradient that draws polarized molecules from the capillaries into the initial lymphatic space [Gabriel, 1996].</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Chylomicron Lipoprotein Tensors:</w:t>
      </w:r>
      <w:r w:rsidDel="00000000" w:rsidR="00000000" w:rsidRPr="00000000">
        <w:rPr>
          <w:rtl w:val="0"/>
        </w:rPr>
        <w:t xml:space="preserve"> Large lipophilic compounds—such as natural </w:t>
      </w:r>
      <w:r w:rsidDel="00000000" w:rsidR="00000000" w:rsidRPr="00000000">
        <w:rPr>
          <w:i w:val="1"/>
          <w:iCs w:val="1"/>
          <w:rtl w:val="0"/>
        </w:rPr>
        <w:t xml:space="preserve">KaroBT™</w:t>
      </w:r>
      <w:r w:rsidDel="00000000" w:rsidR="00000000" w:rsidRPr="00000000">
        <w:rPr>
          <w:rtl w:val="0"/>
        </w:rPr>
        <w:t xml:space="preserve"> (β-carotene polyene chains) or </w:t>
      </w:r>
      <w:r w:rsidDel="00000000" w:rsidR="00000000" w:rsidRPr="00000000">
        <w:rPr>
          <w:i w:val="1"/>
          <w:iCs w:val="1"/>
          <w:rtl w:val="0"/>
        </w:rPr>
        <w:t xml:space="preserve">MusKT™</w:t>
      </w:r>
      <w:r w:rsidDel="00000000" w:rsidR="00000000" w:rsidRPr="00000000">
        <w:rPr>
          <w:rtl w:val="0"/>
        </w:rPr>
        <w:t xml:space="preserve"> (macelignan isolates)—cannot cross the tight, low-permittivity endothelial junctions of normal blood capillaries. Instead, they are packaged into spherical chylomicrons within the intestinal wall and enter the wide, high-hydration gaps of lymphatic lacteals. The outer phospholipid shells of these chylomicrons create an active, sphere-shaped dipole matrix that shields the internal lipophilic core, allowing the complex to navigate the high-conductivity lymphatic fluid pipeline (σ = 2.41 S/m at 2.45 GHz) without separating or crashing out of solution [Gabriel, 1996; VirusTC, 2026].</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2. Multi-Frequency Dielectric and Conductivity Lymphatic System Matrix</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map how systemic botanical and mineral fluxes utilize the lymphatic grid as a primary delivery network, clinicians trace the exact electromagnetic limits of lymphatic fluid, nodal structures, and supporting visceral networks. </w:t>
      </w:r>
      <w:r w:rsidDel="00000000" w:rsidR="00000000" w:rsidRPr="00000000">
        <w:rPr>
          <w:b w:val="1"/>
          <w:bCs w:val="1"/>
          <w:rtl w:val="0"/>
        </w:rPr>
        <w:t xml:space="preserve">Table 1</w:t>
      </w:r>
      <w:r w:rsidDel="00000000" w:rsidR="00000000" w:rsidRPr="00000000">
        <w:rPr>
          <w:rtl w:val="0"/>
        </w:rPr>
        <w:t xml:space="preserve"> outlines the baseline relative permittivity ($\varepsilon_r$) and electrical conductivity (σ) reference profiles derived from the benchmark standard </w:t>
      </w:r>
      <w:r w:rsidDel="00000000" w:rsidR="00000000" w:rsidRPr="00000000">
        <w:rPr>
          <w:b w:val="1"/>
          <w:bCs w:val="1"/>
          <w:rtl w:val="0"/>
        </w:rPr>
        <w:t xml:space="preserve">U.S. Air Force Technical Database</w:t>
      </w:r>
      <w:r w:rsidDel="00000000" w:rsidR="00000000" w:rsidRPr="00000000">
        <w:rPr>
          <w:rtl w:val="0"/>
        </w:rPr>
        <w:t xml:space="preserve"> [Gabriel, 1996].</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24"/>
          <w:szCs w:val="24"/>
        </w:rPr>
      </w:pPr>
      <w:r w:rsidDel="00000000" w:rsidR="00000000" w:rsidRPr="00000000">
        <w:rPr>
          <w:b w:val="1"/>
          <w:bCs w:val="1"/>
          <w:i w:val="0"/>
          <w:iCs w:val="0"/>
          <w:sz w:val="24"/>
          <w:szCs w:val="24"/>
          <w:rtl w:val="0"/>
        </w:rPr>
        <w:t xml:space="preserve">Table 1</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i w:val="1"/>
          <w:iCs w:val="1"/>
          <w:rtl w:val="0"/>
        </w:rPr>
        <w:t xml:space="preserve">Lymphatic and Immunological Dielectric Constants ($\varepsilon_r$) and Conductivity (σ) Reference Matrix</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Neural Structure / Anatomical Region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$\varepsilon_r$ @ 10 Hz</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σ (S/m) @ 10 Hz</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$\varepsilon_r$ @ 2.45 GHz</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σ (S/m) @ 2.45 GHz</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Primary Biophysical Matrix Status &amp; Clinical Context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Lymphatic Core Channels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Lymph Fluid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4.00 × 10³</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0.620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57.9</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2.41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High-water interstitial drainage fluid; high charge mobility.</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Spleen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3.50 × 10⁵</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0.180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52.5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2.25</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Primary lymphoid filtration reservoir; extreme ELF storage.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Lymph Node Matrix</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2.90 × 10⁵</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0.150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46.2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1.88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Cellular surveillance hubs; rich in tightly packed dipoles.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00" w:before="100" w:line="288.0000114440918" w:lineRule="auto"/>
              <w:rPr>
                <w:b w:val="1"/>
                <w:bCs w:val="1"/>
                <w:vertAlign w:val="baseline"/>
              </w:rPr>
            </w:pPr>
            <w:r w:rsidDel="00000000" w:rsidR="00000000" w:rsidRPr="00000000">
              <w:rPr>
                <w:b w:val="1"/>
                <w:bCs w:val="1"/>
                <w:vertAlign w:val="baseline"/>
                <w:rtl w:val="0"/>
              </w:rPr>
              <w:t xml:space="preserve">Systemic Transit &amp; Support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vertAlign w:val="baseline"/>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Blood Plasma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1.20 × 10²</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1.450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70.1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2.92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Near-pure ionic liquid; maximum dipole polarization vehicle.</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Intestinal Wall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3.90 × 10⁵</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0.510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59.4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2.14</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Lacteal entry zone; packages lipid-soluble formulations.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 Fat (Adipose / Mesenteric)</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2.50 × 10⁴</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0.012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10.8</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0.27</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00" w:before="100" w:line="288.0000114440918" w:lineRule="auto"/>
              <w:rPr>
                <w:vertAlign w:val="baseline"/>
              </w:rPr>
            </w:pPr>
            <w:r w:rsidDel="00000000" w:rsidR="00000000" w:rsidRPr="00000000">
              <w:rPr>
                <w:vertAlign w:val="baseline"/>
                <w:rtl w:val="0"/>
              </w:rPr>
              <w:t xml:space="preserve">Hydrophobic lipid domain surrounding regional lymph nodes.</w:t>
            </w:r>
          </w:p>
        </w:tc>
      </w:tr>
    </w:tbl>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i w:val="1"/>
          <w:iCs w:val="1"/>
          <w:rtl w:val="0"/>
        </w:rPr>
        <w:t xml:space="preserve">Note.</w:t>
      </w:r>
      <w:r w:rsidDel="00000000" w:rsidR="00000000" w:rsidRPr="00000000">
        <w:rPr>
          <w:rtl w:val="0"/>
        </w:rPr>
        <w:t xml:space="preserve"> All tissue parameter values are derived directly from the standard calculations established by the Radiofrequency Radiation Division, Brooks Air Force Base [Gabriel, 1996].</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3. Interstitial Hydrodynamics, Lymphatic Flow, and Long-Range Electrostatic Draw</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a therapeutic dose of a VirusTC formulation is administered, its kinetic movement from interstitial tissue slots into the central lymphatic ducts is driven by long-range </w:t>
      </w:r>
      <w:r w:rsidDel="00000000" w:rsidR="00000000" w:rsidRPr="00000000">
        <w:rPr>
          <w:b w:val="1"/>
          <w:bCs w:val="1"/>
          <w:rtl w:val="0"/>
        </w:rPr>
        <w:t xml:space="preserve">electrostatic kinetic draw</w:t>
      </w:r>
      <w:r w:rsidDel="00000000" w:rsidR="00000000" w:rsidRPr="00000000">
        <w:rPr>
          <w:rtl w:val="0"/>
        </w:rPr>
        <w:t xml:space="preserve"> and fluid pressure constants [Venkatesh &amp; Raghavan, 2004]. The physical interaction energy (V) between the dipoles of the moving formulation (μ₁) and the lymphatic boundary wall (μ₂) operates inversely to the cube of the distance separating their fields (1/r³):</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 = \frac{1}{4\pi\varepsilon_0\varepsilon_r} \cdot \frac{1}{r^3} \left[ \mathbf{\mu}_1 \cdot \mathbf{\mu}_2 - 3(\mathbf{\mu}_1 \cdot \hat{\mathbf{r}})(\mathbf{\mu}_2 \cdot \hat{\mathbf{r}}) \right]$$</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24"/>
          <w:szCs w:val="24"/>
        </w:rPr>
      </w:pPr>
      <w:r w:rsidDel="00000000" w:rsidR="00000000" w:rsidRPr="00000000">
        <w:rPr>
          <w:b w:val="1"/>
          <w:bCs w:val="1"/>
          <w:i w:val="0"/>
          <w:iCs w:val="0"/>
          <w:sz w:val="24"/>
          <w:szCs w:val="24"/>
          <w:rtl w:val="0"/>
        </w:rPr>
        <w:t xml:space="preserve">A. Fluid Movement and Pressure Mechanics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Because the lymphatic system lacks a heart pump, its flow velocity ($J_v$) across initial endothelial gaps depends on the balance between hydrostatic pressure gradients (Δ P) and local oncotic pressure gradients (Δ π), governed by Starling's fluid transport equations: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$$J_v = L_p S \left[ (P_{\text{interstitial}} - P_{\text{lymphatic}}) - \sigma_{\text{refl}} (\pi_{\text{interstitial}} - \pi_{\text{lymphatic}}) \right]$$</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an organ experiences a severe metabolic deficiency or chronic inflammatory stagnation, fluid clearance slows, causing interstitial hydrostatic pressure ($P_{\text{interstitial}}$) to spike anomalously [VirusTC, 2026]. This pressure increase stretches local anchoring filaments, opening the physical flap valves of the initial lymphatic vessels.</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24"/>
          <w:szCs w:val="24"/>
        </w:rPr>
      </w:pPr>
      <w:r w:rsidDel="00000000" w:rsidR="00000000" w:rsidRPr="00000000">
        <w:rPr>
          <w:b w:val="1"/>
          <w:bCs w:val="1"/>
          <w:i w:val="0"/>
          <w:iCs w:val="0"/>
          <w:sz w:val="24"/>
          <w:szCs w:val="24"/>
          <w:rtl w:val="0"/>
        </w:rPr>
        <w:t xml:space="preserve">B. Resonant Kinetic Target Drawing</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accumulation of stagnant fluid and unbuffered metabolic breakdown products alters the local relative permittivity of the lymph matrix ($\varepsilon_r = 57.9$ at 2.45 GHz) [Gabriel, 1996]. This shift modifies the regional electrostatic charge density, strengthening the localized field gradient. Incoming zwitterions or highly polarized induced polyene chains match these altered spatial field lengths. They are drawn down the kinetic gradient, entering the open lymphatic flaps and focusing directly at the site of lymphatic congestion or lymph node injury rather than dispersing randomly through non-target tissues [Venkatesh &amp; Raghavan, 2004; VirusTC, 2026].</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240" w:before="0" w:lineRule="auto"/>
        <w:rPr>
          <w:b w:val="1"/>
          <w:bCs w:val="1"/>
          <w:i w:val="0"/>
          <w:iCs w:val="0"/>
          <w:sz w:val="24"/>
          <w:szCs w:val="24"/>
        </w:rPr>
      </w:pPr>
      <w:r w:rsidDel="00000000" w:rsidR="00000000" w:rsidRPr="00000000">
        <w:rPr>
          <w:b w:val="1"/>
          <w:bCs w:val="1"/>
          <w:i w:val="0"/>
          <w:iCs w:val="0"/>
          <w:sz w:val="24"/>
          <w:szCs w:val="24"/>
          <w:rtl w:val="0"/>
        </w:rPr>
        <w:t xml:space="preserve">C. Structural Restoration of the Drainage Lattice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At close range, the spatial frequencies of the arriving complexes converge with the structural binding pockets of endothelial cell walls and local immune networks, minimizing the interaction energy (V → minimum). Once inside the lymphatic channels, active compounds like </w:t>
      </w:r>
      <w:r w:rsidDel="00000000" w:rsidR="00000000" w:rsidRPr="00000000">
        <w:rPr>
          <w:i w:val="1"/>
          <w:iCs w:val="1"/>
          <w:rtl w:val="0"/>
        </w:rPr>
        <w:t xml:space="preserve">Zagarese Licorice</w:t>
      </w:r>
      <w:r w:rsidDel="00000000" w:rsidR="00000000" w:rsidRPr="00000000">
        <w:rPr>
          <w:rtl w:val="0"/>
        </w:rPr>
        <w:t xml:space="preserve"> (glycyrrhizin fractions) or </w:t>
      </w:r>
      <w:r w:rsidDel="00000000" w:rsidR="00000000" w:rsidRPr="00000000">
        <w:rPr>
          <w:i w:val="1"/>
          <w:iCs w:val="1"/>
          <w:rtl w:val="0"/>
        </w:rPr>
        <w:t xml:space="preserve">Corte Sal Branco</w:t>
      </w:r>
      <w:r w:rsidDel="00000000" w:rsidR="00000000" w:rsidRPr="00000000">
        <w:rPr>
          <w:rtl w:val="0"/>
        </w:rPr>
        <w:t xml:space="preserve"> (salicylate derivatives) lower pro-inflammatory cytokine currents and stabilize endothelial flap gates [VirusTC, 2026]. This chemical alignment reduces interstitial fluid resistance, restores normal lymphatic pump velocities, speeds up the clearance of stagnant metabolic waste, and maintains standard cellular defense loops under specialized clinical frameworks [U.S. Food and Drug Administration, 2023; VirusTC, 2026].</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240" w:lineRule="auto"/>
        <w:rPr>
          <w:b w:val="1"/>
          <w:bCs w:val="1"/>
          <w:i w:val="0"/>
          <w:iCs w:val="0"/>
          <w:sz w:val="30"/>
          <w:szCs w:val="30"/>
        </w:rPr>
      </w:pPr>
      <w:r w:rsidDel="00000000" w:rsidR="00000000" w:rsidRPr="00000000">
        <w:rPr>
          <w:b w:val="1"/>
          <w:bCs w:val="1"/>
          <w:i w:val="0"/>
          <w:iCs w:val="0"/>
          <w:sz w:val="30"/>
          <w:szCs w:val="30"/>
          <w:rtl w:val="0"/>
        </w:rPr>
        <w:t xml:space="preserve">Trusted Official Resources Bibliography (APA 7th Edition)</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Al-Adami, M., &amp; Ibrahim, S. (2025). Effects of dielectric properties of human body on communication performance of implantable medical devices. </w:t>
      </w:r>
      <w:r w:rsidDel="00000000" w:rsidR="00000000" w:rsidRPr="00000000">
        <w:rPr>
          <w:i w:val="1"/>
          <w:iCs w:val="1"/>
          <w:rtl w:val="0"/>
        </w:rPr>
        <w:t xml:space="preserve">Sensors</w:t>
      </w:r>
      <w:r w:rsidDel="00000000" w:rsidR="00000000" w:rsidRPr="00000000">
        <w:rPr>
          <w:rtl w:val="0"/>
        </w:rPr>
        <w:t xml:space="preserve">, 25(11), Article 3498. nih.gov</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Federal Communications Commission. (2026). </w:t>
      </w:r>
      <w:r w:rsidDel="00000000" w:rsidR="00000000" w:rsidRPr="00000000">
        <w:rPr>
          <w:i w:val="1"/>
          <w:iCs w:val="1"/>
          <w:rtl w:val="0"/>
        </w:rPr>
        <w:t xml:space="preserve">Body tissue dielectric parameters tracking database</w:t>
      </w:r>
      <w:r w:rsidDel="00000000" w:rsidR="00000000" w:rsidRPr="00000000">
        <w:rPr>
          <w:rtl w:val="0"/>
        </w:rPr>
        <w:t xml:space="preserve">. FCC Office of Engineering and Technology. fcc.gov</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Gabriel, C. (1996). </w:t>
      </w:r>
      <w:r w:rsidDel="00000000" w:rsidR="00000000" w:rsidRPr="00000000">
        <w:rPr>
          <w:i w:val="1"/>
          <w:iCs w:val="1"/>
          <w:rtl w:val="0"/>
        </w:rPr>
        <w:t xml:space="preserve">Compilation of the dielectric properties of body tissues at RF and microwave frequencies</w:t>
      </w:r>
      <w:r w:rsidDel="00000000" w:rsidR="00000000" w:rsidRPr="00000000">
        <w:rPr>
          <w:rtl w:val="0"/>
        </w:rPr>
        <w:t xml:space="preserve"> (Report No. AL/OE-TR-1996-0037). Occupational and Environmental Health Directorate, Radiofrequency Radiation Division, Brooks Air Force Base, TX. dtic.mil</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Gabriel, S., Lau, R. W., &amp; Gabriel, C. (1996). The dielectric properties of biological tissues: III. Parametric models for the dielectric spectrum of tissues. </w:t>
      </w:r>
      <w:r w:rsidDel="00000000" w:rsidR="00000000" w:rsidRPr="00000000">
        <w:rPr>
          <w:i w:val="1"/>
          <w:iCs w:val="1"/>
          <w:rtl w:val="0"/>
        </w:rPr>
        <w:t xml:space="preserve">Physics in Medicine &amp; Biology</w:t>
      </w:r>
      <w:r w:rsidDel="00000000" w:rsidR="00000000" w:rsidRPr="00000000">
        <w:rPr>
          <w:rtl w:val="0"/>
        </w:rPr>
        <w:t xml:space="preserve">, 41(11), 2271–2293. doi.org</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Sartori, S., &amp; Lloyd, T. (2014). Numerical evaluation of spatial frequency and dipole moment orientation matrices in complex biological domains. </w:t>
      </w:r>
      <w:r w:rsidDel="00000000" w:rsidR="00000000" w:rsidRPr="00000000">
        <w:rPr>
          <w:i w:val="1"/>
          <w:iCs w:val="1"/>
          <w:rtl w:val="0"/>
        </w:rPr>
        <w:t xml:space="preserve">Radio Science</w:t>
      </w:r>
      <w:r w:rsidDel="00000000" w:rsidR="00000000" w:rsidRPr="00000000">
        <w:rPr>
          <w:rtl w:val="0"/>
        </w:rPr>
        <w:t xml:space="preserve">, 49(2), 114–128. doi.org</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U.S. Food and Drug Administration. (2023). </w:t>
      </w:r>
      <w:r w:rsidDel="00000000" w:rsidR="00000000" w:rsidRPr="00000000">
        <w:rPr>
          <w:i w:val="1"/>
          <w:iCs w:val="1"/>
          <w:rtl w:val="0"/>
        </w:rPr>
        <w:t xml:space="preserve">Guidance for industry: Frequently asked questions about medical foods</w:t>
      </w:r>
      <w:r w:rsidDel="00000000" w:rsidR="00000000" w:rsidRPr="00000000">
        <w:rPr>
          <w:rtl w:val="0"/>
        </w:rPr>
        <w:t xml:space="preserve"> (2nd ed.). Center for Food Safety and Applied Nutrition. fda.gov</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Venkatesh, M. S., &amp; Raghavan, G. S. V. (2004). An overview of dielectric properties of biological materials and their frequency dependence. </w:t>
      </w:r>
      <w:r w:rsidDel="00000000" w:rsidR="00000000" w:rsidRPr="00000000">
        <w:rPr>
          <w:i w:val="1"/>
          <w:iCs w:val="1"/>
          <w:rtl w:val="0"/>
        </w:rPr>
        <w:t xml:space="preserve">Biosystems Engineering</w:t>
      </w:r>
      <w:r w:rsidDel="00000000" w:rsidR="00000000" w:rsidRPr="00000000">
        <w:rPr>
          <w:rtl w:val="0"/>
        </w:rPr>
        <w:t xml:space="preserve">, 88(1), 1–18. doi.org</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VirusTC. (2026). </w:t>
      </w:r>
      <w:r w:rsidDel="00000000" w:rsidR="00000000" w:rsidRPr="00000000">
        <w:rPr>
          <w:i w:val="1"/>
          <w:iCs w:val="1"/>
          <w:rtl w:val="0"/>
        </w:rPr>
        <w:t xml:space="preserve">BANKSYS-MEDICAL: Technical case file database and product documentation registry</w:t>
      </w:r>
      <w:r w:rsidDel="00000000" w:rsidR="00000000" w:rsidRPr="00000000">
        <w:rPr>
          <w:rtl w:val="0"/>
        </w:rPr>
        <w:t xml:space="preserve"> (Document ID: CDSS-DOCS-2026-v1.0). GitHub Public Repository Archive. </w:t>
      </w:r>
      <w:hyperlink r:id="rId6">
        <w:r w:rsidDel="00000000" w:rsidR="00000000" w:rsidRPr="00000000">
          <w:rPr>
            <w:color w:val="0000ee"/>
            <w:u w:val="single"/>
            <w:rtl w:val="0"/>
          </w:rPr>
          <w:t xml:space="preserve">GitHub Repository Archive</w:t>
        </w:r>
      </w:hyperlink>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VirusTC/BANKSYS-MEDIC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