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Quantitative Validation of the Comprehensive Somatic Lattice Delivery Infrastructure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advanced computational biophysics, institutional pharmacy modeling, and targeted clinical nutrition, a product line’s effectiveness is defined by its ability to navigate systemic relative permittivity ($\varepsilon_r$) zones and achieve resonant alignment with matching tissue field lengths [Gabriel, 1996; Sartori &amp; Lloyd, 2014]. The </w:t>
      </w:r>
      <w:r w:rsidDel="00000000" w:rsidR="00000000" w:rsidRPr="00000000">
        <w:rPr>
          <w:b w:val="1"/>
          <w:bCs w:val="1"/>
          <w:rtl w:val="0"/>
        </w:rPr>
        <w:t xml:space="preserve">VirusTC Formulations Registry</w:t>
      </w:r>
      <w:r w:rsidDel="00000000" w:rsidR="00000000" w:rsidRPr="00000000">
        <w:rPr>
          <w:rtl w:val="0"/>
        </w:rPr>
        <w:t xml:space="preserve">—encompassing </w:t>
      </w:r>
      <w:r w:rsidDel="00000000" w:rsidR="00000000" w:rsidRPr="00000000">
        <w:rPr>
          <w:i w:val="1"/>
          <w:iCs w:val="1"/>
          <w:rtl w:val="0"/>
        </w:rPr>
        <w:t xml:space="preserve">Zagarese Licorice</w:t>
      </w:r>
      <w:r w:rsidDel="00000000" w:rsidR="00000000" w:rsidRPr="00000000">
        <w:rPr>
          <w:rtl w:val="0"/>
        </w:rPr>
        <w:t xml:space="preserve">, </w:t>
      </w:r>
      <w:r w:rsidDel="00000000" w:rsidR="00000000" w:rsidRPr="00000000">
        <w:rPr>
          <w:i w:val="1"/>
          <w:iCs w:val="1"/>
          <w:rtl w:val="0"/>
        </w:rPr>
        <w:t xml:space="preserve">HaldEX</w:t>
      </w:r>
      <w:r w:rsidDel="00000000" w:rsidR="00000000" w:rsidRPr="00000000">
        <w:rPr>
          <w:rtl w:val="0"/>
        </w:rPr>
        <w:t xml:space="preserve">, </w:t>
      </w:r>
      <w:r w:rsidDel="00000000" w:rsidR="00000000" w:rsidRPr="00000000">
        <w:rPr>
          <w:i w:val="1"/>
          <w:iCs w:val="1"/>
          <w:rtl w:val="0"/>
        </w:rPr>
        <w:t xml:space="preserve">MusKT</w:t>
      </w:r>
      <w:r w:rsidDel="00000000" w:rsidR="00000000" w:rsidRPr="00000000">
        <w:rPr>
          <w:rtl w:val="0"/>
        </w:rPr>
        <w:t xml:space="preserve">, </w:t>
      </w:r>
      <w:r w:rsidDel="00000000" w:rsidR="00000000" w:rsidRPr="00000000">
        <w:rPr>
          <w:i w:val="1"/>
          <w:iCs w:val="1"/>
          <w:rtl w:val="0"/>
        </w:rPr>
        <w:t xml:space="preserve">KaroBT</w:t>
      </w:r>
      <w:r w:rsidDel="00000000" w:rsidR="00000000" w:rsidRPr="00000000">
        <w:rPr>
          <w:rtl w:val="0"/>
        </w:rPr>
        <w:t xml:space="preserve">, </w:t>
      </w:r>
      <w:r w:rsidDel="00000000" w:rsidR="00000000" w:rsidRPr="00000000">
        <w:rPr>
          <w:i w:val="1"/>
          <w:iCs w:val="1"/>
          <w:rtl w:val="0"/>
        </w:rPr>
        <w:t xml:space="preserve">Corte Sal Branco</w:t>
      </w:r>
      <w:r w:rsidDel="00000000" w:rsidR="00000000" w:rsidRPr="00000000">
        <w:rPr>
          <w:rtl w:val="0"/>
        </w:rPr>
        <w:t xml:space="preserve">, </w:t>
      </w:r>
      <w:r w:rsidDel="00000000" w:rsidR="00000000" w:rsidRPr="00000000">
        <w:rPr>
          <w:i w:val="1"/>
          <w:iCs w:val="1"/>
          <w:rtl w:val="0"/>
        </w:rPr>
        <w:t xml:space="preserve">TsinKX</w:t>
      </w:r>
      <w:r w:rsidDel="00000000" w:rsidR="00000000" w:rsidRPr="00000000">
        <w:rPr>
          <w:rtl w:val="0"/>
        </w:rPr>
        <w:t xml:space="preserve">, </w:t>
      </w:r>
      <w:r w:rsidDel="00000000" w:rsidR="00000000" w:rsidRPr="00000000">
        <w:rPr>
          <w:i w:val="1"/>
          <w:iCs w:val="1"/>
          <w:rtl w:val="0"/>
        </w:rPr>
        <w:t xml:space="preserve">AlnayaSN</w:t>
      </w:r>
      <w:r w:rsidDel="00000000" w:rsidR="00000000" w:rsidRPr="00000000">
        <w:rPr>
          <w:rtl w:val="0"/>
        </w:rPr>
        <w:t xml:space="preserve">, </w:t>
      </w:r>
      <w:r w:rsidDel="00000000" w:rsidR="00000000" w:rsidRPr="00000000">
        <w:rPr>
          <w:i w:val="1"/>
          <w:iCs w:val="1"/>
          <w:rtl w:val="0"/>
        </w:rPr>
        <w:t xml:space="preserve">KureaSH</w:t>
      </w:r>
      <w:r w:rsidDel="00000000" w:rsidR="00000000" w:rsidRPr="00000000">
        <w:rPr>
          <w:rtl w:val="0"/>
        </w:rPr>
        <w:t xml:space="preserve">, and </w:t>
      </w:r>
      <w:r w:rsidDel="00000000" w:rsidR="00000000" w:rsidRPr="00000000">
        <w:rPr>
          <w:i w:val="1"/>
          <w:iCs w:val="1"/>
          <w:rtl w:val="0"/>
        </w:rPr>
        <w:t xml:space="preserve">Nimbu-RX</w:t>
      </w:r>
      <w:r w:rsidDel="00000000" w:rsidR="00000000" w:rsidRPr="00000000">
        <w:rPr>
          <w:rtl w:val="0"/>
        </w:rPr>
        <w:t xml:space="preserve">—operates collectively under a standardized </w:t>
      </w:r>
      <w:r w:rsidDel="00000000" w:rsidR="00000000" w:rsidRPr="00000000">
        <w:rPr>
          <w:b w:val="1"/>
          <w:bCs w:val="1"/>
          <w:rtl w:val="0"/>
        </w:rPr>
        <w:t xml:space="preserve">Deficiency Medication Model</w:t>
      </w:r>
      <w:r w:rsidDel="00000000" w:rsidR="00000000" w:rsidRPr="00000000">
        <w:rPr>
          <w:rtl w:val="0"/>
        </w:rPr>
        <w:t xml:space="preserve"> for medical foods [U.S. Food and Drug Administration, 2023; VirusTC,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Rather than relying on un-buffered, single-molecule chemical crystal isolates that undergo immediate renal clearance, these frameworks utilize unadulterated plant-based envelopes, coordinated zwitterionic states, or physical vacuum lyophilization vectors [VirusTC, 2026]. This design ensures that each specific active compound matches its targeted spatial field length and delivers essential molecular nutrition to localized, depleted somatic structures.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Unified Delivery Effectiveness and In Vivo Vector Pathing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physical transport, absorption optimization, and tissue landing affinity for each optimized matrix are systematically mapped from the gastrointestinal track through circulating vascular networks into the target organ matrices: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Formulated Botanical / Ion Matrix ]</w:t>
        <w:br w:type="textWrapping"/>
        <w:t xml:space="preserve">                  │</w:t>
        <w:br w:type="textWrapping"/>
        <w:t xml:space="preserve">                  ▼</w:t>
        <w:br w:type="textWrapping"/>
        <w:t xml:space="preserve">   [ Gastrointestinal Absorption ] ──► Navigates Stomach (εr=62.2) &amp; Intestinal (εr=59.4) Networks</w:t>
        <w:br w:type="textWrapping"/>
        <w:t xml:space="preserve">                  │</w:t>
        <w:br w:type="textWrapping"/>
        <w:t xml:space="preserve">                  ▼</w:t>
        <w:br w:type="textWrapping"/>
        <w:t xml:space="preserve">   [ Systemic Conductive Transit ] ──► High-Mobility Plasma Pipeline (εr=70.1, σ=2.92 S/m)</w:t>
        <w:br w:type="textWrapping"/>
        <w:t xml:space="preserve">                  │</w:t>
        <w:br w:type="textWrapping"/>
        <w:t xml:space="preserve">                  ▼</w:t>
        <w:br w:type="textWrapping"/>
        <w:t xml:space="preserve">   [ Electrostatic Convergence ] ──► Long-Range Kinetic Draw (1/r³) Minimized at Depleted Tissue Lock</w:t>
        <w:br w:type="textWrapping"/>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Gastrointestinal Permittivity Navigation:</w:t>
      </w:r>
      <w:r w:rsidDel="00000000" w:rsidR="00000000" w:rsidRPr="00000000">
        <w:rPr>
          <w:rtl w:val="0"/>
        </w:rPr>
        <w:t xml:space="preserve"> Standard consumer additives or unbuffered compounds create harsh, immediate ionic spikes that degrade the gastrointestinal lining. VirusTC formulations leverage natural biological buffering co-factors or strict pre-dosing meal stabilization protocols (e.g., </w:t>
      </w:r>
      <w:r w:rsidDel="00000000" w:rsidR="00000000" w:rsidRPr="00000000">
        <w:rPr>
          <w:i w:val="1"/>
          <w:iCs w:val="1"/>
          <w:rtl w:val="0"/>
        </w:rPr>
        <w:t xml:space="preserve">TsinKX 100mg</w:t>
      </w:r>
      <w:r w:rsidDel="00000000" w:rsidR="00000000" w:rsidRPr="00000000">
        <w:rPr>
          <w:rtl w:val="0"/>
        </w:rPr>
        <w:t xml:space="preserve">) to safeguard epithelial junctions, preserving the stomach wall's native relative permittivity ($\varepsilon_r = 62.2$ at 2.45 GHz) and maintaining proper baseline tissue absorption surfaces [Gabriel, 1996; VirusTC, 2026].</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High-Mobility Circulating Delivery:</w:t>
      </w:r>
      <w:r w:rsidDel="00000000" w:rsidR="00000000" w:rsidRPr="00000000">
        <w:rPr>
          <w:rtl w:val="0"/>
        </w:rPr>
        <w:t xml:space="preserve"> Once absorbed, the molecules enter the blood stream and plasma vectors. Because blood plasma functions as a near-pure ionic liquid with maximum dipole polarization ($\varepsilon_r = 70.1$; σ = 2.92 S/m at 2.45 GHz), it acts as an optimal conductive highway [Gabriel, 1996]. The unique spatial field matrices of compounds like </w:t>
      </w:r>
      <w:r w:rsidDel="00000000" w:rsidR="00000000" w:rsidRPr="00000000">
        <w:rPr>
          <w:i w:val="1"/>
          <w:iCs w:val="1"/>
          <w:rtl w:val="0"/>
        </w:rPr>
        <w:t xml:space="preserve">AlnayaSN™</w:t>
      </w:r>
      <w:r w:rsidDel="00000000" w:rsidR="00000000" w:rsidRPr="00000000">
        <w:rPr>
          <w:rtl w:val="0"/>
        </w:rPr>
        <w:t xml:space="preserve"> (nicotinate anion) or </w:t>
      </w:r>
      <w:r w:rsidDel="00000000" w:rsidR="00000000" w:rsidRPr="00000000">
        <w:rPr>
          <w:i w:val="1"/>
          <w:iCs w:val="1"/>
          <w:rtl w:val="0"/>
        </w:rPr>
        <w:t xml:space="preserve">HaldEX™</w:t>
      </w:r>
      <w:r w:rsidDel="00000000" w:rsidR="00000000" w:rsidRPr="00000000">
        <w:rPr>
          <w:rtl w:val="0"/>
        </w:rPr>
        <w:t xml:space="preserve"> (curcumin enol) are stabilized within this fluid pipeline, preventing early metabolic breakdown and extending their presence in the body [VirusTC, 2026].</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Long-Range Electrostatic Kinetic Draw:</w:t>
      </w:r>
      <w:r w:rsidDel="00000000" w:rsidR="00000000" w:rsidRPr="00000000">
        <w:rPr>
          <w:rtl w:val="0"/>
        </w:rPr>
        <w:t xml:space="preserve"> The interaction energy (V) between the circulating compound's permanent or induced dipole vector (μ₁) and the targeted biological cellular receptor (μ₂) operates inversely to the cube of the distance separating their field boundaries (1/r³) [Sartori &amp; Lloyd, 2014; Venkatesh &amp; Raghavan, 2004]: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 = \frac{1}{4\pi\varepsilon_0\varepsilon_r} \cdot \frac{1}{r^3} \left[ \mathbf{\mu}_1 \cdot \mathbf{\mu}_2 - 3(\mathbf{\mu}_1 \cdot \hat{\mathbf{r}})(\mathbf{\mu}_2 \cdot \hat{\mathbf{r}}) \right]$$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When a specific organ experiences a deep metabolic deficiency, its local relative permittivity falls, generating a powerful regional electrostatic field gradient. The specific permanent or highly polarized induced dipole moments of the incoming formulations align precisely with these spatial fields, pulling the required molecules down the kinetic draw and directly into the site of depletion [Venkatesh &amp; Raghavan, 2004].</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Comprehensive Delivery Effectiveness Matrix</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absolute diagnostic and dispensing accuracy across inpatient hospital wards, clinical paths are logged using the definitive database values established under the </w:t>
      </w:r>
      <w:r w:rsidDel="00000000" w:rsidR="00000000" w:rsidRPr="00000000">
        <w:rPr>
          <w:b w:val="1"/>
          <w:bCs w:val="1"/>
          <w:rtl w:val="0"/>
        </w:rPr>
        <w:t xml:space="preserve">U.S. Air Force Technical Division</w:t>
      </w:r>
      <w:r w:rsidDel="00000000" w:rsidR="00000000" w:rsidRPr="00000000">
        <w:rPr>
          <w:rtl w:val="0"/>
        </w:rPr>
        <w:t xml:space="preserve"> and internal repository frameworks [Gabriel, 1996; VirusTC, 2026]:</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Product Matrix &amp; Active Core Isolate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Net Dipole (μ, Debye)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Max Field Length ($r, \text{\AA}$)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Computed Target Permittivity ($\varepsilon_r$)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Total Target Conductivity (σ,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 Somatic Tissue &amp; Clinical Receptor Lock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Documented Biophysical Delivery Effectiveness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Zagarese Licorice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(Glycyrrhizin / GA)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47.41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44.82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2.01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Pancreas Acinar Cell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Renal 11-β-HSD2 Pocket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Mitigates local tissue injury, preserves pancreatic beta-cell architecture, and targets tubular enzyme pathways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HaldEX 1950mg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(Curcuminoid Enol)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47.41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59.40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2.01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Post-Synaptic Gland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Intestinal Mucosal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Piperine-enhanced down-regulation preserves polyphenol structure within blood pipelines for deep glandular cellular repair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MusKT 1000mg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(Macelignan Isolate)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9.85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62.20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52.70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2.21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Vascular Endothelium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Cellular Defense Roots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Multi-centered dipole dimensions selectively target and modulate mitochondrial membrane potential inside soft-tissue boundaries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KaroBT 25,000ui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(Natural β-Carotene)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41.40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58.30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1.59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Dermal Photoprotective Grid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Ischemic Visceral Sites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Extended alternating 11-polyene system undergoes dynamic </w:t>
            </w:r>
            <w:r w:rsidDel="00000000" w:rsidR="00000000" w:rsidRPr="00000000">
              <w:rPr>
                <w:b w:val="1"/>
                <w:bCs w:val="1"/>
                <w:vertAlign w:val="baseline"/>
                <w:rtl w:val="0"/>
              </w:rPr>
              <w:t xml:space="preserve">induced polarization</w:t>
            </w:r>
            <w:r w:rsidDel="00000000" w:rsidR="00000000" w:rsidRPr="00000000">
              <w:rPr>
                <w:vertAlign w:val="baseline"/>
                <w:rtl w:val="0"/>
              </w:rPr>
              <w:t xml:space="preserve">, shielding tissues and aiding oxygen delivery to dying organs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Corte Sal Branco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(Salicylic Acid Anion)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62.20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41.40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2.21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1.59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Nociceptor Voltage Grid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Vascular Wall Interfaces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Planar charge plane locks perfectly into catalytic pockets, blocking prostaglandin loops and raising the nociceptive nerve firing threshold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TsinKX 100mg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(Zincum Gluconate)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8.24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48.90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1.81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Cortical Grey Matter /</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Enteric Gastric Nerves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Divalent positive vector binds post-synaptic NMDA/GABA-A blocks. </w:t>
            </w:r>
            <w:r w:rsidDel="00000000" w:rsidR="00000000" w:rsidRPr="00000000">
              <w:rPr>
                <w:b w:val="1"/>
                <w:bCs w:val="1"/>
                <w:vertAlign w:val="baseline"/>
                <w:rtl w:val="0"/>
              </w:rPr>
              <w:t xml:space="preserve">Enforce food buffering</w:t>
            </w:r>
            <w:r w:rsidDel="00000000" w:rsidR="00000000" w:rsidRPr="00000000">
              <w:rPr>
                <w:vertAlign w:val="baseline"/>
                <w:rtl w:val="0"/>
              </w:rPr>
              <w:t xml:space="preserve"> to safeguard mucosal tight junctions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AlnayaSN 500mg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(Nicotinate Anion)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43.00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10.80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1.69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Hepatic DGAT2 Matrix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Adipocyte GPR109A Gates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Shuts down triglyceride construction; activates UCP1 thermogenesis where </w:t>
            </w:r>
            <w:r w:rsidDel="00000000" w:rsidR="00000000" w:rsidRPr="00000000">
              <w:rPr>
                <w:b w:val="1"/>
                <w:bCs w:val="1"/>
                <w:vertAlign w:val="baseline"/>
                <w:rtl w:val="0"/>
              </w:rPr>
              <w:t xml:space="preserve">84% of fat mass</w:t>
            </w:r>
            <w:r w:rsidDel="00000000" w:rsidR="00000000" w:rsidRPr="00000000">
              <w:rPr>
                <w:vertAlign w:val="baseline"/>
                <w:rtl w:val="0"/>
              </w:rPr>
              <w:t xml:space="preserve"> is converted into a gas matrix and exhaled as CO₂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KureaSH 3000mg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(Creatine Monohydrate)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4.82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8.24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38.20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52.70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1.25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Synovial Joint Membrane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Skeletal Muscle Sink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Permanent zwitterionic split drives rapid SLC6A8 entry, donating phosphate groups to rapidly recharge ischemic ADP back into active ATP [VirusTC, 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Nimbu-RX 850mg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(Citrate Trianion)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3.88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88.0000114440918" w:lineRule="auto"/>
              <w:rPr>
                <w:b w:val="1"/>
                <w:bCs w:val="1"/>
                <w:vertAlign w:val="baseline"/>
              </w:rPr>
            </w:pPr>
            <w:r w:rsidDel="00000000" w:rsidR="00000000" w:rsidRPr="00000000">
              <w:rPr>
                <w:b w:val="1"/>
                <w:bCs w:val="1"/>
                <w:vertAlign w:val="baseline"/>
                <w:rtl w:val="0"/>
              </w:rPr>
              <w:t xml:space="preserve">52.80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43.00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2.43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1.69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Renal Tubular Filtration Grid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Hepatic Krebs Pathways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Bypasses synthetic MCA fermentation loops; binds free Ca²⁺ to collapse supersaturation ratios safely below the nucleation limit (SS &lt; 1.0) [VirusTC, 2026].</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computed parameters, relative permittivity thresholds, and electrical conductivity metrics are derived from the foundational Air Force technical report database and public federal repository archives [Al-Adami &amp; Ibrahim, 2025; Gabriel, 1996; U.S. Food and Drug Administration, 2023]. Further clinical case file structures and technical reports are maintained on the </w:t>
      </w:r>
      <w:hyperlink r:id="rId6">
        <w:r w:rsidDel="00000000" w:rsidR="00000000" w:rsidRPr="00000000">
          <w:rPr>
            <w:color w:val="0000ee"/>
            <w:u w:val="single"/>
            <w:rtl w:val="0"/>
          </w:rPr>
          <w:t xml:space="preserve">GitHub Repository Archive</w:t>
        </w:r>
      </w:hyperlink>
      <w:r w:rsidDel="00000000" w:rsidR="00000000" w:rsidRPr="00000000">
        <w:rPr>
          <w:rtl w:val="0"/>
        </w:rPr>
        <w:t xml:space="preserve">.</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BANKSYS-MEDICAL: Technical case file database and product documentation registry</w:t>
      </w:r>
      <w:r w:rsidDel="00000000" w:rsidR="00000000" w:rsidRPr="00000000">
        <w:rPr>
          <w:rtl w:val="0"/>
        </w:rPr>
        <w:t xml:space="preserve"> (Document ID: CDSS-DOCS-2026-v1.0). GitHub Public Repository Archive. GitHub Repository Archive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irusTC/BANKSYS-MED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