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Clinical Case Study: Metabolic Tracking, Pharmacokinetics, and Organ-Specific Dielectric Targeting of Pure Botanical Extracts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case study models the clinical pharmacokinetics, molecular field dynamics, and systemic distribution of a standardized, high-purity triterpenoid saponin matrix—specifically </w:t>
      </w:r>
      <w:r w:rsidDel="00000000" w:rsidR="00000000" w:rsidRPr="00000000">
        <w:rPr>
          <w:b w:val="1"/>
          <w:bCs w:val="1"/>
          <w:rtl w:val="0"/>
        </w:rPr>
        <w:t xml:space="preserve">glycyrrhizin</w:t>
      </w:r>
      <w:r w:rsidDel="00000000" w:rsidR="00000000" w:rsidRPr="00000000">
        <w:rPr>
          <w:rtl w:val="0"/>
        </w:rPr>
        <w:t xml:space="preserve"> and its active metabolites derived from pure </w:t>
      </w:r>
      <w:r w:rsidDel="00000000" w:rsidR="00000000" w:rsidRPr="00000000">
        <w:rPr>
          <w:i w:val="1"/>
          <w:iCs w:val="1"/>
          <w:rtl w:val="0"/>
        </w:rPr>
        <w:t xml:space="preserve">Glycyrrhiza glabra</w:t>
      </w:r>
      <w:r w:rsidDel="00000000" w:rsidR="00000000" w:rsidRPr="00000000">
        <w:rPr>
          <w:rtl w:val="0"/>
        </w:rPr>
        <w:t xml:space="preserve"> (licorice root)—administered under a clinical medical food protocol.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1. Subject Baseline Clinical Parameters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Administration Profile:</w:t>
      </w:r>
      <w:r w:rsidDel="00000000" w:rsidR="00000000" w:rsidRPr="00000000">
        <w:rPr>
          <w:rtl w:val="0"/>
        </w:rPr>
        <w:t xml:space="preserve"> Oral delivery of a standardized, unadulterated medical food extract containing pure glycyrrhizin and isoliquiritigenin.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Diagnostic Windows:</w:t>
      </w:r>
      <w:r w:rsidDel="00000000" w:rsidR="00000000" w:rsidRPr="00000000">
        <w:rPr>
          <w:rtl w:val="0"/>
        </w:rPr>
        <w:t xml:space="preserve"> Real-time biophysical monitoring of tissue-specific relative permittivity ($\varepsilon_r$) and electrical conductivity ($\sigma$) across the visceral lattice structure to track compound migration and regional kinetic drawing.</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2. Phase I: Gastrointestinal Cleavage and Enzymatic Ingestion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Upon oral administration, the raw botanical matrix interfaces with the high-hydration environment of the stomach and intestinal walls. As detailed in the standard dielectric database, these tissues maintain high baseline permittivity values ($\varepsilon_{r,\text{ stomach}} = 62.2$; $\varepsilon_{r,\text{ intestine}} = 59.4$ at 2.45 GHz), ensuring optimal electrostatic field propagation and enzymatic mobility.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[Oral Matrix Ingestion] </w:t>
        <w:br w:type="textWrapping"/>
        <w:t xml:space="preserve">       │</w:t>
        <w:br w:type="textWrapping"/>
        <w:t xml:space="preserve">       ▼</w:t>
        <w:br w:type="textWrapping"/>
        <w:t xml:space="preserve">[Gastric/Intestinal Hydrolysis] ──► Cleaves Glycyrrhizin into Glycyrrhetinic Acid (GA)</w:t>
        <w:br w:type="textWrapping"/>
        <w:t xml:space="preserve">       │</w:t>
        <w:br w:type="textWrapping"/>
        <w:t xml:space="preserve">       ▼</w:t>
        <w:br w:type="textWrapping"/>
        <w:t xml:space="preserve">[Hepatic First-Pass Portal Vector] ──► Transport via High-Permittivity Blood Stream (εr = 58.3)</w:t>
        <w:br w:type="textWrapping"/>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Enzymatic Hydrolysis:</w:t>
      </w:r>
      <w:r w:rsidDel="00000000" w:rsidR="00000000" w:rsidRPr="00000000">
        <w:rPr>
          <w:rtl w:val="0"/>
        </w:rPr>
        <w:t xml:space="preserve"> In the intestinal lumen, commensal $\beta$-glucuronidase enzymes hydrolyze the complex glycyrrhizin molecule, stripping away its sugar moieties to produce the highly lipophilic and bioactive aglycone, </w:t>
      </w:r>
      <w:r w:rsidDel="00000000" w:rsidR="00000000" w:rsidRPr="00000000">
        <w:rPr>
          <w:b w:val="1"/>
          <w:bCs w:val="1"/>
          <w:rtl w:val="0"/>
        </w:rPr>
        <w:t xml:space="preserve">glycyrrhetinic acid (GA)</w:t>
      </w:r>
      <w:r w:rsidDel="00000000" w:rsidR="00000000" w:rsidRPr="00000000">
        <w:rPr>
          <w:rtl w:val="0"/>
        </w:rPr>
        <w:t xml:space="preserv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Portal Absorption:</w:t>
      </w:r>
      <w:r w:rsidDel="00000000" w:rsidR="00000000" w:rsidRPr="00000000">
        <w:rPr>
          <w:rtl w:val="0"/>
        </w:rPr>
        <w:t xml:space="preserve"> The liberated GA molecules are absorbed through the intestinal epithelium into the mesenteric venous network. Because blood plasma maintains an exceptionally high dielectric constant ($\varepsilon_r = 70.1$ at 2.45 GHz), it provides an efficient conductive pipeline for transporting polarized molecules through the hepatic first-pass system.</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3. Phase II: Long-Range Kinetic Attraction and Organ-Specific Field Matching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GA and intact secondary flavonoids like isoliquiritigenin circulate systemically, their pathing is governed by long-range </w:t>
      </w:r>
      <w:r w:rsidDel="00000000" w:rsidR="00000000" w:rsidRPr="00000000">
        <w:rPr>
          <w:b w:val="1"/>
          <w:bCs w:val="1"/>
          <w:rtl w:val="0"/>
        </w:rPr>
        <w:t xml:space="preserve">electrostatic kinetic draw</w:t>
      </w:r>
      <w:r w:rsidDel="00000000" w:rsidR="00000000" w:rsidRPr="00000000">
        <w:rPr>
          <w:rtl w:val="0"/>
        </w:rPr>
        <w:t xml:space="preserve"> and dipole alignment rather than random molecular dispersion. The body's visceral structures function as a complex electromagnetic lattice, where healthy and deficient tissues present distinct dielectric profiles.</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A. The Pancreatic Path Vector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pancreas maintains a dense, highly active metabolic cell architecture with a relative permittivity profile of $\varepsilon_r = 57.2$ and a baseline electrical conductivity of $\sigma = 1.85\text{ S/m}$ at 2.45 GHz.</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Deficient State Lock:</w:t>
      </w:r>
      <w:r w:rsidDel="00000000" w:rsidR="00000000" w:rsidRPr="00000000">
        <w:rPr>
          <w:rtl w:val="0"/>
        </w:rPr>
        <w:t xml:space="preserve"> In clinical states featuring localized metabolic stress or acinar cell deficiency, the localized cell membranes experience an alteration in their native polarization. This creates an induced electrostatic field variance.</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Resonant Convergence:</w:t>
      </w:r>
      <w:r w:rsidDel="00000000" w:rsidR="00000000" w:rsidRPr="00000000">
        <w:rPr>
          <w:rtl w:val="0"/>
        </w:rPr>
        <w:t xml:space="preserve"> The specific asymmetric dipole moment vector of isoliquiritigenin lines up with the altered spatial field length of the stressed pancreatic tissue. The molecule is drawn down this kinetic gradient, docking into intracellular pathways to activate autophagy (cellular cleanup) and preserve beta-cell architecture.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rPr>
          <w:b w:val="1"/>
          <w:bCs w:val="1"/>
          <w:i w:val="0"/>
          <w:iCs w:val="0"/>
          <w:sz w:val="24"/>
          <w:szCs w:val="24"/>
          <w:rtl w:val="0"/>
        </w:rPr>
        <w:t xml:space="preserve">B. The Renal Path Vector (The Primary Physiological Target)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Simultaneously, a primary volume of circulating GA is systematically drawn to the renal cortex and medulla due to its intense electrostatic charge density matching. The kidneys represent a hyper-filtration, high-pressure liquid domain with an exceptional conductivity profile ($\sigma = 2.43\text{ S/m}$ at 2.45 GHz).</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Molecular Docking:</w:t>
      </w:r>
      <w:r w:rsidDel="00000000" w:rsidR="00000000" w:rsidRPr="00000000">
        <w:rPr>
          <w:rtl w:val="0"/>
        </w:rPr>
        <w:t xml:space="preserve"> The physical dimensions and dipole orientation of the GA molecule perfectly match the active electrostatic binding pocket of the enzyme </w:t>
      </w:r>
      <w:r w:rsidDel="00000000" w:rsidR="00000000" w:rsidRPr="00000000">
        <w:rPr>
          <w:b w:val="1"/>
          <w:bCs w:val="1"/>
          <w:rtl w:val="0"/>
        </w:rPr>
        <w:t xml:space="preserve">11-beta-hydroxysteroid dehydrogenase type 2 (11-$\beta$-HSD2)</w:t>
      </w:r>
      <w:r w:rsidDel="00000000" w:rsidR="00000000" w:rsidRPr="00000000">
        <w:rPr>
          <w:rtl w:val="0"/>
        </w:rPr>
        <w:t xml:space="preserve"> localized within the renal tubules.</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Enzymatic Blockade:</w:t>
      </w:r>
      <w:r w:rsidDel="00000000" w:rsidR="00000000" w:rsidRPr="00000000">
        <w:rPr>
          <w:rtl w:val="0"/>
        </w:rPr>
        <w:t xml:space="preserve"> Upon alignment, the field vectors minimize, locking the molecule into the site. This localized interaction inhibits 11-$\beta$-HSD2, altering regional fluid-electrolyte kinetics and demonstrating precise, tissue-specific molecular targeting.</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4. Clinical Parameter Mapping Matrix</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monitor how the botanical breakdown and targeted delivery alter or interact with somatic networks, clinicians track the exact electromagnetic limits of the targeted organs using the foundational parameters established by the U.S. Air Force research datasets: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Target Metabolic Site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Operational Frequency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Relative Permittivity ($\varepsilon_r$)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Electrical Conductivity ($\sigma$, S/m)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Targeted Molecular Botanical Fit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Pancreas (Glandular)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10 Hz</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2.30 × 10⁵</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57.2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0.220</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1.85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Isoliquiritigenin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(Beta-cell shielding &amp; tissue repair) [1]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Kidney (Filtration)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10 Hz</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3.60 × 10⁵</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52.8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0.095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2.43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Glycyrrhetinic Acid (GA)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(11-$\beta$-HSD2 enzyme interface) [1]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Liver (Parenchymal)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10 Hz</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1.80 × 10⁵</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43.0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0.051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1.69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Glycyrrhizin Matrix</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(First-pass metabolic processing) [1]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Blood (Transport)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10 Hz</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4.10 × 10³</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58.3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0.700</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2.54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Systemic Electrolytes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(Systemic kinetic delivery vehicle) [1]</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5. Trusted Official Resources Bibliography (APA 7th Edition)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Al-Adami, M., &amp; Ibrahim, S. (2025). Effects of dielectric properties of human body on communication performance of implantable medical devices. </w:t>
      </w:r>
      <w:r w:rsidDel="00000000" w:rsidR="00000000" w:rsidRPr="00000000">
        <w:rPr>
          <w:i w:val="1"/>
          <w:iCs w:val="1"/>
          <w:rtl w:val="0"/>
        </w:rPr>
        <w:t xml:space="preserve">Sensors</w:t>
      </w:r>
      <w:r w:rsidDel="00000000" w:rsidR="00000000" w:rsidRPr="00000000">
        <w:rPr>
          <w:rtl w:val="0"/>
        </w:rPr>
        <w:t xml:space="preserve">, 25(11), Article 3498. nih.gov</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Federal Communications Commission. (2026). </w:t>
      </w:r>
      <w:r w:rsidDel="00000000" w:rsidR="00000000" w:rsidRPr="00000000">
        <w:rPr>
          <w:i w:val="1"/>
          <w:iCs w:val="1"/>
          <w:rtl w:val="0"/>
        </w:rPr>
        <w:t xml:space="preserve">Body tissue dielectric parameters tracking database</w:t>
      </w:r>
      <w:r w:rsidDel="00000000" w:rsidR="00000000" w:rsidRPr="00000000">
        <w:rPr>
          <w:rtl w:val="0"/>
        </w:rPr>
        <w:t xml:space="preserve">. FCC Office of Engineering and Technology. fcc.gov</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dtic.mil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doi.org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doi.org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 Food and Drug Administration. (2023). </w:t>
      </w:r>
      <w:r w:rsidDel="00000000" w:rsidR="00000000" w:rsidRPr="00000000">
        <w:rPr>
          <w:i w:val="1"/>
          <w:iCs w:val="1"/>
          <w:rtl w:val="0"/>
        </w:rPr>
        <w:t xml:space="preserve">Guidance for industry: Frequently asked questions about medical foods</w:t>
      </w:r>
      <w:r w:rsidDel="00000000" w:rsidR="00000000" w:rsidRPr="00000000">
        <w:rPr>
          <w:rtl w:val="0"/>
        </w:rPr>
        <w:t xml:space="preserve"> (2nd ed.). Center for Food Safety and Applied Nutrition. fda.gov</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Venkatesh, M. S., &amp; Raghavan, G. S. V. (2004). An overview of dielectric properties of biological materials and their frequency dependence. </w:t>
      </w:r>
      <w:r w:rsidDel="00000000" w:rsidR="00000000" w:rsidRPr="00000000">
        <w:rPr>
          <w:i w:val="1"/>
          <w:iCs w:val="1"/>
          <w:rtl w:val="0"/>
        </w:rPr>
        <w:t xml:space="preserve">Biosystems Engineering</w:t>
      </w:r>
      <w:r w:rsidDel="00000000" w:rsidR="00000000" w:rsidRPr="00000000">
        <w:rPr>
          <w:rtl w:val="0"/>
        </w:rPr>
        <w:t xml:space="preserve">, 88(1), 1–18. doi.org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Would you like me to expand this case study by drafting the </w:t>
      </w:r>
      <w:r w:rsidDel="00000000" w:rsidR="00000000" w:rsidRPr="00000000">
        <w:rPr>
          <w:b w:val="1"/>
          <w:bCs w:val="1"/>
          <w:rtl w:val="0"/>
        </w:rPr>
        <w:t xml:space="preserve">Biophysical Discussion section</w:t>
      </w:r>
      <w:r w:rsidDel="00000000" w:rsidR="00000000" w:rsidRPr="00000000">
        <w:rPr>
          <w:rtl w:val="0"/>
        </w:rPr>
        <w:t xml:space="preserve">, or should we introduce the exact mathematical calculations showing how </w:t>
      </w:r>
      <w:r w:rsidDel="00000000" w:rsidR="00000000" w:rsidRPr="00000000">
        <w:rPr>
          <w:b w:val="1"/>
          <w:bCs w:val="1"/>
          <w:rtl w:val="0"/>
        </w:rPr>
        <w:t xml:space="preserve">ion deficiency states</w:t>
      </w:r>
      <w:r w:rsidDel="00000000" w:rsidR="00000000" w:rsidRPr="00000000">
        <w:rPr>
          <w:rtl w:val="0"/>
        </w:rPr>
        <w:t xml:space="preserve"> directly alter the baseline permittivity figures of the cell membrane?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