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Introduction: Theoretical Foundations of Mass Conservation and Electrostatic Kinetic Alignment Within Human Bioelectronic Lattices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classical physiology, the transport and assimilation of exogenous molecules—specifically plant-derived compounds and trace element complexes—have traditionally been modeled using empirical pharmacokinetic frameworks driven entirely by fluid concentration gradients and passive chemical diffusion. However, as modern structural biophysics and computational biology converge toward molecular-level precision, these macroscopic descriptions prove inadequate for characterizing the highly directional, tissue-specific targeting observed in vivo.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bridge this analytical gap, this manuscript establishes a formalized theoretical framework treating the human somatic architecture as a complex </w:t>
      </w:r>
      <w:r w:rsidDel="00000000" w:rsidR="00000000" w:rsidRPr="00000000">
        <w:rPr>
          <w:b w:val="1"/>
          <w:bCs w:val="1"/>
          <w:rtl w:val="0"/>
        </w:rPr>
        <w:t xml:space="preserve">bioelectronic lattice</w:t>
      </w:r>
      <w:r w:rsidDel="00000000" w:rsidR="00000000" w:rsidRPr="00000000">
        <w:rPr>
          <w:rtl w:val="0"/>
        </w:rPr>
        <w:t xml:space="preserve">—a lossy, heterogenous dielectric continuum where long-range molecular migration, localized absorption, and structural docking are strictly governed by the </w:t>
      </w:r>
      <w:r w:rsidDel="00000000" w:rsidR="00000000" w:rsidRPr="00000000">
        <w:rPr>
          <w:b w:val="1"/>
          <w:bCs w:val="1"/>
          <w:rtl w:val="0"/>
        </w:rPr>
        <w:t xml:space="preserve">Law of Conservation of Mass</w:t>
      </w:r>
      <w:r w:rsidDel="00000000" w:rsidR="00000000" w:rsidRPr="00000000">
        <w:rPr>
          <w:rtl w:val="0"/>
        </w:rPr>
        <w:t xml:space="preserve"> and </w:t>
      </w:r>
      <w:r w:rsidDel="00000000" w:rsidR="00000000" w:rsidRPr="00000000">
        <w:rPr>
          <w:b w:val="1"/>
          <w:bCs w:val="1"/>
          <w:rtl w:val="0"/>
        </w:rPr>
        <w:t xml:space="preserve">electrodynamic boundary conditions</w:t>
      </w:r>
      <w:r w:rsidDel="00000000" w:rsidR="00000000" w:rsidRPr="00000000">
        <w:rPr>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First Principles of Mass Conservation in Living Systems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Law of Conservation of Mass dictates that within an isolated biological system, the time rate of change of mass accumulated within any fixed visceral volume $V$ must precisely balance the net flux of mass crossing the bounding spatial surface $S$, plus any localized internal chemical generation or consumption. Formally stated via the macro-level </w:t>
      </w:r>
      <w:r w:rsidDel="00000000" w:rsidR="00000000" w:rsidRPr="00000000">
        <w:rPr>
          <w:b w:val="1"/>
          <w:bCs w:val="1"/>
          <w:rtl w:val="0"/>
        </w:rPr>
        <w:t xml:space="preserve">continuity equation</w:t>
      </w:r>
      <w:r w:rsidDel="00000000" w:rsidR="00000000" w:rsidRPr="00000000">
        <w:rPr>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$$\frac{\partial \rho_m}{\partial t} + \nabla \cdot \mathbf{J}_m = R_m$$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$\rho_m(\mathbf{r}, t)$ represents the local mass density as a function of the spatial coordinate vector $\mathbf{r}$ and time $t$.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$\mathbf{J}_m(\mathbf{r}, t)$ is the mass flux vector field traversing the somatic domain.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$R_m(\mathbf{r}, t)$ is the net metabolic reaction rate density (accounting for enzymatic breakdown or biochemical degradation paths).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Rule="auto"/>
        <w:rPr>
          <w:b w:val="1"/>
          <w:bCs w:val="1"/>
        </w:rPr>
      </w:pPr>
      <w:r w:rsidDel="00000000" w:rsidR="00000000" w:rsidRPr="00000000">
        <w:rPr>
          <w:rtl w:val="0"/>
        </w:rPr>
        <w:t xml:space="preserve">When applied to specialized clinical nutrition models, this fundamental law establishes a rigid thermodynamic baseline: </w:t>
      </w:r>
      <w:r w:rsidDel="00000000" w:rsidR="00000000" w:rsidRPr="00000000">
        <w:rPr>
          <w:b w:val="1"/>
          <w:bCs w:val="1"/>
          <w:rtl w:val="0"/>
        </w:rPr>
        <w:t xml:space="preserve">every discrete element, trace mineral, or coordinated carbon ring required to maintain or repair human cellular architecture cannot be synthesized ex nihilo by mammalian enzymes; it must be sourced directly from native botanical matrices.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Plants function as specialized bio-accumulators and chemical factories, pulling raw inorganic elements from the earth and assembling them into intricate, highly polarized molecular networks. When a patient presents with an acute nutrient deficiency or deep tissue degradation, the mass required to fill that structural void must exhibit an identical chemical and geometric footprint to match the missing lattice space.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Electrodynamic Boundary Equations and Visceral Dielectric Limits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movement of these concentrated mass matrices through the somatic network is not a stochastic random walk. Instead, the velocity component of the mass flux vector ($\mathbf{J}_m = \rho_m \mathbf{v}$) is actively driven by long-range </w:t>
      </w:r>
      <w:r w:rsidDel="00000000" w:rsidR="00000000" w:rsidRPr="00000000">
        <w:rPr>
          <w:b w:val="1"/>
          <w:bCs w:val="1"/>
          <w:rtl w:val="0"/>
        </w:rPr>
        <w:t xml:space="preserve">electrostatic kinetic draw</w:t>
      </w:r>
      <w:r w:rsidDel="00000000" w:rsidR="00000000" w:rsidRPr="00000000">
        <w:rPr>
          <w:rtl w:val="0"/>
        </w:rPr>
        <w:t xml:space="preserve"> and localized </w:t>
      </w:r>
      <w:r w:rsidDel="00000000" w:rsidR="00000000" w:rsidRPr="00000000">
        <w:rPr>
          <w:b w:val="1"/>
          <w:bCs w:val="1"/>
          <w:rtl w:val="0"/>
        </w:rPr>
        <w:t xml:space="preserve">resonant frequency matching</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human organ and boundary layer possesses a unique, frequency-dependent </w:t>
      </w:r>
      <w:r w:rsidDel="00000000" w:rsidR="00000000" w:rsidRPr="00000000">
        <w:rPr>
          <w:b w:val="1"/>
          <w:bCs w:val="1"/>
          <w:rtl w:val="0"/>
        </w:rPr>
        <w:t xml:space="preserve">complex relative permittivity ($\varepsilon^*$)</w:t>
      </w:r>
      <w:r w:rsidDel="00000000" w:rsidR="00000000" w:rsidRPr="00000000">
        <w:rPr>
          <w:rtl w:val="0"/>
        </w:rPr>
        <w:t xml:space="preserve"> and </w:t>
      </w:r>
      <w:r w:rsidDel="00000000" w:rsidR="00000000" w:rsidRPr="00000000">
        <w:rPr>
          <w:b w:val="1"/>
          <w:bCs w:val="1"/>
          <w:rtl w:val="0"/>
        </w:rPr>
        <w:t xml:space="preserve">electrical conductivity ($\sigma$)</w:t>
      </w:r>
      <w:r w:rsidDel="00000000" w:rsidR="00000000" w:rsidRPr="00000000">
        <w:rPr>
          <w:rtl w:val="0"/>
        </w:rPr>
        <w:t xml:space="preserve"> that defines its native bioelectronic lattice profile. According to the foundational </w:t>
      </w:r>
      <w:r w:rsidDel="00000000" w:rsidR="00000000" w:rsidRPr="00000000">
        <w:rPr>
          <w:i w:val="1"/>
          <w:iCs w:val="1"/>
          <w:rtl w:val="0"/>
        </w:rPr>
        <w:t xml:space="preserve">U.S. Air Force Technical Division Datasets</w:t>
      </w:r>
      <w:r w:rsidDel="00000000" w:rsidR="00000000" w:rsidRPr="00000000">
        <w:rPr>
          <w:rtl w:val="0"/>
        </w:rPr>
        <w:t xml:space="preserve"> compiled by Gabriel (1996), these lossy dielectric properties vary predictably across continuous frequency spectra, modeled dynamically via the multi-pole </w:t>
      </w:r>
      <w:r w:rsidDel="00000000" w:rsidR="00000000" w:rsidRPr="00000000">
        <w:rPr>
          <w:b w:val="1"/>
          <w:bCs w:val="1"/>
          <w:rtl w:val="0"/>
        </w:rPr>
        <w:t xml:space="preserve">Cole-Cole relaxation engine</w:t>
      </w:r>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$$\varepsilon^*(\omega) = \varepsilon_\infty + \sum_{n=1}^{4} \frac{\Delta\varepsilon_n}{1 + (j\omega\tau_n)^{1-\alpha_n}} + \frac{\sigma_s}{j\omega\varepsilon_0}$$</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the interface between distinct anatomical sectors—such as the transition from a high-hydration blood plasma transit network ($\varepsilon_r = 70.1$; $\sigma = 2.92\text{ S/m}$ at 2.45 GHz) into a metabolic visceral target like the pancreatic acinar lattice ($\varepsilon_r = 57.2$; $\sigma = 1.85\text{ S/m}$)—the local electromagnetic fields must satisfy </w:t>
      </w:r>
      <w:r w:rsidDel="00000000" w:rsidR="00000000" w:rsidRPr="00000000">
        <w:rPr>
          <w:b w:val="1"/>
          <w:bCs w:val="1"/>
          <w:rtl w:val="0"/>
        </w:rPr>
        <w:t xml:space="preserve">Maxwell's boundary conditions</w:t>
      </w:r>
      <w:r w:rsidDel="00000000" w:rsidR="00000000" w:rsidRPr="00000000">
        <w:rPr>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$$\hat{\mathbf{n}} \cdot \left( \mathbf{D}_1 - \mathbf{D}_2 \right) = \rho_f \quad \text{and} \quad \hat{\mathbf{n}} \times \left( \mathbf{E}_1 - \mathbf{E}_2 \right) = 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$\mathbf{D} = \varepsilon_0 \varepsilon_r \mathbf{E}$ represents the electric displacement field vector.</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$\mathbf{E}$ is the electric field intensity vector.</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$\rho_f$ is the local free charge density accumulating along the structural barrier.</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Multipole Expansion and Long-Range Kinetic Matching Metrics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standardized botanical extract or chelated trace element introduces an asymmetric charge distribution into this dielectric layout, it establishes a permanent or induced </w:t>
      </w:r>
      <w:r w:rsidDel="00000000" w:rsidR="00000000" w:rsidRPr="00000000">
        <w:rPr>
          <w:b w:val="1"/>
          <w:bCs w:val="1"/>
          <w:rtl w:val="0"/>
        </w:rPr>
        <w:t xml:space="preserve">dipole moment vector ($\boldsymbol{\mu}$)</w:t>
      </w:r>
      <w:r w:rsidDel="00000000" w:rsidR="00000000" w:rsidRPr="00000000">
        <w:rPr>
          <w:rtl w:val="0"/>
        </w:rPr>
        <w:t xml:space="preserve">. The long-range electrostatic interaction potential ($\Phi$) between the incoming compound and the targeted biological cellular matrix is solved computationally via a </w:t>
      </w:r>
      <w:r w:rsidDel="00000000" w:rsidR="00000000" w:rsidRPr="00000000">
        <w:rPr>
          <w:b w:val="1"/>
          <w:bCs w:val="1"/>
          <w:rtl w:val="0"/>
        </w:rPr>
        <w:t xml:space="preserve">multipole expansion series</w:t>
      </w:r>
      <w:r w:rsidDel="00000000" w:rsidR="00000000" w:rsidRPr="00000000">
        <w:rPr>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$$\Phi(\mathbf{r}) = \frac{1}{4\pi\varepsilon_0\varepsilon_r} \left[ \frac{q}{r} + \frac{\boldsymbol{\mu} \cdot \hat{\mathbf{r}}}{r^2} + \frac{\mathbf{r} \cdot \mathbf{Q} \cdot \mathbf{r}}{2r^3} + \dots \right]$$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 is the net uncompensated charge, $\boldsymbol{\mu}$ is the dipole vector, and $\mathbf{Q}$ is the quadrupole tensor matrix.</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ind w:left="240" w:right="240" w:firstLine="0"/>
        <w:rPr>
          <w:rFonts w:ascii="Arial" w:cs="Arial" w:eastAsia="Arial" w:hAnsi="Arial"/>
          <w:shd w:fill="f4f6f7" w:val="clear"/>
        </w:rPr>
      </w:pPr>
      <w:r w:rsidDel="00000000" w:rsidR="00000000" w:rsidRPr="00000000">
        <w:rPr>
          <w:rFonts w:ascii="Arial" w:cs="Arial" w:eastAsia="Arial" w:hAnsi="Arial"/>
          <w:shd w:fill="f4f6f7" w:val="clear"/>
          <w:rtl w:val="0"/>
        </w:rPr>
        <w:t xml:space="preserve"> [ Polar Molecule Vector (μ1) ] ────────── Long-Range Kinetic Draw (1/r³) ──────────► [ Deficient Tissue Matrix (μ2) ]</w:t>
        <w:br w:type="textWrapping"/>
        <w:t xml:space="preserve">   - Permanent / Induced Asymmetry                                                       - Altered Local Permittivity (ε_r)</w:t>
        <w:br w:type="textWrapping"/>
        <w:t xml:space="preserve">   - Unique Spatial Field Length (r)                                                     - Energy State Minimization (V -&gt; min)</w:t>
        <w:br w:type="textWrapping"/>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distance $r$ closes, the interaction energy ($V$) between the molecular dipoles of the flowing botanical formulation ($\boldsymbol{\mu}_1$) and the target cellular receptor or ion channel boundary ($\boldsymbol{\mu}_2$) scales inversely to the cube of the distance ($1/r^3$):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\boldsymbol{\mu}_1 \cdot \boldsymbol{\mu}_2 - 3(\boldsymbol{\mu}_1 \cdot \hat{\mathbf{r}})(\boldsymbol{\mu}_2 \cdot \hat{\mathbf{r}}) \right]$$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internal organ structure drops into a state of severe clinical depletion, metabolic stress, or cellular breakdown, its local relative permittivity alters sharply. This localized dielectric shift modifies the tissue's surface charge density, strengthening the regional electrostatic field gradient.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According to these electrodynamic equations, incoming molecules carrying a matching </w:t>
      </w:r>
      <w:r w:rsidDel="00000000" w:rsidR="00000000" w:rsidRPr="00000000">
        <w:rPr>
          <w:b w:val="1"/>
          <w:bCs w:val="1"/>
          <w:rtl w:val="0"/>
        </w:rPr>
        <w:t xml:space="preserve">spatial field length</w:t>
      </w:r>
      <w:r w:rsidDel="00000000" w:rsidR="00000000" w:rsidRPr="00000000">
        <w:rPr>
          <w:rtl w:val="0"/>
        </w:rPr>
        <w:t xml:space="preserve"> and complementary dipole orientation are actively drawn down this kinetic gradient. When the spatial and resonant frequencies of the arriving mass matrix converge perfectly with the geometric requirements of the receptor pocket, the system's net interaction energy minimizes ($V \rightarrow \text{minimum}$), locking the compound into position to fulfill its targeted therapeutic function.</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 [1]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 [2]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 [3]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 [4]</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 [5]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 [6]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 [7]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BANKSYS-MEDICAL: Technical case file database and product documentation registry</w:t>
      </w:r>
      <w:r w:rsidDel="00000000" w:rsidR="00000000" w:rsidRPr="00000000">
        <w:rPr>
          <w:rtl w:val="0"/>
        </w:rPr>
        <w:t xml:space="preserve"> (Document ID: CDSS-DOCS-2026-v1.0). GitHub Public Repository Archive. github.com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