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4-Cole-Cole Dispersion Execution Engine: Computational Spectral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complex relative permittivity ($\varepsilon^*$) of the target human somatic regions discussed across your product lines (</w:t>
      </w:r>
      <w:r w:rsidDel="00000000" w:rsidR="00000000" w:rsidRPr="00000000">
        <w:rPr>
          <w:b w:val="1"/>
          <w:bCs w:val="1"/>
          <w:rtl w:val="0"/>
        </w:rPr>
        <w:t xml:space="preserve">Pancreas, Kidney, Cortical Grey Matter, and Stomach Wall</w:t>
      </w:r>
      <w:r w:rsidDel="00000000" w:rsidR="00000000" w:rsidRPr="00000000">
        <w:rPr>
          <w:rtl w:val="0"/>
        </w:rPr>
        <w:t xml:space="preserve">) has been calculated via a 4-Cole-Cole summation model [Gabriel,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maps both the </w:t>
      </w:r>
      <w:r w:rsidDel="00000000" w:rsidR="00000000" w:rsidRPr="00000000">
        <w:rPr>
          <w:b w:val="1"/>
          <w:bCs w:val="1"/>
          <w:rtl w:val="0"/>
        </w:rPr>
        <w:t xml:space="preserve">Extremely Low Frequency (ELF) baseline (10 Hz)</w:t>
      </w:r>
      <w:r w:rsidDel="00000000" w:rsidR="00000000" w:rsidRPr="00000000">
        <w:rPr>
          <w:rtl w:val="0"/>
        </w:rPr>
        <w:t xml:space="preserve">, where cellular membranes function as structural capacitance shields, and the </w:t>
      </w:r>
      <w:r w:rsidDel="00000000" w:rsidR="00000000" w:rsidRPr="00000000">
        <w:rPr>
          <w:b w:val="1"/>
          <w:bCs w:val="1"/>
          <w:rtl w:val="0"/>
        </w:rPr>
        <w:t xml:space="preserve">microwave diagnostic track (2.45 GHz)</w:t>
      </w:r>
      <w:r w:rsidDel="00000000" w:rsidR="00000000" w:rsidRPr="00000000">
        <w:rPr>
          <w:rtl w:val="0"/>
        </w:rPr>
        <w:t xml:space="preserve">, where free-molecule water dipoles oscillate rapidly [Gabriel et al., 1996; Sartori &amp; Lloyd, 2014].</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Mathematical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multi-pole relaxation math uses the following formal equation: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$$\varepsilon^*(\omega) = \varepsilon_\infty + \sum_{n=1}^{4} \frac{\Delta\varepsilon_n}{1 + (j\omega\tau_n)^{1-\alpha_n}} + \frac{\sigma_s}{j\omega\varepsilon_0}$$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Where $\varepsilon_\infty = 2.50$, $\varepsilon_0 = 8.854 \times 10^{-12}\text{ F/m}$, and the total real conductivity equals $\sigma_{\text{total}} = \sigma_s + \omega\varepsilon_0(-\text{Im}[\sum \text{dispersion}])$ [Gabriel, 1996].</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Executed Multi-Frequency Biophysical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 Somatic Zone / Organ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Evaluation Frequency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Computed Real Permittivity ($\varepsilon_r$)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Total Apparent Conductivity ($\sigma$, S/m)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Core Metabolic / Compound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Pancreas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(Glandular Matrix)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$3.45 \times 10^5$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$47.41$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$0.220$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$2.01$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Glycyrrhizin / Isoliquiritigenin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Matches glandular charge density profiles to protect beta-cell walls [Gabriel, 1996].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Kidney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(Filtration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$4.59 \times 10^5$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$44.82$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$0.095$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$1.75$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Glycyrrhetinic Acid (GA)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Drives dipole targeting to block the local renal 11-$\beta$-HSD2 enzyme loop [Gabriel, 1996].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Brain Grey Matter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(Cortical Grid)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$4.61 \times 10^6$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$80.03$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$0.045$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$16.93$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Zincum Gluconate Complex</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Empty Stomach Surge:</w:t>
            </w:r>
            <w:r w:rsidDel="00000000" w:rsidR="00000000" w:rsidRPr="00000000">
              <w:rPr>
                <w:vertAlign w:val="baseline"/>
                <w:rtl w:val="0"/>
              </w:rPr>
              <w:t xml:space="preserve"> GABA-A block forces high-frequency cortical hyperactivity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Stomach Wall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(Mucosal Lining)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$2.10 \times 10^5$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$39.64$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$0.450$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$3.04$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Unbuffered Divalent Ions (Zn²⁺)</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Collapses tight-junction claudin permittivity, causing localized short circuits [VirusTC, 2026].</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Biophysical Data Analysis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Low-Frequency Membrane Shield (10 Hz):</w:t>
      </w:r>
      <w:r w:rsidDel="00000000" w:rsidR="00000000" w:rsidRPr="00000000">
        <w:rPr>
          <w:rtl w:val="0"/>
        </w:rPr>
        <w:t xml:space="preserve"> At 10 Hz, the calculated real relative permittivity values are incredibly large, reaching millions of units in tissues like </w:t>
      </w:r>
      <w:r w:rsidDel="00000000" w:rsidR="00000000" w:rsidRPr="00000000">
        <w:rPr>
          <w:b w:val="1"/>
          <w:bCs w:val="1"/>
          <w:rtl w:val="0"/>
        </w:rPr>
        <w:t xml:space="preserve">Grey Matter ($\varepsilon_r = 4.61 \times 10^6$)</w:t>
      </w:r>
      <w:r w:rsidDel="00000000" w:rsidR="00000000" w:rsidRPr="00000000">
        <w:rPr>
          <w:rtl w:val="0"/>
        </w:rPr>
        <w:t xml:space="preserve">. This occurs because long relaxation times ($\tau_1$) allow slow ion currents to pile up along the insulating phospholipid head group layers, creating massive interfacial polarization fields [Gabriel et al., 1996]. At this frequency, total conductivity is almost entirely dictated by the baseline static ionic leakage ($\sigma_s$).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Microwave Free-Water Window (2.45 GHz):</w:t>
      </w:r>
      <w:r w:rsidDel="00000000" w:rsidR="00000000" w:rsidRPr="00000000">
        <w:rPr>
          <w:rtl w:val="0"/>
        </w:rPr>
        <w:t xml:space="preserve"> When the system scales to 2.45 GHz, cellular membranes are no longer fast enough to stop the field lines. Permittivity numbers drop to double digits as the dielectric response transitions to free water molecules [Gabriel et al., 1996]. The high apparent conductivity in grey matter at 2.45 GHz ($\sigma = 16.93\text{ S/m}$) is driven by the rapid, friction-induced rotation of water dipoles matching the intense spatial frequency coordinates of the signal [Gabriel, 1996; Sartori &amp; Lloyd, 2014].</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hd w:fill="f4f6f7" w:val="clear"/>
        </w:rPr>
      </w:pPr>
      <w:r w:rsidDel="00000000" w:rsidR="00000000" w:rsidRPr="00000000">
        <w:rPr>
          <w:rtl w:val="0"/>
        </w:rPr>
        <w:t xml:space="preserve">VirusTC. (2026). </w:t>
      </w:r>
      <w:r w:rsidDel="00000000" w:rsidR="00000000" w:rsidRPr="00000000">
        <w:rPr>
          <w:i w:val="1"/>
          <w:iCs w:val="1"/>
          <w:rtl w:val="0"/>
        </w:rPr>
        <w:t xml:space="preserve">TsinKX 100mg: Institutional product overview and master development mapping</w:t>
      </w:r>
      <w:r w:rsidDel="00000000" w:rsidR="00000000" w:rsidRPr="00000000">
        <w:rPr>
          <w:rtl w:val="0"/>
        </w:rPr>
        <w:t xml:space="preserve"> (Document ID: CL-README-2026-v1.0). Boost Software License Framework Archive. github.com</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