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AAD37E">
      <w:pPr>
        <w:spacing w:before="680" w:after="80"/>
      </w:pPr>
      <w:r>
        <w:rPr>
          <w:rFonts w:ascii="Aptos" w:hAnsi="Aptos"/>
          <w:b/>
          <w:i w:val="0"/>
          <w:color w:val="2F5597"/>
          <w:sz w:val="22"/>
        </w:rPr>
        <w:t>CISC7204  DATA VISUALIZATION</w:t>
      </w:r>
    </w:p>
    <w:p w14:paraId="4D78427D">
      <w:pPr>
        <w:pStyle w:val="31"/>
        <w:spacing w:after="120"/>
        <w:jc w:val="left"/>
      </w:pPr>
      <w:r>
        <w:rPr>
          <w:rFonts w:ascii="Aptos" w:hAnsi="Aptos"/>
          <w:b/>
          <w:i w:val="0"/>
          <w:color w:val="17365D"/>
          <w:sz w:val="48"/>
        </w:rPr>
        <w:t>Assignment 02 Pair Project Proposal</w:t>
      </w:r>
    </w:p>
    <w:p w14:paraId="08220394">
      <w:pPr>
        <w:pBdr>
          <w:bottom w:val="single" w:color="2F5597" w:sz="12" w:space="6"/>
        </w:pBdr>
        <w:spacing w:after="480"/>
      </w:pPr>
      <w:r>
        <w:rPr>
          <w:rFonts w:ascii="Aptos" w:hAnsi="Aptos"/>
          <w:b/>
          <w:i w:val="0"/>
          <w:color w:val="2F5597"/>
          <w:sz w:val="28"/>
        </w:rPr>
        <w:t>Post-Pandemic Tourism Recovery: Comparing Arrivals and Receipts Across World Regions</w:t>
      </w:r>
    </w:p>
    <w:p w14:paraId="265EC0D5">
      <w:pPr>
        <w:spacing w:before="80" w:after="360"/>
      </w:pPr>
      <w:r>
        <w:rPr>
          <w:rFonts w:ascii="Aptos" w:hAnsi="Aptos"/>
          <w:b w:val="0"/>
          <w:i/>
          <w:color w:val="666666"/>
          <w:sz w:val="21"/>
        </w:rPr>
        <w:t>Revised proposal prepared from the Proposal Ideation and Project Proposal Guideline.</w:t>
      </w:r>
    </w:p>
    <w:tbl>
      <w:tblPr>
        <w:tblStyle w:val="32"/>
        <w:tblW w:w="0" w:type="auto"/>
        <w:jc w:val="center"/>
        <w:tblBorders>
          <w:top w:val="single" w:color="D7DEE8" w:sz="4" w:space="0"/>
          <w:left w:val="single" w:color="D7DEE8" w:sz="4" w:space="0"/>
          <w:bottom w:val="single" w:color="D7DEE8" w:sz="4" w:space="0"/>
          <w:right w:val="single" w:color="D7DEE8" w:sz="4" w:space="0"/>
          <w:insideH w:val="single" w:color="D7DEE8" w:sz="4" w:space="0"/>
          <w:insideV w:val="single" w:color="D7DEE8" w:sz="4" w:space="0"/>
        </w:tblBorders>
        <w:tblLayout w:type="fixed"/>
        <w:tblCellMar>
          <w:top w:w="0" w:type="dxa"/>
          <w:left w:w="108" w:type="dxa"/>
          <w:bottom w:w="0" w:type="dxa"/>
          <w:right w:w="108" w:type="dxa"/>
        </w:tblCellMar>
      </w:tblPr>
      <w:tblGrid>
        <w:gridCol w:w="4819"/>
        <w:gridCol w:w="4819"/>
      </w:tblGrid>
      <w:tr w14:paraId="3950B3D7">
        <w:trPr>
          <w:jc w:val="center"/>
        </w:trPr>
        <w:tc>
          <w:tcPr>
            <w:tcW w:w="4819" w:type="dxa"/>
            <w:shd w:val="clear" w:color="auto" w:fill="EAF2F8"/>
            <w:tcMar>
              <w:top w:w="80" w:type="dxa"/>
              <w:left w:w="100" w:type="dxa"/>
              <w:bottom w:w="80" w:type="dxa"/>
              <w:right w:w="100" w:type="dxa"/>
            </w:tcMar>
            <w:vAlign w:val="center"/>
          </w:tcPr>
          <w:p w14:paraId="1BABA215">
            <w:r>
              <w:rPr>
                <w:rFonts w:ascii="Aptos" w:hAnsi="Aptos"/>
                <w:b/>
                <w:i w:val="0"/>
                <w:color w:val="17365D"/>
                <w:sz w:val="20"/>
              </w:rPr>
              <w:t>Course code</w:t>
            </w:r>
          </w:p>
        </w:tc>
        <w:tc>
          <w:tcPr>
            <w:tcW w:w="4819" w:type="dxa"/>
            <w:tcMar>
              <w:top w:w="80" w:type="dxa"/>
              <w:left w:w="100" w:type="dxa"/>
              <w:bottom w:w="80" w:type="dxa"/>
              <w:right w:w="100" w:type="dxa"/>
            </w:tcMar>
            <w:vAlign w:val="center"/>
          </w:tcPr>
          <w:p w14:paraId="3279DD38">
            <w:r>
              <w:rPr>
                <w:rFonts w:ascii="Aptos" w:hAnsi="Aptos"/>
                <w:b w:val="0"/>
                <w:i w:val="0"/>
                <w:color w:val="000000"/>
                <w:sz w:val="20"/>
              </w:rPr>
              <w:t>CISC7204</w:t>
            </w:r>
          </w:p>
        </w:tc>
      </w:tr>
      <w:tr w14:paraId="39FF2FF7">
        <w:trPr>
          <w:jc w:val="center"/>
        </w:trPr>
        <w:tc>
          <w:tcPr>
            <w:tcW w:w="4819" w:type="dxa"/>
            <w:shd w:val="clear" w:color="auto" w:fill="EAF2F8"/>
            <w:tcMar>
              <w:top w:w="80" w:type="dxa"/>
              <w:left w:w="100" w:type="dxa"/>
              <w:bottom w:w="80" w:type="dxa"/>
              <w:right w:w="100" w:type="dxa"/>
            </w:tcMar>
            <w:vAlign w:val="center"/>
          </w:tcPr>
          <w:p w14:paraId="00725595">
            <w:r>
              <w:rPr>
                <w:rFonts w:ascii="Aptos" w:hAnsi="Aptos"/>
                <w:b/>
                <w:i w:val="0"/>
                <w:color w:val="17365D"/>
                <w:sz w:val="20"/>
              </w:rPr>
              <w:t>Course title</w:t>
            </w:r>
          </w:p>
        </w:tc>
        <w:tc>
          <w:tcPr>
            <w:tcW w:w="4819" w:type="dxa"/>
            <w:tcMar>
              <w:top w:w="80" w:type="dxa"/>
              <w:left w:w="100" w:type="dxa"/>
              <w:bottom w:w="80" w:type="dxa"/>
              <w:right w:w="100" w:type="dxa"/>
            </w:tcMar>
            <w:vAlign w:val="center"/>
          </w:tcPr>
          <w:p w14:paraId="7F07573C">
            <w:r>
              <w:rPr>
                <w:rFonts w:ascii="Aptos" w:hAnsi="Aptos"/>
                <w:b w:val="0"/>
                <w:i w:val="0"/>
                <w:color w:val="000000"/>
                <w:sz w:val="20"/>
              </w:rPr>
              <w:t>Data Visualization</w:t>
            </w:r>
          </w:p>
        </w:tc>
      </w:tr>
      <w:tr w14:paraId="3F50103F">
        <w:trPr>
          <w:jc w:val="center"/>
        </w:trPr>
        <w:tc>
          <w:tcPr>
            <w:tcW w:w="4819" w:type="dxa"/>
            <w:shd w:val="clear" w:color="auto" w:fill="EAF2F8"/>
            <w:tcMar>
              <w:top w:w="80" w:type="dxa"/>
              <w:left w:w="100" w:type="dxa"/>
              <w:bottom w:w="80" w:type="dxa"/>
              <w:right w:w="100" w:type="dxa"/>
            </w:tcMar>
            <w:vAlign w:val="center"/>
          </w:tcPr>
          <w:p w14:paraId="590CF081">
            <w:r>
              <w:rPr>
                <w:rFonts w:ascii="Aptos" w:hAnsi="Aptos"/>
                <w:b/>
                <w:i w:val="0"/>
                <w:color w:val="17365D"/>
                <w:sz w:val="20"/>
              </w:rPr>
              <w:t>Coursework item</w:t>
            </w:r>
          </w:p>
        </w:tc>
        <w:tc>
          <w:tcPr>
            <w:tcW w:w="4819" w:type="dxa"/>
            <w:tcMar>
              <w:top w:w="80" w:type="dxa"/>
              <w:left w:w="100" w:type="dxa"/>
              <w:bottom w:w="80" w:type="dxa"/>
              <w:right w:w="100" w:type="dxa"/>
            </w:tcMar>
            <w:vAlign w:val="center"/>
          </w:tcPr>
          <w:p w14:paraId="0E1700EF">
            <w:r>
              <w:rPr>
                <w:rFonts w:ascii="Aptos" w:hAnsi="Aptos"/>
                <w:b w:val="0"/>
                <w:i w:val="0"/>
                <w:color w:val="000000"/>
                <w:sz w:val="20"/>
              </w:rPr>
              <w:t>Assignment 02 — Pair Project Proposal</w:t>
            </w:r>
          </w:p>
        </w:tc>
      </w:tr>
      <w:tr w14:paraId="2D917D40">
        <w:trPr>
          <w:jc w:val="center"/>
        </w:trPr>
        <w:tc>
          <w:tcPr>
            <w:tcW w:w="4819" w:type="dxa"/>
            <w:shd w:val="clear" w:color="auto" w:fill="EAF2F8"/>
            <w:tcMar>
              <w:top w:w="80" w:type="dxa"/>
              <w:left w:w="100" w:type="dxa"/>
              <w:bottom w:w="80" w:type="dxa"/>
              <w:right w:w="100" w:type="dxa"/>
            </w:tcMar>
            <w:vAlign w:val="center"/>
          </w:tcPr>
          <w:p w14:paraId="17C8CD31">
            <w:r>
              <w:rPr>
                <w:rFonts w:ascii="Aptos" w:hAnsi="Aptos"/>
                <w:b/>
                <w:i w:val="0"/>
                <w:color w:val="17365D"/>
                <w:sz w:val="20"/>
              </w:rPr>
              <w:t>Pair number</w:t>
            </w:r>
          </w:p>
        </w:tc>
        <w:tc>
          <w:tcPr>
            <w:tcW w:w="4819" w:type="dxa"/>
            <w:shd w:val="clear" w:color="auto" w:fill="auto"/>
            <w:tcMar>
              <w:top w:w="80" w:type="dxa"/>
              <w:left w:w="100" w:type="dxa"/>
              <w:bottom w:w="80" w:type="dxa"/>
              <w:right w:w="100" w:type="dxa"/>
            </w:tcMar>
            <w:vAlign w:val="center"/>
          </w:tcPr>
          <w:p w14:paraId="74E28739">
            <w:pPr>
              <w:rPr>
                <w:rFonts w:hint="default" w:eastAsia="宋体"/>
                <w:lang w:val="en-US" w:eastAsia="zh-CN"/>
              </w:rPr>
            </w:pPr>
            <w:r>
              <w:rPr>
                <w:rFonts w:ascii="Aptos" w:hAnsi="Aptos"/>
                <w:b w:val="0"/>
                <w:bCs/>
                <w:i w:val="0"/>
                <w:color w:val="auto"/>
                <w:sz w:val="20"/>
              </w:rPr>
              <w:t xml:space="preserve">Pair </w:t>
            </w:r>
            <w:r>
              <w:rPr>
                <w:rFonts w:hint="eastAsia" w:eastAsia="宋体"/>
                <w:b w:val="0"/>
                <w:bCs/>
                <w:i w:val="0"/>
                <w:color w:val="auto"/>
                <w:sz w:val="20"/>
                <w:lang w:val="en-US" w:eastAsia="zh-CN"/>
              </w:rPr>
              <w:t>10</w:t>
            </w:r>
          </w:p>
        </w:tc>
      </w:tr>
      <w:tr w14:paraId="62A5F0F9">
        <w:trPr>
          <w:jc w:val="center"/>
        </w:trPr>
        <w:tc>
          <w:tcPr>
            <w:tcW w:w="4819" w:type="dxa"/>
            <w:shd w:val="clear" w:color="auto" w:fill="EAF2F8"/>
            <w:tcMar>
              <w:top w:w="80" w:type="dxa"/>
              <w:left w:w="100" w:type="dxa"/>
              <w:bottom w:w="80" w:type="dxa"/>
              <w:right w:w="100" w:type="dxa"/>
            </w:tcMar>
            <w:vAlign w:val="center"/>
          </w:tcPr>
          <w:p w14:paraId="1DAA2303">
            <w:r>
              <w:rPr>
                <w:rFonts w:ascii="Aptos" w:hAnsi="Aptos"/>
                <w:b/>
                <w:i w:val="0"/>
                <w:color w:val="17365D"/>
                <w:sz w:val="20"/>
              </w:rPr>
              <w:t>Pair member 1</w:t>
            </w:r>
          </w:p>
        </w:tc>
        <w:tc>
          <w:tcPr>
            <w:tcW w:w="4819" w:type="dxa"/>
            <w:tcMar>
              <w:top w:w="80" w:type="dxa"/>
              <w:left w:w="100" w:type="dxa"/>
              <w:bottom w:w="80" w:type="dxa"/>
              <w:right w:w="100" w:type="dxa"/>
            </w:tcMar>
            <w:vAlign w:val="center"/>
          </w:tcPr>
          <w:p w14:paraId="425F6F88">
            <w:pPr>
              <w:rPr>
                <w:rFonts w:hint="eastAsia" w:eastAsia="宋体"/>
                <w:lang w:val="en-US" w:eastAsia="zh-CN"/>
              </w:rPr>
            </w:pPr>
            <w:r>
              <w:rPr>
                <w:rFonts w:ascii="Aptos" w:hAnsi="Aptos"/>
                <w:b w:val="0"/>
                <w:i w:val="0"/>
                <w:color w:val="000000"/>
                <w:sz w:val="20"/>
              </w:rPr>
              <w:t xml:space="preserve">He Kejia— Student ID: </w:t>
            </w:r>
            <w:r>
              <w:rPr>
                <w:rFonts w:hint="eastAsia" w:eastAsia="宋体"/>
                <w:b w:val="0"/>
                <w:i w:val="0"/>
                <w:color w:val="000000"/>
                <w:sz w:val="20"/>
                <w:lang w:val="en-US" w:eastAsia="zh-CN"/>
              </w:rPr>
              <w:t>MC</w:t>
            </w:r>
            <w:r>
              <w:rPr>
                <w:rFonts w:ascii="Aptos" w:hAnsi="Aptos"/>
                <w:b w:val="0"/>
                <w:i w:val="0"/>
                <w:color w:val="000000"/>
                <w:sz w:val="20"/>
              </w:rPr>
              <w:t>66460</w:t>
            </w:r>
            <w:r>
              <w:rPr>
                <w:rFonts w:hint="eastAsia" w:eastAsia="宋体"/>
                <w:b w:val="0"/>
                <w:i w:val="0"/>
                <w:color w:val="000000"/>
                <w:sz w:val="20"/>
                <w:lang w:val="en-US" w:eastAsia="zh-CN"/>
              </w:rPr>
              <w:t>2</w:t>
            </w:r>
          </w:p>
        </w:tc>
      </w:tr>
      <w:tr w14:paraId="3A3F441A">
        <w:trPr>
          <w:jc w:val="center"/>
        </w:trPr>
        <w:tc>
          <w:tcPr>
            <w:tcW w:w="4819" w:type="dxa"/>
            <w:shd w:val="clear" w:color="auto" w:fill="EAF2F8"/>
            <w:tcMar>
              <w:top w:w="80" w:type="dxa"/>
              <w:left w:w="100" w:type="dxa"/>
              <w:bottom w:w="80" w:type="dxa"/>
              <w:right w:w="100" w:type="dxa"/>
            </w:tcMar>
            <w:vAlign w:val="center"/>
          </w:tcPr>
          <w:p w14:paraId="78472210">
            <w:r>
              <w:rPr>
                <w:rFonts w:ascii="Aptos" w:hAnsi="Aptos"/>
                <w:b/>
                <w:i w:val="0"/>
                <w:color w:val="17365D"/>
                <w:sz w:val="20"/>
              </w:rPr>
              <w:t>Pair member 2</w:t>
            </w:r>
          </w:p>
        </w:tc>
        <w:tc>
          <w:tcPr>
            <w:tcW w:w="4819" w:type="dxa"/>
            <w:shd w:val="clear" w:color="auto" w:fill="auto"/>
            <w:tcMar>
              <w:top w:w="80" w:type="dxa"/>
              <w:left w:w="100" w:type="dxa"/>
              <w:bottom w:w="80" w:type="dxa"/>
              <w:right w:w="100" w:type="dxa"/>
            </w:tcMar>
            <w:vAlign w:val="center"/>
          </w:tcPr>
          <w:p w14:paraId="515B11A6">
            <w:r>
              <w:rPr>
                <w:rFonts w:hint="eastAsia" w:ascii="Aptos" w:hAnsi="Aptos"/>
                <w:b w:val="0"/>
                <w:bCs/>
                <w:i w:val="0"/>
                <w:color w:val="auto"/>
                <w:sz w:val="20"/>
              </w:rPr>
              <w:t>Dong Yushuo</w:t>
            </w:r>
            <w:r>
              <w:rPr>
                <w:rFonts w:ascii="Aptos" w:hAnsi="Aptos"/>
                <w:b w:val="0"/>
                <w:bCs/>
                <w:i w:val="0"/>
                <w:color w:val="auto"/>
                <w:sz w:val="20"/>
              </w:rPr>
              <w:t xml:space="preserve">— Student ID: </w:t>
            </w:r>
            <w:r>
              <w:rPr>
                <w:rFonts w:hint="eastAsia" w:ascii="Aptos" w:hAnsi="Aptos"/>
                <w:b w:val="0"/>
                <w:bCs/>
                <w:i w:val="0"/>
                <w:color w:val="auto"/>
                <w:sz w:val="20"/>
              </w:rPr>
              <w:t>MC664934</w:t>
            </w:r>
          </w:p>
        </w:tc>
      </w:tr>
      <w:tr w14:paraId="44B5A451">
        <w:trPr>
          <w:jc w:val="center"/>
        </w:trPr>
        <w:tc>
          <w:tcPr>
            <w:tcW w:w="4819" w:type="dxa"/>
            <w:shd w:val="clear" w:color="auto" w:fill="EAF2F8"/>
            <w:tcMar>
              <w:top w:w="80" w:type="dxa"/>
              <w:left w:w="100" w:type="dxa"/>
              <w:bottom w:w="80" w:type="dxa"/>
              <w:right w:w="100" w:type="dxa"/>
            </w:tcMar>
            <w:vAlign w:val="center"/>
          </w:tcPr>
          <w:p w14:paraId="47861CA9">
            <w:r>
              <w:rPr>
                <w:rFonts w:ascii="Aptos" w:hAnsi="Aptos"/>
                <w:b/>
                <w:i w:val="0"/>
                <w:color w:val="17365D"/>
                <w:sz w:val="20"/>
              </w:rPr>
              <w:t>Submission date</w:t>
            </w:r>
          </w:p>
        </w:tc>
        <w:tc>
          <w:tcPr>
            <w:tcW w:w="4819" w:type="dxa"/>
            <w:tcMar>
              <w:top w:w="80" w:type="dxa"/>
              <w:left w:w="100" w:type="dxa"/>
              <w:bottom w:w="80" w:type="dxa"/>
              <w:right w:w="100" w:type="dxa"/>
            </w:tcMar>
            <w:vAlign w:val="center"/>
          </w:tcPr>
          <w:p w14:paraId="5878EE0E">
            <w:r>
              <w:rPr>
                <w:rFonts w:ascii="Aptos" w:hAnsi="Aptos"/>
                <w:b w:val="0"/>
                <w:i w:val="0"/>
                <w:color w:val="000000"/>
                <w:sz w:val="20"/>
              </w:rPr>
              <w:t>24 October 2026</w:t>
            </w:r>
          </w:p>
        </w:tc>
      </w:tr>
    </w:tbl>
    <w:p w14:paraId="51F708DF">
      <w:pPr>
        <w:spacing w:before="560" w:after="40"/>
      </w:pPr>
      <w:r>
        <w:rPr>
          <w:rFonts w:ascii="Aptos" w:hAnsi="Aptos"/>
          <w:b/>
          <w:i w:val="0"/>
          <w:color w:val="17365D"/>
          <w:sz w:val="20"/>
        </w:rPr>
        <w:t>Central research question</w:t>
      </w:r>
    </w:p>
    <w:p w14:paraId="7E37366B">
      <w:pPr>
        <w:spacing w:after="160" w:line="259" w:lineRule="auto"/>
        <w:ind w:left="283" w:right="283"/>
      </w:pPr>
      <w:r>
        <w:rPr>
          <w:rFonts w:ascii="Aptos" w:hAnsi="Aptos"/>
          <w:b w:val="0"/>
          <w:i/>
          <w:color w:val="000000"/>
          <w:sz w:val="22"/>
        </w:rPr>
        <w:t>Between 2019 and the latest year with comparable country-level coverage, how does the recovery of international tourist arrivals compare with the recovery of international tourism receipts across World Bank regions?</w:t>
      </w:r>
    </w:p>
    <w:p w14:paraId="42A6C30C">
      <w:r>
        <w:br w:type="page"/>
      </w:r>
    </w:p>
    <w:p w14:paraId="09343E85">
      <w:pPr>
        <w:spacing w:after="80" w:line="259" w:lineRule="auto"/>
      </w:pPr>
      <w:r>
        <w:rPr>
          <w:rFonts w:ascii="Aptos" w:hAnsi="Aptos"/>
          <w:b w:val="0"/>
          <w:i w:val="0"/>
          <w:color w:val="000000"/>
          <w:sz w:val="21"/>
        </w:rPr>
        <w:t>This revised proposal defines a two-person data visualization project that compares the post-pandemic recovery of tourist volume and tourism earnings. It states the research question, project purpose, datasets, tasks, success criteria, collaboration arrangements, and deliverables needed to complete the work within the assignment period.</w:t>
      </w:r>
    </w:p>
    <w:p w14:paraId="691F8E26">
      <w:pPr>
        <w:pStyle w:val="3"/>
        <w:keepNext/>
      </w:pPr>
      <w:r>
        <w:rPr>
          <w:rFonts w:ascii="Aptos" w:hAnsi="Aptos"/>
          <w:b/>
          <w:color w:val="17365D"/>
          <w:sz w:val="27"/>
        </w:rPr>
        <w:t>1. Project Title and Research Question</w:t>
      </w:r>
    </w:p>
    <w:p w14:paraId="1BF47F94">
      <w:pPr>
        <w:pStyle w:val="4"/>
        <w:keepNext/>
        <w:spacing w:before="80" w:after="40"/>
      </w:pPr>
      <w:r>
        <w:rPr>
          <w:rFonts w:ascii="Aptos" w:hAnsi="Aptos"/>
          <w:b/>
          <w:i w:val="0"/>
          <w:color w:val="2F5597"/>
          <w:sz w:val="21"/>
        </w:rPr>
        <w:t>Project title</w:t>
      </w:r>
    </w:p>
    <w:p w14:paraId="4C0E30AB">
      <w:pPr>
        <w:spacing w:after="80" w:line="259" w:lineRule="auto"/>
      </w:pPr>
      <w:r>
        <w:rPr>
          <w:rFonts w:ascii="Aptos" w:hAnsi="Aptos"/>
          <w:b w:val="0"/>
          <w:i w:val="0"/>
          <w:color w:val="000000"/>
          <w:sz w:val="21"/>
        </w:rPr>
        <w:t>Uneven Recovery: Comparing Tourist Arrivals and Tourism Receipts After COVID-19</w:t>
      </w:r>
    </w:p>
    <w:p w14:paraId="1AE18569">
      <w:pPr>
        <w:pStyle w:val="4"/>
        <w:keepNext/>
        <w:spacing w:before="80" w:after="40"/>
      </w:pPr>
      <w:r>
        <w:rPr>
          <w:rFonts w:ascii="Aptos" w:hAnsi="Aptos"/>
          <w:b/>
          <w:i w:val="0"/>
          <w:color w:val="2F5597"/>
          <w:sz w:val="21"/>
        </w:rPr>
        <w:t>Research question</w:t>
      </w:r>
    </w:p>
    <w:p w14:paraId="02A748C1">
      <w:pPr>
        <w:spacing w:after="80" w:line="259" w:lineRule="auto"/>
      </w:pPr>
      <w:r>
        <w:rPr>
          <w:rFonts w:ascii="Aptos" w:hAnsi="Aptos"/>
          <w:b w:val="0"/>
          <w:i w:val="0"/>
          <w:color w:val="000000"/>
          <w:sz w:val="21"/>
        </w:rPr>
        <w:t>Between 2019 and the latest year with comparable country-level coverage, how does the recovery of international tourist arrivals compare with the recovery of international tourism receipts across World Bank regions, and which regions show the largest gap between the two recovery rates?</w:t>
      </w:r>
    </w:p>
    <w:p w14:paraId="7D37C21B">
      <w:pPr>
        <w:pStyle w:val="4"/>
        <w:keepNext/>
        <w:spacing w:before="80" w:after="40"/>
      </w:pPr>
      <w:r>
        <w:rPr>
          <w:rFonts w:ascii="Aptos" w:hAnsi="Aptos"/>
          <w:b/>
          <w:i w:val="0"/>
          <w:color w:val="2F5597"/>
          <w:sz w:val="21"/>
        </w:rPr>
        <w:t>Region and domain category</w:t>
      </w:r>
    </w:p>
    <w:p w14:paraId="08474D10">
      <w:pPr>
        <w:pStyle w:val="16"/>
        <w:spacing w:after="40" w:line="252" w:lineRule="auto"/>
      </w:pPr>
      <w:r>
        <w:rPr>
          <w:rFonts w:ascii="Aptos" w:hAnsi="Aptos"/>
          <w:b/>
          <w:i w:val="0"/>
          <w:color w:val="000000"/>
          <w:sz w:val="21"/>
        </w:rPr>
        <w:t xml:space="preserve">Region: </w:t>
      </w:r>
      <w:r>
        <w:rPr>
          <w:rFonts w:ascii="Aptos" w:hAnsi="Aptos"/>
          <w:b w:val="0"/>
          <w:i w:val="0"/>
          <w:color w:val="000000"/>
          <w:sz w:val="21"/>
        </w:rPr>
        <w:t>Global, with comparisons across World Bank regions.</w:t>
      </w:r>
    </w:p>
    <w:p w14:paraId="605FA44A">
      <w:pPr>
        <w:pStyle w:val="16"/>
        <w:spacing w:after="40" w:line="252" w:lineRule="auto"/>
      </w:pPr>
      <w:r>
        <w:rPr>
          <w:rFonts w:ascii="Aptos" w:hAnsi="Aptos"/>
          <w:b/>
          <w:i w:val="0"/>
          <w:color w:val="000000"/>
          <w:sz w:val="21"/>
        </w:rPr>
        <w:t xml:space="preserve">Domain: </w:t>
      </w:r>
      <w:r>
        <w:rPr>
          <w:rFonts w:ascii="Aptos" w:hAnsi="Aptos"/>
          <w:b w:val="0"/>
          <w:i w:val="0"/>
          <w:color w:val="000000"/>
          <w:sz w:val="21"/>
        </w:rPr>
        <w:t>Tourism and economic development.</w:t>
      </w:r>
    </w:p>
    <w:p w14:paraId="184B0BFF">
      <w:pPr>
        <w:pStyle w:val="16"/>
        <w:spacing w:after="40" w:line="252" w:lineRule="auto"/>
      </w:pPr>
      <w:r>
        <w:rPr>
          <w:rFonts w:ascii="Aptos" w:hAnsi="Aptos"/>
          <w:b/>
          <w:i w:val="0"/>
          <w:color w:val="000000"/>
          <w:sz w:val="21"/>
        </w:rPr>
        <w:t xml:space="preserve">Period: </w:t>
      </w:r>
      <w:r>
        <w:rPr>
          <w:rFonts w:ascii="Aptos" w:hAnsi="Aptos"/>
          <w:b w:val="0"/>
          <w:i w:val="0"/>
          <w:color w:val="000000"/>
          <w:sz w:val="21"/>
        </w:rPr>
        <w:t>2019 is the pre-pandemic baseline. The comparison year will be the latest year with at least 60% valid country coverage for both indicators; the same matched sample of countries will be used for both recovery measures.</w:t>
      </w:r>
    </w:p>
    <w:p w14:paraId="6E0B6FD8">
      <w:pPr>
        <w:pStyle w:val="3"/>
        <w:keepNext/>
      </w:pPr>
      <w:r>
        <w:rPr>
          <w:rFonts w:ascii="Aptos" w:hAnsi="Aptos"/>
          <w:b/>
          <w:color w:val="17365D"/>
          <w:sz w:val="27"/>
        </w:rPr>
        <w:t>2. Project Purpose</w:t>
      </w:r>
    </w:p>
    <w:p w14:paraId="2763ACB2">
      <w:pPr>
        <w:pStyle w:val="4"/>
        <w:keepNext/>
        <w:spacing w:before="80" w:after="40"/>
      </w:pPr>
      <w:r>
        <w:rPr>
          <w:rFonts w:ascii="Aptos" w:hAnsi="Aptos"/>
          <w:b/>
          <w:i w:val="0"/>
          <w:color w:val="2F5597"/>
          <w:sz w:val="21"/>
        </w:rPr>
        <w:t>Outcomes</w:t>
      </w:r>
    </w:p>
    <w:p w14:paraId="6EBF19BB">
      <w:pPr>
        <w:spacing w:after="80" w:line="259" w:lineRule="auto"/>
      </w:pPr>
      <w:r>
        <w:rPr>
          <w:rFonts w:ascii="Aptos" w:hAnsi="Aptos"/>
          <w:b w:val="0"/>
          <w:i w:val="0"/>
          <w:color w:val="000000"/>
          <w:sz w:val="21"/>
        </w:rPr>
        <w:t>The project connects the course learning outcomes by integrating public-data acquisition, cleaning, exploratory analysis, static visualization, interactive dashboard development, and evidence-based communication. It also builds practical experience relevant to future study and careers in data science, analytics, and visual communication.</w:t>
      </w:r>
    </w:p>
    <w:p w14:paraId="7E9315A4">
      <w:pPr>
        <w:pStyle w:val="4"/>
        <w:keepNext/>
        <w:spacing w:before="80" w:after="40"/>
      </w:pPr>
      <w:r>
        <w:rPr>
          <w:rFonts w:ascii="Aptos" w:hAnsi="Aptos"/>
          <w:b/>
          <w:i w:val="0"/>
          <w:color w:val="2F5597"/>
          <w:sz w:val="21"/>
        </w:rPr>
        <w:t>Skills</w:t>
      </w:r>
    </w:p>
    <w:p w14:paraId="3DA85586">
      <w:pPr>
        <w:pStyle w:val="16"/>
        <w:spacing w:after="40" w:line="252" w:lineRule="auto"/>
      </w:pPr>
      <w:r>
        <w:rPr>
          <w:rFonts w:ascii="Aptos" w:hAnsi="Aptos"/>
          <w:b w:val="0"/>
          <w:i w:val="0"/>
          <w:color w:val="000000"/>
          <w:sz w:val="21"/>
        </w:rPr>
        <w:t>Retrieving and documenting public data from the World Bank API.</w:t>
      </w:r>
    </w:p>
    <w:p w14:paraId="4E095F37">
      <w:pPr>
        <w:pStyle w:val="16"/>
        <w:spacing w:after="40" w:line="252" w:lineRule="auto"/>
      </w:pPr>
      <w:r>
        <w:rPr>
          <w:rFonts w:ascii="Aptos" w:hAnsi="Aptos"/>
          <w:b w:val="0"/>
          <w:i w:val="0"/>
          <w:color w:val="000000"/>
          <w:sz w:val="21"/>
        </w:rPr>
        <w:t>Cleaning, reshaping, joining, and validating country-level datasets with Python and pandas.</w:t>
      </w:r>
    </w:p>
    <w:p w14:paraId="6874D25A">
      <w:pPr>
        <w:pStyle w:val="16"/>
        <w:spacing w:after="40" w:line="252" w:lineRule="auto"/>
      </w:pPr>
      <w:r>
        <w:rPr>
          <w:rFonts w:ascii="Aptos" w:hAnsi="Aptos"/>
          <w:b w:val="0"/>
          <w:i w:val="0"/>
          <w:color w:val="000000"/>
          <w:sz w:val="21"/>
        </w:rPr>
        <w:t>Handling missing values, regional aggregates, and unmatched observations.</w:t>
      </w:r>
    </w:p>
    <w:p w14:paraId="1780B402">
      <w:pPr>
        <w:pStyle w:val="16"/>
        <w:spacing w:after="40" w:line="252" w:lineRule="auto"/>
      </w:pPr>
      <w:r>
        <w:rPr>
          <w:rFonts w:ascii="Aptos" w:hAnsi="Aptos"/>
          <w:b w:val="0"/>
          <w:i w:val="0"/>
          <w:color w:val="000000"/>
          <w:sz w:val="21"/>
        </w:rPr>
        <w:t>Creating static charts with Matplotlib or Seaborn and interactive views with Plotly and Dash.</w:t>
      </w:r>
    </w:p>
    <w:p w14:paraId="1124FA9E">
      <w:pPr>
        <w:pStyle w:val="16"/>
        <w:spacing w:after="40" w:line="252" w:lineRule="auto"/>
      </w:pPr>
      <w:r>
        <w:rPr>
          <w:rFonts w:ascii="Aptos" w:hAnsi="Aptos"/>
          <w:b w:val="0"/>
          <w:i w:val="0"/>
          <w:color w:val="000000"/>
          <w:sz w:val="21"/>
        </w:rPr>
        <w:t>Communicating data quality, uncertainty, limitations, and conclusions clearly.</w:t>
      </w:r>
    </w:p>
    <w:p w14:paraId="4045FA34">
      <w:pPr>
        <w:pStyle w:val="4"/>
        <w:keepNext/>
        <w:spacing w:before="80" w:after="40"/>
      </w:pPr>
      <w:r>
        <w:rPr>
          <w:rFonts w:ascii="Aptos" w:hAnsi="Aptos"/>
          <w:b/>
          <w:i w:val="0"/>
          <w:color w:val="2F5597"/>
          <w:sz w:val="21"/>
        </w:rPr>
        <w:t>Knowledge</w:t>
      </w:r>
    </w:p>
    <w:p w14:paraId="5EBC88FD">
      <w:pPr>
        <w:pStyle w:val="16"/>
        <w:spacing w:after="40" w:line="252" w:lineRule="auto"/>
      </w:pPr>
      <w:r>
        <w:rPr>
          <w:rFonts w:ascii="Aptos" w:hAnsi="Aptos"/>
          <w:b w:val="0"/>
          <w:i w:val="0"/>
          <w:color w:val="000000"/>
          <w:sz w:val="21"/>
        </w:rPr>
        <w:t>Recovery-index construction and matched-sample comparison.</w:t>
      </w:r>
    </w:p>
    <w:p w14:paraId="5A0F42AB">
      <w:pPr>
        <w:pStyle w:val="16"/>
        <w:spacing w:after="40" w:line="252" w:lineRule="auto"/>
      </w:pPr>
      <w:r>
        <w:rPr>
          <w:rFonts w:ascii="Aptos" w:hAnsi="Aptos"/>
          <w:b w:val="0"/>
          <w:i w:val="0"/>
          <w:color w:val="000000"/>
          <w:sz w:val="21"/>
        </w:rPr>
        <w:t>Regional aggregation and cross-country analysis.</w:t>
      </w:r>
    </w:p>
    <w:p w14:paraId="7E28C535">
      <w:pPr>
        <w:pStyle w:val="16"/>
        <w:spacing w:after="40" w:line="252" w:lineRule="auto"/>
      </w:pPr>
      <w:r>
        <w:rPr>
          <w:rFonts w:ascii="Aptos" w:hAnsi="Aptos"/>
          <w:b w:val="0"/>
          <w:i w:val="0"/>
          <w:color w:val="000000"/>
          <w:sz w:val="21"/>
        </w:rPr>
        <w:t>The analytical difference between tourist volume and tourism receipts.</w:t>
      </w:r>
    </w:p>
    <w:p w14:paraId="25522CAC">
      <w:pPr>
        <w:pStyle w:val="16"/>
        <w:spacing w:after="40" w:line="252" w:lineRule="auto"/>
      </w:pPr>
      <w:r>
        <w:rPr>
          <w:rFonts w:ascii="Aptos" w:hAnsi="Aptos"/>
          <w:b w:val="0"/>
          <w:i w:val="0"/>
          <w:color w:val="000000"/>
          <w:sz w:val="21"/>
        </w:rPr>
        <w:t>Visual encoding choices, dashboard filtering, and reproducibility.</w:t>
      </w:r>
    </w:p>
    <w:p w14:paraId="5FBEEF56">
      <w:pPr>
        <w:pStyle w:val="16"/>
        <w:spacing w:after="40" w:line="252" w:lineRule="auto"/>
      </w:pPr>
      <w:r>
        <w:rPr>
          <w:rFonts w:ascii="Aptos" w:hAnsi="Aptos"/>
          <w:b w:val="0"/>
          <w:i w:val="0"/>
          <w:color w:val="000000"/>
          <w:sz w:val="21"/>
        </w:rPr>
        <w:t>The distinction between association and causation.</w:t>
      </w:r>
    </w:p>
    <w:p w14:paraId="0F3733D4">
      <w:pPr>
        <w:pStyle w:val="3"/>
        <w:keepNext/>
      </w:pPr>
      <w:r>
        <w:rPr>
          <w:rFonts w:ascii="Aptos" w:hAnsi="Aptos"/>
          <w:b/>
          <w:color w:val="17365D"/>
          <w:sz w:val="27"/>
        </w:rPr>
        <w:t>3. Project Tasks and Work Plan</w:t>
      </w:r>
    </w:p>
    <w:p w14:paraId="01EDFC99">
      <w:pPr>
        <w:spacing w:after="80" w:line="259" w:lineRule="auto"/>
      </w:pPr>
      <w:r>
        <w:rPr>
          <w:rFonts w:ascii="Aptos" w:hAnsi="Aptos"/>
          <w:b w:val="0"/>
          <w:i w:val="0"/>
          <w:color w:val="000000"/>
          <w:sz w:val="21"/>
        </w:rPr>
        <w:t>Both members will contribute to the analytical decisions and review each other’s work. Primary responsibility is divided as shown below.</w:t>
      </w:r>
    </w:p>
    <w:tbl>
      <w:tblPr>
        <w:tblStyle w:val="3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409"/>
        <w:gridCol w:w="2409"/>
        <w:gridCol w:w="2409"/>
        <w:gridCol w:w="2409"/>
      </w:tblGrid>
      <w:tr w14:paraId="104BC2CA">
        <w:trPr>
          <w:cantSplit/>
          <w:tblHeader/>
          <w:jc w:val="center"/>
        </w:trPr>
        <w:tc>
          <w:tcPr>
            <w:tcW w:w="1701" w:type="dxa"/>
            <w:shd w:val="clear" w:color="auto" w:fill="17365D"/>
            <w:tcMar>
              <w:top w:w="70" w:type="dxa"/>
              <w:left w:w="100" w:type="dxa"/>
              <w:bottom w:w="70" w:type="dxa"/>
              <w:right w:w="100" w:type="dxa"/>
            </w:tcMar>
            <w:vAlign w:val="center"/>
          </w:tcPr>
          <w:p w14:paraId="25CA88F7">
            <w:pPr>
              <w:jc w:val="left"/>
            </w:pPr>
            <w:r>
              <w:rPr>
                <w:rFonts w:ascii="Aptos" w:hAnsi="Aptos"/>
                <w:b/>
                <w:i w:val="0"/>
                <w:color w:val="FFFFFF"/>
                <w:sz w:val="17"/>
              </w:rPr>
              <w:t>Task</w:t>
            </w:r>
          </w:p>
        </w:tc>
        <w:tc>
          <w:tcPr>
            <w:tcW w:w="4536" w:type="dxa"/>
            <w:shd w:val="clear" w:color="auto" w:fill="17365D"/>
            <w:tcMar>
              <w:top w:w="70" w:type="dxa"/>
              <w:left w:w="100" w:type="dxa"/>
              <w:bottom w:w="70" w:type="dxa"/>
              <w:right w:w="100" w:type="dxa"/>
            </w:tcMar>
            <w:vAlign w:val="center"/>
          </w:tcPr>
          <w:p w14:paraId="7F1726DF">
            <w:pPr>
              <w:jc w:val="left"/>
            </w:pPr>
            <w:r>
              <w:rPr>
                <w:rFonts w:ascii="Aptos" w:hAnsi="Aptos"/>
                <w:b/>
                <w:i w:val="0"/>
                <w:color w:val="FFFFFF"/>
                <w:sz w:val="17"/>
              </w:rPr>
              <w:t>Specific work</w:t>
            </w:r>
          </w:p>
        </w:tc>
        <w:tc>
          <w:tcPr>
            <w:tcW w:w="1190" w:type="dxa"/>
            <w:shd w:val="clear" w:color="auto" w:fill="17365D"/>
            <w:tcMar>
              <w:top w:w="70" w:type="dxa"/>
              <w:left w:w="100" w:type="dxa"/>
              <w:bottom w:w="70" w:type="dxa"/>
              <w:right w:w="100" w:type="dxa"/>
            </w:tcMar>
            <w:vAlign w:val="center"/>
          </w:tcPr>
          <w:p w14:paraId="27C27266">
            <w:pPr>
              <w:jc w:val="left"/>
            </w:pPr>
            <w:r>
              <w:rPr>
                <w:rFonts w:ascii="Aptos" w:hAnsi="Aptos"/>
                <w:b/>
                <w:i w:val="0"/>
                <w:color w:val="FFFFFF"/>
                <w:sz w:val="17"/>
              </w:rPr>
              <w:t>Lead</w:t>
            </w:r>
          </w:p>
        </w:tc>
        <w:tc>
          <w:tcPr>
            <w:tcW w:w="1927" w:type="dxa"/>
            <w:shd w:val="clear" w:color="auto" w:fill="17365D"/>
            <w:tcMar>
              <w:top w:w="70" w:type="dxa"/>
              <w:left w:w="100" w:type="dxa"/>
              <w:bottom w:w="70" w:type="dxa"/>
              <w:right w:w="100" w:type="dxa"/>
            </w:tcMar>
            <w:vAlign w:val="center"/>
          </w:tcPr>
          <w:p w14:paraId="26C4828A">
            <w:pPr>
              <w:jc w:val="left"/>
            </w:pPr>
            <w:r>
              <w:rPr>
                <w:rFonts w:ascii="Aptos" w:hAnsi="Aptos"/>
                <w:b/>
                <w:i w:val="0"/>
                <w:color w:val="FFFFFF"/>
                <w:sz w:val="17"/>
              </w:rPr>
              <w:t>Deliverable</w:t>
            </w:r>
          </w:p>
        </w:tc>
      </w:tr>
      <w:tr w14:paraId="706457E3">
        <w:trPr>
          <w:cantSplit/>
          <w:jc w:val="center"/>
        </w:trPr>
        <w:tc>
          <w:tcPr>
            <w:tcW w:w="1701" w:type="dxa"/>
            <w:tcMar>
              <w:top w:w="55" w:type="dxa"/>
              <w:left w:w="100" w:type="dxa"/>
              <w:bottom w:w="55" w:type="dxa"/>
              <w:right w:w="100" w:type="dxa"/>
            </w:tcMar>
            <w:vAlign w:val="top"/>
          </w:tcPr>
          <w:p w14:paraId="21B019BE">
            <w:pPr>
              <w:spacing w:after="0" w:line="240" w:lineRule="auto"/>
            </w:pPr>
            <w:r>
              <w:rPr>
                <w:rFonts w:ascii="Aptos" w:hAnsi="Aptos"/>
                <w:b w:val="0"/>
                <w:i w:val="0"/>
                <w:color w:val="000000"/>
                <w:sz w:val="17"/>
              </w:rPr>
              <w:t>1. Scope and data dictionary</w:t>
            </w:r>
          </w:p>
        </w:tc>
        <w:tc>
          <w:tcPr>
            <w:tcW w:w="4536" w:type="dxa"/>
            <w:tcMar>
              <w:top w:w="55" w:type="dxa"/>
              <w:left w:w="100" w:type="dxa"/>
              <w:bottom w:w="55" w:type="dxa"/>
              <w:right w:w="100" w:type="dxa"/>
            </w:tcMar>
            <w:vAlign w:val="top"/>
          </w:tcPr>
          <w:p w14:paraId="7780CF32">
            <w:pPr>
              <w:spacing w:after="0" w:line="240" w:lineRule="auto"/>
            </w:pPr>
            <w:r>
              <w:rPr>
                <w:rFonts w:ascii="Aptos" w:hAnsi="Aptos"/>
                <w:b w:val="0"/>
                <w:i w:val="0"/>
                <w:color w:val="000000"/>
                <w:sz w:val="17"/>
              </w:rPr>
              <w:t>Define indicator codes, baseline year, comparison-year rule, inclusion criteria, and the recovery-index formula.</w:t>
            </w:r>
          </w:p>
        </w:tc>
        <w:tc>
          <w:tcPr>
            <w:tcW w:w="1190" w:type="dxa"/>
            <w:tcMar>
              <w:top w:w="55" w:type="dxa"/>
              <w:left w:w="100" w:type="dxa"/>
              <w:bottom w:w="55" w:type="dxa"/>
              <w:right w:w="100" w:type="dxa"/>
            </w:tcMar>
            <w:vAlign w:val="top"/>
          </w:tcPr>
          <w:p w14:paraId="718885A2">
            <w:pPr>
              <w:spacing w:after="0" w:line="240" w:lineRule="auto"/>
            </w:pPr>
            <w:r>
              <w:rPr>
                <w:rFonts w:ascii="Aptos" w:hAnsi="Aptos"/>
                <w:b w:val="0"/>
                <w:i w:val="0"/>
                <w:color w:val="000000"/>
                <w:sz w:val="17"/>
              </w:rPr>
              <w:t>Both</w:t>
            </w:r>
          </w:p>
        </w:tc>
        <w:tc>
          <w:tcPr>
            <w:tcW w:w="1927" w:type="dxa"/>
            <w:tcMar>
              <w:top w:w="55" w:type="dxa"/>
              <w:left w:w="100" w:type="dxa"/>
              <w:bottom w:w="55" w:type="dxa"/>
              <w:right w:w="100" w:type="dxa"/>
            </w:tcMar>
            <w:vAlign w:val="top"/>
          </w:tcPr>
          <w:p w14:paraId="575EC7AA">
            <w:pPr>
              <w:spacing w:after="0" w:line="240" w:lineRule="auto"/>
            </w:pPr>
            <w:r>
              <w:rPr>
                <w:rFonts w:ascii="Aptos" w:hAnsi="Aptos"/>
                <w:b w:val="0"/>
                <w:i w:val="0"/>
                <w:color w:val="000000"/>
                <w:sz w:val="17"/>
              </w:rPr>
              <w:t>Scope note and data dictionary</w:t>
            </w:r>
          </w:p>
        </w:tc>
      </w:tr>
      <w:tr w14:paraId="5D60EB48">
        <w:trPr>
          <w:cantSplit/>
          <w:jc w:val="center"/>
        </w:trPr>
        <w:tc>
          <w:tcPr>
            <w:tcW w:w="1701" w:type="dxa"/>
            <w:shd w:val="clear" w:color="auto" w:fill="F7F9FC"/>
            <w:tcMar>
              <w:top w:w="55" w:type="dxa"/>
              <w:left w:w="100" w:type="dxa"/>
              <w:bottom w:w="55" w:type="dxa"/>
              <w:right w:w="100" w:type="dxa"/>
            </w:tcMar>
            <w:vAlign w:val="top"/>
          </w:tcPr>
          <w:p w14:paraId="1F0328EF">
            <w:pPr>
              <w:spacing w:after="0" w:line="240" w:lineRule="auto"/>
            </w:pPr>
            <w:r>
              <w:rPr>
                <w:rFonts w:ascii="Aptos" w:hAnsi="Aptos"/>
                <w:b w:val="0"/>
                <w:i w:val="0"/>
                <w:color w:val="000000"/>
                <w:sz w:val="17"/>
              </w:rPr>
              <w:t>2. Data acquisition</w:t>
            </w:r>
          </w:p>
        </w:tc>
        <w:tc>
          <w:tcPr>
            <w:tcW w:w="4536" w:type="dxa"/>
            <w:shd w:val="clear" w:color="auto" w:fill="F7F9FC"/>
            <w:tcMar>
              <w:top w:w="55" w:type="dxa"/>
              <w:left w:w="100" w:type="dxa"/>
              <w:bottom w:w="55" w:type="dxa"/>
              <w:right w:w="100" w:type="dxa"/>
            </w:tcMar>
            <w:vAlign w:val="top"/>
          </w:tcPr>
          <w:p w14:paraId="68EEDB0D">
            <w:pPr>
              <w:spacing w:after="0" w:line="240" w:lineRule="auto"/>
            </w:pPr>
            <w:r>
              <w:rPr>
                <w:rFonts w:ascii="Aptos" w:hAnsi="Aptos"/>
                <w:b w:val="0"/>
                <w:i w:val="0"/>
                <w:color w:val="000000"/>
                <w:sz w:val="17"/>
              </w:rPr>
              <w:t>Download arrivals, receipts, and country metadata; record source URLs, access date, and raw-file details.</w:t>
            </w:r>
          </w:p>
        </w:tc>
        <w:tc>
          <w:tcPr>
            <w:tcW w:w="1190" w:type="dxa"/>
            <w:shd w:val="clear" w:color="auto" w:fill="F7F9FC"/>
            <w:tcMar>
              <w:top w:w="55" w:type="dxa"/>
              <w:left w:w="100" w:type="dxa"/>
              <w:bottom w:w="55" w:type="dxa"/>
              <w:right w:w="100" w:type="dxa"/>
            </w:tcMar>
            <w:vAlign w:val="top"/>
          </w:tcPr>
          <w:p w14:paraId="48404110">
            <w:pPr>
              <w:spacing w:after="0" w:line="240" w:lineRule="auto"/>
            </w:pPr>
            <w:r>
              <w:rPr>
                <w:rFonts w:ascii="Aptos" w:hAnsi="Aptos"/>
                <w:b w:val="0"/>
                <w:i w:val="0"/>
                <w:color w:val="000000"/>
                <w:sz w:val="17"/>
              </w:rPr>
              <w:t>Kejia</w:t>
            </w:r>
          </w:p>
        </w:tc>
        <w:tc>
          <w:tcPr>
            <w:tcW w:w="1927" w:type="dxa"/>
            <w:shd w:val="clear" w:color="auto" w:fill="F7F9FC"/>
            <w:tcMar>
              <w:top w:w="55" w:type="dxa"/>
              <w:left w:w="100" w:type="dxa"/>
              <w:bottom w:w="55" w:type="dxa"/>
              <w:right w:w="100" w:type="dxa"/>
            </w:tcMar>
            <w:vAlign w:val="top"/>
          </w:tcPr>
          <w:p w14:paraId="7D445312">
            <w:pPr>
              <w:spacing w:after="0" w:line="240" w:lineRule="auto"/>
            </w:pPr>
            <w:r>
              <w:rPr>
                <w:rFonts w:ascii="Aptos" w:hAnsi="Aptos"/>
                <w:b w:val="0"/>
                <w:i w:val="0"/>
                <w:color w:val="000000"/>
                <w:sz w:val="17"/>
              </w:rPr>
              <w:t>Raw data and source log</w:t>
            </w:r>
          </w:p>
        </w:tc>
      </w:tr>
      <w:tr w14:paraId="069F3FCA">
        <w:trPr>
          <w:cantSplit/>
          <w:jc w:val="center"/>
        </w:trPr>
        <w:tc>
          <w:tcPr>
            <w:tcW w:w="1701" w:type="dxa"/>
            <w:tcMar>
              <w:top w:w="55" w:type="dxa"/>
              <w:left w:w="100" w:type="dxa"/>
              <w:bottom w:w="55" w:type="dxa"/>
              <w:right w:w="100" w:type="dxa"/>
            </w:tcMar>
            <w:vAlign w:val="top"/>
          </w:tcPr>
          <w:p w14:paraId="46204743">
            <w:pPr>
              <w:spacing w:after="0" w:line="240" w:lineRule="auto"/>
            </w:pPr>
            <w:r>
              <w:rPr>
                <w:rFonts w:ascii="Aptos" w:hAnsi="Aptos"/>
                <w:b w:val="0"/>
                <w:i w:val="0"/>
                <w:color w:val="000000"/>
                <w:sz w:val="17"/>
              </w:rPr>
              <w:t>3. Cleaning and validation</w:t>
            </w:r>
          </w:p>
        </w:tc>
        <w:tc>
          <w:tcPr>
            <w:tcW w:w="4536" w:type="dxa"/>
            <w:tcMar>
              <w:top w:w="55" w:type="dxa"/>
              <w:left w:w="100" w:type="dxa"/>
              <w:bottom w:w="55" w:type="dxa"/>
              <w:right w:w="100" w:type="dxa"/>
            </w:tcMar>
            <w:vAlign w:val="top"/>
          </w:tcPr>
          <w:p w14:paraId="3C7E2E00">
            <w:pPr>
              <w:spacing w:after="0" w:line="240" w:lineRule="auto"/>
            </w:pPr>
            <w:r>
              <w:rPr>
                <w:rFonts w:ascii="Aptos" w:hAnsi="Aptos"/>
                <w:b w:val="0"/>
                <w:i w:val="0"/>
                <w:color w:val="000000"/>
                <w:sz w:val="17"/>
              </w:rPr>
              <w:t>Reshape the data, standardise country codes, remove regional aggregates, and document missing-value decisions.</w:t>
            </w:r>
          </w:p>
        </w:tc>
        <w:tc>
          <w:tcPr>
            <w:tcW w:w="1190" w:type="dxa"/>
            <w:tcMar>
              <w:top w:w="55" w:type="dxa"/>
              <w:left w:w="100" w:type="dxa"/>
              <w:bottom w:w="55" w:type="dxa"/>
              <w:right w:w="100" w:type="dxa"/>
            </w:tcMar>
            <w:vAlign w:val="top"/>
          </w:tcPr>
          <w:p w14:paraId="6810757C">
            <w:pPr>
              <w:spacing w:after="0" w:line="240" w:lineRule="auto"/>
            </w:pPr>
            <w:r>
              <w:rPr>
                <w:rFonts w:ascii="Aptos" w:hAnsi="Aptos"/>
                <w:b w:val="0"/>
                <w:i w:val="0"/>
                <w:color w:val="000000"/>
                <w:sz w:val="17"/>
              </w:rPr>
              <w:t>Kejia</w:t>
            </w:r>
          </w:p>
        </w:tc>
        <w:tc>
          <w:tcPr>
            <w:tcW w:w="1927" w:type="dxa"/>
            <w:tcMar>
              <w:top w:w="55" w:type="dxa"/>
              <w:left w:w="100" w:type="dxa"/>
              <w:bottom w:w="55" w:type="dxa"/>
              <w:right w:w="100" w:type="dxa"/>
            </w:tcMar>
            <w:vAlign w:val="top"/>
          </w:tcPr>
          <w:p w14:paraId="3CBCDB8F">
            <w:pPr>
              <w:spacing w:after="0" w:line="240" w:lineRule="auto"/>
            </w:pPr>
            <w:r>
              <w:rPr>
                <w:rFonts w:ascii="Aptos" w:hAnsi="Aptos"/>
                <w:b w:val="0"/>
                <w:i w:val="0"/>
                <w:color w:val="000000"/>
                <w:sz w:val="17"/>
              </w:rPr>
              <w:t>Clean dataset and cleaning notes</w:t>
            </w:r>
          </w:p>
        </w:tc>
      </w:tr>
      <w:tr w14:paraId="062BE67B">
        <w:trPr>
          <w:cantSplit/>
          <w:jc w:val="center"/>
        </w:trPr>
        <w:tc>
          <w:tcPr>
            <w:tcW w:w="1701" w:type="dxa"/>
            <w:shd w:val="clear" w:color="auto" w:fill="F7F9FC"/>
            <w:tcMar>
              <w:top w:w="55" w:type="dxa"/>
              <w:left w:w="100" w:type="dxa"/>
              <w:bottom w:w="55" w:type="dxa"/>
              <w:right w:w="100" w:type="dxa"/>
            </w:tcMar>
            <w:vAlign w:val="top"/>
          </w:tcPr>
          <w:p w14:paraId="0916553A">
            <w:pPr>
              <w:spacing w:after="0" w:line="240" w:lineRule="auto"/>
            </w:pPr>
            <w:r>
              <w:rPr>
                <w:rFonts w:ascii="Aptos" w:hAnsi="Aptos"/>
                <w:b w:val="0"/>
                <w:i w:val="0"/>
                <w:color w:val="000000"/>
                <w:sz w:val="17"/>
              </w:rPr>
              <w:t>4. Recovery analysis</w:t>
            </w:r>
          </w:p>
        </w:tc>
        <w:tc>
          <w:tcPr>
            <w:tcW w:w="4536" w:type="dxa"/>
            <w:shd w:val="clear" w:color="auto" w:fill="F7F9FC"/>
            <w:tcMar>
              <w:top w:w="55" w:type="dxa"/>
              <w:left w:w="100" w:type="dxa"/>
              <w:bottom w:w="55" w:type="dxa"/>
              <w:right w:w="100" w:type="dxa"/>
            </w:tcMar>
            <w:vAlign w:val="top"/>
          </w:tcPr>
          <w:p w14:paraId="50B0DBA5">
            <w:pPr>
              <w:spacing w:after="0" w:line="240" w:lineRule="auto"/>
            </w:pPr>
            <w:r>
              <w:rPr>
                <w:rFonts w:ascii="Aptos" w:hAnsi="Aptos"/>
                <w:b w:val="0"/>
                <w:i w:val="0"/>
                <w:color w:val="000000"/>
                <w:sz w:val="17"/>
              </w:rPr>
              <w:t>Compute country and regional recovery indices; calculate the gap between receipts and arrivals recovery.</w:t>
            </w:r>
          </w:p>
        </w:tc>
        <w:tc>
          <w:tcPr>
            <w:tcW w:w="1190" w:type="dxa"/>
            <w:shd w:val="clear" w:color="auto" w:fill="F7F9FC"/>
            <w:tcMar>
              <w:top w:w="55" w:type="dxa"/>
              <w:left w:w="100" w:type="dxa"/>
              <w:bottom w:w="55" w:type="dxa"/>
              <w:right w:w="100" w:type="dxa"/>
            </w:tcMar>
            <w:vAlign w:val="top"/>
          </w:tcPr>
          <w:p w14:paraId="1DEB37DE">
            <w:pPr>
              <w:spacing w:after="0" w:line="240" w:lineRule="auto"/>
            </w:pPr>
            <w:r>
              <w:rPr>
                <w:rFonts w:ascii="Aptos" w:hAnsi="Aptos"/>
                <w:b w:val="0"/>
                <w:i w:val="0"/>
                <w:color w:val="000000"/>
                <w:sz w:val="17"/>
              </w:rPr>
              <w:t>Both</w:t>
            </w:r>
          </w:p>
        </w:tc>
        <w:tc>
          <w:tcPr>
            <w:tcW w:w="1927" w:type="dxa"/>
            <w:shd w:val="clear" w:color="auto" w:fill="F7F9FC"/>
            <w:tcMar>
              <w:top w:w="55" w:type="dxa"/>
              <w:left w:w="100" w:type="dxa"/>
              <w:bottom w:w="55" w:type="dxa"/>
              <w:right w:w="100" w:type="dxa"/>
            </w:tcMar>
            <w:vAlign w:val="top"/>
          </w:tcPr>
          <w:p w14:paraId="250C0410">
            <w:pPr>
              <w:spacing w:after="0" w:line="240" w:lineRule="auto"/>
            </w:pPr>
            <w:r>
              <w:rPr>
                <w:rFonts w:ascii="Aptos" w:hAnsi="Aptos"/>
                <w:b w:val="0"/>
                <w:i w:val="0"/>
                <w:color w:val="000000"/>
                <w:sz w:val="17"/>
              </w:rPr>
              <w:t>Analysis-ready dataset and summary tables</w:t>
            </w:r>
          </w:p>
        </w:tc>
      </w:tr>
      <w:tr w14:paraId="61139C94">
        <w:trPr>
          <w:cantSplit/>
          <w:jc w:val="center"/>
        </w:trPr>
        <w:tc>
          <w:tcPr>
            <w:tcW w:w="1701" w:type="dxa"/>
            <w:tcMar>
              <w:top w:w="55" w:type="dxa"/>
              <w:left w:w="100" w:type="dxa"/>
              <w:bottom w:w="55" w:type="dxa"/>
              <w:right w:w="100" w:type="dxa"/>
            </w:tcMar>
            <w:vAlign w:val="top"/>
          </w:tcPr>
          <w:p w14:paraId="2AB1B98D">
            <w:pPr>
              <w:spacing w:after="0" w:line="240" w:lineRule="auto"/>
            </w:pPr>
            <w:r>
              <w:rPr>
                <w:rFonts w:ascii="Aptos" w:hAnsi="Aptos"/>
                <w:b w:val="0"/>
                <w:i w:val="0"/>
                <w:color w:val="000000"/>
                <w:sz w:val="17"/>
              </w:rPr>
              <w:t>5. Static visualizations</w:t>
            </w:r>
          </w:p>
        </w:tc>
        <w:tc>
          <w:tcPr>
            <w:tcW w:w="4536" w:type="dxa"/>
            <w:tcMar>
              <w:top w:w="55" w:type="dxa"/>
              <w:left w:w="100" w:type="dxa"/>
              <w:bottom w:w="55" w:type="dxa"/>
              <w:right w:w="100" w:type="dxa"/>
            </w:tcMar>
            <w:vAlign w:val="top"/>
          </w:tcPr>
          <w:p w14:paraId="13C39201">
            <w:pPr>
              <w:spacing w:after="0" w:line="240" w:lineRule="auto"/>
            </w:pPr>
            <w:r>
              <w:rPr>
                <w:rFonts w:ascii="Aptos" w:hAnsi="Aptos"/>
                <w:b w:val="0"/>
                <w:i w:val="0"/>
                <w:color w:val="000000"/>
                <w:sz w:val="17"/>
              </w:rPr>
              <w:t>Create a time-series line chart, regional grouped bar chart, and country-level scatter plot with clear annotations.</w:t>
            </w:r>
          </w:p>
        </w:tc>
        <w:tc>
          <w:tcPr>
            <w:tcW w:w="1190" w:type="dxa"/>
            <w:tcMar>
              <w:top w:w="55" w:type="dxa"/>
              <w:left w:w="100" w:type="dxa"/>
              <w:bottom w:w="55" w:type="dxa"/>
              <w:right w:w="100" w:type="dxa"/>
            </w:tcMar>
            <w:vAlign w:val="top"/>
          </w:tcPr>
          <w:p w14:paraId="325C937E">
            <w:pPr>
              <w:spacing w:after="0" w:line="240" w:lineRule="auto"/>
            </w:pPr>
            <w:r>
              <w:rPr>
                <w:rFonts w:hint="eastAsia" w:ascii="Aptos" w:hAnsi="Aptos"/>
                <w:b w:val="0"/>
                <w:i w:val="0"/>
                <w:color w:val="000000"/>
                <w:sz w:val="17"/>
              </w:rPr>
              <w:t>Yushuo</w:t>
            </w:r>
          </w:p>
        </w:tc>
        <w:tc>
          <w:tcPr>
            <w:tcW w:w="1927" w:type="dxa"/>
            <w:tcMar>
              <w:top w:w="55" w:type="dxa"/>
              <w:left w:w="100" w:type="dxa"/>
              <w:bottom w:w="55" w:type="dxa"/>
              <w:right w:w="100" w:type="dxa"/>
            </w:tcMar>
            <w:vAlign w:val="top"/>
          </w:tcPr>
          <w:p w14:paraId="02FBD481">
            <w:pPr>
              <w:spacing w:after="0" w:line="240" w:lineRule="auto"/>
            </w:pPr>
            <w:r>
              <w:rPr>
                <w:rFonts w:ascii="Aptos" w:hAnsi="Aptos"/>
                <w:b w:val="0"/>
                <w:i w:val="0"/>
                <w:color w:val="000000"/>
                <w:sz w:val="17"/>
              </w:rPr>
              <w:t>Publication-quality figures</w:t>
            </w:r>
          </w:p>
        </w:tc>
      </w:tr>
      <w:tr w14:paraId="0A97D6E4">
        <w:trPr>
          <w:cantSplit/>
          <w:jc w:val="center"/>
        </w:trPr>
        <w:tc>
          <w:tcPr>
            <w:tcW w:w="1701" w:type="dxa"/>
            <w:shd w:val="clear" w:color="auto" w:fill="F7F9FC"/>
            <w:tcMar>
              <w:top w:w="55" w:type="dxa"/>
              <w:left w:w="100" w:type="dxa"/>
              <w:bottom w:w="55" w:type="dxa"/>
              <w:right w:w="100" w:type="dxa"/>
            </w:tcMar>
            <w:vAlign w:val="top"/>
          </w:tcPr>
          <w:p w14:paraId="156CA16E">
            <w:pPr>
              <w:spacing w:after="0" w:line="240" w:lineRule="auto"/>
            </w:pPr>
            <w:r>
              <w:rPr>
                <w:rFonts w:ascii="Aptos" w:hAnsi="Aptos"/>
                <w:b w:val="0"/>
                <w:i w:val="0"/>
                <w:color w:val="000000"/>
                <w:sz w:val="17"/>
              </w:rPr>
              <w:t>6. Interactive dashboard</w:t>
            </w:r>
          </w:p>
        </w:tc>
        <w:tc>
          <w:tcPr>
            <w:tcW w:w="4536" w:type="dxa"/>
            <w:shd w:val="clear" w:color="auto" w:fill="F7F9FC"/>
            <w:tcMar>
              <w:top w:w="55" w:type="dxa"/>
              <w:left w:w="100" w:type="dxa"/>
              <w:bottom w:w="55" w:type="dxa"/>
              <w:right w:w="100" w:type="dxa"/>
            </w:tcMar>
            <w:vAlign w:val="top"/>
          </w:tcPr>
          <w:p w14:paraId="00B7504D">
            <w:pPr>
              <w:spacing w:after="0" w:line="240" w:lineRule="auto"/>
            </w:pPr>
            <w:r>
              <w:rPr>
                <w:rFonts w:ascii="Aptos" w:hAnsi="Aptos"/>
                <w:b w:val="0"/>
                <w:i w:val="0"/>
                <w:color w:val="000000"/>
                <w:sz w:val="17"/>
              </w:rPr>
              <w:t>Build Plotly/Dash views with region and income-group filters, a country table, and source notes.</w:t>
            </w:r>
          </w:p>
        </w:tc>
        <w:tc>
          <w:tcPr>
            <w:tcW w:w="1190" w:type="dxa"/>
            <w:shd w:val="clear" w:color="auto" w:fill="F7F9FC"/>
            <w:tcMar>
              <w:top w:w="55" w:type="dxa"/>
              <w:left w:w="100" w:type="dxa"/>
              <w:bottom w:w="55" w:type="dxa"/>
              <w:right w:w="100" w:type="dxa"/>
            </w:tcMar>
            <w:vAlign w:val="top"/>
          </w:tcPr>
          <w:p w14:paraId="3E6183EF">
            <w:pPr>
              <w:spacing w:after="0" w:line="240" w:lineRule="auto"/>
            </w:pPr>
            <w:r>
              <w:rPr>
                <w:rFonts w:hint="eastAsia" w:ascii="Aptos" w:hAnsi="Aptos"/>
                <w:b w:val="0"/>
                <w:i w:val="0"/>
                <w:color w:val="000000"/>
                <w:sz w:val="17"/>
              </w:rPr>
              <w:t>Yushuo</w:t>
            </w:r>
          </w:p>
        </w:tc>
        <w:tc>
          <w:tcPr>
            <w:tcW w:w="1927" w:type="dxa"/>
            <w:shd w:val="clear" w:color="auto" w:fill="F7F9FC"/>
            <w:tcMar>
              <w:top w:w="55" w:type="dxa"/>
              <w:left w:w="100" w:type="dxa"/>
              <w:bottom w:w="55" w:type="dxa"/>
              <w:right w:w="100" w:type="dxa"/>
            </w:tcMar>
            <w:vAlign w:val="top"/>
          </w:tcPr>
          <w:p w14:paraId="67B8D19F">
            <w:pPr>
              <w:spacing w:after="0" w:line="240" w:lineRule="auto"/>
            </w:pPr>
            <w:r>
              <w:rPr>
                <w:rFonts w:ascii="Aptos" w:hAnsi="Aptos"/>
                <w:b w:val="0"/>
                <w:i w:val="0"/>
                <w:color w:val="000000"/>
                <w:sz w:val="17"/>
              </w:rPr>
              <w:t>Working dashboard and screenshot</w:t>
            </w:r>
          </w:p>
        </w:tc>
      </w:tr>
      <w:tr w14:paraId="3D855EF8">
        <w:trPr>
          <w:cantSplit/>
          <w:jc w:val="center"/>
        </w:trPr>
        <w:tc>
          <w:tcPr>
            <w:tcW w:w="1701" w:type="dxa"/>
            <w:tcMar>
              <w:top w:w="55" w:type="dxa"/>
              <w:left w:w="100" w:type="dxa"/>
              <w:bottom w:w="55" w:type="dxa"/>
              <w:right w:w="100" w:type="dxa"/>
            </w:tcMar>
            <w:vAlign w:val="top"/>
          </w:tcPr>
          <w:p w14:paraId="07C01E3D">
            <w:pPr>
              <w:spacing w:after="0" w:line="240" w:lineRule="auto"/>
            </w:pPr>
            <w:r>
              <w:rPr>
                <w:rFonts w:ascii="Aptos" w:hAnsi="Aptos"/>
                <w:b w:val="0"/>
                <w:i w:val="0"/>
                <w:color w:val="000000"/>
                <w:sz w:val="17"/>
              </w:rPr>
              <w:t>7. Interpretation and QA</w:t>
            </w:r>
          </w:p>
        </w:tc>
        <w:tc>
          <w:tcPr>
            <w:tcW w:w="4536" w:type="dxa"/>
            <w:tcMar>
              <w:top w:w="55" w:type="dxa"/>
              <w:left w:w="100" w:type="dxa"/>
              <w:bottom w:w="55" w:type="dxa"/>
              <w:right w:w="100" w:type="dxa"/>
            </w:tcMar>
            <w:vAlign w:val="top"/>
          </w:tcPr>
          <w:p w14:paraId="66738199">
            <w:pPr>
              <w:spacing w:after="0" w:line="240" w:lineRule="auto"/>
            </w:pPr>
            <w:r>
              <w:rPr>
                <w:rFonts w:ascii="Aptos" w:hAnsi="Aptos"/>
                <w:b w:val="0"/>
                <w:i w:val="0"/>
                <w:color w:val="000000"/>
                <w:sz w:val="17"/>
              </w:rPr>
              <w:t>Answer the research question, explain limitations, verify calculations, and check reproducibility.</w:t>
            </w:r>
          </w:p>
        </w:tc>
        <w:tc>
          <w:tcPr>
            <w:tcW w:w="1190" w:type="dxa"/>
            <w:tcMar>
              <w:top w:w="55" w:type="dxa"/>
              <w:left w:w="100" w:type="dxa"/>
              <w:bottom w:w="55" w:type="dxa"/>
              <w:right w:w="100" w:type="dxa"/>
            </w:tcMar>
            <w:vAlign w:val="top"/>
          </w:tcPr>
          <w:p w14:paraId="18C87189">
            <w:pPr>
              <w:spacing w:after="0" w:line="240" w:lineRule="auto"/>
            </w:pPr>
            <w:r>
              <w:rPr>
                <w:rFonts w:ascii="Aptos" w:hAnsi="Aptos"/>
                <w:b w:val="0"/>
                <w:i w:val="0"/>
                <w:color w:val="000000"/>
                <w:sz w:val="17"/>
              </w:rPr>
              <w:t>Both</w:t>
            </w:r>
          </w:p>
        </w:tc>
        <w:tc>
          <w:tcPr>
            <w:tcW w:w="1927" w:type="dxa"/>
            <w:tcMar>
              <w:top w:w="55" w:type="dxa"/>
              <w:left w:w="100" w:type="dxa"/>
              <w:bottom w:w="55" w:type="dxa"/>
              <w:right w:w="100" w:type="dxa"/>
            </w:tcMar>
            <w:vAlign w:val="top"/>
          </w:tcPr>
          <w:p w14:paraId="6F3F9F00">
            <w:pPr>
              <w:spacing w:after="0" w:line="240" w:lineRule="auto"/>
            </w:pPr>
            <w:r>
              <w:rPr>
                <w:rFonts w:ascii="Aptos" w:hAnsi="Aptos"/>
                <w:b w:val="0"/>
                <w:i w:val="0"/>
                <w:color w:val="000000"/>
                <w:sz w:val="17"/>
              </w:rPr>
              <w:t>Interpretation and QA checklist</w:t>
            </w:r>
          </w:p>
        </w:tc>
      </w:tr>
      <w:tr w14:paraId="0CA02219">
        <w:trPr>
          <w:cantSplit/>
          <w:jc w:val="center"/>
        </w:trPr>
        <w:tc>
          <w:tcPr>
            <w:tcW w:w="1701" w:type="dxa"/>
            <w:shd w:val="clear" w:color="auto" w:fill="F7F9FC"/>
            <w:tcMar>
              <w:top w:w="55" w:type="dxa"/>
              <w:left w:w="100" w:type="dxa"/>
              <w:bottom w:w="55" w:type="dxa"/>
              <w:right w:w="100" w:type="dxa"/>
            </w:tcMar>
            <w:vAlign w:val="top"/>
          </w:tcPr>
          <w:p w14:paraId="09B44C04">
            <w:pPr>
              <w:spacing w:after="0" w:line="240" w:lineRule="auto"/>
            </w:pPr>
            <w:r>
              <w:rPr>
                <w:rFonts w:ascii="Aptos" w:hAnsi="Aptos"/>
                <w:b w:val="0"/>
                <w:i w:val="0"/>
                <w:color w:val="000000"/>
                <w:sz w:val="17"/>
              </w:rPr>
              <w:t>8. Submission package</w:t>
            </w:r>
          </w:p>
        </w:tc>
        <w:tc>
          <w:tcPr>
            <w:tcW w:w="4536" w:type="dxa"/>
            <w:shd w:val="clear" w:color="auto" w:fill="F7F9FC"/>
            <w:tcMar>
              <w:top w:w="55" w:type="dxa"/>
              <w:left w:w="100" w:type="dxa"/>
              <w:bottom w:w="55" w:type="dxa"/>
              <w:right w:w="100" w:type="dxa"/>
            </w:tcMar>
            <w:vAlign w:val="top"/>
          </w:tcPr>
          <w:p w14:paraId="370008CE">
            <w:pPr>
              <w:spacing w:after="0" w:line="240" w:lineRule="auto"/>
            </w:pPr>
            <w:r>
              <w:rPr>
                <w:rFonts w:ascii="Aptos" w:hAnsi="Aptos"/>
                <w:b w:val="0"/>
                <w:i w:val="0"/>
                <w:color w:val="000000"/>
                <w:sz w:val="17"/>
              </w:rPr>
              <w:t>Assemble the notebook, README, supporting files, and correctly named submission files.</w:t>
            </w:r>
          </w:p>
        </w:tc>
        <w:tc>
          <w:tcPr>
            <w:tcW w:w="1190" w:type="dxa"/>
            <w:shd w:val="clear" w:color="auto" w:fill="F7F9FC"/>
            <w:tcMar>
              <w:top w:w="55" w:type="dxa"/>
              <w:left w:w="100" w:type="dxa"/>
              <w:bottom w:w="55" w:type="dxa"/>
              <w:right w:w="100" w:type="dxa"/>
            </w:tcMar>
            <w:vAlign w:val="top"/>
          </w:tcPr>
          <w:p w14:paraId="5BF8C91C">
            <w:pPr>
              <w:spacing w:after="0" w:line="240" w:lineRule="auto"/>
              <w:rPr>
                <w:rFonts w:hint="eastAsia" w:eastAsia="宋体"/>
                <w:lang w:eastAsia="zh-CN"/>
              </w:rPr>
            </w:pPr>
            <w:r>
              <w:rPr>
                <w:rFonts w:hint="eastAsia" w:eastAsia="宋体"/>
                <w:b w:val="0"/>
                <w:i w:val="0"/>
                <w:color w:val="000000"/>
                <w:sz w:val="17"/>
                <w:lang w:val="en-US" w:eastAsia="zh-CN"/>
              </w:rPr>
              <w:t>Both</w:t>
            </w:r>
          </w:p>
        </w:tc>
        <w:tc>
          <w:tcPr>
            <w:tcW w:w="1927" w:type="dxa"/>
            <w:shd w:val="clear" w:color="auto" w:fill="F7F9FC"/>
            <w:tcMar>
              <w:top w:w="55" w:type="dxa"/>
              <w:left w:w="100" w:type="dxa"/>
              <w:bottom w:w="55" w:type="dxa"/>
              <w:right w:w="100" w:type="dxa"/>
            </w:tcMar>
            <w:vAlign w:val="top"/>
          </w:tcPr>
          <w:p w14:paraId="48D5A660">
            <w:pPr>
              <w:spacing w:after="0" w:line="240" w:lineRule="auto"/>
            </w:pPr>
            <w:r>
              <w:rPr>
                <w:rFonts w:ascii="Aptos" w:hAnsi="Aptos"/>
                <w:b w:val="0"/>
                <w:i w:val="0"/>
                <w:color w:val="000000"/>
                <w:sz w:val="17"/>
              </w:rPr>
              <w:t>Final submission package</w:t>
            </w:r>
          </w:p>
        </w:tc>
      </w:tr>
    </w:tbl>
    <w:p w14:paraId="7959F04F">
      <w:pPr>
        <w:pStyle w:val="3"/>
        <w:keepNext/>
      </w:pPr>
      <w:r>
        <w:rPr>
          <w:rFonts w:ascii="Aptos" w:hAnsi="Aptos"/>
          <w:b/>
          <w:color w:val="17365D"/>
          <w:sz w:val="27"/>
        </w:rPr>
        <w:t>4. Available Datasets</w:t>
      </w:r>
    </w:p>
    <w:p w14:paraId="6EE327DC">
      <w:pPr>
        <w:spacing w:after="80" w:line="259" w:lineRule="auto"/>
      </w:pPr>
      <w:r>
        <w:rPr>
          <w:rFonts w:ascii="Aptos" w:hAnsi="Aptos"/>
          <w:b w:val="0"/>
          <w:i w:val="0"/>
          <w:color w:val="000000"/>
          <w:sz w:val="21"/>
        </w:rPr>
        <w:t>The project will use the following public datasets. All are tabular or API-accessible and can be downloaded reproducibly.</w:t>
      </w:r>
    </w:p>
    <w:tbl>
      <w:tblPr>
        <w:tblStyle w:val="3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3213"/>
        <w:gridCol w:w="3213"/>
        <w:gridCol w:w="3213"/>
      </w:tblGrid>
      <w:tr w14:paraId="7479A045">
        <w:trPr>
          <w:tblHeader/>
          <w:jc w:val="center"/>
        </w:trPr>
        <w:tc>
          <w:tcPr>
            <w:tcW w:w="3005" w:type="dxa"/>
            <w:shd w:val="clear" w:color="auto" w:fill="17365D"/>
            <w:tcMar>
              <w:top w:w="80" w:type="dxa"/>
              <w:left w:w="100" w:type="dxa"/>
              <w:bottom w:w="80" w:type="dxa"/>
              <w:right w:w="100" w:type="dxa"/>
            </w:tcMar>
          </w:tcPr>
          <w:p w14:paraId="3F8A18C1">
            <w:r>
              <w:rPr>
                <w:rFonts w:ascii="Aptos" w:hAnsi="Aptos"/>
                <w:b/>
                <w:i w:val="0"/>
                <w:color w:val="FFFFFF"/>
                <w:sz w:val="18"/>
              </w:rPr>
              <w:t>Dataset</w:t>
            </w:r>
          </w:p>
        </w:tc>
        <w:tc>
          <w:tcPr>
            <w:tcW w:w="3118" w:type="dxa"/>
            <w:shd w:val="clear" w:color="auto" w:fill="17365D"/>
            <w:tcMar>
              <w:top w:w="80" w:type="dxa"/>
              <w:left w:w="100" w:type="dxa"/>
              <w:bottom w:w="80" w:type="dxa"/>
              <w:right w:w="100" w:type="dxa"/>
            </w:tcMar>
          </w:tcPr>
          <w:p w14:paraId="2C89B384">
            <w:r>
              <w:rPr>
                <w:rFonts w:ascii="Aptos" w:hAnsi="Aptos"/>
                <w:b/>
                <w:i w:val="0"/>
                <w:color w:val="FFFFFF"/>
                <w:sz w:val="18"/>
              </w:rPr>
              <w:t>Use in the project</w:t>
            </w:r>
          </w:p>
        </w:tc>
        <w:tc>
          <w:tcPr>
            <w:tcW w:w="3231" w:type="dxa"/>
            <w:shd w:val="clear" w:color="auto" w:fill="17365D"/>
            <w:tcMar>
              <w:top w:w="80" w:type="dxa"/>
              <w:left w:w="100" w:type="dxa"/>
              <w:bottom w:w="80" w:type="dxa"/>
              <w:right w:w="100" w:type="dxa"/>
            </w:tcMar>
          </w:tcPr>
          <w:p w14:paraId="7D0002C1">
            <w:r>
              <w:rPr>
                <w:rFonts w:ascii="Aptos" w:hAnsi="Aptos"/>
                <w:b/>
                <w:i w:val="0"/>
                <w:color w:val="FFFFFF"/>
                <w:sz w:val="18"/>
              </w:rPr>
              <w:t>Link</w:t>
            </w:r>
          </w:p>
        </w:tc>
      </w:tr>
      <w:tr w14:paraId="0F699D02">
        <w:trPr>
          <w:cantSplit/>
          <w:jc w:val="center"/>
        </w:trPr>
        <w:tc>
          <w:tcPr>
            <w:tcW w:w="3005" w:type="dxa"/>
            <w:tcMar>
              <w:top w:w="80" w:type="dxa"/>
              <w:left w:w="100" w:type="dxa"/>
              <w:bottom w:w="80" w:type="dxa"/>
              <w:right w:w="100" w:type="dxa"/>
            </w:tcMar>
          </w:tcPr>
          <w:p w14:paraId="51F45EF7">
            <w:r>
              <w:rPr>
                <w:rFonts w:ascii="Aptos" w:hAnsi="Aptos"/>
                <w:b w:val="0"/>
                <w:i w:val="0"/>
                <w:color w:val="000000"/>
                <w:sz w:val="17"/>
              </w:rPr>
              <w:t>International tourism, number of arrivals (ST.INT.ARVL)</w:t>
            </w:r>
          </w:p>
        </w:tc>
        <w:tc>
          <w:tcPr>
            <w:tcW w:w="3118" w:type="dxa"/>
            <w:tcMar>
              <w:top w:w="80" w:type="dxa"/>
              <w:left w:w="100" w:type="dxa"/>
              <w:bottom w:w="80" w:type="dxa"/>
              <w:right w:w="100" w:type="dxa"/>
            </w:tcMar>
          </w:tcPr>
          <w:p w14:paraId="46A6F072">
            <w:r>
              <w:rPr>
                <w:rFonts w:ascii="Aptos" w:hAnsi="Aptos"/>
                <w:b w:val="0"/>
                <w:i w:val="0"/>
                <w:color w:val="000000"/>
                <w:sz w:val="17"/>
              </w:rPr>
              <w:t>World Bank — annual country-level arrivals</w:t>
            </w:r>
          </w:p>
        </w:tc>
        <w:tc>
          <w:tcPr>
            <w:tcW w:w="3231" w:type="dxa"/>
            <w:tcMar>
              <w:top w:w="80" w:type="dxa"/>
              <w:left w:w="100" w:type="dxa"/>
              <w:bottom w:w="80" w:type="dxa"/>
              <w:right w:w="100" w:type="dxa"/>
            </w:tcMar>
          </w:tcPr>
          <w:p w14:paraId="7C365244">
            <w:r>
              <w:fldChar w:fldCharType="begin"/>
            </w:r>
            <w:r>
              <w:instrText xml:space="preserve"> HYPERLINK "https://data.worldbank.org/indicator/ST.INT.ARVL" \h </w:instrText>
            </w:r>
            <w:r>
              <w:fldChar w:fldCharType="separate"/>
            </w:r>
            <w:r>
              <w:rPr>
                <w:color w:val="2F5597"/>
                <w:sz w:val="16"/>
                <w:u w:val="single"/>
              </w:rPr>
              <w:t>https://data.worldbank.org/indicator/ST.INT.ARVL</w:t>
            </w:r>
            <w:r>
              <w:rPr>
                <w:color w:val="2F5597"/>
                <w:sz w:val="16"/>
                <w:u w:val="single"/>
              </w:rPr>
              <w:fldChar w:fldCharType="end"/>
            </w:r>
          </w:p>
        </w:tc>
      </w:tr>
      <w:tr w14:paraId="38E0FF16">
        <w:trPr>
          <w:cantSplit/>
          <w:jc w:val="center"/>
        </w:trPr>
        <w:tc>
          <w:tcPr>
            <w:tcW w:w="3005" w:type="dxa"/>
            <w:shd w:val="clear" w:color="auto" w:fill="F7F9FC"/>
            <w:tcMar>
              <w:top w:w="80" w:type="dxa"/>
              <w:left w:w="100" w:type="dxa"/>
              <w:bottom w:w="80" w:type="dxa"/>
              <w:right w:w="100" w:type="dxa"/>
            </w:tcMar>
          </w:tcPr>
          <w:p w14:paraId="24A11006">
            <w:r>
              <w:rPr>
                <w:rFonts w:ascii="Aptos" w:hAnsi="Aptos"/>
                <w:b w:val="0"/>
                <w:i w:val="0"/>
                <w:color w:val="000000"/>
                <w:sz w:val="17"/>
              </w:rPr>
              <w:t>International tourism, receipts, current US$ (ST.INT.RCPT.CD)</w:t>
            </w:r>
          </w:p>
        </w:tc>
        <w:tc>
          <w:tcPr>
            <w:tcW w:w="3118" w:type="dxa"/>
            <w:shd w:val="clear" w:color="auto" w:fill="F7F9FC"/>
            <w:tcMar>
              <w:top w:w="80" w:type="dxa"/>
              <w:left w:w="100" w:type="dxa"/>
              <w:bottom w:w="80" w:type="dxa"/>
              <w:right w:w="100" w:type="dxa"/>
            </w:tcMar>
          </w:tcPr>
          <w:p w14:paraId="2320D300">
            <w:r>
              <w:rPr>
                <w:rFonts w:ascii="Aptos" w:hAnsi="Aptos"/>
                <w:b w:val="0"/>
                <w:i w:val="0"/>
                <w:color w:val="000000"/>
                <w:sz w:val="17"/>
              </w:rPr>
              <w:t>World Bank — annual country-level tourism receipts</w:t>
            </w:r>
          </w:p>
        </w:tc>
        <w:tc>
          <w:tcPr>
            <w:tcW w:w="3231" w:type="dxa"/>
            <w:shd w:val="clear" w:color="auto" w:fill="F7F9FC"/>
            <w:tcMar>
              <w:top w:w="80" w:type="dxa"/>
              <w:left w:w="100" w:type="dxa"/>
              <w:bottom w:w="80" w:type="dxa"/>
              <w:right w:w="100" w:type="dxa"/>
            </w:tcMar>
          </w:tcPr>
          <w:p w14:paraId="0FBA56F6">
            <w:r>
              <w:fldChar w:fldCharType="begin"/>
            </w:r>
            <w:r>
              <w:instrText xml:space="preserve"> HYPERLINK "https://data.worldbank.org/indicator/ST.INT.RCPT.CD" \h </w:instrText>
            </w:r>
            <w:r>
              <w:fldChar w:fldCharType="separate"/>
            </w:r>
            <w:r>
              <w:rPr>
                <w:color w:val="2F5597"/>
                <w:sz w:val="16"/>
                <w:u w:val="single"/>
              </w:rPr>
              <w:t>https://data.worldbank.org/indicator/ST.INT.RCPT.CD</w:t>
            </w:r>
            <w:r>
              <w:rPr>
                <w:color w:val="2F5597"/>
                <w:sz w:val="16"/>
                <w:u w:val="single"/>
              </w:rPr>
              <w:fldChar w:fldCharType="end"/>
            </w:r>
          </w:p>
        </w:tc>
      </w:tr>
      <w:tr w14:paraId="12AA233D">
        <w:trPr>
          <w:cantSplit/>
          <w:jc w:val="center"/>
        </w:trPr>
        <w:tc>
          <w:tcPr>
            <w:tcW w:w="3005" w:type="dxa"/>
            <w:tcMar>
              <w:top w:w="80" w:type="dxa"/>
              <w:left w:w="100" w:type="dxa"/>
              <w:bottom w:w="80" w:type="dxa"/>
              <w:right w:w="100" w:type="dxa"/>
            </w:tcMar>
          </w:tcPr>
          <w:p w14:paraId="19E56794">
            <w:r>
              <w:rPr>
                <w:rFonts w:ascii="Aptos" w:hAnsi="Aptos"/>
                <w:b w:val="0"/>
                <w:i w:val="0"/>
                <w:color w:val="000000"/>
                <w:sz w:val="17"/>
              </w:rPr>
              <w:t>Country metadata</w:t>
            </w:r>
          </w:p>
        </w:tc>
        <w:tc>
          <w:tcPr>
            <w:tcW w:w="3118" w:type="dxa"/>
            <w:tcMar>
              <w:top w:w="80" w:type="dxa"/>
              <w:left w:w="100" w:type="dxa"/>
              <w:bottom w:w="80" w:type="dxa"/>
              <w:right w:w="100" w:type="dxa"/>
            </w:tcMar>
          </w:tcPr>
          <w:p w14:paraId="65E42C49">
            <w:r>
              <w:rPr>
                <w:rFonts w:ascii="Aptos" w:hAnsi="Aptos"/>
                <w:b w:val="0"/>
                <w:i w:val="0"/>
                <w:color w:val="000000"/>
                <w:sz w:val="17"/>
              </w:rPr>
              <w:t>World Bank — country, region, and income-group classifications</w:t>
            </w:r>
          </w:p>
        </w:tc>
        <w:tc>
          <w:tcPr>
            <w:tcW w:w="3231" w:type="dxa"/>
            <w:tcMar>
              <w:top w:w="80" w:type="dxa"/>
              <w:left w:w="100" w:type="dxa"/>
              <w:bottom w:w="80" w:type="dxa"/>
              <w:right w:w="100" w:type="dxa"/>
            </w:tcMar>
          </w:tcPr>
          <w:p w14:paraId="10975D01">
            <w:r>
              <w:fldChar w:fldCharType="begin"/>
            </w:r>
            <w:r>
              <w:instrText xml:space="preserve"> HYPERLINK "https://api.worldbank.org/v2/country?format=json&amp;per_page=400" \h </w:instrText>
            </w:r>
            <w:r>
              <w:fldChar w:fldCharType="separate"/>
            </w:r>
            <w:r>
              <w:rPr>
                <w:color w:val="2F5597"/>
                <w:sz w:val="16"/>
                <w:u w:val="single"/>
              </w:rPr>
              <w:t>https://api.worldbank.org/v2/country?format=json&amp;per_page=400</w:t>
            </w:r>
            <w:r>
              <w:rPr>
                <w:color w:val="2F5597"/>
                <w:sz w:val="16"/>
                <w:u w:val="single"/>
              </w:rPr>
              <w:fldChar w:fldCharType="end"/>
            </w:r>
          </w:p>
        </w:tc>
      </w:tr>
    </w:tbl>
    <w:p w14:paraId="20B58579">
      <w:pPr>
        <w:pStyle w:val="3"/>
        <w:keepNext/>
      </w:pPr>
      <w:r>
        <w:rPr>
          <w:rFonts w:ascii="Aptos" w:hAnsi="Aptos"/>
          <w:b/>
          <w:color w:val="17365D"/>
          <w:sz w:val="27"/>
        </w:rPr>
        <w:t>5. Visualization Justification</w:t>
      </w:r>
    </w:p>
    <w:p w14:paraId="2923D679">
      <w:pPr>
        <w:spacing w:after="80" w:line="259" w:lineRule="auto"/>
      </w:pPr>
      <w:r>
        <w:rPr>
          <w:rFonts w:ascii="Aptos" w:hAnsi="Aptos"/>
          <w:b w:val="0"/>
          <w:i w:val="0"/>
          <w:color w:val="000000"/>
          <w:sz w:val="21"/>
        </w:rPr>
        <w:t>A regional grouped bar chart will compare median arrivals recovery with median receipts recovery, making differences between tourism volume and tourism earnings visible. A country-level scatter plot will place arrivals recovery on one axis and receipts recovery on the other, allowing readers to identify countries where earnings and visitor numbers moved in different directions. A time-series line chart will provide the global context needed to interpret both comparisons.</w:t>
      </w:r>
    </w:p>
    <w:p w14:paraId="4E28E0CA">
      <w:pPr>
        <w:spacing w:after="80" w:line="259" w:lineRule="auto"/>
      </w:pPr>
      <w:r>
        <w:rPr>
          <w:rFonts w:ascii="Aptos" w:hAnsi="Aptos"/>
          <w:b w:val="0"/>
          <w:i w:val="0"/>
          <w:color w:val="000000"/>
          <w:sz w:val="21"/>
        </w:rPr>
        <w:t>The dashboard will let users filter by region and income group and inspect the underlying country-level observations. This interaction suits a multi-region comparison because it lets the audience move from the overall pattern to specific regional evidence without relying on one summary chart. Every view will include units, source notes, and a short interpretation so that the visuals directly answer the stated research question.</w:t>
      </w:r>
    </w:p>
    <w:p w14:paraId="28414EDD">
      <w:pPr>
        <w:pStyle w:val="3"/>
        <w:keepNext/>
      </w:pPr>
      <w:r>
        <w:rPr>
          <w:rFonts w:ascii="Aptos" w:hAnsi="Aptos"/>
          <w:b/>
          <w:color w:val="17365D"/>
          <w:sz w:val="27"/>
        </w:rPr>
        <w:t>6. Criteria for Success</w:t>
      </w:r>
    </w:p>
    <w:p w14:paraId="7B03D0DB">
      <w:pPr>
        <w:pStyle w:val="16"/>
        <w:spacing w:after="40" w:line="252" w:lineRule="auto"/>
      </w:pPr>
      <w:r>
        <w:rPr>
          <w:rFonts w:ascii="Aptos" w:hAnsi="Aptos"/>
          <w:b/>
          <w:i w:val="0"/>
          <w:color w:val="000000"/>
          <w:sz w:val="21"/>
        </w:rPr>
        <w:t xml:space="preserve">Data and reproducibility: </w:t>
      </w:r>
      <w:r>
        <w:rPr>
          <w:rFonts w:ascii="Aptos" w:hAnsi="Aptos"/>
          <w:b w:val="0"/>
          <w:i w:val="0"/>
          <w:color w:val="000000"/>
          <w:sz w:val="21"/>
        </w:rPr>
        <w:t>Both indicators and the metadata source are documented; the download, cleaning, and analysis steps can be rerun from the submitted notebook.</w:t>
      </w:r>
    </w:p>
    <w:p w14:paraId="48DE5F14">
      <w:pPr>
        <w:pStyle w:val="16"/>
        <w:spacing w:after="40" w:line="252" w:lineRule="auto"/>
      </w:pPr>
      <w:r>
        <w:rPr>
          <w:rFonts w:ascii="Aptos" w:hAnsi="Aptos"/>
          <w:b/>
          <w:i w:val="0"/>
          <w:color w:val="000000"/>
          <w:sz w:val="21"/>
        </w:rPr>
        <w:t xml:space="preserve">Valid comparison: </w:t>
      </w:r>
      <w:r>
        <w:rPr>
          <w:rFonts w:ascii="Aptos" w:hAnsi="Aptos"/>
          <w:b w:val="0"/>
          <w:i w:val="0"/>
          <w:color w:val="000000"/>
          <w:sz w:val="21"/>
        </w:rPr>
        <w:t>The baseline, comparison year, inclusion rules, matched-country sample, and missing-data treatment are explicitly reported.</w:t>
      </w:r>
    </w:p>
    <w:p w14:paraId="00C80E10">
      <w:pPr>
        <w:pStyle w:val="16"/>
        <w:spacing w:after="40" w:line="252" w:lineRule="auto"/>
      </w:pPr>
      <w:r>
        <w:rPr>
          <w:rFonts w:ascii="Aptos" w:hAnsi="Aptos"/>
          <w:b/>
          <w:i w:val="0"/>
          <w:color w:val="000000"/>
          <w:sz w:val="21"/>
        </w:rPr>
        <w:t xml:space="preserve">Correct measures: </w:t>
      </w:r>
      <w:r>
        <w:rPr>
          <w:rFonts w:ascii="Aptos" w:hAnsi="Aptos"/>
          <w:b w:val="0"/>
          <w:i w:val="0"/>
          <w:color w:val="000000"/>
          <w:sz w:val="21"/>
        </w:rPr>
        <w:t>The recovery-index formula is implemented consistently, and regional summaries use an appropriate median or documented aggregation rule.</w:t>
      </w:r>
    </w:p>
    <w:p w14:paraId="548EB7BE">
      <w:pPr>
        <w:pStyle w:val="16"/>
        <w:spacing w:after="40" w:line="252" w:lineRule="auto"/>
      </w:pPr>
      <w:r>
        <w:rPr>
          <w:rFonts w:ascii="Aptos" w:hAnsi="Aptos"/>
          <w:b/>
          <w:i w:val="0"/>
          <w:color w:val="000000"/>
          <w:sz w:val="21"/>
        </w:rPr>
        <w:t xml:space="preserve">Clear visual evidence: </w:t>
      </w:r>
      <w:r>
        <w:rPr>
          <w:rFonts w:ascii="Aptos" w:hAnsi="Aptos"/>
          <w:b w:val="0"/>
          <w:i w:val="0"/>
          <w:color w:val="000000"/>
          <w:sz w:val="21"/>
        </w:rPr>
        <w:t>Charts have descriptive titles, labelled axes, units, source notes, and captions; truncation and colour choices do not exaggerate differences.</w:t>
      </w:r>
    </w:p>
    <w:p w14:paraId="1784F8E4">
      <w:pPr>
        <w:pStyle w:val="16"/>
        <w:spacing w:after="40" w:line="252" w:lineRule="auto"/>
      </w:pPr>
      <w:r>
        <w:rPr>
          <w:rFonts w:ascii="Aptos" w:hAnsi="Aptos"/>
          <w:b/>
          <w:i w:val="0"/>
          <w:color w:val="000000"/>
          <w:sz w:val="21"/>
        </w:rPr>
        <w:t xml:space="preserve">Complete interpretation: </w:t>
      </w:r>
      <w:r>
        <w:rPr>
          <w:rFonts w:ascii="Aptos" w:hAnsi="Aptos"/>
          <w:b w:val="0"/>
          <w:i w:val="0"/>
          <w:color w:val="000000"/>
          <w:sz w:val="21"/>
        </w:rPr>
        <w:t>The final narrative answers the research question and separates evidence from speculative explanations.</w:t>
      </w:r>
    </w:p>
    <w:p w14:paraId="1B226D06">
      <w:pPr>
        <w:pStyle w:val="16"/>
        <w:spacing w:after="40" w:line="252" w:lineRule="auto"/>
      </w:pPr>
      <w:r>
        <w:rPr>
          <w:rFonts w:ascii="Aptos" w:hAnsi="Aptos"/>
          <w:b/>
          <w:i w:val="0"/>
          <w:color w:val="000000"/>
          <w:sz w:val="21"/>
        </w:rPr>
        <w:t xml:space="preserve">Responsible conclusions: </w:t>
      </w:r>
      <w:r>
        <w:rPr>
          <w:rFonts w:ascii="Aptos" w:hAnsi="Aptos"/>
          <w:b w:val="0"/>
          <w:i w:val="0"/>
          <w:color w:val="000000"/>
          <w:sz w:val="21"/>
        </w:rPr>
        <w:t>Limitations include reporting differences, missing country data, current-US-dollar effects, and the fact that associations are not causal proof.</w:t>
      </w:r>
    </w:p>
    <w:p w14:paraId="1A7804F3">
      <w:pPr>
        <w:pStyle w:val="16"/>
        <w:spacing w:after="40" w:line="252" w:lineRule="auto"/>
      </w:pPr>
      <w:r>
        <w:rPr>
          <w:rFonts w:ascii="Aptos" w:hAnsi="Aptos"/>
          <w:b/>
          <w:i w:val="0"/>
          <w:color w:val="000000"/>
          <w:sz w:val="21"/>
        </w:rPr>
        <w:t xml:space="preserve">Functional dashboard: </w:t>
      </w:r>
      <w:r>
        <w:rPr>
          <w:rFonts w:ascii="Aptos" w:hAnsi="Aptos"/>
          <w:b w:val="0"/>
          <w:i w:val="0"/>
          <w:color w:val="000000"/>
          <w:sz w:val="21"/>
        </w:rPr>
        <w:t>The dashboard runs from the README instructions, filters work correctly, and charts respond without errors.</w:t>
      </w:r>
    </w:p>
    <w:p w14:paraId="15E533C7">
      <w:pPr>
        <w:pStyle w:val="16"/>
        <w:spacing w:after="40" w:line="252" w:lineRule="auto"/>
      </w:pPr>
      <w:r>
        <w:rPr>
          <w:rFonts w:ascii="Aptos" w:hAnsi="Aptos"/>
          <w:b/>
          <w:i w:val="0"/>
          <w:color w:val="000000"/>
          <w:sz w:val="21"/>
        </w:rPr>
        <w:t xml:space="preserve">Submission quality: </w:t>
      </w:r>
      <w:r>
        <w:rPr>
          <w:rFonts w:ascii="Aptos" w:hAnsi="Aptos"/>
          <w:b w:val="0"/>
          <w:i w:val="0"/>
          <w:color w:val="000000"/>
          <w:sz w:val="21"/>
        </w:rPr>
        <w:t>The Word proposal, notebook, dashboard package, screenshot, and required filenames are complete and checked before submission.</w:t>
      </w:r>
    </w:p>
    <w:p w14:paraId="7A1FBAA8">
      <w:pPr>
        <w:pStyle w:val="3"/>
        <w:keepNext/>
      </w:pPr>
      <w:r>
        <w:rPr>
          <w:rFonts w:ascii="Aptos" w:hAnsi="Aptos"/>
          <w:b/>
          <w:color w:val="17365D"/>
          <w:sz w:val="27"/>
        </w:rPr>
        <w:t>7. Project Collaboration</w:t>
      </w:r>
    </w:p>
    <w:p w14:paraId="5475F41F">
      <w:pPr>
        <w:pStyle w:val="4"/>
        <w:keepNext/>
        <w:spacing w:before="80" w:after="40"/>
      </w:pPr>
      <w:r>
        <w:rPr>
          <w:rFonts w:ascii="Aptos" w:hAnsi="Aptos"/>
          <w:b/>
          <w:i w:val="0"/>
          <w:color w:val="2F5597"/>
          <w:sz w:val="21"/>
        </w:rPr>
        <w:t>Division of work</w:t>
      </w:r>
    </w:p>
    <w:p w14:paraId="62AB224D">
      <w:pPr>
        <w:pStyle w:val="16"/>
        <w:spacing w:after="40" w:line="252" w:lineRule="auto"/>
      </w:pPr>
      <w:r>
        <w:rPr>
          <w:rFonts w:ascii="Aptos" w:hAnsi="Aptos"/>
          <w:b/>
          <w:i w:val="0"/>
          <w:color w:val="000000"/>
          <w:sz w:val="21"/>
        </w:rPr>
        <w:t>Project coordinator and liaison — He</w:t>
      </w:r>
      <w:r>
        <w:rPr>
          <w:rFonts w:hint="eastAsia" w:eastAsia="宋体"/>
          <w:b/>
          <w:i w:val="0"/>
          <w:color w:val="000000"/>
          <w:sz w:val="21"/>
          <w:lang w:val="en-US" w:eastAsia="zh-CN"/>
        </w:rPr>
        <w:t xml:space="preserve"> Kejia</w:t>
      </w:r>
      <w:r>
        <w:rPr>
          <w:rFonts w:ascii="Aptos" w:hAnsi="Aptos"/>
          <w:b/>
          <w:i w:val="0"/>
          <w:color w:val="000000"/>
          <w:sz w:val="21"/>
        </w:rPr>
        <w:t xml:space="preserve">: </w:t>
      </w:r>
      <w:r>
        <w:rPr>
          <w:rFonts w:ascii="Aptos" w:hAnsi="Aptos"/>
          <w:b w:val="0"/>
          <w:i w:val="0"/>
          <w:color w:val="000000"/>
          <w:sz w:val="21"/>
        </w:rPr>
        <w:t>Coordinates the project schedule, maintains the shared folder, and liaises with the instructor.</w:t>
      </w:r>
    </w:p>
    <w:p w14:paraId="43671204">
      <w:pPr>
        <w:pStyle w:val="16"/>
        <w:spacing w:after="40" w:line="252" w:lineRule="auto"/>
      </w:pPr>
      <w:r>
        <w:rPr>
          <w:rFonts w:ascii="Aptos" w:hAnsi="Aptos"/>
          <w:b/>
          <w:i w:val="0"/>
          <w:color w:val="000000"/>
          <w:sz w:val="21"/>
        </w:rPr>
        <w:t xml:space="preserve">Project scribe — </w:t>
      </w:r>
      <w:r>
        <w:rPr>
          <w:rFonts w:hint="eastAsia" w:eastAsia="宋体"/>
          <w:b/>
          <w:i w:val="0"/>
          <w:color w:val="000000"/>
          <w:sz w:val="21"/>
          <w:lang w:val="en-US" w:eastAsia="zh-CN"/>
        </w:rPr>
        <w:t>Dong Yushuo</w:t>
      </w:r>
      <w:r>
        <w:rPr>
          <w:rFonts w:ascii="Aptos" w:hAnsi="Aptos"/>
          <w:b/>
          <w:i w:val="0"/>
          <w:color w:val="000000"/>
          <w:sz w:val="21"/>
        </w:rPr>
        <w:t xml:space="preserve">: </w:t>
      </w:r>
      <w:r>
        <w:rPr>
          <w:rFonts w:ascii="Aptos" w:hAnsi="Aptos"/>
          <w:b w:val="0"/>
          <w:i w:val="0"/>
          <w:color w:val="000000"/>
          <w:sz w:val="21"/>
        </w:rPr>
        <w:t>Maintains meeting notes, decisions, and the issue log.</w:t>
      </w:r>
    </w:p>
    <w:p w14:paraId="5519A436">
      <w:pPr>
        <w:pStyle w:val="16"/>
        <w:spacing w:after="40" w:line="252" w:lineRule="auto"/>
      </w:pPr>
      <w:r>
        <w:rPr>
          <w:rFonts w:ascii="Aptos" w:hAnsi="Aptos"/>
          <w:b/>
          <w:i w:val="0"/>
          <w:color w:val="000000"/>
          <w:sz w:val="21"/>
        </w:rPr>
        <w:t xml:space="preserve">Progress tracker — </w:t>
      </w:r>
      <w:r>
        <w:rPr>
          <w:rFonts w:hint="eastAsia" w:eastAsia="宋体"/>
          <w:b/>
          <w:i w:val="0"/>
          <w:color w:val="000000"/>
          <w:sz w:val="21"/>
          <w:lang w:val="en-US" w:eastAsia="zh-CN"/>
        </w:rPr>
        <w:t>Dong Yushuo</w:t>
      </w:r>
      <w:bookmarkStart w:id="0" w:name="_GoBack"/>
      <w:bookmarkEnd w:id="0"/>
      <w:r>
        <w:rPr>
          <w:rFonts w:ascii="Aptos" w:hAnsi="Aptos"/>
          <w:b/>
          <w:i w:val="0"/>
          <w:color w:val="000000"/>
          <w:sz w:val="21"/>
        </w:rPr>
        <w:t xml:space="preserve">: </w:t>
      </w:r>
      <w:r>
        <w:rPr>
          <w:rFonts w:ascii="Aptos" w:hAnsi="Aptos"/>
          <w:b w:val="0"/>
          <w:i w:val="0"/>
          <w:color w:val="000000"/>
          <w:sz w:val="21"/>
        </w:rPr>
        <w:t>Tracks weekly milestones and reviews submission completeness.</w:t>
      </w:r>
    </w:p>
    <w:p w14:paraId="757AA8E4">
      <w:pPr>
        <w:pStyle w:val="16"/>
        <w:spacing w:after="40" w:line="252" w:lineRule="auto"/>
      </w:pPr>
      <w:r>
        <w:rPr>
          <w:rFonts w:ascii="Aptos" w:hAnsi="Aptos"/>
          <w:b/>
          <w:i w:val="0"/>
          <w:color w:val="000000"/>
          <w:sz w:val="21"/>
        </w:rPr>
        <w:t xml:space="preserve">Shared responsibility: </w:t>
      </w:r>
      <w:r>
        <w:rPr>
          <w:rFonts w:ascii="Aptos" w:hAnsi="Aptos"/>
          <w:b w:val="0"/>
          <w:i w:val="0"/>
          <w:color w:val="000000"/>
          <w:sz w:val="21"/>
        </w:rPr>
        <w:t>Both members jointly define the analysis, review every output, and prepare the final explanation.</w:t>
      </w:r>
    </w:p>
    <w:p w14:paraId="769A4022">
      <w:pPr>
        <w:pStyle w:val="4"/>
        <w:keepNext/>
        <w:spacing w:before="80" w:after="40"/>
      </w:pPr>
      <w:r>
        <w:rPr>
          <w:rFonts w:ascii="Aptos" w:hAnsi="Aptos"/>
          <w:b/>
          <w:i w:val="0"/>
          <w:color w:val="2F5597"/>
          <w:sz w:val="21"/>
        </w:rPr>
        <w:t>Ground rules</w:t>
      </w:r>
    </w:p>
    <w:p w14:paraId="07B2F0A3">
      <w:pPr>
        <w:pStyle w:val="16"/>
        <w:spacing w:after="40" w:line="252" w:lineRule="auto"/>
      </w:pPr>
      <w:r>
        <w:rPr>
          <w:rFonts w:ascii="Aptos" w:hAnsi="Aptos"/>
          <w:b w:val="0"/>
          <w:i w:val="0"/>
          <w:color w:val="000000"/>
          <w:sz w:val="21"/>
        </w:rPr>
        <w:t>Meet once each week and confirm the next milestone before ending the meeting.</w:t>
      </w:r>
    </w:p>
    <w:p w14:paraId="5B1B531A">
      <w:pPr>
        <w:pStyle w:val="16"/>
        <w:spacing w:after="40" w:line="252" w:lineRule="auto"/>
      </w:pPr>
      <w:r>
        <w:rPr>
          <w:rFonts w:ascii="Aptos" w:hAnsi="Aptos"/>
          <w:b w:val="0"/>
          <w:i w:val="0"/>
          <w:color w:val="000000"/>
          <w:sz w:val="21"/>
        </w:rPr>
        <w:t>Record major analytical changes in the shared decision log.</w:t>
      </w:r>
    </w:p>
    <w:p w14:paraId="6899379D">
      <w:pPr>
        <w:pStyle w:val="16"/>
        <w:spacing w:after="40" w:line="252" w:lineRule="auto"/>
      </w:pPr>
      <w:r>
        <w:rPr>
          <w:rFonts w:ascii="Aptos" w:hAnsi="Aptos"/>
          <w:b w:val="0"/>
          <w:i w:val="0"/>
          <w:color w:val="000000"/>
          <w:sz w:val="21"/>
        </w:rPr>
        <w:t>Review each other’s code and writing before a deliverable is marked complete.</w:t>
      </w:r>
    </w:p>
    <w:p w14:paraId="12B41ABC">
      <w:pPr>
        <w:pStyle w:val="16"/>
        <w:spacing w:after="40" w:line="252" w:lineRule="auto"/>
      </w:pPr>
      <w:r>
        <w:rPr>
          <w:rFonts w:ascii="Aptos" w:hAnsi="Aptos"/>
          <w:b w:val="0"/>
          <w:i w:val="0"/>
          <w:color w:val="000000"/>
          <w:sz w:val="21"/>
        </w:rPr>
        <w:t>Keep a shared backup of the notebook and dashboard files.</w:t>
      </w:r>
    </w:p>
    <w:p w14:paraId="3CE5282F">
      <w:pPr>
        <w:pStyle w:val="16"/>
        <w:spacing w:after="40" w:line="252" w:lineRule="auto"/>
      </w:pPr>
      <w:r>
        <w:rPr>
          <w:rFonts w:ascii="Aptos" w:hAnsi="Aptos"/>
          <w:b w:val="0"/>
          <w:i w:val="0"/>
          <w:color w:val="000000"/>
          <w:sz w:val="21"/>
        </w:rPr>
        <w:t>Resolve disagreements by testing the alternative against the research question and documenting the final choice.</w:t>
      </w:r>
    </w:p>
    <w:p w14:paraId="1467E19C">
      <w:pPr>
        <w:pStyle w:val="16"/>
        <w:spacing w:after="40" w:line="252" w:lineRule="auto"/>
      </w:pPr>
      <w:r>
        <w:rPr>
          <w:rFonts w:ascii="Aptos" w:hAnsi="Aptos"/>
          <w:b w:val="0"/>
          <w:i w:val="0"/>
          <w:color w:val="000000"/>
          <w:sz w:val="21"/>
        </w:rPr>
        <w:t>Complete the final package at least 48 hours before the deadline for independent checking.</w:t>
      </w:r>
    </w:p>
    <w:p w14:paraId="205DCD49">
      <w:pPr>
        <w:pStyle w:val="3"/>
        <w:keepNext/>
      </w:pPr>
      <w:r>
        <w:rPr>
          <w:rFonts w:ascii="Aptos" w:hAnsi="Aptos"/>
          <w:b/>
          <w:color w:val="17365D"/>
          <w:sz w:val="27"/>
        </w:rPr>
        <w:t>8. Project Timeline and Deliverables</w:t>
      </w:r>
    </w:p>
    <w:tbl>
      <w:tblPr>
        <w:tblStyle w:val="3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3213"/>
        <w:gridCol w:w="3213"/>
        <w:gridCol w:w="3213"/>
      </w:tblGrid>
      <w:tr w14:paraId="61B640F8">
        <w:trPr>
          <w:cantSplit/>
          <w:tblHeader/>
          <w:jc w:val="center"/>
        </w:trPr>
        <w:tc>
          <w:tcPr>
            <w:tcW w:w="1304" w:type="dxa"/>
            <w:shd w:val="clear" w:color="auto" w:fill="17365D"/>
            <w:tcMar>
              <w:top w:w="70" w:type="dxa"/>
              <w:left w:w="100" w:type="dxa"/>
              <w:bottom w:w="70" w:type="dxa"/>
              <w:right w:w="100" w:type="dxa"/>
            </w:tcMar>
            <w:vAlign w:val="center"/>
          </w:tcPr>
          <w:p w14:paraId="66F50835">
            <w:pPr>
              <w:jc w:val="left"/>
            </w:pPr>
            <w:r>
              <w:rPr>
                <w:rFonts w:ascii="Aptos" w:hAnsi="Aptos"/>
                <w:b/>
                <w:i w:val="0"/>
                <w:color w:val="FFFFFF"/>
                <w:sz w:val="18"/>
              </w:rPr>
              <w:t>Stage</w:t>
            </w:r>
          </w:p>
        </w:tc>
        <w:tc>
          <w:tcPr>
            <w:tcW w:w="5216" w:type="dxa"/>
            <w:shd w:val="clear" w:color="auto" w:fill="17365D"/>
            <w:tcMar>
              <w:top w:w="70" w:type="dxa"/>
              <w:left w:w="100" w:type="dxa"/>
              <w:bottom w:w="70" w:type="dxa"/>
              <w:right w:w="100" w:type="dxa"/>
            </w:tcMar>
            <w:vAlign w:val="center"/>
          </w:tcPr>
          <w:p w14:paraId="2564E648">
            <w:pPr>
              <w:jc w:val="left"/>
            </w:pPr>
            <w:r>
              <w:rPr>
                <w:rFonts w:ascii="Aptos" w:hAnsi="Aptos"/>
                <w:b/>
                <w:i w:val="0"/>
                <w:color w:val="FFFFFF"/>
                <w:sz w:val="18"/>
              </w:rPr>
              <w:t>Main activity</w:t>
            </w:r>
          </w:p>
        </w:tc>
        <w:tc>
          <w:tcPr>
            <w:tcW w:w="2835" w:type="dxa"/>
            <w:shd w:val="clear" w:color="auto" w:fill="17365D"/>
            <w:tcMar>
              <w:top w:w="70" w:type="dxa"/>
              <w:left w:w="100" w:type="dxa"/>
              <w:bottom w:w="70" w:type="dxa"/>
              <w:right w:w="100" w:type="dxa"/>
            </w:tcMar>
            <w:vAlign w:val="center"/>
          </w:tcPr>
          <w:p w14:paraId="2A1276C1">
            <w:pPr>
              <w:jc w:val="left"/>
            </w:pPr>
            <w:r>
              <w:rPr>
                <w:rFonts w:ascii="Aptos" w:hAnsi="Aptos"/>
                <w:b/>
                <w:i w:val="0"/>
                <w:color w:val="FFFFFF"/>
                <w:sz w:val="18"/>
              </w:rPr>
              <w:t>Required output</w:t>
            </w:r>
          </w:p>
        </w:tc>
      </w:tr>
      <w:tr w14:paraId="335C8111">
        <w:trPr>
          <w:cantSplit/>
          <w:jc w:val="center"/>
        </w:trPr>
        <w:tc>
          <w:tcPr>
            <w:tcW w:w="1304" w:type="dxa"/>
            <w:tcMar>
              <w:top w:w="55" w:type="dxa"/>
              <w:left w:w="100" w:type="dxa"/>
              <w:bottom w:w="55" w:type="dxa"/>
              <w:right w:w="100" w:type="dxa"/>
            </w:tcMar>
            <w:vAlign w:val="top"/>
          </w:tcPr>
          <w:p w14:paraId="107B1C9D">
            <w:pPr>
              <w:spacing w:after="0" w:line="240" w:lineRule="auto"/>
            </w:pPr>
            <w:r>
              <w:rPr>
                <w:rFonts w:ascii="Aptos" w:hAnsi="Aptos"/>
                <w:b w:val="0"/>
                <w:i w:val="0"/>
                <w:color w:val="000000"/>
                <w:sz w:val="18"/>
              </w:rPr>
              <w:t>Week 1</w:t>
            </w:r>
          </w:p>
        </w:tc>
        <w:tc>
          <w:tcPr>
            <w:tcW w:w="5216" w:type="dxa"/>
            <w:tcMar>
              <w:top w:w="55" w:type="dxa"/>
              <w:left w:w="100" w:type="dxa"/>
              <w:bottom w:w="55" w:type="dxa"/>
              <w:right w:w="100" w:type="dxa"/>
            </w:tcMar>
            <w:vAlign w:val="top"/>
          </w:tcPr>
          <w:p w14:paraId="0DDD4A16">
            <w:pPr>
              <w:spacing w:after="0" w:line="240" w:lineRule="auto"/>
            </w:pPr>
            <w:r>
              <w:rPr>
                <w:rFonts w:ascii="Aptos" w:hAnsi="Aptos"/>
                <w:b w:val="0"/>
                <w:i w:val="0"/>
                <w:color w:val="000000"/>
                <w:sz w:val="18"/>
              </w:rPr>
              <w:t>Confirm topic, question, data sources, indicators, and division of work.</w:t>
            </w:r>
          </w:p>
        </w:tc>
        <w:tc>
          <w:tcPr>
            <w:tcW w:w="2835" w:type="dxa"/>
            <w:tcMar>
              <w:top w:w="55" w:type="dxa"/>
              <w:left w:w="100" w:type="dxa"/>
              <w:bottom w:w="55" w:type="dxa"/>
              <w:right w:w="100" w:type="dxa"/>
            </w:tcMar>
            <w:vAlign w:val="top"/>
          </w:tcPr>
          <w:p w14:paraId="13283B86">
            <w:pPr>
              <w:spacing w:after="0" w:line="240" w:lineRule="auto"/>
            </w:pPr>
            <w:r>
              <w:rPr>
                <w:rFonts w:ascii="Aptos" w:hAnsi="Aptos"/>
                <w:b w:val="0"/>
                <w:i w:val="0"/>
                <w:color w:val="000000"/>
                <w:sz w:val="18"/>
              </w:rPr>
              <w:t>Approved scope and data dictionary</w:t>
            </w:r>
          </w:p>
        </w:tc>
      </w:tr>
      <w:tr w14:paraId="3BF10C9A">
        <w:trPr>
          <w:cantSplit/>
          <w:jc w:val="center"/>
        </w:trPr>
        <w:tc>
          <w:tcPr>
            <w:tcW w:w="1304" w:type="dxa"/>
            <w:shd w:val="clear" w:color="auto" w:fill="F7F9FC"/>
            <w:tcMar>
              <w:top w:w="55" w:type="dxa"/>
              <w:left w:w="100" w:type="dxa"/>
              <w:bottom w:w="55" w:type="dxa"/>
              <w:right w:w="100" w:type="dxa"/>
            </w:tcMar>
            <w:vAlign w:val="top"/>
          </w:tcPr>
          <w:p w14:paraId="144DE793">
            <w:pPr>
              <w:spacing w:after="0" w:line="240" w:lineRule="auto"/>
            </w:pPr>
            <w:r>
              <w:rPr>
                <w:rFonts w:ascii="Aptos" w:hAnsi="Aptos"/>
                <w:b w:val="0"/>
                <w:i w:val="0"/>
                <w:color w:val="000000"/>
                <w:sz w:val="18"/>
              </w:rPr>
              <w:t>Week 2</w:t>
            </w:r>
          </w:p>
        </w:tc>
        <w:tc>
          <w:tcPr>
            <w:tcW w:w="5216" w:type="dxa"/>
            <w:shd w:val="clear" w:color="auto" w:fill="F7F9FC"/>
            <w:tcMar>
              <w:top w:w="55" w:type="dxa"/>
              <w:left w:w="100" w:type="dxa"/>
              <w:bottom w:w="55" w:type="dxa"/>
              <w:right w:w="100" w:type="dxa"/>
            </w:tcMar>
            <w:vAlign w:val="top"/>
          </w:tcPr>
          <w:p w14:paraId="658EC8AF">
            <w:pPr>
              <w:spacing w:after="0" w:line="240" w:lineRule="auto"/>
            </w:pPr>
            <w:r>
              <w:rPr>
                <w:rFonts w:ascii="Aptos" w:hAnsi="Aptos"/>
                <w:b w:val="0"/>
                <w:i w:val="0"/>
                <w:color w:val="000000"/>
                <w:sz w:val="18"/>
              </w:rPr>
              <w:t>Download and clean the data; validate country matches and missing values.</w:t>
            </w:r>
          </w:p>
        </w:tc>
        <w:tc>
          <w:tcPr>
            <w:tcW w:w="2835" w:type="dxa"/>
            <w:shd w:val="clear" w:color="auto" w:fill="F7F9FC"/>
            <w:tcMar>
              <w:top w:w="55" w:type="dxa"/>
              <w:left w:w="100" w:type="dxa"/>
              <w:bottom w:w="55" w:type="dxa"/>
              <w:right w:w="100" w:type="dxa"/>
            </w:tcMar>
            <w:vAlign w:val="top"/>
          </w:tcPr>
          <w:p w14:paraId="7E9BEB6E">
            <w:pPr>
              <w:spacing w:after="0" w:line="240" w:lineRule="auto"/>
            </w:pPr>
            <w:r>
              <w:rPr>
                <w:rFonts w:ascii="Aptos" w:hAnsi="Aptos"/>
                <w:b w:val="0"/>
                <w:i w:val="0"/>
                <w:color w:val="000000"/>
                <w:sz w:val="18"/>
              </w:rPr>
              <w:t>Clean dataset and source log</w:t>
            </w:r>
          </w:p>
        </w:tc>
      </w:tr>
      <w:tr w14:paraId="65A08DCA">
        <w:trPr>
          <w:cantSplit/>
          <w:jc w:val="center"/>
        </w:trPr>
        <w:tc>
          <w:tcPr>
            <w:tcW w:w="1304" w:type="dxa"/>
            <w:tcMar>
              <w:top w:w="55" w:type="dxa"/>
              <w:left w:w="100" w:type="dxa"/>
              <w:bottom w:w="55" w:type="dxa"/>
              <w:right w:w="100" w:type="dxa"/>
            </w:tcMar>
            <w:vAlign w:val="top"/>
          </w:tcPr>
          <w:p w14:paraId="7E72B037">
            <w:pPr>
              <w:spacing w:after="0" w:line="240" w:lineRule="auto"/>
            </w:pPr>
            <w:r>
              <w:rPr>
                <w:rFonts w:ascii="Aptos" w:hAnsi="Aptos"/>
                <w:b w:val="0"/>
                <w:i w:val="0"/>
                <w:color w:val="000000"/>
                <w:sz w:val="18"/>
              </w:rPr>
              <w:t>Week 3</w:t>
            </w:r>
          </w:p>
        </w:tc>
        <w:tc>
          <w:tcPr>
            <w:tcW w:w="5216" w:type="dxa"/>
            <w:tcMar>
              <w:top w:w="55" w:type="dxa"/>
              <w:left w:w="100" w:type="dxa"/>
              <w:bottom w:w="55" w:type="dxa"/>
              <w:right w:w="100" w:type="dxa"/>
            </w:tcMar>
            <w:vAlign w:val="top"/>
          </w:tcPr>
          <w:p w14:paraId="4DEF7BAD">
            <w:pPr>
              <w:spacing w:after="0" w:line="240" w:lineRule="auto"/>
            </w:pPr>
            <w:r>
              <w:rPr>
                <w:rFonts w:ascii="Aptos" w:hAnsi="Aptos"/>
                <w:b w:val="0"/>
                <w:i w:val="0"/>
                <w:color w:val="000000"/>
                <w:sz w:val="18"/>
              </w:rPr>
              <w:t>Compute recovery indices; complete exploratory and regional analysis.</w:t>
            </w:r>
          </w:p>
        </w:tc>
        <w:tc>
          <w:tcPr>
            <w:tcW w:w="2835" w:type="dxa"/>
            <w:tcMar>
              <w:top w:w="55" w:type="dxa"/>
              <w:left w:w="100" w:type="dxa"/>
              <w:bottom w:w="55" w:type="dxa"/>
              <w:right w:w="100" w:type="dxa"/>
            </w:tcMar>
            <w:vAlign w:val="top"/>
          </w:tcPr>
          <w:p w14:paraId="60DE82B1">
            <w:pPr>
              <w:spacing w:after="0" w:line="240" w:lineRule="auto"/>
            </w:pPr>
            <w:r>
              <w:rPr>
                <w:rFonts w:ascii="Aptos" w:hAnsi="Aptos"/>
                <w:b w:val="0"/>
                <w:i w:val="0"/>
                <w:color w:val="000000"/>
                <w:sz w:val="18"/>
              </w:rPr>
              <w:t>Analysis notebook and summary tables</w:t>
            </w:r>
          </w:p>
        </w:tc>
      </w:tr>
      <w:tr w14:paraId="640DA882">
        <w:trPr>
          <w:cantSplit/>
          <w:jc w:val="center"/>
        </w:trPr>
        <w:tc>
          <w:tcPr>
            <w:tcW w:w="1304" w:type="dxa"/>
            <w:shd w:val="clear" w:color="auto" w:fill="F7F9FC"/>
            <w:tcMar>
              <w:top w:w="55" w:type="dxa"/>
              <w:left w:w="100" w:type="dxa"/>
              <w:bottom w:w="55" w:type="dxa"/>
              <w:right w:w="100" w:type="dxa"/>
            </w:tcMar>
            <w:vAlign w:val="top"/>
          </w:tcPr>
          <w:p w14:paraId="4799A593">
            <w:pPr>
              <w:spacing w:after="0" w:line="240" w:lineRule="auto"/>
            </w:pPr>
            <w:r>
              <w:rPr>
                <w:rFonts w:ascii="Aptos" w:hAnsi="Aptos"/>
                <w:b w:val="0"/>
                <w:i w:val="0"/>
                <w:color w:val="000000"/>
                <w:sz w:val="18"/>
              </w:rPr>
              <w:t>Week 4</w:t>
            </w:r>
          </w:p>
        </w:tc>
        <w:tc>
          <w:tcPr>
            <w:tcW w:w="5216" w:type="dxa"/>
            <w:shd w:val="clear" w:color="auto" w:fill="F7F9FC"/>
            <w:tcMar>
              <w:top w:w="55" w:type="dxa"/>
              <w:left w:w="100" w:type="dxa"/>
              <w:bottom w:w="55" w:type="dxa"/>
              <w:right w:w="100" w:type="dxa"/>
            </w:tcMar>
            <w:vAlign w:val="top"/>
          </w:tcPr>
          <w:p w14:paraId="6072D723">
            <w:pPr>
              <w:spacing w:after="0" w:line="240" w:lineRule="auto"/>
            </w:pPr>
            <w:r>
              <w:rPr>
                <w:rFonts w:ascii="Aptos" w:hAnsi="Aptos"/>
                <w:b w:val="0"/>
                <w:i w:val="0"/>
                <w:color w:val="000000"/>
                <w:sz w:val="18"/>
              </w:rPr>
              <w:t>Produce static figures and draft the interactive dashboard.</w:t>
            </w:r>
          </w:p>
        </w:tc>
        <w:tc>
          <w:tcPr>
            <w:tcW w:w="2835" w:type="dxa"/>
            <w:shd w:val="clear" w:color="auto" w:fill="F7F9FC"/>
            <w:tcMar>
              <w:top w:w="55" w:type="dxa"/>
              <w:left w:w="100" w:type="dxa"/>
              <w:bottom w:w="55" w:type="dxa"/>
              <w:right w:w="100" w:type="dxa"/>
            </w:tcMar>
            <w:vAlign w:val="top"/>
          </w:tcPr>
          <w:p w14:paraId="3E456F3D">
            <w:pPr>
              <w:spacing w:after="0" w:line="240" w:lineRule="auto"/>
            </w:pPr>
            <w:r>
              <w:rPr>
                <w:rFonts w:ascii="Aptos" w:hAnsi="Aptos"/>
                <w:b w:val="0"/>
                <w:i w:val="0"/>
                <w:color w:val="000000"/>
                <w:sz w:val="18"/>
              </w:rPr>
              <w:t>Static figures and dashboard prototype</w:t>
            </w:r>
          </w:p>
        </w:tc>
      </w:tr>
      <w:tr w14:paraId="50FBD138">
        <w:trPr>
          <w:cantSplit/>
          <w:jc w:val="center"/>
        </w:trPr>
        <w:tc>
          <w:tcPr>
            <w:tcW w:w="1304" w:type="dxa"/>
            <w:tcMar>
              <w:top w:w="55" w:type="dxa"/>
              <w:left w:w="100" w:type="dxa"/>
              <w:bottom w:w="55" w:type="dxa"/>
              <w:right w:w="100" w:type="dxa"/>
            </w:tcMar>
            <w:vAlign w:val="top"/>
          </w:tcPr>
          <w:p w14:paraId="10EDCC0C">
            <w:pPr>
              <w:spacing w:after="0" w:line="240" w:lineRule="auto"/>
            </w:pPr>
            <w:r>
              <w:rPr>
                <w:rFonts w:ascii="Aptos" w:hAnsi="Aptos"/>
                <w:b w:val="0"/>
                <w:i w:val="0"/>
                <w:color w:val="000000"/>
                <w:sz w:val="18"/>
              </w:rPr>
              <w:t>Week 5</w:t>
            </w:r>
          </w:p>
        </w:tc>
        <w:tc>
          <w:tcPr>
            <w:tcW w:w="5216" w:type="dxa"/>
            <w:tcMar>
              <w:top w:w="55" w:type="dxa"/>
              <w:left w:w="100" w:type="dxa"/>
              <w:bottom w:w="55" w:type="dxa"/>
              <w:right w:w="100" w:type="dxa"/>
            </w:tcMar>
            <w:vAlign w:val="top"/>
          </w:tcPr>
          <w:p w14:paraId="1C66A792">
            <w:pPr>
              <w:spacing w:after="0" w:line="240" w:lineRule="auto"/>
            </w:pPr>
            <w:r>
              <w:rPr>
                <w:rFonts w:ascii="Aptos" w:hAnsi="Aptos"/>
                <w:b w:val="0"/>
                <w:i w:val="0"/>
                <w:color w:val="000000"/>
                <w:sz w:val="18"/>
              </w:rPr>
              <w:t>Finish the dashboard, verify reproducibility, document limitations, and assemble files.</w:t>
            </w:r>
          </w:p>
        </w:tc>
        <w:tc>
          <w:tcPr>
            <w:tcW w:w="2835" w:type="dxa"/>
            <w:tcMar>
              <w:top w:w="55" w:type="dxa"/>
              <w:left w:w="100" w:type="dxa"/>
              <w:bottom w:w="55" w:type="dxa"/>
              <w:right w:w="100" w:type="dxa"/>
            </w:tcMar>
            <w:vAlign w:val="top"/>
          </w:tcPr>
          <w:p w14:paraId="1B8DD060">
            <w:pPr>
              <w:spacing w:after="0" w:line="240" w:lineRule="auto"/>
            </w:pPr>
            <w:r>
              <w:rPr>
                <w:rFonts w:ascii="Aptos" w:hAnsi="Aptos"/>
                <w:b w:val="0"/>
                <w:i w:val="0"/>
                <w:color w:val="000000"/>
                <w:sz w:val="18"/>
              </w:rPr>
              <w:t>Final notebook, dashboard package, README, and QA checklist</w:t>
            </w:r>
          </w:p>
        </w:tc>
      </w:tr>
    </w:tbl>
    <w:p w14:paraId="2AFE1323">
      <w:pPr>
        <w:pStyle w:val="4"/>
        <w:keepNext/>
        <w:spacing w:before="80" w:after="40"/>
      </w:pPr>
      <w:r>
        <w:rPr>
          <w:rFonts w:ascii="Aptos" w:hAnsi="Aptos"/>
          <w:b/>
          <w:i w:val="0"/>
          <w:color w:val="2F5597"/>
          <w:sz w:val="21"/>
        </w:rPr>
        <w:t>Final deliverables</w:t>
      </w:r>
    </w:p>
    <w:p w14:paraId="6340B837">
      <w:pPr>
        <w:pStyle w:val="16"/>
        <w:spacing w:after="40" w:line="252" w:lineRule="auto"/>
      </w:pPr>
      <w:r>
        <w:rPr>
          <w:rFonts w:ascii="Aptos" w:hAnsi="Aptos"/>
          <w:b w:val="0"/>
          <w:i w:val="0"/>
          <w:color w:val="000000"/>
          <w:sz w:val="21"/>
        </w:rPr>
        <w:t>Revised Pair Project Proposal in Microsoft Word.</w:t>
      </w:r>
    </w:p>
    <w:p w14:paraId="6CD10AD5">
      <w:pPr>
        <w:pStyle w:val="16"/>
        <w:spacing w:after="40" w:line="252" w:lineRule="auto"/>
      </w:pPr>
      <w:r>
        <w:rPr>
          <w:rFonts w:ascii="Aptos" w:hAnsi="Aptos"/>
          <w:b w:val="0"/>
          <w:i w:val="0"/>
          <w:color w:val="000000"/>
          <w:sz w:val="21"/>
        </w:rPr>
        <w:t>Jupyter Notebook with acquisition, cleaning, analysis, and static visualizations.</w:t>
      </w:r>
    </w:p>
    <w:p w14:paraId="05DF734C">
      <w:pPr>
        <w:pStyle w:val="16"/>
        <w:spacing w:after="40" w:line="252" w:lineRule="auto"/>
      </w:pPr>
      <w:r>
        <w:rPr>
          <w:rFonts w:ascii="Aptos" w:hAnsi="Aptos"/>
          <w:b w:val="0"/>
          <w:i w:val="0"/>
          <w:color w:val="000000"/>
          <w:sz w:val="21"/>
        </w:rPr>
        <w:t>Cleaned dataset or reproducible download script.</w:t>
      </w:r>
    </w:p>
    <w:p w14:paraId="13E42400">
      <w:pPr>
        <w:pStyle w:val="16"/>
        <w:spacing w:after="40" w:line="252" w:lineRule="auto"/>
      </w:pPr>
      <w:r>
        <w:rPr>
          <w:rFonts w:ascii="Aptos" w:hAnsi="Aptos"/>
          <w:b w:val="0"/>
          <w:i w:val="0"/>
          <w:color w:val="000000"/>
          <w:sz w:val="21"/>
        </w:rPr>
        <w:t>Plotly/Dash dashboard in a correctly named `.zip` file.</w:t>
      </w:r>
    </w:p>
    <w:p w14:paraId="1C0A6F44">
      <w:pPr>
        <w:pStyle w:val="16"/>
        <w:spacing w:after="40" w:line="252" w:lineRule="auto"/>
      </w:pPr>
      <w:r>
        <w:rPr>
          <w:rFonts w:ascii="Aptos" w:hAnsi="Aptos"/>
          <w:b w:val="0"/>
          <w:i w:val="0"/>
          <w:color w:val="000000"/>
          <w:sz w:val="21"/>
        </w:rPr>
        <w:t>Dashboard screenshot and README with environment and run instructions.</w:t>
      </w:r>
    </w:p>
    <w:p w14:paraId="02B99DAF">
      <w:pPr>
        <w:pStyle w:val="16"/>
        <w:spacing w:after="40" w:line="252" w:lineRule="auto"/>
      </w:pPr>
      <w:r>
        <w:rPr>
          <w:rFonts w:ascii="Aptos" w:hAnsi="Aptos"/>
          <w:b w:val="0"/>
          <w:i w:val="0"/>
          <w:color w:val="000000"/>
          <w:sz w:val="21"/>
        </w:rPr>
        <w:t>Short interpretation of findings, limitations, and next steps.</w:t>
      </w:r>
    </w:p>
    <w:sectPr>
      <w:headerReference r:id="rId5" w:type="default"/>
      <w:footerReference r:id="rId6" w:type="default"/>
      <w:pgSz w:w="11906" w:h="16838"/>
      <w:pgMar w:top="1134" w:right="1134" w:bottom="1020" w:left="1134" w:header="454" w:footer="454"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FFFD8">
    <w:pPr>
      <w:pStyle w:val="24"/>
      <w:jc w:val="center"/>
    </w:pPr>
    <w:r>
      <w:rPr>
        <w:rFonts w:ascii="Aptos" w:hAnsi="Aptos"/>
        <w:b w:val="0"/>
        <w:color w:val="666666"/>
        <w:sz w:val="18"/>
      </w:rPr>
      <w:t xml:space="preserve">Page </w:t>
    </w:r>
    <w:r>
      <w:rPr>
        <w:rFonts w:ascii="Aptos" w:hAnsi="Aptos"/>
        <w:b w:val="0"/>
        <w:color w:val="666666"/>
        <w:sz w:val="18"/>
      </w:rPr>
      <w:fldChar w:fldCharType="begin"/>
    </w:r>
    <w:r>
      <w:rPr>
        <w:rFonts w:ascii="Aptos" w:hAnsi="Aptos"/>
        <w:b w:val="0"/>
        <w:color w:val="666666"/>
        <w:sz w:val="18"/>
      </w:rPr>
      <w:instrText xml:space="preserve"> PAGE </w:instrText>
    </w:r>
    <w:r>
      <w:rPr>
        <w:rFonts w:ascii="Aptos" w:hAnsi="Aptos"/>
        <w:b w:val="0"/>
        <w:color w:val="666666"/>
        <w:sz w:val="18"/>
      </w:rPr>
      <w:fldChar w:fldCharType="end"/>
    </w:r>
    <w:r>
      <w:rPr>
        <w:rFonts w:ascii="Aptos" w:hAnsi="Aptos"/>
        <w:b w:val="0"/>
        <w:color w:val="666666"/>
        <w:sz w:val="18"/>
      </w:rPr>
      <w:t xml:space="preserve"> of </w:t>
    </w:r>
    <w:r>
      <w:rPr>
        <w:rFonts w:ascii="Aptos" w:hAnsi="Aptos"/>
        <w:b w:val="0"/>
        <w:color w:val="666666"/>
        <w:sz w:val="18"/>
      </w:rPr>
      <w:fldChar w:fldCharType="begin"/>
    </w:r>
    <w:r>
      <w:rPr>
        <w:rFonts w:ascii="Aptos" w:hAnsi="Aptos"/>
        <w:b w:val="0"/>
        <w:color w:val="666666"/>
        <w:sz w:val="18"/>
      </w:rPr>
      <w:instrText xml:space="preserve"> NUMPAGES </w:instrText>
    </w:r>
    <w:r>
      <w:rPr>
        <w:rFonts w:ascii="Aptos" w:hAnsi="Aptos"/>
        <w:b w:val="0"/>
        <w:color w:val="6666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92829">
    <w:pPr>
      <w:pStyle w:val="25"/>
      <w:pBdr>
        <w:bottom w:val="single" w:color="D7DEE8" w:sz="4" w:space="6"/>
      </w:pBdr>
      <w:jc w:val="right"/>
    </w:pPr>
    <w:r>
      <w:rPr>
        <w:rFonts w:ascii="Aptos" w:hAnsi="Aptos"/>
        <w:b w:val="0"/>
        <w:i w:val="0"/>
        <w:color w:val="666666"/>
        <w:sz w:val="17"/>
      </w:rPr>
      <w:t>CISC7204 | Assignment 02 Pair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5B3B6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9" w:lineRule="auto"/>
    </w:pPr>
    <w:rPr>
      <w:rFonts w:ascii="Aptos" w:hAnsi="Aptos" w:eastAsiaTheme="minorEastAsia" w:cstheme="minorBidi"/>
      <w:color w:val="000000"/>
      <w:sz w:val="21"/>
      <w:szCs w:val="22"/>
      <w:lang w:val="en-US" w:eastAsia="en-US" w:bidi="ar-SA"/>
    </w:rPr>
  </w:style>
  <w:style w:type="paragraph" w:styleId="3">
    <w:name w:val="heading 1"/>
    <w:basedOn w:val="1"/>
    <w:next w:val="1"/>
    <w:link w:val="138"/>
    <w:qFormat/>
    <w:uiPriority w:val="9"/>
    <w:pPr>
      <w:keepNext/>
      <w:keepLines/>
      <w:spacing w:before="200" w:after="80"/>
      <w:outlineLvl w:val="0"/>
    </w:pPr>
    <w:rPr>
      <w:rFonts w:asciiTheme="majorHAnsi" w:hAnsiTheme="majorHAnsi" w:eastAsiaTheme="majorEastAsia" w:cstheme="majorBidi"/>
      <w:b/>
      <w:bCs/>
      <w:color w:val="17365D"/>
      <w:sz w:val="27"/>
      <w:szCs w:val="28"/>
    </w:rPr>
  </w:style>
  <w:style w:type="paragraph" w:styleId="4">
    <w:name w:val="heading 2"/>
    <w:basedOn w:val="1"/>
    <w:next w:val="1"/>
    <w:link w:val="139"/>
    <w:unhideWhenUsed/>
    <w:qFormat/>
    <w:uiPriority w:val="9"/>
    <w:pPr>
      <w:keepNext/>
      <w:keepLines/>
      <w:spacing w:before="140" w:after="60"/>
      <w:outlineLvl w:val="1"/>
    </w:pPr>
    <w:rPr>
      <w:rFonts w:asciiTheme="majorHAnsi" w:hAnsiTheme="majorHAnsi" w:eastAsiaTheme="majorEastAsia" w:cstheme="majorBidi"/>
      <w:b/>
      <w:bCs/>
      <w:color w:val="17365D"/>
      <w:sz w:val="23"/>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7365D"/>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200" w:line="240" w:lineRule="auto"/>
      <w:contextualSpacing/>
    </w:pPr>
    <w:rPr>
      <w:rFonts w:asciiTheme="majorHAnsi" w:hAnsiTheme="majorHAnsi" w:eastAsiaTheme="majorEastAsia" w:cstheme="majorBidi"/>
      <w:b/>
      <w:color w:val="17365D"/>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12</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Kejia He and [Partner Name]</dc:creator>
  <dc:description>generated by python-docx</dc:description>
  <cp:keywords>CISC7204, data visualization, tourism recovery, pair project proposal</cp:keywords>
  <cp:lastModifiedBy>.：</cp:lastModifiedBy>
  <dcterms:modified xsi:type="dcterms:W3CDTF">2026-10-24T14:46:00Z</dcterms:modified>
  <dc:subject>Post-Pandemic Tourism Recovery: Comparing Arrivals and Receipts Across World Regions</dc:subject>
  <dc:title>CISC7204 Assignment 02 Pair Project Proposal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EE24F0542D010E452854DC6A2A964376_42</vt:lpwstr>
  </property>
</Properties>
</file>