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2"/>
          <w:szCs w:val="32"/>
        </w:rPr>
        <w:t xml:space="preserve">Assignment 2 — Build Your Knowledge Base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Team of 3 · Milestone 2 of 4 · Type your answers directly in the blank cells — they grow as you type.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 xml:space="preserve"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Project name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same project name you used in Assignment 1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Bangla Morphological Analyzer (BMA)</w:t>
            </w:r>
          </w:p>
        </w:tc>
      </w:tr>
    </w:tbl>
    <w:p>
      <w:pPr>
        <w:spacing w:after="60" w:before="120"/>
      </w:pPr>
      <w:r>
        <w:rPr>
          <w:b/>
          <w:bCs/>
          <w:sz w:val="22"/>
          <w:szCs w:val="22"/>
        </w:rPr>
        <w:t xml:space="preserve">Team members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In 'Worked sections', list the sections each member led. Every section must be owned by someone; each member submits the AI-chat behind their own sections (Section 8).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360"/>
        <w:gridCol w:w="230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Team member</w:t>
            </w:r>
          </w:p>
        </w:tc>
        <w:tc>
          <w:tcPr>
            <w:tcW w:type="dxa" w:w="3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Full name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Student number</w:t>
            </w:r>
          </w:p>
        </w:tc>
        <w:tc>
          <w:tcPr>
            <w:tcW w:type="dxa" w:w="23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Worked sections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1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  <w:r>
              <w:t xml:space="preserve">Nahid Hossain Redom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2105001</w:t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  <w:r>
              <w:t xml:space="preserve">Sections 2; 3 (layout, OCR, chunking); 4 (layout, OCR, chunking implementation); 5 (OCR quality and corpus coverage); 7 (Stages 2–3 and chunking); 8 (individual transcript).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2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  <w:r>
              <w:t xml:space="preserve">Fahim Ishtiak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2105004</w:t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  <w:r>
              <w:t xml:space="preserve">Sections 1; 2; 3 (ingest/preprocessing and OCR options); 7 (Stage 1); 8 (individual transcript). Also corpus/provenance, held-out labels, preprocessing, and validation evidence.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3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  <w:r>
              <w:t xml:space="preserve">Md Junaid Ahmmad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2105006</w:t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  <w:r>
              <w:t xml:space="preserve">Sections 4 (embedding and FAISS); 5 (index and retrieval evidence); 6 (A3 plan from retrieval findings); 7 (Stage 4); 8 (individual transcript). Also CI/security and Kaggle index evidence.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 xml:space="preserve"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 xml:space="preserve"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1 — Recap from Assignment 1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Copy these from A1 so this form stands alone. Do NOT change the success metric — your system in A3 is judged on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three choices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domain · data speciality · primary NFR + target — one line each.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Domain: Bangla grammar/morphology; speciality: conjuncts, matras, hasanta, reph, nukta, Bengali digits and rule notation; primary NFR: explainable, with rule-attribution coverage &gt;= 0.90.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Success metric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single answer-quality metric and target, unchanged.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Answer-F1 &gt;= 0.70 on the verifiable task subset (carried unchanged from A1).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corpus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source, size (pages/words), and the one thing that makes it hard to read.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Private/link-only corpus: 1942 Bhasha-prakash Bangala Byakaran (565 pages) plus NCTB Bangla Grammar Classes 9–10 (2026, 218 pages). Kaggle measured 783 total pages, 775 usable/OCR-covered pages and 195,803 usable OCR words. The A1 2019 NCTB edition was revised to the available 2026 edition; this change is disclosed here and was approved by the instructor.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2 — The Structure We Exploit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Every model choice is a bet on structure in the data. Name the structure your pipeline relies on, and the things it must ignore.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page image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vision model can exploit — nearby pixels form strokes/characters; a character looks the same when shifted. Drives your layout &amp; enhancement choices.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Nearby pixels form strokes and aligned text lines; projection profiles and connected ink support bounded regions, reading order, and table detection.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text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sequence model can exploit — reading order and context carry meaning; conjuncts/ligatures span characters. Drives your OCR &amp; embedding choices.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Reading order and surrounding Bangla context carry meaning; conjuncts, matras, hasanta and rule/example structure must remain together for OCR and retrieval.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should NOT change the answer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variations the system must be robust to — page position, font, mild skew, scan noise, ink bleed. Knowing these points you to the right model and augmentation.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Page position, font variation, mild skew, scan noise and ink bleed should not change the answer; provenance and meaning should remain stable.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3 — Components &amp; Options We Considered</w:t>
      </w:r>
    </w:p>
    <w:p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 xml:space="preserve"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3200"/>
        <w:gridCol w:w="156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Options we compared</w:t>
            </w:r>
          </w:p>
        </w:tc>
        <w:tc>
          <w:tcPr>
            <w:tcW w:type="dxa" w:w="3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+ why</w:t>
            </w:r>
          </w:p>
        </w:tc>
        <w:tc>
          <w:tcPr>
            <w:tcW w:type="dxa" w:w="1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Reproduced? (≥1 yes)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Enhancement (bonus)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classical denoise vs VAE vs diffusion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classical preprocessing/denoise choices; chose deterministic Pillow/NumPy projection-profile enhancement and conservative normalization for reproducibility and glyph safety.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Layout detection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heuristic vs detection model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heuristic layout with a learned detector; chose deterministic projection-profile regions, merged line runs, table grouping and reading-order rules because the corpus is small and provenance-critical.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Tesseract vs TrOCR vs Donut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EasyOCR with the retained Qwen3-VL drafts; chose pretrained EasyOCR 1.7.2 (bn+en), which is reproducible and measured on held-out pages without using the PDF text layer.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  <w:r>
              <w:t xml:space="preserve">Yes — EasyOCR 1.7.2 pretrained method reproduced/adapted.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Chunking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fixed vs semantic; size/overlap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fixed 256-token/32-overlap chunks with rule-aware structural chunks; selected rule-aware for the full index (1,910 chunks; Hit@5 0.5, tied with fixed).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Embedding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which sentence-embedding model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BGE-M3 with paraphrase-multilingual-MiniLM-L12-v2; selected pretrained BAAI/bge-m3 (1024D). BGE-M3 Hit@5 0.5 versus lightweight 0.0.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  <w:r>
              <w:t xml:space="preserve">Yes — pretrained BGE-M3 reproduced/adapted.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Vector index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flat vs HNSW vs IVF/PQ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exact FlatIP with approximate alternatives; chose FAISS IndexFlatIP after L2 normalization for deterministic exact search and restart-safe metadata.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4 — The Knowledge Base We Built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 actually runs. State the model/checkpoint and the key parameters per stage, and whether it's pretrained, fine-tuned, or from scratch.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400"/>
        <w:gridCol w:w="2360"/>
      </w:tblGrid>
      <w:tr>
        <w:trPr>
          <w:tblHeader/>
        </w:trPr>
        <w:tc>
          <w:tcPr>
            <w:tcW w:type="dxa" w:w="1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Model / checkpoint</w:t>
            </w:r>
          </w:p>
        </w:tc>
        <w:tc>
          <w:tcPr>
            <w:tcW w:type="dxa" w:w="2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Key parameters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Pretrained / fine-tuned / scratch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Ingest + enhance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Pillow/NumPy classical pipeline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Projection deskew, median denoise, Otsu; stable page IDs and artifact paths.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Scratch/deterministic classical processing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Layout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Pillow/NumPy projection-profile layout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Bounded regions, line merging, table grouping, reading order.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Scratch/deterministic heuristic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EasyOCR 1.7.2 (bn+en)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Lazy reader; ordered regions; NFC and conservative whitespace normalization.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Pretrained, not fine-tuned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Chunk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Rule-aware structural chunker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Preserves headings, numbered rules, examples and tables; fixed baseline 256/32 retained for comparison.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Scratch deterministic chunking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Embed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BAAI/bge-m3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1024 dimensions; batch 32; CUDA in Kaggle; L2-normalized vectors.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Pretrained, not fine-tuned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Index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FAISS IndexFlatIP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1,910 chunks; exact inner-product search; JSON metadata; atomic save/load and fresh-process reload.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Scratch configuration around pretrained vectors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pipeline in one line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pages → clean → (enhance) → layout → OCR → chunk → embed → store. Note anything you changed from the default.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Pages → ingest/clean → deterministic enhancement → layout → EasyOCR → rule-aware chunk → BGE-M3 embed → L2 normalize → FAISS FlatIP + provenance metadata. The A2 implementation adds conservative enhancement, structural chunking, exact model comparison and restart verification.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5 — Evidence It Works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A build milestone needs proof, not promises. Show real numbers and one real retrieval.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OCR quality on a sample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measure reading quality on a labelled sample (character/word error rate, or F1). State the number and the sample size.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EasyOCR held-out sample: normalized CER 0.1791 and normalized WER 0.5063; 12 labelled pages. Stored candidate comparison: CER 0.1208, WER 0.2685. Worst page: bhasha_prakash_1942_p0410.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Index statistics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chunks indexed, embedding dimension, index type, corpus coverage (pages/words indexed vs total).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Selected full index: 1,910 chunks, 1024D, FAISS FlatIP; 775/783 pages indexed/usable and 195,803 usable OCR words. FAISS bytes 7,823,405; metadata 3,327,348 bytes; selected build 157.75 seconds.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One retrieval example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a real query, the top chunk returned, and whether it's the right page. Show one that worked.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Query: ‘স্বরধ্বনি কাকে বলে?’ Top result: NCTB page nctb_bangla_grammar_2026_p0020, score 0.5905; its text directly defines স্বরধ্বনি, so manual semantic judgment PASS. The expected historical page was not in top five, documenting a provenance-recall limitation.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worst failure we saw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where reading or retrieval failed badly, and your read on why (honest — this shapes A3).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Worst retrieval: ‘যুক্তবর্ণের উদাহরণ কী?’ expected bhasha_prakash_1942_p0090 was absent from top five; unrelated NCTB chunks ranked first. Likely causes are OCR noise, two-document/domain shift and limited query set; A3 should add reranking, evidence-gated widening and abstention.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6 — The Plan for A3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What's left: turn the knowledge base into an answering agent, then evaluate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we'll build next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retrieval + rerank, the agent loop + tools, guardrails/HITL, grounding, evaluation — and RL/RLVR if you attempt the bonus.</w:t>
            </w:r>
          </w:p>
          <w:p>
            <w:r>
              <w:t xml:space="preserve"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Build A3 retrieval and reranking around the measured BGE-M3/FAISS base: add a cross-encoder or lexical reranker, evidence-gated re-search with widening k, citation checks, and fail-closed abstention at k_max. Evaluate answer-F1 and citation/rule-attribution coverage.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evaluation set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you'll write tasks.jsonl for YOUR domain — the questions your real user would ask; include enough checkable (verifiable) items and abstention cases.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Create domain tasks from Bangla grammar definitions, rules, examples and morphology questions, with expected answer text, source page IDs, difficulty, and abstention cases. Keep train/validation/test separated by document/chapter where possible.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Biggest risk / unknown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thing most likely to break in A3, and your first idea to handle it.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The main risk is OCR and retrieval error on historical conjuncts and document shift: the worst query missed its expected page. First response: preserve raw OCR, add reranking/query expansion, monitor page-level recall and abstain when evidence is weak.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7 — Design Choices &amp; Justification (knowledge-base stages)</w:t>
      </w:r>
    </w:p>
    <w:p>
      <w:pPr>
        <w:spacing w:after="100"/>
      </w:pPr>
      <w:r>
        <w:t xml:space="preserve"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 xml:space="preserve">configs/design_choices.md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Facet</w:t>
            </w:r>
          </w:p>
        </w:tc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across the knowledge-base stages</w:t>
            </w:r>
          </w:p>
        </w:tc>
        <w:tc>
          <w:tcPr>
            <w:tcW w:type="dxa" w:w="37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Why — fits our corpus · what it costs · what would change it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Problem statement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these stages must achieve + success metric</w:t>
            </w:r>
            <w:r>
              <w:t xml:space="preserve">Stages 1–4 turn scanned Bangla pages into cited answers; A1 answer-F1 target &gt;=0.70, plus explainability targets.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Keeps the A1 contract; costs extra provenance and evaluation work; change only with instructor approval.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Data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inputs, formats, splits, any labels used</w:t>
            </w:r>
            <w:r>
              <w:t xml:space="preserve">Private/link-only 1942 and 2026 PDFs; 783 pages, 775 usable, 195,803 OCR words; held-out labels/pages for evaluation.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Matches real corpus difficulty and rights; limits public reproducibility; a new corpus version would require remeasurement.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Model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checkpoints chosen per stage</w:t>
            </w:r>
            <w:r>
              <w:t xml:space="preserve">Classical deterministic ingest/layout; EasyOCR 1.7.2; BGE-M3; FAISS FlatIP.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Pretrained models reduce training data needs; model downloads and GPU memory cost; measured comparison can change the selection.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Methods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fine-tuning / inference technique, key hyperparameters</w:t>
            </w:r>
            <w:r>
              <w:t xml:space="preserve">Projection profiles, conservative normalization, structural rule-aware chunks, batch-32 embeddings, L2 normalization, exact inner-product search.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Preserves grammar units and citations; rule-aware index is larger; reranking is the next improvement after the observed miss.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Design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the stages connect (the data contracts)</w:t>
            </w:r>
            <w:r>
              <w:t xml:space="preserve">Page → Region → OCR text → Chunk with page IDs → normalized vector → FAISS + JSON metadata.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Stable contracts make reload and citation checking possible; stricter metadata validation costs implementation complexity.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Development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tests, config, experiment logging</w:t>
            </w:r>
            <w:r>
              <w:t xml:space="preserve">Focused pytest suite, Kaggle run on commit 711c044, fixed four-query comparison, saved metrics and worst failure.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Evidence is reproducible and honest; four queries are small, so A3 needs a larger task set.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Deployment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indexing runs (batch, device, memory)</w:t>
            </w:r>
            <w:r>
              <w:t xml:space="preserve">Batch index build in Kaggle CUDA working storage; 1,910 chunks, 1024D, 157.75 s selected build, fresh-process reload pass.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Exact FlatIP is reliable at this scale; larger corpora may require HNSW/IVF after recall benchmarking.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MLOps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corpus versioning, what you'd monitor</w:t>
            </w:r>
            <w:r>
              <w:t xml:space="preserve">Version corpus hashes, tested commit, model/config, index dimension/count, build timings, OCR errors and retrieval Hit@5.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Makes drift and regressions visible; monitoring requires retaining representative labelled queries and rights-safe artifacts.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8 — How We Worked With AI</w:t>
      </w:r>
    </w:p>
    <w:p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 xml:space="preserve">&lt;their student number&gt;.txt</w:t>
      </w:r>
      <w:r>
        <w:t xml:space="preserve">, containing the full AI conversation behind the sections they 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Each .txt file must contain</w:t>
            </w:r>
          </w:p>
        </w:tc>
        <w:tc>
          <w:tcPr>
            <w:tcW w:type="dxa" w:w="59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In this order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Header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member name, student number, sections led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The full conversation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every prompt and every AI reply, unedited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A short reflection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you accepted, changed, or rejected, and why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Submission — Required Folder Structure</w:t>
      </w:r>
    </w:p>
    <w:p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 xml:space="preserve">A2_&lt;your team id&gt;.zip</w:t>
      </w:r>
      <w:r>
        <w:t xml:space="preserve">, containing: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5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A2_form.docx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this filled form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src/doc_agent/  (ingest, vision, index)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the implemented knowledge-base stages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scripts/build_index.sh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builds the vector index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notebooks/kb_demo.ipynb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OCR quality + one retrieval example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reports/pipeline_diagram.md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a diagram of the knowledge-base pipeline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configs/design_choices.md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updated with Stages 1–4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transcripts/&lt;student number&gt;.txt  ×3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one AI-chat transcript per member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How You'll Be Graded (100 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 xml:space="preserve">every claim in the form must match your own code, index, and notebook outputs. Numbers with no notebook evidence score zero for that item.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tblHeader/>
        </w:trPr>
        <w:tc>
          <w:tcPr>
            <w:tcW w:type="dxa" w:w="7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we assess</w:t>
            </w:r>
          </w:p>
        </w:tc>
        <w:tc>
          <w:tcPr>
            <w:tcW w:type="dxa" w:w="2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1 — recap accurate and consistent with A1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2 — structure and invariances identified correctly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3 — options compared, with ≥1 reproduced published/pretrained method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4 — knowledge base built; models and parameters justified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5 — real evidence: OCR quality + a working retrieval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6 — a concrete, sensible plan for A3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7 — eight-facet design table for Stages 1–4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8 + submission structure correct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2026-07-04T23:56:32.641Z</dcterms:created>
  <dcterms:modified xsi:type="dcterms:W3CDTF">2026-07-04T23:56:32.641Z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