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B40000"/>
          <w:sz w:val="18"/>
        </w:rPr>
        <w:t>[CONFIDENTIAL - INTERNAL INDUSTRIAL WORK]</w:t>
      </w:r>
    </w:p>
    <w:p>
      <w:pPr>
        <w:jc w:val="left"/>
      </w:pPr>
      <w:r>
        <w:rPr>
          <w:b/>
          <w:sz w:val="36"/>
        </w:rPr>
        <w:t>Pipeline Structural Pressure Threshold Approval</w:t>
      </w:r>
    </w:p>
    <w:p/>
    <w:p>
      <w:r>
        <w:t>The structural pressure threshold for the carbon steel pipeline, based on the given outer radius of 0.5 meters, thickness of 0.02 meters, and a yield stress of 250 MPa, is approximately 2.45 MPa. This ensures the pipeline can handle the design pressure without exceeding the material's yield strength. Approval is granted to proceed with the installation and operation of the pipeline.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