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left"/>
      </w:pPr>
      <w:r>
        <w:rPr>
          <w:rFonts w:ascii="Arial" w:cs="Arial" w:eastAsia="Arial" w:hAnsi="Arial"/>
          <w:b/>
          <w:bCs/>
          <w:color w:val="1A1A1A"/>
          <w:sz w:val="72"/>
          <w:szCs w:val="72"/>
        </w:rPr>
        <w:t xml:space="preserve">FAIN</w:t>
      </w:r>
    </w:p>
    <w:p>
      <w:pPr>
        <w:pBdr>
          <w:bottom w:val="single" w:color="D4632A" w:sz="6" w:space="8"/>
        </w:pBdr>
        <w:spacing w:after="320" w:before="0"/>
        <w:jc w:val="left"/>
      </w:pPr>
      <w:r>
        <w:rPr>
          <w:rFonts w:ascii="Arial" w:cs="Arial" w:eastAsia="Arial" w:hAnsi="Arial"/>
          <w:color w:val="4A4A4A"/>
          <w:sz w:val="28"/>
          <w:szCs w:val="28"/>
        </w:rPr>
        <w:t xml:space="preserve">AI Financial Controller</w:t>
      </w:r>
    </w:p>
    <w:p>
      <w:pPr>
        <w:spacing w:after="0" w:before="160"/>
      </w:pPr>
      <w:r>
        <w:t xml:space="preserve"/>
      </w:r>
    </w:p>
    <w:p>
      <w:pPr>
        <w:spacing w:after="80" w:before="0"/>
        <w:jc w:val="left"/>
      </w:pPr>
      <w:r>
        <w:rPr>
          <w:rFonts w:ascii="Arial" w:cs="Arial" w:eastAsia="Arial" w:hAnsi="Arial"/>
          <w:b/>
          <w:bCs/>
          <w:color w:val="1A1A1A"/>
          <w:sz w:val="48"/>
          <w:szCs w:val="48"/>
        </w:rPr>
        <w:t xml:space="preserve">MVP Legal Plan</w:t>
      </w:r>
    </w:p>
    <w:p>
      <w:pPr>
        <w:spacing w:after="480" w:before="0"/>
        <w:jc w:val="left"/>
      </w:pPr>
      <w:r>
        <w:rPr>
          <w:rFonts w:ascii="Arial" w:cs="Arial" w:eastAsia="Arial" w:hAnsi="Arial"/>
          <w:color w:val="4A4A4A"/>
          <w:sz w:val="26"/>
          <w:szCs w:val="26"/>
        </w:rPr>
        <w:t xml:space="preserve">From zero to real data — the right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F5F0EA" w:val="clear"/>
            <w:tcMar>
              <w:top w:type="dxa" w:w="100"/>
              <w:left w:type="dxa" w:w="140"/>
              <w:bottom w:type="dxa" w:w="100"/>
              <w:right w:type="dxa" w:w="140"/>
            </w:tcMar>
          </w:tcPr>
          <w:p>
            <w:pPr>
              <w:spacing w:after="120" w:before="0"/>
              <w:jc w:val="left"/>
            </w:pPr>
            <w:r>
              <w:rPr>
                <w:rFonts w:ascii="Arial" w:cs="Arial" w:eastAsia="Arial" w:hAnsi="Arial"/>
                <w:b/>
                <w:bCs/>
                <w:color w:val="4A4A4A"/>
                <w:sz w:val="18"/>
                <w:szCs w:val="18"/>
              </w:rPr>
              <w:t xml:space="preserve">Prepared for</w:t>
            </w:r>
          </w:p>
        </w:tc>
        <w:tc>
          <w:tcPr>
            <w:tcW w:type="dxa" w:w="6526"/>
            <w:tcBorders>
              <w:top w:val="none" w:color="FFFFFF" w:sz="0"/>
              <w:left w:val="none" w:color="FFFFFF" w:sz="0"/>
              <w:bottom w:val="none" w:color="FFFFFF" w:sz="0"/>
              <w:right w:val="none" w:color="FFFFFF" w:sz="0"/>
            </w:tcBorders>
            <w:shd w:fill="F5F0EA" w:val="clear"/>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Archil Gulmagarashvili — Fain</w:t>
            </w:r>
          </w:p>
        </w:tc>
      </w:tr>
      <w:tr>
        <w:tc>
          <w:tcPr>
            <w:tcW w:type="dxa" w:w="2500"/>
            <w:tcBorders>
              <w:top w:val="none" w:color="FFFFFF" w:sz="0"/>
              <w:left w:val="none" w:color="FFFFFF" w:sz="0"/>
              <w:bottom w:val="none" w:color="FFFFFF" w:sz="0"/>
              <w:right w:val="none" w:color="FFFFFF" w:sz="0"/>
            </w:tcBorders>
            <w:shd w:fill="F5F0EA" w:val="clear"/>
            <w:tcMar>
              <w:top w:type="dxa" w:w="100"/>
              <w:left w:type="dxa" w:w="140"/>
              <w:bottom w:type="dxa" w:w="100"/>
              <w:right w:type="dxa" w:w="140"/>
            </w:tcMar>
          </w:tcPr>
          <w:p>
            <w:pPr>
              <w:spacing w:after="120" w:before="0"/>
              <w:jc w:val="left"/>
            </w:pPr>
            <w:r>
              <w:rPr>
                <w:rFonts w:ascii="Arial" w:cs="Arial" w:eastAsia="Arial" w:hAnsi="Arial"/>
                <w:b/>
                <w:bCs/>
                <w:color w:val="4A4A4A"/>
                <w:sz w:val="18"/>
                <w:szCs w:val="18"/>
              </w:rPr>
              <w:t xml:space="preserve">Date</w:t>
            </w:r>
          </w:p>
        </w:tc>
        <w:tc>
          <w:tcPr>
            <w:tcW w:type="dxa" w:w="6526"/>
            <w:tcBorders>
              <w:top w:val="none" w:color="FFFFFF" w:sz="0"/>
              <w:left w:val="none" w:color="FFFFFF" w:sz="0"/>
              <w:bottom w:val="none" w:color="FFFFFF" w:sz="0"/>
              <w:right w:val="none" w:color="FFFFFF" w:sz="0"/>
            </w:tcBorders>
            <w:shd w:fill="F5F0EA" w:val="clear"/>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20 June 2026</w:t>
            </w:r>
          </w:p>
        </w:tc>
      </w:tr>
      <w:tr>
        <w:tc>
          <w:tcPr>
            <w:tcW w:type="dxa" w:w="2500"/>
            <w:tcBorders>
              <w:top w:val="none" w:color="FFFFFF" w:sz="0"/>
              <w:left w:val="none" w:color="FFFFFF" w:sz="0"/>
              <w:bottom w:val="none" w:color="FFFFFF" w:sz="0"/>
              <w:right w:val="none" w:color="FFFFFF" w:sz="0"/>
            </w:tcBorders>
            <w:shd w:fill="F5F0EA" w:val="clear"/>
            <w:tcMar>
              <w:top w:type="dxa" w:w="100"/>
              <w:left w:type="dxa" w:w="140"/>
              <w:bottom w:type="dxa" w:w="100"/>
              <w:right w:type="dxa" w:w="140"/>
            </w:tcMar>
          </w:tcPr>
          <w:p>
            <w:pPr>
              <w:spacing w:after="120" w:before="0"/>
              <w:jc w:val="left"/>
            </w:pPr>
            <w:r>
              <w:rPr>
                <w:rFonts w:ascii="Arial" w:cs="Arial" w:eastAsia="Arial" w:hAnsi="Arial"/>
                <w:b/>
                <w:bCs/>
                <w:color w:val="4A4A4A"/>
                <w:sz w:val="18"/>
                <w:szCs w:val="18"/>
              </w:rPr>
              <w:t xml:space="preserve">Status</w:t>
            </w:r>
          </w:p>
        </w:tc>
        <w:tc>
          <w:tcPr>
            <w:tcW w:type="dxa" w:w="6526"/>
            <w:tcBorders>
              <w:top w:val="none" w:color="FFFFFF" w:sz="0"/>
              <w:left w:val="none" w:color="FFFFFF" w:sz="0"/>
              <w:bottom w:val="none" w:color="FFFFFF" w:sz="0"/>
              <w:right w:val="none" w:color="FFFFFF" w:sz="0"/>
            </w:tcBorders>
            <w:shd w:fill="F5F0EA" w:val="clear"/>
            <w:tcMar>
              <w:top w:type="dxa" w:w="100"/>
              <w:left w:type="dxa" w:w="140"/>
              <w:bottom w:type="dxa" w:w="100"/>
              <w:right w:type="dxa" w:w="140"/>
            </w:tcMar>
          </w:tcPr>
          <w:p>
            <w:pPr>
              <w:spacing w:after="120" w:before="0"/>
              <w:jc w:val="left"/>
            </w:pPr>
            <w:r>
              <w:rPr>
                <w:rFonts w:ascii="Arial" w:cs="Arial" w:eastAsia="Arial" w:hAnsi="Arial"/>
                <w:b w:val="false"/>
                <w:bCs w:val="false"/>
                <w:color w:val="D4632A"/>
                <w:sz w:val="18"/>
                <w:szCs w:val="18"/>
              </w:rPr>
              <w:t xml:space="preserve">Starting from scratch — freedom to choose the right path</w:t>
            </w:r>
          </w:p>
        </w:tc>
      </w:tr>
      <w:tr>
        <w:tc>
          <w:tcPr>
            <w:tcW w:type="dxa" w:w="2500"/>
            <w:tcBorders>
              <w:top w:val="none" w:color="FFFFFF" w:sz="0"/>
              <w:left w:val="none" w:color="FFFFFF" w:sz="0"/>
              <w:bottom w:val="none" w:color="FFFFFF" w:sz="0"/>
              <w:right w:val="none" w:color="FFFFFF" w:sz="0"/>
            </w:tcBorders>
            <w:shd w:fill="F5F0EA" w:val="clear"/>
            <w:tcMar>
              <w:top w:type="dxa" w:w="100"/>
              <w:left w:type="dxa" w:w="140"/>
              <w:bottom w:type="dxa" w:w="100"/>
              <w:right w:type="dxa" w:w="140"/>
            </w:tcMar>
          </w:tcPr>
          <w:p>
            <w:pPr>
              <w:spacing w:after="120" w:before="0"/>
              <w:jc w:val="left"/>
            </w:pPr>
            <w:r>
              <w:rPr>
                <w:rFonts w:ascii="Arial" w:cs="Arial" w:eastAsia="Arial" w:hAnsi="Arial"/>
                <w:b/>
                <w:bCs/>
                <w:color w:val="4A4A4A"/>
                <w:sz w:val="18"/>
                <w:szCs w:val="18"/>
              </w:rPr>
              <w:t xml:space="preserve">Disclaimer</w:t>
            </w:r>
          </w:p>
        </w:tc>
        <w:tc>
          <w:tcPr>
            <w:tcW w:type="dxa" w:w="6526"/>
            <w:tcBorders>
              <w:top w:val="none" w:color="FFFFFF" w:sz="0"/>
              <w:left w:val="none" w:color="FFFFFF" w:sz="0"/>
              <w:bottom w:val="none" w:color="FFFFFF" w:sz="0"/>
              <w:right w:val="none" w:color="FFFFFF" w:sz="0"/>
            </w:tcBorders>
            <w:shd w:fill="F5F0EA" w:val="clear"/>
            <w:tcMar>
              <w:top w:type="dxa" w:w="100"/>
              <w:left w:type="dxa" w:w="140"/>
              <w:bottom w:type="dxa" w:w="100"/>
              <w:right w:type="dxa" w:w="140"/>
            </w:tcMar>
          </w:tcPr>
          <w:p>
            <w:pPr>
              <w:spacing w:after="120" w:before="0"/>
              <w:jc w:val="left"/>
            </w:pPr>
            <w:r>
              <w:rPr>
                <w:rFonts w:ascii="Arial" w:cs="Arial" w:eastAsia="Arial" w:hAnsi="Arial"/>
                <w:b w:val="false"/>
                <w:bCs w:val="false"/>
                <w:color w:val="4A4A4A"/>
                <w:sz w:val="18"/>
                <w:szCs w:val="18"/>
              </w:rPr>
              <w:t xml:space="preserve">This document is not legal advice. All recommendations must be reviewed by qualified legal professionals before reliance.</w:t>
            </w:r>
          </w:p>
        </w:tc>
      </w:tr>
    </w:tbl>
    <w:p>
      <w:r>
        <w:br w:type="page"/>
      </w:r>
    </w:p>
    <w:p>
      <w:pPr>
        <w:pStyle w:val="Heading1"/>
        <w:pBdr>
          <w:bottom w:val="single" w:color="D4632A" w:sz="4" w:space="4"/>
        </w:pBdr>
        <w:spacing w:after="160" w:before="360"/>
      </w:pPr>
      <w:r>
        <w:rPr>
          <w:rFonts w:ascii="Arial" w:cs="Arial" w:eastAsia="Arial" w:hAnsi="Arial"/>
          <w:b/>
          <w:bCs/>
          <w:color w:val="1A1A1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4632A" w:sz="4" w:space="4"/>
        </w:pBdr>
        <w:spacing w:after="160" w:before="360"/>
      </w:pPr>
      <w:r>
        <w:rPr>
          <w:rFonts w:ascii="Arial" w:cs="Arial" w:eastAsia="Arial" w:hAnsi="Arial"/>
          <w:b/>
          <w:bCs/>
          <w:color w:val="1A1A1A"/>
          <w:sz w:val="30"/>
          <w:szCs w:val="30"/>
        </w:rPr>
        <w:t xml:space="preserve">1. Starting Position and Recommendation</w:t>
      </w:r>
    </w:p>
    <w:p>
      <w:pPr>
        <w:spacing w:after="120" w:before="0"/>
        <w:jc w:val="left"/>
      </w:pPr>
      <w:r>
        <w:rPr>
          <w:rFonts w:ascii="Arial" w:cs="Arial" w:eastAsia="Arial" w:hAnsi="Arial"/>
          <w:b w:val="false"/>
          <w:bCs w:val="false"/>
          <w:color w:val="1A1A1A"/>
          <w:sz w:val="22"/>
          <w:szCs w:val="22"/>
        </w:rPr>
        <w:t xml:space="preserve">Starting from zero with no entities formed and no committed bank partnerships is the best possible position. Every decision can be made correctly from the outset, with no costly legacy structure to undo.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32A" w:sz="1"/>
              <w:left w:val="single" w:color="D4632A" w:sz="1"/>
              <w:bottom w:val="single" w:color="D4632A" w:sz="1"/>
              <w:right w:val="single" w:color="D4632A" w:sz="1"/>
            </w:tcBorders>
            <w:shd w:fill="F5F0EA" w:val="clear"/>
            <w:tcMar>
              <w:top w:type="dxa" w:w="100"/>
              <w:left w:type="dxa" w:w="140"/>
              <w:bottom w:type="dxa" w:w="100"/>
              <w:right w:type="dxa" w:w="140"/>
            </w:tcMar>
          </w:tcPr>
          <w:p>
            <w:pPr>
              <w:spacing w:after="80" w:before="0"/>
            </w:pPr>
            <w:r>
              <w:rPr>
                <w:rFonts w:ascii="Arial" w:cs="Arial" w:eastAsia="Arial" w:hAnsi="Arial"/>
                <w:b/>
                <w:bCs/>
                <w:color w:val="D4632A"/>
                <w:sz w:val="22"/>
                <w:szCs w:val="22"/>
              </w:rPr>
              <w:t xml:space="preserve">Core recommendation in one sentence</w:t>
            </w:r>
          </w:p>
          <w:p>
            <w:pPr>
              <w:spacing w:after="0" w:before="0"/>
            </w:pPr>
            <w:r>
              <w:rPr>
                <w:rFonts w:ascii="Arial" w:cs="Arial" w:eastAsia="Arial" w:hAnsi="Arial"/>
                <w:color w:val="1A1A1A"/>
                <w:sz w:val="20"/>
                <w:szCs w:val="20"/>
              </w:rPr>
              <w:t xml:space="preserve">Form a Georgian LLC this week, sign the Anthropic DPA today, open a Salt Edge Test Account, test with co-founders for 60-90 days, then negotiate a Salt Edge Service Provision Agreement before adding a single external user.</w:t>
            </w:r>
          </w:p>
        </w:tc>
      </w:tr>
    </w:tbl>
    <w:p>
      <w:pPr>
        <w:spacing w:after="0" w:before="120"/>
      </w:pPr>
      <w:r>
        <w:t xml:space="preserve"/>
      </w:r>
    </w:p>
    <w:p>
      <w:pPr>
        <w:pStyle w:val="Heading2"/>
        <w:spacing w:after="120" w:before="280"/>
      </w:pPr>
      <w:r>
        <w:rPr>
          <w:rFonts w:ascii="Arial" w:cs="Arial" w:eastAsia="Arial" w:hAnsi="Arial"/>
          <w:b/>
          <w:bCs/>
          <w:color w:val="1A1A1A"/>
          <w:sz w:val="24"/>
          <w:szCs w:val="24"/>
        </w:rPr>
        <w:t xml:space="preserve">1.1 Why Georgian LLC first (not UK Ltd)</w:t>
      </w:r>
    </w:p>
    <w:p>
      <w:pPr>
        <w:spacing w:after="120" w:before="0"/>
        <w:jc w:val="left"/>
      </w:pPr>
      <w:r>
        <w:rPr>
          <w:rFonts w:ascii="Arial" w:cs="Arial" w:eastAsia="Arial" w:hAnsi="Arial"/>
          <w:b w:val="false"/>
          <w:bCs w:val="false"/>
          <w:color w:val="1A1A1A"/>
          <w:sz w:val="22"/>
          <w:szCs w:val="22"/>
        </w:rPr>
        <w:t xml:space="preserve">The previous ChatGPT report recommended UK Ltd as the primary vehicle. This document recommends the opposite order: form the Georgian LLC first and defer UK Ltd until you have traction. Here is why:</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You are in Georgia. If you manage the company from Georgia, a UK Ltd is legally Georgian-managed under HMRC's management and control test — defeating its purpose entirely.</w:t>
      </w:r>
    </w:p>
    <w:p>
      <w:pPr>
        <w:pStyle w:val="ListParagraph"/>
        <w:numPr>
          <w:ilvl w:val="0"/>
          <w:numId w:val="2"/>
        </w:numPr>
        <w:spacing w:after="40" w:before="40"/>
      </w:pPr>
      <w:r>
        <w:rPr>
          <w:rFonts w:ascii="Arial" w:cs="Arial" w:eastAsia="Arial" w:hAnsi="Arial"/>
          <w:color w:val="1A1A1A"/>
          <w:sz w:val="22"/>
          <w:szCs w:val="22"/>
        </w:rPr>
        <w:t xml:space="preserve">Georgian LLC formation takes 1-3 business days and costs under $200. UK Ltd requires genuine UK-based governance from day one or the structure is legally hollow.</w:t>
      </w:r>
    </w:p>
    <w:p>
      <w:pPr>
        <w:pStyle w:val="ListParagraph"/>
        <w:numPr>
          <w:ilvl w:val="0"/>
          <w:numId w:val="2"/>
        </w:numPr>
        <w:spacing w:after="40" w:before="40"/>
      </w:pPr>
      <w:r>
        <w:rPr>
          <w:rFonts w:ascii="Arial" w:cs="Arial" w:eastAsia="Arial" w:hAnsi="Arial"/>
          <w:color w:val="1A1A1A"/>
          <w:sz w:val="22"/>
          <w:szCs w:val="22"/>
        </w:rPr>
        <w:t xml:space="preserve">Your first users are Georgian founders. No UK entity is needed to serve them.</w:t>
      </w:r>
    </w:p>
    <w:p>
      <w:pPr>
        <w:pStyle w:val="ListParagraph"/>
        <w:numPr>
          <w:ilvl w:val="0"/>
          <w:numId w:val="2"/>
        </w:numPr>
        <w:spacing w:after="40" w:before="40"/>
      </w:pPr>
      <w:r>
        <w:rPr>
          <w:rFonts w:ascii="Arial" w:cs="Arial" w:eastAsia="Arial" w:hAnsi="Arial"/>
          <w:color w:val="1A1A1A"/>
          <w:sz w:val="22"/>
          <w:szCs w:val="22"/>
        </w:rPr>
        <w:t xml:space="preserve">No investors have been identified yet. UK Ltd is primarily useful for international investors and enterprise customers — neither applies at MVP stage.</w:t>
      </w:r>
    </w:p>
    <w:p>
      <w:pPr>
        <w:pStyle w:val="ListParagraph"/>
        <w:numPr>
          <w:ilvl w:val="0"/>
          <w:numId w:val="2"/>
        </w:numPr>
        <w:spacing w:after="40" w:before="40"/>
      </w:pPr>
      <w:r>
        <w:rPr>
          <w:rFonts w:ascii="Arial" w:cs="Arial" w:eastAsia="Arial" w:hAnsi="Arial"/>
          <w:color w:val="1A1A1A"/>
          <w:sz w:val="22"/>
          <w:szCs w:val="22"/>
        </w:rPr>
        <w:t xml:space="preserve">You can transfer IP and migrate to a UK parent later, when you have the substance (UK director, UK board meetings) to make it real.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C00" w:sz="1"/>
              <w:left w:val="single" w:color="6D5C00" w:sz="1"/>
              <w:bottom w:val="single" w:color="6D5C00" w:sz="1"/>
              <w:right w:val="single" w:color="6D5C00" w:sz="1"/>
            </w:tcBorders>
            <w:shd w:fill="FFFDE7" w:val="clear"/>
            <w:tcMar>
              <w:top w:type="dxa" w:w="100"/>
              <w:left w:type="dxa" w:w="140"/>
              <w:bottom w:type="dxa" w:w="100"/>
              <w:right w:type="dxa" w:w="140"/>
            </w:tcMar>
          </w:tcPr>
          <w:p>
            <w:pPr>
              <w:spacing w:after="80" w:before="0"/>
            </w:pPr>
            <w:r>
              <w:rPr>
                <w:rFonts w:ascii="Arial" w:cs="Arial" w:eastAsia="Arial" w:hAnsi="Arial"/>
                <w:b/>
                <w:bCs/>
                <w:color w:val="6D5C00"/>
                <w:sz w:val="22"/>
                <w:szCs w:val="22"/>
              </w:rPr>
              <w:t xml:space="preserve">When to form UK Ltd</w:t>
            </w:r>
          </w:p>
          <w:p>
            <w:pPr>
              <w:spacing w:after="0" w:before="0"/>
            </w:pPr>
            <w:r>
              <w:rPr>
                <w:rFonts w:ascii="Arial" w:cs="Arial" w:eastAsia="Arial" w:hAnsi="Arial"/>
                <w:color w:val="1A1A1A"/>
                <w:sz w:val="20"/>
                <w:szCs w:val="20"/>
              </w:rPr>
              <w:t xml:space="preserve">Form UK Ltd when at least one of these is true: (a) a serious investor requires it, (b) an enterprise customer requires a UK contracting entity, (c) you have a UK-based co-founder or director who will genuinely manage the company. Not before.</w:t>
            </w:r>
          </w:p>
        </w:tc>
      </w:tr>
    </w:tbl>
    <w:p>
      <w:pPr>
        <w:spacing w:after="0" w:before="120"/>
      </w:pPr>
      <w:r>
        <w:t xml:space="preserve"/>
      </w:r>
    </w:p>
    <w:p>
      <w:pPr>
        <w:pStyle w:val="Heading2"/>
        <w:spacing w:after="120" w:before="280"/>
      </w:pPr>
      <w:r>
        <w:rPr>
          <w:rFonts w:ascii="Arial" w:cs="Arial" w:eastAsia="Arial" w:hAnsi="Arial"/>
          <w:b/>
          <w:bCs/>
          <w:color w:val="1A1A1A"/>
          <w:sz w:val="24"/>
          <w:szCs w:val="24"/>
        </w:rPr>
        <w:t xml:space="preserve">1.2 The MVP goal: real data, minimal legal exposure</w:t>
      </w:r>
    </w:p>
    <w:p>
      <w:pPr>
        <w:spacing w:after="120" w:before="0"/>
        <w:jc w:val="left"/>
      </w:pPr>
      <w:r>
        <w:rPr>
          <w:rFonts w:ascii="Arial" w:cs="Arial" w:eastAsia="Arial" w:hAnsi="Arial"/>
          <w:b w:val="false"/>
          <w:bCs w:val="false"/>
          <w:color w:val="1A1A1A"/>
          <w:sz w:val="22"/>
          <w:szCs w:val="22"/>
        </w:rPr>
        <w:t xml:space="preserve">Your stated goal is to launch the MVP and get real bank data. The fastest legal path to this is:</w:t>
      </w:r>
    </w:p>
    <w:p>
      <w:pPr>
        <w:spacing w:after="0" w:before="60"/>
      </w:pPr>
      <w:r>
        <w:t xml:space="preserve"/>
      </w:r>
    </w:p>
    <w:p>
      <w:pPr>
        <w:pStyle w:val="ListParagraph"/>
        <w:numPr>
          <w:ilvl w:val="0"/>
          <w:numId w:val="3"/>
        </w:numPr>
        <w:spacing w:after="60" w:before="60"/>
      </w:pPr>
      <w:r>
        <w:rPr>
          <w:rFonts w:ascii="Arial" w:cs="Arial" w:eastAsia="Arial" w:hAnsi="Arial"/>
          <w:color w:val="1A1A1A"/>
          <w:sz w:val="22"/>
          <w:szCs w:val="22"/>
        </w:rPr>
        <w:t xml:space="preserve">Sign Anthropic API DPA — 10 minutes, free, protects you under GDPR from day one.</w:t>
      </w:r>
    </w:p>
    <w:p>
      <w:pPr>
        <w:pStyle w:val="ListParagraph"/>
        <w:numPr>
          <w:ilvl w:val="0"/>
          <w:numId w:val="3"/>
        </w:numPr>
        <w:spacing w:after="60" w:before="60"/>
      </w:pPr>
      <w:r>
        <w:rPr>
          <w:rFonts w:ascii="Arial" w:cs="Arial" w:eastAsia="Arial" w:hAnsi="Arial"/>
          <w:color w:val="1A1A1A"/>
          <w:sz w:val="22"/>
          <w:szCs w:val="22"/>
        </w:rPr>
        <w:t xml:space="preserve">Open a Salt Edge Test Account — free, gives you 90 days of access to real BOG and TBC bank data with up to 100 connections. This is enough for the entire co-founder testing phase.</w:t>
      </w:r>
    </w:p>
    <w:p>
      <w:pPr>
        <w:pStyle w:val="ListParagraph"/>
        <w:numPr>
          <w:ilvl w:val="0"/>
          <w:numId w:val="3"/>
        </w:numPr>
        <w:spacing w:after="60" w:before="60"/>
      </w:pPr>
      <w:r>
        <w:rPr>
          <w:rFonts w:ascii="Arial" w:cs="Arial" w:eastAsia="Arial" w:hAnsi="Arial"/>
          <w:color w:val="1A1A1A"/>
          <w:sz w:val="22"/>
          <w:szCs w:val="22"/>
        </w:rPr>
        <w:t xml:space="preserve">Form Georgian LLC — gives you a legal entity under which to operate, sign contracts, and eventually open a bank account.</w:t>
      </w:r>
    </w:p>
    <w:p>
      <w:pPr>
        <w:pStyle w:val="ListParagraph"/>
        <w:numPr>
          <w:ilvl w:val="0"/>
          <w:numId w:val="3"/>
        </w:numPr>
        <w:spacing w:after="60" w:before="60"/>
      </w:pPr>
      <w:r>
        <w:rPr>
          <w:rFonts w:ascii="Arial" w:cs="Arial" w:eastAsia="Arial" w:hAnsi="Arial"/>
          <w:color w:val="1A1A1A"/>
          <w:sz w:val="22"/>
          <w:szCs w:val="22"/>
        </w:rPr>
        <w:t xml:space="preserve">Draft minimum viable legal documents — a one-page internal testing agreement and a basic privacy notice.</w:t>
      </w:r>
    </w:p>
    <w:p>
      <w:pPr>
        <w:pStyle w:val="ListParagraph"/>
        <w:numPr>
          <w:ilvl w:val="0"/>
          <w:numId w:val="3"/>
        </w:numPr>
        <w:spacing w:after="60" w:before="60"/>
      </w:pPr>
      <w:r>
        <w:rPr>
          <w:rFonts w:ascii="Arial" w:cs="Arial" w:eastAsia="Arial" w:hAnsi="Arial"/>
          <w:color w:val="1A1A1A"/>
          <w:sz w:val="22"/>
          <w:szCs w:val="22"/>
        </w:rPr>
        <w:t xml:space="preserve">Before adding any external user — negotiate and sign the Salt Edge Service Provision Agreement (commercial contract for live access).</w:t>
      </w:r>
    </w:p>
    <w:p>
      <w:pPr>
        <w:spacing w:after="0" w:before="200"/>
      </w:pPr>
      <w:r>
        <w:t xml:space="preserve"/>
      </w:r>
    </w:p>
    <w:p>
      <w:r>
        <w:br w:type="page"/>
      </w:r>
    </w:p>
    <w:p>
      <w:pPr>
        <w:pStyle w:val="Heading1"/>
        <w:pBdr>
          <w:bottom w:val="single" w:color="D4632A" w:sz="4" w:space="4"/>
        </w:pBdr>
        <w:spacing w:after="160" w:before="360"/>
      </w:pPr>
      <w:r>
        <w:rPr>
          <w:rFonts w:ascii="Arial" w:cs="Arial" w:eastAsia="Arial" w:hAnsi="Arial"/>
          <w:b/>
          <w:bCs/>
          <w:color w:val="1A1A1A"/>
          <w:sz w:val="30"/>
          <w:szCs w:val="30"/>
        </w:rPr>
        <w:t xml:space="preserve">2. Salt Edge Terms of Service — What They Mean for Fain</w:t>
      </w:r>
    </w:p>
    <w:p>
      <w:pPr>
        <w:spacing w:after="120" w:before="0"/>
        <w:jc w:val="left"/>
      </w:pPr>
      <w:r>
        <w:rPr>
          <w:rFonts w:ascii="Arial" w:cs="Arial" w:eastAsia="Arial" w:hAnsi="Arial"/>
          <w:b w:val="false"/>
          <w:bCs w:val="false"/>
          <w:color w:val="1A1A1A"/>
          <w:sz w:val="22"/>
          <w:szCs w:val="22"/>
        </w:rPr>
        <w:t xml:space="preserve">Salt Edge's General Terms of Service (revised September 2023) contain several provisions that directly affect how Fain can operate. The full ToS is available at saltedge.com/legal/terms_of_service. Below is a plain-English analysis of each material clause.</w:t>
      </w:r>
    </w:p>
    <w:p>
      <w:pPr>
        <w:spacing w:after="0" w:before="120"/>
      </w:pPr>
      <w:r>
        <w:t xml:space="preserve"/>
      </w:r>
    </w:p>
    <w:p>
      <w:pPr>
        <w:pStyle w:val="Heading2"/>
        <w:spacing w:after="120" w:before="280"/>
      </w:pPr>
      <w:r>
        <w:rPr>
          <w:rFonts w:ascii="Arial" w:cs="Arial" w:eastAsia="Arial" w:hAnsi="Arial"/>
          <w:b/>
          <w:bCs/>
          <w:color w:val="1A1A1A"/>
          <w:sz w:val="24"/>
          <w:szCs w:val="24"/>
        </w:rPr>
        <w:t xml:space="preserve">2.1 Account types and the path to real data</w:t>
      </w:r>
    </w:p>
    <w:p>
      <w:pPr>
        <w:spacing w:after="120" w:before="0"/>
        <w:jc w:val="left"/>
      </w:pPr>
      <w:r>
        <w:rPr>
          <w:rFonts w:ascii="Arial" w:cs="Arial" w:eastAsia="Arial" w:hAnsi="Arial"/>
          <w:b w:val="false"/>
          <w:bCs w:val="false"/>
          <w:color w:val="1A1A1A"/>
          <w:sz w:val="22"/>
          <w:szCs w:val="22"/>
        </w:rPr>
        <w:t xml:space="preserve">Salt Edge has three account types. Understanding the progression is critical to planning the MVP.</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026"/>
      </w:tblGrid>
      <w:tr>
        <w:trPr>
          <w:tblHeader/>
        </w:trPr>
        <w:tc>
          <w:tcPr>
            <w:tcW w:type="dxa" w:w="16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Account type</w:t>
            </w:r>
          </w:p>
        </w:tc>
        <w:tc>
          <w:tcPr>
            <w:tcW w:type="dxa" w:w="22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Data access</w:t>
            </w:r>
          </w:p>
        </w:tc>
        <w:tc>
          <w:tcPr>
            <w:tcW w:type="dxa" w:w="22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Cost</w:t>
            </w:r>
          </w:p>
        </w:tc>
        <w:tc>
          <w:tcPr>
            <w:tcW w:type="dxa" w:w="3026"/>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What you need</w:t>
            </w:r>
          </w:p>
        </w:tc>
      </w:tr>
      <w:tr>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bCs/>
                <w:color w:val="1A1A1A"/>
                <w:sz w:val="18"/>
                <w:szCs w:val="18"/>
              </w:rPr>
              <w:t xml:space="preserve">Pending</w:t>
            </w:r>
          </w:p>
        </w:tc>
        <w:tc>
          <w:tcPr>
            <w:tcW w:type="dxa" w:w="22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Simulated / fake data only</w:t>
            </w:r>
          </w:p>
        </w:tc>
        <w:tc>
          <w:tcPr>
            <w:tcW w:type="dxa" w:w="22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Free</w:t>
            </w:r>
          </w:p>
        </w:tc>
        <w:tc>
          <w:tcPr>
            <w:tcW w:type="dxa" w:w="30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Sign up only</w:t>
            </w:r>
          </w:p>
        </w:tc>
      </w:tr>
      <w:tr>
        <w:tc>
          <w:tcPr>
            <w:tcW w:type="dxa" w:w="1600"/>
            <w:tcBorders>
              <w:top w:val="single" w:color="D0C8BE" w:sz="1"/>
              <w:left w:val="single" w:color="D0C8BE" w:sz="1"/>
              <w:bottom w:val="single" w:color="D0C8BE" w:sz="1"/>
              <w:right w:val="single" w:color="D0C8BE" w:sz="1"/>
            </w:tcBorders>
            <w:shd w:fill="E8F5E9" w:val="clear"/>
            <w:tcMar>
              <w:top w:type="dxa" w:w="100"/>
              <w:left w:type="dxa" w:w="140"/>
              <w:bottom w:type="dxa" w:w="100"/>
              <w:right w:type="dxa" w:w="140"/>
            </w:tcMar>
          </w:tcPr>
          <w:p>
            <w:pPr>
              <w:spacing w:after="120" w:before="0"/>
              <w:jc w:val="left"/>
            </w:pPr>
            <w:r>
              <w:rPr>
                <w:rFonts w:ascii="Arial" w:cs="Arial" w:eastAsia="Arial" w:hAnsi="Arial"/>
                <w:b/>
                <w:bCs/>
                <w:color w:val="1B5E20"/>
                <w:sz w:val="18"/>
                <w:szCs w:val="18"/>
              </w:rPr>
              <w:t xml:space="preserve">Test</w:t>
            </w:r>
          </w:p>
        </w:tc>
        <w:tc>
          <w:tcPr>
            <w:tcW w:type="dxa" w:w="2200"/>
            <w:tcBorders>
              <w:top w:val="single" w:color="D0C8BE" w:sz="1"/>
              <w:left w:val="single" w:color="D0C8BE" w:sz="1"/>
              <w:bottom w:val="single" w:color="D0C8BE" w:sz="1"/>
              <w:right w:val="single" w:color="D0C8BE" w:sz="1"/>
            </w:tcBorders>
            <w:shd w:fill="E8F5E9" w:val="clear"/>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REAL bank data (BOG, TBC, etc.) up to 100 connections, 90 days</w:t>
            </w:r>
          </w:p>
        </w:tc>
        <w:tc>
          <w:tcPr>
            <w:tcW w:type="dxa" w:w="2200"/>
            <w:tcBorders>
              <w:top w:val="single" w:color="D0C8BE" w:sz="1"/>
              <w:left w:val="single" w:color="D0C8BE" w:sz="1"/>
              <w:bottom w:val="single" w:color="D0C8BE" w:sz="1"/>
              <w:right w:val="single" w:color="D0C8BE" w:sz="1"/>
            </w:tcBorders>
            <w:shd w:fill="E8F5E9" w:val="clear"/>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Free</w:t>
            </w:r>
          </w:p>
        </w:tc>
        <w:tc>
          <w:tcPr>
            <w:tcW w:type="dxa" w:w="3026"/>
            <w:tcBorders>
              <w:top w:val="single" w:color="D0C8BE" w:sz="1"/>
              <w:left w:val="single" w:color="D0C8BE" w:sz="1"/>
              <w:bottom w:val="single" w:color="D0C8BE" w:sz="1"/>
              <w:right w:val="single" w:color="D0C8BE" w:sz="1"/>
            </w:tcBorders>
            <w:shd w:fill="E8F5E9" w:val="clear"/>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Request from Salt Edge with use case description. Takes a few days.</w:t>
            </w:r>
          </w:p>
        </w:tc>
      </w:tr>
      <w:tr>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bCs/>
                <w:color w:val="1A1A1A"/>
                <w:sz w:val="18"/>
                <w:szCs w:val="18"/>
              </w:rPr>
              <w:t xml:space="preserve">Live</w:t>
            </w:r>
          </w:p>
        </w:tc>
        <w:tc>
          <w:tcPr>
            <w:tcW w:type="dxa" w:w="22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Real data for production users, unlimited connections</w:t>
            </w:r>
          </w:p>
        </w:tc>
        <w:tc>
          <w:tcPr>
            <w:tcW w:type="dxa" w:w="22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Paid — per-connection or usage-based</w:t>
            </w:r>
          </w:p>
        </w:tc>
        <w:tc>
          <w:tcPr>
            <w:tcW w:type="dxa" w:w="30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Signed Service Provision Agreement (SPA) with Salt Edge. Legal entity required.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E8F5E9" w:val="clear"/>
            <w:tcMar>
              <w:top w:type="dxa" w:w="100"/>
              <w:left w:type="dxa" w:w="140"/>
              <w:bottom w:type="dxa" w:w="100"/>
              <w:right w:type="dxa" w:w="140"/>
            </w:tcMar>
          </w:tcPr>
          <w:p>
            <w:pPr>
              <w:spacing w:after="80" w:before="0"/>
            </w:pPr>
            <w:r>
              <w:rPr>
                <w:rFonts w:ascii="Arial" w:cs="Arial" w:eastAsia="Arial" w:hAnsi="Arial"/>
                <w:b/>
                <w:bCs/>
                <w:color w:val="1B5E20"/>
                <w:sz w:val="22"/>
                <w:szCs w:val="22"/>
              </w:rPr>
              <w:t xml:space="preserve">Action: Request Test Account immediately</w:t>
            </w:r>
          </w:p>
          <w:p>
            <w:pPr>
              <w:spacing w:after="0" w:before="0"/>
            </w:pPr>
            <w:r>
              <w:rPr>
                <w:rFonts w:ascii="Arial" w:cs="Arial" w:eastAsia="Arial" w:hAnsi="Arial"/>
                <w:color w:val="1A1A1A"/>
                <w:sz w:val="20"/>
                <w:szCs w:val="20"/>
              </w:rPr>
              <w:t xml:space="preserve">Go to saltedge.com, create an account, then request Test Account status. Salt Edge reviews applications — describe your use case clearly: 'AI-powered cash flow analysis tool for Georgian SME founders using bank transaction data.' This unlocks real BOG and TBC connections for co-founder testing at zero cost.</w:t>
            </w:r>
          </w:p>
        </w:tc>
      </w:tr>
    </w:tbl>
    <w:p>
      <w:pPr>
        <w:spacing w:after="0" w:before="120"/>
      </w:pPr>
      <w:r>
        <w:t xml:space="preserve"/>
      </w:r>
    </w:p>
    <w:p>
      <w:pPr>
        <w:pStyle w:val="Heading2"/>
        <w:spacing w:after="120" w:before="280"/>
      </w:pPr>
      <w:r>
        <w:rPr>
          <w:rFonts w:ascii="Arial" w:cs="Arial" w:eastAsia="Arial" w:hAnsi="Arial"/>
          <w:b/>
          <w:bCs/>
          <w:color w:val="1A1A1A"/>
          <w:sz w:val="24"/>
          <w:szCs w:val="24"/>
        </w:rPr>
        <w:t xml:space="preserve">2.2 Key clauses and what they mean for Fain</w:t>
      </w:r>
    </w:p>
    <w:p>
      <w:pPr>
        <w:spacing w:after="0" w:before="60"/>
      </w:pPr>
      <w:r>
        <w:t xml:space="preserve"/>
      </w:r>
    </w:p>
    <w:p>
      <w:pPr>
        <w:pStyle w:val="Heading3"/>
        <w:spacing w:after="80" w:before="200"/>
      </w:pPr>
      <w:r>
        <w:rPr>
          <w:rFonts w:ascii="Arial" w:cs="Arial" w:eastAsia="Arial" w:hAnsi="Arial"/>
          <w:b/>
          <w:bCs/>
          <w:color w:val="4A4A4A"/>
          <w:sz w:val="22"/>
          <w:szCs w:val="22"/>
        </w:rPr>
        <w:t xml:space="preserve">Section 5 — Salt Edge can anonymise and monetise your users' data</w:t>
      </w:r>
    </w:p>
    <w:p>
      <w:pPr>
        <w:spacing w:after="120" w:before="0"/>
        <w:jc w:val="left"/>
      </w:pPr>
      <w:r>
        <w:rPr>
          <w:rFonts w:ascii="Arial" w:cs="Arial" w:eastAsia="Arial" w:hAnsi="Arial"/>
          <w:b w:val="false"/>
          <w:bCs w:val="false"/>
          <w:color w:val="1A1A1A"/>
          <w:sz w:val="22"/>
          <w:szCs w:val="22"/>
        </w:rPr>
        <w:t xml:space="preserve">Salt Edge grants itself the right to create anonymised aggregate data from your users' transactions and distribute it to third parties for commercial purposes. This is a direct conflict with Fain's core privacy positioning.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4A00" w:sz="1"/>
              <w:left w:val="single" w:color="8C4A00" w:sz="1"/>
              <w:bottom w:val="single" w:color="8C4A00" w:sz="1"/>
              <w:right w:val="single" w:color="8C4A00" w:sz="1"/>
            </w:tcBorders>
            <w:shd w:fill="FEF3E2" w:val="clear"/>
            <w:tcMar>
              <w:top w:type="dxa" w:w="100"/>
              <w:left w:type="dxa" w:w="140"/>
              <w:bottom w:type="dxa" w:w="100"/>
              <w:right w:type="dxa" w:w="140"/>
            </w:tcMar>
          </w:tcPr>
          <w:p>
            <w:pPr>
              <w:spacing w:after="80" w:before="0"/>
            </w:pPr>
            <w:r>
              <w:rPr>
                <w:rFonts w:ascii="Arial" w:cs="Arial" w:eastAsia="Arial" w:hAnsi="Arial"/>
                <w:b/>
                <w:bCs/>
                <w:color w:val="8C4A00"/>
                <w:sz w:val="22"/>
                <w:szCs w:val="22"/>
              </w:rPr>
              <w:t xml:space="preserve">What this means</w:t>
            </w:r>
          </w:p>
          <w:p>
            <w:pPr>
              <w:spacing w:after="0" w:before="0"/>
            </w:pPr>
            <w:r>
              <w:rPr>
                <w:rFonts w:ascii="Arial" w:cs="Arial" w:eastAsia="Arial" w:hAnsi="Arial"/>
                <w:color w:val="1A1A1A"/>
                <w:sz w:val="20"/>
                <w:szCs w:val="20"/>
              </w:rPr>
              <w:t xml:space="preserve">When a Fain user connects their BOG account, Salt Edge sees the raw transactions. Salt Edge can anonymise and sell aggregated versions of this data. Fain cannot prevent this under the general ToS. In the Service Provision Agreement negotiation, you should push for a data use restriction clause that prohibits Salt Edge from monetising data sourced through Fain's application. This may or may not be negotiable depending on Fain's commercial scale.</w:t>
            </w:r>
          </w:p>
        </w:tc>
      </w:tr>
    </w:tbl>
    <w:p>
      <w:pPr>
        <w:spacing w:after="0" w:before="120"/>
      </w:pPr>
      <w:r>
        <w:t xml:space="preserve"/>
      </w:r>
    </w:p>
    <w:p>
      <w:pPr>
        <w:pStyle w:val="Heading3"/>
        <w:spacing w:after="80" w:before="200"/>
      </w:pPr>
      <w:r>
        <w:rPr>
          <w:rFonts w:ascii="Arial" w:cs="Arial" w:eastAsia="Arial" w:hAnsi="Arial"/>
          <w:b/>
          <w:bCs/>
          <w:color w:val="4A4A4A"/>
          <w:sz w:val="22"/>
          <w:szCs w:val="22"/>
        </w:rPr>
        <w:t xml:space="preserve">Section 11 — Salt Edge's liability is capped at $100 (one hundred US dollars)</w:t>
      </w:r>
    </w:p>
    <w:p>
      <w:pPr>
        <w:spacing w:after="120" w:before="0"/>
        <w:jc w:val="left"/>
      </w:pPr>
      <w:r>
        <w:rPr>
          <w:rFonts w:ascii="Arial" w:cs="Arial" w:eastAsia="Arial" w:hAnsi="Arial"/>
          <w:b w:val="false"/>
          <w:bCs w:val="false"/>
          <w:color w:val="1A1A1A"/>
          <w:sz w:val="22"/>
          <w:szCs w:val="22"/>
        </w:rPr>
        <w:t xml:space="preserve">If Salt Edge's service fails and Fain loses all bank connectivity, Fain's maximum legal recourse against Salt Edge is $100. This is not a typo.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4A00" w:sz="1"/>
              <w:left w:val="single" w:color="8C4A00" w:sz="1"/>
              <w:bottom w:val="single" w:color="8C4A00" w:sz="1"/>
              <w:right w:val="single" w:color="8C4A00" w:sz="1"/>
            </w:tcBorders>
            <w:shd w:fill="FEF3E2" w:val="clear"/>
            <w:tcMar>
              <w:top w:type="dxa" w:w="100"/>
              <w:left w:type="dxa" w:w="140"/>
              <w:bottom w:type="dxa" w:w="100"/>
              <w:right w:type="dxa" w:w="140"/>
            </w:tcMar>
          </w:tcPr>
          <w:p>
            <w:pPr>
              <w:spacing w:after="80" w:before="0"/>
            </w:pPr>
            <w:r>
              <w:rPr>
                <w:rFonts w:ascii="Arial" w:cs="Arial" w:eastAsia="Arial" w:hAnsi="Arial"/>
                <w:b/>
                <w:bCs/>
                <w:color w:val="8C4A00"/>
                <w:sz w:val="22"/>
                <w:szCs w:val="22"/>
              </w:rPr>
              <w:t xml:space="preserve">What this means</w:t>
            </w:r>
          </w:p>
          <w:p>
            <w:pPr>
              <w:spacing w:after="0" w:before="0"/>
            </w:pPr>
            <w:r>
              <w:rPr>
                <w:rFonts w:ascii="Arial" w:cs="Arial" w:eastAsia="Arial" w:hAnsi="Arial"/>
                <w:color w:val="1A1A1A"/>
                <w:sz w:val="20"/>
                <w:szCs w:val="20"/>
              </w:rPr>
              <w:t xml:space="preserve">Salt Edge bears essentially no financial risk to you. Your architecture and commercial planning must treat Salt Edge connectivity as inherently unreliable. Concrete steps: (1) build a manual CSV upload fallback so users can input data without Salt Edge; (2) evaluate at least one alternative aggregator (Mono, Plaid, or direct bank API) so you have a migration path; (3) do not make contractual promises to your users about bank connectivity uptime.</w:t>
            </w:r>
          </w:p>
        </w:tc>
      </w:tr>
    </w:tbl>
    <w:p>
      <w:pPr>
        <w:spacing w:after="0" w:before="120"/>
      </w:pPr>
      <w:r>
        <w:t xml:space="preserve"/>
      </w:r>
    </w:p>
    <w:p>
      <w:pPr>
        <w:pStyle w:val="Heading3"/>
        <w:spacing w:after="80" w:before="200"/>
      </w:pPr>
      <w:r>
        <w:rPr>
          <w:rFonts w:ascii="Arial" w:cs="Arial" w:eastAsia="Arial" w:hAnsi="Arial"/>
          <w:b/>
          <w:bCs/>
          <w:color w:val="4A4A4A"/>
          <w:sz w:val="22"/>
          <w:szCs w:val="22"/>
        </w:rPr>
        <w:t xml:space="preserve">Section 3.2 — You cannot sublicense or resell Salt Edge access</w:t>
      </w:r>
    </w:p>
    <w:p>
      <w:pPr>
        <w:spacing w:after="120" w:before="0"/>
        <w:jc w:val="left"/>
      </w:pPr>
      <w:r>
        <w:rPr>
          <w:rFonts w:ascii="Arial" w:cs="Arial" w:eastAsia="Arial" w:hAnsi="Arial"/>
          <w:b w:val="false"/>
          <w:bCs w:val="false"/>
          <w:color w:val="1A1A1A"/>
          <w:sz w:val="22"/>
          <w:szCs w:val="22"/>
        </w:rPr>
        <w:t xml:space="preserve">You cannot give your users their own Salt Edge access, or resell, transfer, or sub-license the service. Your users are 'Indirect Users' in Salt Edge's framework — they access bank data through Fain's application, which is the licensed entity.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E8F5E9" w:val="clear"/>
            <w:tcMar>
              <w:top w:type="dxa" w:w="100"/>
              <w:left w:type="dxa" w:w="140"/>
              <w:bottom w:type="dxa" w:w="100"/>
              <w:right w:type="dxa" w:w="140"/>
            </w:tcMar>
          </w:tcPr>
          <w:p>
            <w:pPr>
              <w:spacing w:after="80" w:before="0"/>
            </w:pPr>
            <w:r>
              <w:rPr>
                <w:rFonts w:ascii="Arial" w:cs="Arial" w:eastAsia="Arial" w:hAnsi="Arial"/>
                <w:b/>
                <w:bCs/>
                <w:color w:val="1B5E20"/>
                <w:sz w:val="22"/>
                <w:szCs w:val="22"/>
              </w:rPr>
              <w:t xml:space="preserve">What this means</w:t>
            </w:r>
          </w:p>
          <w:p>
            <w:pPr>
              <w:spacing w:after="0" w:before="0"/>
            </w:pPr>
            <w:r>
              <w:rPr>
                <w:rFonts w:ascii="Arial" w:cs="Arial" w:eastAsia="Arial" w:hAnsi="Arial"/>
                <w:color w:val="1A1A1A"/>
                <w:sz w:val="20"/>
                <w:szCs w:val="20"/>
              </w:rPr>
              <w:t xml:space="preserve">This is actually the correct architecture for Fain. Fain's Georgian LLC (or later UK Ltd) holds the Salt Edge agreement. End users connect their banks through Fain's interface. Fain processes the data and sends AI analysis to the user. The user never interacts with Salt Edge directly. This structure is fully compliant with Section 3.2.</w:t>
            </w:r>
          </w:p>
        </w:tc>
      </w:tr>
    </w:tbl>
    <w:p>
      <w:pPr>
        <w:spacing w:after="0" w:before="120"/>
      </w:pPr>
      <w:r>
        <w:t xml:space="preserve"/>
      </w:r>
    </w:p>
    <w:p>
      <w:pPr>
        <w:pStyle w:val="Heading3"/>
        <w:spacing w:after="80" w:before="200"/>
      </w:pPr>
      <w:r>
        <w:rPr>
          <w:rFonts w:ascii="Arial" w:cs="Arial" w:eastAsia="Arial" w:hAnsi="Arial"/>
          <w:b/>
          <w:bCs/>
          <w:color w:val="4A4A4A"/>
          <w:sz w:val="22"/>
          <w:szCs w:val="22"/>
        </w:rPr>
        <w:t xml:space="preserve">Section 6.2 — Any feedback you give Salt Edge becomes their IP forever</w:t>
      </w:r>
    </w:p>
    <w:p>
      <w:pPr>
        <w:spacing w:after="120" w:before="0"/>
        <w:jc w:val="left"/>
      </w:pPr>
      <w:r>
        <w:rPr>
          <w:rFonts w:ascii="Arial" w:cs="Arial" w:eastAsia="Arial" w:hAnsi="Arial"/>
          <w:b w:val="false"/>
          <w:bCs w:val="false"/>
          <w:color w:val="1A1A1A"/>
          <w:sz w:val="22"/>
          <w:szCs w:val="22"/>
        </w:rPr>
        <w:t xml:space="preserve">Any suggestions, feedback, or ideas you provide to Salt Edge are automatically assigned to Salt Edge as perpetual, royalty-free intellectual property.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C00" w:sz="1"/>
              <w:left w:val="single" w:color="6D5C00" w:sz="1"/>
              <w:bottom w:val="single" w:color="6D5C00" w:sz="1"/>
              <w:right w:val="single" w:color="6D5C00" w:sz="1"/>
            </w:tcBorders>
            <w:shd w:fill="FFFDE7" w:val="clear"/>
            <w:tcMar>
              <w:top w:type="dxa" w:w="100"/>
              <w:left w:type="dxa" w:w="140"/>
              <w:bottom w:type="dxa" w:w="100"/>
              <w:right w:type="dxa" w:w="140"/>
            </w:tcMar>
          </w:tcPr>
          <w:p>
            <w:pPr>
              <w:spacing w:after="80" w:before="0"/>
            </w:pPr>
            <w:r>
              <w:rPr>
                <w:rFonts w:ascii="Arial" w:cs="Arial" w:eastAsia="Arial" w:hAnsi="Arial"/>
                <w:b/>
                <w:bCs/>
                <w:color w:val="6D5C00"/>
                <w:sz w:val="22"/>
                <w:szCs w:val="22"/>
              </w:rPr>
              <w:t xml:space="preserve">What this means</w:t>
            </w:r>
          </w:p>
          <w:p>
            <w:pPr>
              <w:spacing w:after="0" w:before="0"/>
            </w:pPr>
            <w:r>
              <w:rPr>
                <w:rFonts w:ascii="Arial" w:cs="Arial" w:eastAsia="Arial" w:hAnsi="Arial"/>
                <w:color w:val="1A1A1A"/>
                <w:sz w:val="20"/>
                <w:szCs w:val="20"/>
              </w:rPr>
              <w:t xml:space="preserve">Do not send product roadmap ideas, feature requests, or novel integration concepts to Salt Edge in emails or support tickets. If you encounter a technical issue, describe only the symptom, not the underlying product innovation. Be particularly careful in any meetings with Salt Edge commercial or product teams.</w:t>
            </w:r>
          </w:p>
        </w:tc>
      </w:tr>
    </w:tbl>
    <w:p>
      <w:pPr>
        <w:spacing w:after="0" w:before="120"/>
      </w:pPr>
      <w:r>
        <w:t xml:space="preserve"/>
      </w:r>
    </w:p>
    <w:p>
      <w:pPr>
        <w:pStyle w:val="Heading3"/>
        <w:spacing w:after="80" w:before="200"/>
      </w:pPr>
      <w:r>
        <w:rPr>
          <w:rFonts w:ascii="Arial" w:cs="Arial" w:eastAsia="Arial" w:hAnsi="Arial"/>
          <w:b/>
          <w:bCs/>
          <w:color w:val="4A4A4A"/>
          <w:sz w:val="22"/>
          <w:szCs w:val="22"/>
        </w:rPr>
        <w:t xml:space="preserve">Section 15 — Salt Edge can change its terms at any time</w:t>
      </w:r>
    </w:p>
    <w:p>
      <w:pPr>
        <w:spacing w:after="120" w:before="0"/>
        <w:jc w:val="left"/>
      </w:pPr>
      <w:r>
        <w:rPr>
          <w:rFonts w:ascii="Arial" w:cs="Arial" w:eastAsia="Arial" w:hAnsi="Arial"/>
          <w:b w:val="false"/>
          <w:bCs w:val="false"/>
          <w:color w:val="1A1A1A"/>
          <w:sz w:val="22"/>
          <w:szCs w:val="22"/>
        </w:rPr>
        <w:t xml:space="preserve">Material changes require 30 days' notice; non-material changes can be made without notice. Salt Edge can also discontinue or modify any service without notice for technical, security, legal, or business reasons.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C00" w:sz="1"/>
              <w:left w:val="single" w:color="6D5C00" w:sz="1"/>
              <w:bottom w:val="single" w:color="6D5C00" w:sz="1"/>
              <w:right w:val="single" w:color="6D5C00" w:sz="1"/>
            </w:tcBorders>
            <w:shd w:fill="FFFDE7" w:val="clear"/>
            <w:tcMar>
              <w:top w:type="dxa" w:w="100"/>
              <w:left w:type="dxa" w:w="140"/>
              <w:bottom w:type="dxa" w:w="100"/>
              <w:right w:type="dxa" w:w="140"/>
            </w:tcMar>
          </w:tcPr>
          <w:p>
            <w:pPr>
              <w:spacing w:after="80" w:before="0"/>
            </w:pPr>
            <w:r>
              <w:rPr>
                <w:rFonts w:ascii="Arial" w:cs="Arial" w:eastAsia="Arial" w:hAnsi="Arial"/>
                <w:b/>
                <w:bCs/>
                <w:color w:val="6D5C00"/>
                <w:sz w:val="22"/>
                <w:szCs w:val="22"/>
              </w:rPr>
              <w:t xml:space="preserve">What this means</w:t>
            </w:r>
          </w:p>
          <w:p>
            <w:pPr>
              <w:spacing w:after="0" w:before="0"/>
            </w:pPr>
            <w:r>
              <w:rPr>
                <w:rFonts w:ascii="Arial" w:cs="Arial" w:eastAsia="Arial" w:hAnsi="Arial"/>
                <w:color w:val="1A1A1A"/>
                <w:sz w:val="20"/>
                <w:szCs w:val="20"/>
              </w:rPr>
              <w:t xml:space="preserve">Set a calendar reminder to review the Salt Edge ToS every quarter. If Salt Edge changes pricing, data handling, or Georgian bank coverage, you need to know immediately. In the SPA negotiation, push for a minimum 90-day notice period for any change that affects Georgian bank connectivity or pricing.</w:t>
            </w:r>
          </w:p>
        </w:tc>
      </w:tr>
    </w:tbl>
    <w:p>
      <w:pPr>
        <w:spacing w:after="0" w:before="120"/>
      </w:pPr>
      <w:r>
        <w:t xml:space="preserve"/>
      </w:r>
    </w:p>
    <w:p>
      <w:pPr>
        <w:pStyle w:val="Heading3"/>
        <w:spacing w:after="80" w:before="200"/>
      </w:pPr>
      <w:r>
        <w:rPr>
          <w:rFonts w:ascii="Arial" w:cs="Arial" w:eastAsia="Arial" w:hAnsi="Arial"/>
          <w:b/>
          <w:bCs/>
          <w:color w:val="4A4A4A"/>
          <w:sz w:val="22"/>
          <w:szCs w:val="22"/>
        </w:rPr>
        <w:t xml:space="preserve">Section 18 — Ontario, Canada law governs all disputes</w:t>
      </w:r>
    </w:p>
    <w:p>
      <w:pPr>
        <w:spacing w:after="120" w:before="0"/>
        <w:jc w:val="left"/>
      </w:pPr>
      <w:r>
        <w:rPr>
          <w:rFonts w:ascii="Arial" w:cs="Arial" w:eastAsia="Arial" w:hAnsi="Arial"/>
          <w:b w:val="false"/>
          <w:bCs w:val="false"/>
          <w:color w:val="1A1A1A"/>
          <w:sz w:val="22"/>
          <w:szCs w:val="22"/>
        </w:rPr>
        <w:t xml:space="preserve">Salt Edge is incorporated in Canada. All disputes are governed by Ontario law and resolved by binding arbitration in Ontario. No class actions. No jury trials. No courts.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4A00" w:sz="1"/>
              <w:left w:val="single" w:color="8C4A00" w:sz="1"/>
              <w:bottom w:val="single" w:color="8C4A00" w:sz="1"/>
              <w:right w:val="single" w:color="8C4A00" w:sz="1"/>
            </w:tcBorders>
            <w:shd w:fill="FEF3E2" w:val="clear"/>
            <w:tcMar>
              <w:top w:type="dxa" w:w="100"/>
              <w:left w:type="dxa" w:w="140"/>
              <w:bottom w:type="dxa" w:w="100"/>
              <w:right w:type="dxa" w:w="140"/>
            </w:tcMar>
          </w:tcPr>
          <w:p>
            <w:pPr>
              <w:spacing w:after="80" w:before="0"/>
            </w:pPr>
            <w:r>
              <w:rPr>
                <w:rFonts w:ascii="Arial" w:cs="Arial" w:eastAsia="Arial" w:hAnsi="Arial"/>
                <w:b/>
                <w:bCs/>
                <w:color w:val="8C4A00"/>
                <w:sz w:val="22"/>
                <w:szCs w:val="22"/>
              </w:rPr>
              <w:t xml:space="preserve">What this means</w:t>
            </w:r>
          </w:p>
          <w:p>
            <w:pPr>
              <w:spacing w:after="0" w:before="0"/>
            </w:pPr>
            <w:r>
              <w:rPr>
                <w:rFonts w:ascii="Arial" w:cs="Arial" w:eastAsia="Arial" w:hAnsi="Arial"/>
                <w:color w:val="1A1A1A"/>
                <w:sz w:val="20"/>
                <w:szCs w:val="20"/>
              </w:rPr>
              <w:t xml:space="preserve">If Salt Edge breaches the agreement in a way that materially harms Fain, your recourse is arbitration in Ottawa, under Ontario law. This is expensive and time-consuming. This is another reason why: (1) the $100 liability cap makes litigation essentially pointless; (2) your architecture must not have a single point of failure on Salt Edge; (3) you should negotiate protective terms in the SPA rather than relying on dispute resolution.</w:t>
            </w:r>
          </w:p>
        </w:tc>
      </w:tr>
    </w:tbl>
    <w:p>
      <w:pPr>
        <w:spacing w:after="0" w:before="200"/>
      </w:pPr>
      <w:r>
        <w:t xml:space="preserve"/>
      </w:r>
    </w:p>
    <w:p>
      <w:r>
        <w:br w:type="page"/>
      </w:r>
    </w:p>
    <w:p>
      <w:pPr>
        <w:pStyle w:val="Heading1"/>
        <w:pBdr>
          <w:bottom w:val="single" w:color="D4632A" w:sz="4" w:space="4"/>
        </w:pBdr>
        <w:spacing w:after="160" w:before="360"/>
      </w:pPr>
      <w:r>
        <w:rPr>
          <w:rFonts w:ascii="Arial" w:cs="Arial" w:eastAsia="Arial" w:hAnsi="Arial"/>
          <w:b/>
          <w:bCs/>
          <w:color w:val="1A1A1A"/>
          <w:sz w:val="30"/>
          <w:szCs w:val="30"/>
        </w:rPr>
        <w:t xml:space="preserve">3. Phase-by-Phase Legal Plan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826"/>
      </w:tblGrid>
      <w:tr>
        <w:trPr>
          <w:tblHeader/>
        </w:trPr>
        <w:tc>
          <w:tcPr>
            <w:tcW w:type="dxa" w:w="18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Phase</w:t>
            </w:r>
          </w:p>
        </w:tc>
        <w:tc>
          <w:tcPr>
            <w:tcW w:type="dxa" w:w="24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Description</w:t>
            </w:r>
          </w:p>
        </w:tc>
        <w:tc>
          <w:tcPr>
            <w:tcW w:type="dxa" w:w="20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Timeline</w:t>
            </w:r>
          </w:p>
        </w:tc>
        <w:tc>
          <w:tcPr>
            <w:tcW w:type="dxa" w:w="2826"/>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Gate</w:t>
            </w:r>
          </w:p>
        </w:tc>
      </w:tr>
      <w:tr>
        <w:tc>
          <w:tcPr>
            <w:tcW w:type="dxa" w:w="1800"/>
            <w:tcBorders>
              <w:top w:val="single" w:color="D0C8BE" w:sz="1"/>
              <w:left w:val="single" w:color="D0C8BE" w:sz="1"/>
              <w:bottom w:val="single" w:color="D0C8BE" w:sz="1"/>
              <w:right w:val="single" w:color="D0C8BE" w:sz="1"/>
            </w:tcBorders>
            <w:shd w:fill="F5F0EA" w:val="clear"/>
            <w:tcMar>
              <w:top w:type="dxa" w:w="100"/>
              <w:left w:type="dxa" w:w="140"/>
              <w:bottom w:type="dxa" w:w="100"/>
              <w:right w:type="dxa" w:w="140"/>
            </w:tcMar>
          </w:tcPr>
          <w:p>
            <w:pPr>
              <w:spacing w:after="120" w:before="0"/>
              <w:jc w:val="left"/>
            </w:pPr>
            <w:r>
              <w:rPr>
                <w:rFonts w:ascii="Arial" w:cs="Arial" w:eastAsia="Arial" w:hAnsi="Arial"/>
                <w:b/>
                <w:bCs/>
                <w:color w:val="1A1A1A"/>
                <w:sz w:val="18"/>
                <w:szCs w:val="18"/>
              </w:rPr>
              <w:t xml:space="preserve">Phase 0</w:t>
            </w:r>
          </w:p>
        </w:tc>
        <w:tc>
          <w:tcPr>
            <w:tcW w:type="dxa" w:w="24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Foundation — you and co-founders only</w:t>
            </w:r>
          </w:p>
        </w:tc>
        <w:tc>
          <w:tcPr>
            <w:tcW w:type="dxa" w:w="20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Now — Week 2</w:t>
            </w:r>
          </w:p>
        </w:tc>
        <w:tc>
          <w:tcPr>
            <w:tcW w:type="dxa" w:w="28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Anthropic DPA signed, Salt Edge Test Account open, Georgian LLC formed</w:t>
            </w:r>
          </w:p>
        </w:tc>
      </w:tr>
      <w:tr>
        <w:tc>
          <w:tcPr>
            <w:tcW w:type="dxa" w:w="1800"/>
            <w:tcBorders>
              <w:top w:val="single" w:color="D0C8BE" w:sz="1"/>
              <w:left w:val="single" w:color="D0C8BE" w:sz="1"/>
              <w:bottom w:val="single" w:color="D0C8BE" w:sz="1"/>
              <w:right w:val="single" w:color="D0C8BE" w:sz="1"/>
            </w:tcBorders>
            <w:shd w:fill="F5F0EA" w:val="clear"/>
            <w:tcMar>
              <w:top w:type="dxa" w:w="100"/>
              <w:left w:type="dxa" w:w="140"/>
              <w:bottom w:type="dxa" w:w="100"/>
              <w:right w:type="dxa" w:w="140"/>
            </w:tcMar>
          </w:tcPr>
          <w:p>
            <w:pPr>
              <w:spacing w:after="120" w:before="0"/>
              <w:jc w:val="left"/>
            </w:pPr>
            <w:r>
              <w:rPr>
                <w:rFonts w:ascii="Arial" w:cs="Arial" w:eastAsia="Arial" w:hAnsi="Arial"/>
                <w:b/>
                <w:bCs/>
                <w:color w:val="1A1A1A"/>
                <w:sz w:val="18"/>
                <w:szCs w:val="18"/>
              </w:rPr>
              <w:t xml:space="preserve">Phase 1</w:t>
            </w:r>
          </w:p>
        </w:tc>
        <w:tc>
          <w:tcPr>
            <w:tcW w:type="dxa" w:w="24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Closed beta — 5-20 trusted founders</w:t>
            </w:r>
          </w:p>
        </w:tc>
        <w:tc>
          <w:tcPr>
            <w:tcW w:type="dxa" w:w="20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Week 3 — Month 3</w:t>
            </w:r>
          </w:p>
        </w:tc>
        <w:tc>
          <w:tcPr>
            <w:tcW w:type="dxa" w:w="28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Salt Edge SPA signed, basic ToS and Privacy Notice live, AI disclaimer in product</w:t>
            </w:r>
          </w:p>
        </w:tc>
      </w:tr>
      <w:tr>
        <w:tc>
          <w:tcPr>
            <w:tcW w:type="dxa" w:w="1800"/>
            <w:tcBorders>
              <w:top w:val="single" w:color="D0C8BE" w:sz="1"/>
              <w:left w:val="single" w:color="D0C8BE" w:sz="1"/>
              <w:bottom w:val="single" w:color="D0C8BE" w:sz="1"/>
              <w:right w:val="single" w:color="D0C8BE" w:sz="1"/>
            </w:tcBorders>
            <w:shd w:fill="F5F0EA" w:val="clear"/>
            <w:tcMar>
              <w:top w:type="dxa" w:w="100"/>
              <w:left w:type="dxa" w:w="140"/>
              <w:bottom w:type="dxa" w:w="100"/>
              <w:right w:type="dxa" w:w="140"/>
            </w:tcMar>
          </w:tcPr>
          <w:p>
            <w:pPr>
              <w:spacing w:after="120" w:before="0"/>
              <w:jc w:val="left"/>
            </w:pPr>
            <w:r>
              <w:rPr>
                <w:rFonts w:ascii="Arial" w:cs="Arial" w:eastAsia="Arial" w:hAnsi="Arial"/>
                <w:b/>
                <w:bCs/>
                <w:color w:val="1A1A1A"/>
                <w:sz w:val="18"/>
                <w:szCs w:val="18"/>
              </w:rPr>
              <w:t xml:space="preserve">Phase 2</w:t>
            </w:r>
          </w:p>
        </w:tc>
        <w:tc>
          <w:tcPr>
            <w:tcW w:type="dxa" w:w="24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Public MVP launch — any Georgian founder</w:t>
            </w:r>
          </w:p>
        </w:tc>
        <w:tc>
          <w:tcPr>
            <w:tcW w:type="dxa" w:w="20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Month 3 onwards</w:t>
            </w:r>
          </w:p>
        </w:tc>
        <w:tc>
          <w:tcPr>
            <w:tcW w:type="dxa" w:w="28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Full ToS + Privacy Policy, Georgian legal counsel opinion on NBG, GDPR compliance documented</w:t>
            </w:r>
          </w:p>
        </w:tc>
      </w:tr>
      <w:tr>
        <w:tc>
          <w:tcPr>
            <w:tcW w:type="dxa" w:w="1800"/>
            <w:tcBorders>
              <w:top w:val="single" w:color="D0C8BE" w:sz="1"/>
              <w:left w:val="single" w:color="D0C8BE" w:sz="1"/>
              <w:bottom w:val="single" w:color="D0C8BE" w:sz="1"/>
              <w:right w:val="single" w:color="D0C8BE" w:sz="1"/>
            </w:tcBorders>
            <w:shd w:fill="F5F0EA" w:val="clear"/>
            <w:tcMar>
              <w:top w:type="dxa" w:w="100"/>
              <w:left w:type="dxa" w:w="140"/>
              <w:bottom w:type="dxa" w:w="100"/>
              <w:right w:type="dxa" w:w="140"/>
            </w:tcMar>
          </w:tcPr>
          <w:p>
            <w:pPr>
              <w:spacing w:after="120" w:before="0"/>
              <w:jc w:val="left"/>
            </w:pPr>
            <w:r>
              <w:rPr>
                <w:rFonts w:ascii="Arial" w:cs="Arial" w:eastAsia="Arial" w:hAnsi="Arial"/>
                <w:b/>
                <w:bCs/>
                <w:color w:val="1A1A1A"/>
                <w:sz w:val="18"/>
                <w:szCs w:val="18"/>
              </w:rPr>
              <w:t xml:space="preserve">Phase 3</w:t>
            </w:r>
          </w:p>
        </w:tc>
        <w:tc>
          <w:tcPr>
            <w:tcW w:type="dxa" w:w="24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Investor / enterprise readiness</w:t>
            </w:r>
          </w:p>
        </w:tc>
        <w:tc>
          <w:tcPr>
            <w:tcW w:type="dxa" w:w="20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When needed</w:t>
            </w:r>
          </w:p>
        </w:tc>
        <w:tc>
          <w:tcPr>
            <w:tcW w:type="dxa" w:w="28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UK Ltd formed with real UK director, IP transferred, full GDPR/UK GDPR compliance</w:t>
            </w:r>
          </w:p>
        </w:tc>
      </w:tr>
    </w:tbl>
    <w:p>
      <w:pPr>
        <w:spacing w:after="0" w:before="160"/>
      </w:pPr>
      <w:r>
        <w:t xml:space="preserve"/>
      </w:r>
    </w:p>
    <w:p>
      <w:pPr>
        <w:pStyle w:val="Heading2"/>
        <w:spacing w:after="120" w:before="280"/>
      </w:pPr>
      <w:r>
        <w:rPr>
          <w:rFonts w:ascii="Arial" w:cs="Arial" w:eastAsia="Arial" w:hAnsi="Arial"/>
          <w:b/>
          <w:bCs/>
          <w:color w:val="1A1A1A"/>
          <w:sz w:val="24"/>
          <w:szCs w:val="24"/>
        </w:rPr>
        <w:t xml:space="preserve">3.1 Phase 0: Foundation (Now — Week 2)</w:t>
      </w:r>
    </w:p>
    <w:p>
      <w:pPr>
        <w:spacing w:after="120" w:before="0"/>
        <w:jc w:val="left"/>
      </w:pPr>
      <w:r>
        <w:rPr>
          <w:rFonts w:ascii="Arial" w:cs="Arial" w:eastAsia="Arial" w:hAnsi="Arial"/>
          <w:b w:val="false"/>
          <w:bCs w:val="false"/>
          <w:color w:val="1A1A1A"/>
          <w:sz w:val="22"/>
          <w:szCs w:val="22"/>
        </w:rPr>
        <w:t xml:space="preserve">These are the actions you can and should take immediately, before writing a single line of code that touches real user data. Each takes less than one working day.</w:t>
      </w:r>
    </w:p>
    <w:p>
      <w:pPr>
        <w:spacing w:after="0" w:before="80"/>
      </w:pPr>
      <w:r>
        <w:t xml:space="preserve"/>
      </w:r>
    </w:p>
    <w:p>
      <w:pPr>
        <w:pStyle w:val="Heading3"/>
        <w:spacing w:after="80" w:before="200"/>
      </w:pPr>
      <w:r>
        <w:rPr>
          <w:rFonts w:ascii="Arial" w:cs="Arial" w:eastAsia="Arial" w:hAnsi="Arial"/>
          <w:b/>
          <w:bCs/>
          <w:color w:val="4A4A4A"/>
          <w:sz w:val="22"/>
          <w:szCs w:val="22"/>
        </w:rPr>
        <w:t xml:space="preserve">Action 0.1 — Sign Anthropic API DPA (today)</w:t>
      </w:r>
    </w:p>
    <w:p>
      <w:pPr>
        <w:spacing w:after="120" w:before="0"/>
        <w:jc w:val="left"/>
      </w:pPr>
      <w:r>
        <w:rPr>
          <w:rFonts w:ascii="Arial" w:cs="Arial" w:eastAsia="Arial" w:hAnsi="Arial"/>
          <w:b w:val="false"/>
          <w:bCs w:val="false"/>
          <w:color w:val="1A1A1A"/>
          <w:sz w:val="22"/>
          <w:szCs w:val="22"/>
        </w:rPr>
        <w:t xml:space="preserve">The Anthropic API Data Processing Addendum governs how Anthropic processes data you send through the Claude API. Without it, you have no contractual data protection for your users' financial aggregates.</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Go to console.anthropic.com. Under account settings, locate the Data Processing Addendum.</w:t>
      </w:r>
    </w:p>
    <w:p>
      <w:pPr>
        <w:pStyle w:val="ListParagraph"/>
        <w:numPr>
          <w:ilvl w:val="0"/>
          <w:numId w:val="2"/>
        </w:numPr>
        <w:spacing w:after="40" w:before="40"/>
      </w:pPr>
      <w:r>
        <w:rPr>
          <w:rFonts w:ascii="Arial" w:cs="Arial" w:eastAsia="Arial" w:hAnsi="Arial"/>
          <w:color w:val="1A1A1A"/>
          <w:sz w:val="22"/>
          <w:szCs w:val="22"/>
        </w:rPr>
        <w:t xml:space="preserve">Sign as the individual currently operating the API account (you can re-sign under the Georgian LLC once formed).</w:t>
      </w:r>
    </w:p>
    <w:p>
      <w:pPr>
        <w:pStyle w:val="ListParagraph"/>
        <w:numPr>
          <w:ilvl w:val="0"/>
          <w:numId w:val="2"/>
        </w:numPr>
        <w:spacing w:after="40" w:before="40"/>
      </w:pPr>
      <w:r>
        <w:rPr>
          <w:rFonts w:ascii="Arial" w:cs="Arial" w:eastAsia="Arial" w:hAnsi="Arial"/>
          <w:color w:val="1A1A1A"/>
          <w:sz w:val="22"/>
          <w:szCs w:val="22"/>
        </w:rPr>
        <w:t xml:space="preserve">Key terms to note: Anthropic confirms it does not use API inputs for model training. This must remain true — monitor any ToS updates.</w:t>
      </w:r>
    </w:p>
    <w:p>
      <w:pPr>
        <w:pStyle w:val="ListParagraph"/>
        <w:numPr>
          <w:ilvl w:val="0"/>
          <w:numId w:val="2"/>
        </w:numPr>
        <w:spacing w:after="40" w:before="40"/>
      </w:pPr>
      <w:r>
        <w:rPr>
          <w:rFonts w:ascii="Arial" w:cs="Arial" w:eastAsia="Arial" w:hAnsi="Arial"/>
          <w:color w:val="1A1A1A"/>
          <w:sz w:val="22"/>
          <w:szCs w:val="22"/>
        </w:rPr>
        <w:t xml:space="preserve">Time required: 10 minutes. Cost: free.</w:t>
      </w:r>
    </w:p>
    <w:p>
      <w:pPr>
        <w:spacing w:after="0" w:before="80"/>
      </w:pPr>
      <w:r>
        <w:t xml:space="preserve"/>
      </w:r>
    </w:p>
    <w:p>
      <w:pPr>
        <w:pStyle w:val="Heading3"/>
        <w:spacing w:after="80" w:before="200"/>
      </w:pPr>
      <w:r>
        <w:rPr>
          <w:rFonts w:ascii="Arial" w:cs="Arial" w:eastAsia="Arial" w:hAnsi="Arial"/>
          <w:b/>
          <w:bCs/>
          <w:color w:val="4A4A4A"/>
          <w:sz w:val="22"/>
          <w:szCs w:val="22"/>
        </w:rPr>
        <w:t xml:space="preserve">Action 0.2 — Open Salt Edge Test Account (this week)</w:t>
      </w:r>
    </w:p>
    <w:p>
      <w:pPr>
        <w:spacing w:after="120" w:before="0"/>
        <w:jc w:val="left"/>
      </w:pPr>
      <w:r>
        <w:rPr>
          <w:rFonts w:ascii="Arial" w:cs="Arial" w:eastAsia="Arial" w:hAnsi="Arial"/>
          <w:b w:val="false"/>
          <w:bCs w:val="false"/>
          <w:color w:val="1A1A1A"/>
          <w:sz w:val="22"/>
          <w:szCs w:val="22"/>
        </w:rPr>
        <w:t xml:space="preserve">The Test Account gives you access to real BOG and TBC bank data at zero cost for 90 days with up to 100 connections. This is sufficient for the entire co-founder testing phase and most of a closed beta.</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Sign up at saltedge.com. Create a Pending Account first (takes minutes).</w:t>
      </w:r>
    </w:p>
    <w:p>
      <w:pPr>
        <w:pStyle w:val="ListParagraph"/>
        <w:numPr>
          <w:ilvl w:val="0"/>
          <w:numId w:val="2"/>
        </w:numPr>
        <w:spacing w:after="40" w:before="40"/>
      </w:pPr>
      <w:r>
        <w:rPr>
          <w:rFonts w:ascii="Arial" w:cs="Arial" w:eastAsia="Arial" w:hAnsi="Arial"/>
          <w:color w:val="1A1A1A"/>
          <w:sz w:val="22"/>
          <w:szCs w:val="22"/>
        </w:rPr>
        <w:t xml:space="preserve">Then submit a Test Account request. In your request description, write: 'We are building an AI-powered financial analysis tool for Georgian SME founders. We need real bank data access to develop and test our product with BOG and TBC connections. Expected use: internal development testing, up to 10 connections.'</w:t>
      </w:r>
    </w:p>
    <w:p>
      <w:pPr>
        <w:pStyle w:val="ListParagraph"/>
        <w:numPr>
          <w:ilvl w:val="0"/>
          <w:numId w:val="2"/>
        </w:numPr>
        <w:spacing w:after="40" w:before="40"/>
      </w:pPr>
      <w:r>
        <w:rPr>
          <w:rFonts w:ascii="Arial" w:cs="Arial" w:eastAsia="Arial" w:hAnsi="Arial"/>
          <w:color w:val="1A1A1A"/>
          <w:sz w:val="22"/>
          <w:szCs w:val="22"/>
        </w:rPr>
        <w:t xml:space="preserve">Salt Edge typically approves Test Account requests within 2-5 business days.</w:t>
      </w:r>
    </w:p>
    <w:p>
      <w:pPr>
        <w:pStyle w:val="ListParagraph"/>
        <w:numPr>
          <w:ilvl w:val="0"/>
          <w:numId w:val="2"/>
        </w:numPr>
        <w:spacing w:after="40" w:before="40"/>
      </w:pPr>
      <w:r>
        <w:rPr>
          <w:rFonts w:ascii="Arial" w:cs="Arial" w:eastAsia="Arial" w:hAnsi="Arial"/>
          <w:color w:val="1A1A1A"/>
          <w:sz w:val="22"/>
          <w:szCs w:val="22"/>
        </w:rPr>
        <w:t xml:space="preserve">For banks: BOG and TBC are both supported by Salt Edge. Start with both. Salt Edge will tell you if coverage is screen-scraping vs API-based — this matters for stability.</w:t>
      </w:r>
    </w:p>
    <w:p>
      <w:pPr>
        <w:pStyle w:val="ListParagraph"/>
        <w:numPr>
          <w:ilvl w:val="0"/>
          <w:numId w:val="2"/>
        </w:numPr>
        <w:spacing w:after="40" w:before="40"/>
      </w:pPr>
      <w:r>
        <w:rPr>
          <w:rFonts w:ascii="Arial" w:cs="Arial" w:eastAsia="Arial" w:hAnsi="Arial"/>
          <w:color w:val="1A1A1A"/>
          <w:sz w:val="22"/>
          <w:szCs w:val="22"/>
        </w:rPr>
        <w:t xml:space="preserve">Time required: 30 minutes to apply. Cost: free.</w:t>
      </w:r>
    </w:p>
    <w:p>
      <w:pPr>
        <w:spacing w:after="0" w:before="80"/>
      </w:pPr>
      <w:r>
        <w:t xml:space="preserve"/>
      </w:r>
    </w:p>
    <w:p>
      <w:pPr>
        <w:pStyle w:val="Heading3"/>
        <w:spacing w:after="80" w:before="200"/>
      </w:pPr>
      <w:r>
        <w:rPr>
          <w:rFonts w:ascii="Arial" w:cs="Arial" w:eastAsia="Arial" w:hAnsi="Arial"/>
          <w:b/>
          <w:bCs/>
          <w:color w:val="4A4A4A"/>
          <w:sz w:val="22"/>
          <w:szCs w:val="22"/>
        </w:rPr>
        <w:t xml:space="preserve">Action 0.3 — Form Georgian LLC (within 1-2 weeks)</w:t>
      </w:r>
    </w:p>
    <w:p>
      <w:pPr>
        <w:spacing w:after="120" w:before="0"/>
        <w:jc w:val="left"/>
      </w:pPr>
      <w:r>
        <w:rPr>
          <w:rFonts w:ascii="Arial" w:cs="Arial" w:eastAsia="Arial" w:hAnsi="Arial"/>
          <w:b w:val="false"/>
          <w:bCs w:val="false"/>
          <w:color w:val="1A1A1A"/>
          <w:sz w:val="22"/>
          <w:szCs w:val="22"/>
        </w:rPr>
        <w:t xml:space="preserve">Georgia's business registration process is among the fastest in the world. You can form an LLC at the House of Justice (sakartvelosebi.ge) in as little as one business day.</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Recommended name: Something that includes 'Fain' or your chosen brand, with a Georgian variant if needed for local market.</w:t>
      </w:r>
    </w:p>
    <w:p>
      <w:pPr>
        <w:pStyle w:val="ListParagraph"/>
        <w:numPr>
          <w:ilvl w:val="0"/>
          <w:numId w:val="2"/>
        </w:numPr>
        <w:spacing w:after="40" w:before="40"/>
      </w:pPr>
      <w:r>
        <w:rPr>
          <w:rFonts w:ascii="Arial" w:cs="Arial" w:eastAsia="Arial" w:hAnsi="Arial"/>
          <w:color w:val="1A1A1A"/>
          <w:sz w:val="22"/>
          <w:szCs w:val="22"/>
        </w:rPr>
        <w:t xml:space="preserve">Required: valid Georgian ID or passport, registered Georgian address (can use a registered agent service if you do not have a physical office).</w:t>
      </w:r>
    </w:p>
    <w:p>
      <w:pPr>
        <w:pStyle w:val="ListParagraph"/>
        <w:numPr>
          <w:ilvl w:val="0"/>
          <w:numId w:val="2"/>
        </w:numPr>
        <w:spacing w:after="40" w:before="40"/>
      </w:pPr>
      <w:r>
        <w:rPr>
          <w:rFonts w:ascii="Arial" w:cs="Arial" w:eastAsia="Arial" w:hAnsi="Arial"/>
          <w:color w:val="1A1A1A"/>
          <w:sz w:val="22"/>
          <w:szCs w:val="22"/>
        </w:rPr>
        <w:t xml:space="preserve">Cost: approximately GEL 100-200 for registration.</w:t>
      </w:r>
    </w:p>
    <w:p>
      <w:pPr>
        <w:pStyle w:val="ListParagraph"/>
        <w:numPr>
          <w:ilvl w:val="0"/>
          <w:numId w:val="2"/>
        </w:numPr>
        <w:spacing w:after="40" w:before="40"/>
      </w:pPr>
      <w:r>
        <w:rPr>
          <w:rFonts w:ascii="Arial" w:cs="Arial" w:eastAsia="Arial" w:hAnsi="Arial"/>
          <w:color w:val="1A1A1A"/>
          <w:sz w:val="22"/>
          <w:szCs w:val="22"/>
        </w:rPr>
        <w:t xml:space="preserve">Georgian LLC gives you a legal entity under which to: sign the Salt Edge Service Provision Agreement, open a Georgian bank account, hire employees, and hold IP during the development phase.</w:t>
      </w:r>
    </w:p>
    <w:p>
      <w:pPr>
        <w:pStyle w:val="ListParagraph"/>
        <w:numPr>
          <w:ilvl w:val="0"/>
          <w:numId w:val="2"/>
        </w:numPr>
        <w:spacing w:after="40" w:before="40"/>
      </w:pPr>
      <w:r>
        <w:rPr>
          <w:rFonts w:ascii="Arial" w:cs="Arial" w:eastAsia="Arial" w:hAnsi="Arial"/>
          <w:color w:val="1A1A1A"/>
          <w:sz w:val="22"/>
          <w:szCs w:val="22"/>
        </w:rPr>
        <w:t xml:space="preserve">Georgian CIT model (Estonian-style): undistributed profits are not taxed. You pay CIT only on distributions. This is highly favourable for a startup reinvesting all earnings.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C00" w:sz="1"/>
              <w:left w:val="single" w:color="6D5C00" w:sz="1"/>
              <w:bottom w:val="single" w:color="6D5C00" w:sz="1"/>
              <w:right w:val="single" w:color="6D5C00" w:sz="1"/>
            </w:tcBorders>
            <w:shd w:fill="FFFDE7" w:val="clear"/>
            <w:tcMar>
              <w:top w:type="dxa" w:w="100"/>
              <w:left w:type="dxa" w:w="140"/>
              <w:bottom w:type="dxa" w:w="100"/>
              <w:right w:type="dxa" w:w="140"/>
            </w:tcMar>
          </w:tcPr>
          <w:p>
            <w:pPr>
              <w:spacing w:after="80" w:before="0"/>
            </w:pPr>
            <w:r>
              <w:rPr>
                <w:rFonts w:ascii="Arial" w:cs="Arial" w:eastAsia="Arial" w:hAnsi="Arial"/>
                <w:b/>
                <w:bCs/>
                <w:color w:val="6D5C00"/>
                <w:sz w:val="22"/>
                <w:szCs w:val="22"/>
              </w:rPr>
              <w:t xml:space="preserve">Register all IP from day one</w:t>
            </w:r>
          </w:p>
          <w:p>
            <w:pPr>
              <w:spacing w:after="0" w:before="0"/>
            </w:pPr>
            <w:r>
              <w:rPr>
                <w:rFonts w:ascii="Arial" w:cs="Arial" w:eastAsia="Arial" w:hAnsi="Arial"/>
                <w:color w:val="1A1A1A"/>
                <w:sz w:val="20"/>
                <w:szCs w:val="20"/>
              </w:rPr>
              <w:t xml:space="preserve">As you write code, ensure all IP assignment is clear. Any developer who contributes code — including co-founders — should sign a simple IP assignment agreement stating that all work created for Fain is owned by the Georgian LLC. Do this now; it becomes expensive to fix later when investors do due diligence.</w:t>
            </w:r>
          </w:p>
        </w:tc>
      </w:tr>
    </w:tbl>
    <w:p>
      <w:pPr>
        <w:spacing w:after="0" w:before="120"/>
      </w:pPr>
      <w:r>
        <w:t xml:space="preserve"/>
      </w:r>
    </w:p>
    <w:p>
      <w:pPr>
        <w:pStyle w:val="Heading2"/>
        <w:spacing w:after="120" w:before="280"/>
      </w:pPr>
      <w:r>
        <w:rPr>
          <w:rFonts w:ascii="Arial" w:cs="Arial" w:eastAsia="Arial" w:hAnsi="Arial"/>
          <w:b/>
          <w:bCs/>
          <w:color w:val="1A1A1A"/>
          <w:sz w:val="24"/>
          <w:szCs w:val="24"/>
        </w:rPr>
        <w:t xml:space="preserve">3.2 Phase 1: Closed Beta — First External Users (Week 3 to Month 3)</w:t>
      </w:r>
    </w:p>
    <w:p>
      <w:pPr>
        <w:spacing w:after="120" w:before="0"/>
        <w:jc w:val="left"/>
      </w:pPr>
      <w:r>
        <w:rPr>
          <w:rFonts w:ascii="Arial" w:cs="Arial" w:eastAsia="Arial" w:hAnsi="Arial"/>
          <w:b w:val="false"/>
          <w:bCs w:val="false"/>
          <w:color w:val="1A1A1A"/>
          <w:sz w:val="22"/>
          <w:szCs w:val="22"/>
        </w:rPr>
        <w:t xml:space="preserve">The moment you add a single person who is not a co-founder, you need minimum legal infrastructure in place. This is non-negotiable. A beta does not create a legal exemption from data protection obligations.</w:t>
      </w:r>
    </w:p>
    <w:p>
      <w:pPr>
        <w:spacing w:after="0" w:before="80"/>
      </w:pPr>
      <w:r>
        <w:t xml:space="preserve"/>
      </w:r>
    </w:p>
    <w:p>
      <w:pPr>
        <w:pStyle w:val="Heading3"/>
        <w:spacing w:after="80" w:before="200"/>
      </w:pPr>
      <w:r>
        <w:rPr>
          <w:rFonts w:ascii="Arial" w:cs="Arial" w:eastAsia="Arial" w:hAnsi="Arial"/>
          <w:b/>
          <w:bCs/>
          <w:color w:val="4A4A4A"/>
          <w:sz w:val="22"/>
          <w:szCs w:val="22"/>
        </w:rPr>
        <w:t xml:space="preserve">Action 1.1 — Negotiate Salt Edge Service Provision Agreement</w:t>
      </w:r>
    </w:p>
    <w:p>
      <w:pPr>
        <w:spacing w:after="120" w:before="0"/>
        <w:jc w:val="left"/>
      </w:pPr>
      <w:r>
        <w:rPr>
          <w:rFonts w:ascii="Arial" w:cs="Arial" w:eastAsia="Arial" w:hAnsi="Arial"/>
          <w:b w:val="false"/>
          <w:bCs w:val="false"/>
          <w:color w:val="1A1A1A"/>
          <w:sz w:val="22"/>
          <w:szCs w:val="22"/>
        </w:rPr>
        <w:t xml:space="preserve">Your Test Account expires after 90 days and is limited to 100 connections. Before you onboard any external user, you need a Live Account, which requires a signed Service Provision Agreement with Salt Edge.</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Contact Salt Edge commercial team when you are approaching 60 days into your Test Account (not at the last minute).</w:t>
      </w:r>
    </w:p>
    <w:p>
      <w:pPr>
        <w:pStyle w:val="ListParagraph"/>
        <w:numPr>
          <w:ilvl w:val="0"/>
          <w:numId w:val="2"/>
        </w:numPr>
        <w:spacing w:after="40" w:before="40"/>
      </w:pPr>
      <w:r>
        <w:rPr>
          <w:rFonts w:ascii="Arial" w:cs="Arial" w:eastAsia="Arial" w:hAnsi="Arial"/>
          <w:color w:val="1A1A1A"/>
          <w:sz w:val="22"/>
          <w:szCs w:val="22"/>
        </w:rPr>
        <w:t xml:space="preserve">Key points to negotiate in the SPA:</w:t>
      </w:r>
    </w:p>
    <w:p>
      <w:pPr>
        <w:pStyle w:val="ListParagraph"/>
        <w:numPr>
          <w:ilvl w:val="1"/>
          <w:numId w:val="2"/>
        </w:numPr>
        <w:spacing w:after="40" w:before="40"/>
      </w:pPr>
      <w:r>
        <w:rPr>
          <w:rFonts w:ascii="Arial" w:cs="Arial" w:eastAsia="Arial" w:hAnsi="Arial"/>
          <w:color w:val="1A1A1A"/>
          <w:sz w:val="22"/>
          <w:szCs w:val="22"/>
        </w:rPr>
        <w:t xml:space="preserve">Data use restriction: request that Salt Edge does not use data originating from Fain's application for its own commercial data products (conflicts with Fain's privacy positioning).</w:t>
      </w:r>
    </w:p>
    <w:p>
      <w:pPr>
        <w:pStyle w:val="ListParagraph"/>
        <w:numPr>
          <w:ilvl w:val="1"/>
          <w:numId w:val="2"/>
        </w:numPr>
        <w:spacing w:after="40" w:before="40"/>
      </w:pPr>
      <w:r>
        <w:rPr>
          <w:rFonts w:ascii="Arial" w:cs="Arial" w:eastAsia="Arial" w:hAnsi="Arial"/>
          <w:color w:val="1A1A1A"/>
          <w:sz w:val="22"/>
          <w:szCs w:val="22"/>
        </w:rPr>
        <w:t xml:space="preserve">Georgian bank coverage: minimum 90-day notice before removing BOG or TBC connectivity.</w:t>
      </w:r>
    </w:p>
    <w:p>
      <w:pPr>
        <w:pStyle w:val="ListParagraph"/>
        <w:numPr>
          <w:ilvl w:val="1"/>
          <w:numId w:val="2"/>
        </w:numPr>
        <w:spacing w:after="40" w:before="40"/>
      </w:pPr>
      <w:r>
        <w:rPr>
          <w:rFonts w:ascii="Arial" w:cs="Arial" w:eastAsia="Arial" w:hAnsi="Arial"/>
          <w:color w:val="1A1A1A"/>
          <w:sz w:val="22"/>
          <w:szCs w:val="22"/>
        </w:rPr>
        <w:t xml:space="preserve">Access basis disclosure: require Salt Edge to disclose whether Georgian bank access is via official API or screen-scraping, as this affects your stability and compliance exposure.</w:t>
      </w:r>
    </w:p>
    <w:p>
      <w:pPr>
        <w:pStyle w:val="ListParagraph"/>
        <w:numPr>
          <w:ilvl w:val="1"/>
          <w:numId w:val="2"/>
        </w:numPr>
        <w:spacing w:after="40" w:before="40"/>
      </w:pPr>
      <w:r>
        <w:rPr>
          <w:rFonts w:ascii="Arial" w:cs="Arial" w:eastAsia="Arial" w:hAnsi="Arial"/>
          <w:color w:val="1A1A1A"/>
          <w:sz w:val="22"/>
          <w:szCs w:val="22"/>
        </w:rPr>
        <w:t xml:space="preserve">Pricing lock: request a minimum 12-month pricing lock so you can budget predictably.</w:t>
      </w:r>
    </w:p>
    <w:p>
      <w:pPr>
        <w:pStyle w:val="ListParagraph"/>
        <w:numPr>
          <w:ilvl w:val="1"/>
          <w:numId w:val="2"/>
        </w:numPr>
        <w:spacing w:after="40" w:before="40"/>
      </w:pPr>
      <w:r>
        <w:rPr>
          <w:rFonts w:ascii="Arial" w:cs="Arial" w:eastAsia="Arial" w:hAnsi="Arial"/>
          <w:color w:val="1A1A1A"/>
          <w:sz w:val="22"/>
          <w:szCs w:val="22"/>
        </w:rPr>
        <w:t xml:space="preserve">Termination wind-down: request at least 60 days' wind-down period if Salt Edge terminates the agreement, giving you time to migrate users.</w:t>
      </w:r>
    </w:p>
    <w:p>
      <w:pPr>
        <w:pStyle w:val="ListParagraph"/>
        <w:numPr>
          <w:ilvl w:val="0"/>
          <w:numId w:val="2"/>
        </w:numPr>
        <w:spacing w:after="40" w:before="40"/>
      </w:pPr>
      <w:r>
        <w:rPr>
          <w:rFonts w:ascii="Arial" w:cs="Arial" w:eastAsia="Arial" w:hAnsi="Arial"/>
          <w:color w:val="1A1A1A"/>
          <w:sz w:val="22"/>
          <w:szCs w:val="22"/>
        </w:rPr>
        <w:t xml:space="preserve">The SPA is governed by Ontario law. Consider whether the cost of Canadian legal counsel for this review is worthwhile — it probably is, given the SPA underpins your entire product.</w:t>
      </w:r>
    </w:p>
    <w:p>
      <w:pPr>
        <w:spacing w:after="0" w:before="80"/>
      </w:pPr>
      <w:r>
        <w:t xml:space="preserve"/>
      </w:r>
    </w:p>
    <w:p>
      <w:pPr>
        <w:pStyle w:val="Heading3"/>
        <w:spacing w:after="80" w:before="200"/>
      </w:pPr>
      <w:r>
        <w:rPr>
          <w:rFonts w:ascii="Arial" w:cs="Arial" w:eastAsia="Arial" w:hAnsi="Arial"/>
          <w:b/>
          <w:bCs/>
          <w:color w:val="4A4A4A"/>
          <w:sz w:val="22"/>
          <w:szCs w:val="22"/>
        </w:rPr>
        <w:t xml:space="preserve">Action 1.2 — Draft minimum viable Terms of Use</w:t>
      </w:r>
    </w:p>
    <w:p>
      <w:pPr>
        <w:spacing w:after="120" w:before="0"/>
        <w:jc w:val="left"/>
      </w:pPr>
      <w:r>
        <w:rPr>
          <w:rFonts w:ascii="Arial" w:cs="Arial" w:eastAsia="Arial" w:hAnsi="Arial"/>
          <w:b w:val="false"/>
          <w:bCs w:val="false"/>
          <w:color w:val="1A1A1A"/>
          <w:sz w:val="22"/>
          <w:szCs w:val="22"/>
        </w:rPr>
        <w:t xml:space="preserve">For a closed beta with known, trusted founders, you need at minimum a short Terms of Use document that covers:</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What the service does and does not do (financial information, not financial advice).</w:t>
      </w:r>
    </w:p>
    <w:p>
      <w:pPr>
        <w:pStyle w:val="ListParagraph"/>
        <w:numPr>
          <w:ilvl w:val="0"/>
          <w:numId w:val="2"/>
        </w:numPr>
        <w:spacing w:after="40" w:before="40"/>
      </w:pPr>
      <w:r>
        <w:rPr>
          <w:rFonts w:ascii="Arial" w:cs="Arial" w:eastAsia="Arial" w:hAnsi="Arial"/>
          <w:color w:val="1A1A1A"/>
          <w:sz w:val="22"/>
          <w:szCs w:val="22"/>
        </w:rPr>
        <w:t xml:space="preserve">That the beta is a test product that may contain errors.</w:t>
      </w:r>
    </w:p>
    <w:p>
      <w:pPr>
        <w:pStyle w:val="ListParagraph"/>
        <w:numPr>
          <w:ilvl w:val="0"/>
          <w:numId w:val="2"/>
        </w:numPr>
        <w:spacing w:after="40" w:before="40"/>
      </w:pPr>
      <w:r>
        <w:rPr>
          <w:rFonts w:ascii="Arial" w:cs="Arial" w:eastAsia="Arial" w:hAnsi="Arial"/>
          <w:color w:val="1A1A1A"/>
          <w:sz w:val="22"/>
          <w:szCs w:val="22"/>
        </w:rPr>
        <w:t xml:space="preserve">That you are not liable for business decisions made based on Fain outputs.</w:t>
      </w:r>
    </w:p>
    <w:p>
      <w:pPr>
        <w:pStyle w:val="ListParagraph"/>
        <w:numPr>
          <w:ilvl w:val="0"/>
          <w:numId w:val="2"/>
        </w:numPr>
        <w:spacing w:after="40" w:before="40"/>
      </w:pPr>
      <w:r>
        <w:rPr>
          <w:rFonts w:ascii="Arial" w:cs="Arial" w:eastAsia="Arial" w:hAnsi="Arial"/>
          <w:color w:val="1A1A1A"/>
          <w:sz w:val="22"/>
          <w:szCs w:val="22"/>
        </w:rPr>
        <w:t xml:space="preserve">What data you collect, how it is used, and who can access it (you + Anthropic as processor).</w:t>
      </w:r>
    </w:p>
    <w:p>
      <w:pPr>
        <w:pStyle w:val="ListParagraph"/>
        <w:numPr>
          <w:ilvl w:val="0"/>
          <w:numId w:val="2"/>
        </w:numPr>
        <w:spacing w:after="40" w:before="40"/>
      </w:pPr>
      <w:r>
        <w:rPr>
          <w:rFonts w:ascii="Arial" w:cs="Arial" w:eastAsia="Arial" w:hAnsi="Arial"/>
          <w:color w:val="1A1A1A"/>
          <w:sz w:val="22"/>
          <w:szCs w:val="22"/>
        </w:rPr>
        <w:t xml:space="preserve">How to close their account and delete their data.</w:t>
      </w:r>
    </w:p>
    <w:p>
      <w:pPr>
        <w:spacing w:after="120" w:before="0"/>
        <w:jc w:val="left"/>
      </w:pPr>
      <w:r>
        <w:rPr>
          <w:rFonts w:ascii="Arial" w:cs="Arial" w:eastAsia="Arial" w:hAnsi="Arial"/>
          <w:b w:val="false"/>
          <w:bCs w:val="false"/>
          <w:color w:val="1A1A1A"/>
          <w:sz w:val="22"/>
          <w:szCs w:val="22"/>
        </w:rPr>
        <w:t xml:space="preserve">This can be a one-to-two page document drafted by you and reviewed by Georgian legal counsel. Do not launch a closed beta without it, even with friends.</w:t>
      </w:r>
    </w:p>
    <w:p>
      <w:pPr>
        <w:spacing w:after="0" w:before="80"/>
      </w:pPr>
      <w:r>
        <w:t xml:space="preserve"/>
      </w:r>
    </w:p>
    <w:p>
      <w:pPr>
        <w:pStyle w:val="Heading3"/>
        <w:spacing w:after="80" w:before="200"/>
      </w:pPr>
      <w:r>
        <w:rPr>
          <w:rFonts w:ascii="Arial" w:cs="Arial" w:eastAsia="Arial" w:hAnsi="Arial"/>
          <w:b/>
          <w:bCs/>
          <w:color w:val="4A4A4A"/>
          <w:sz w:val="22"/>
          <w:szCs w:val="22"/>
        </w:rPr>
        <w:t xml:space="preserve">Action 1.3 — Privacy Notice (GDPR obligation)</w:t>
      </w:r>
    </w:p>
    <w:p>
      <w:pPr>
        <w:spacing w:after="120" w:before="0"/>
        <w:jc w:val="left"/>
      </w:pPr>
      <w:r>
        <w:rPr>
          <w:rFonts w:ascii="Arial" w:cs="Arial" w:eastAsia="Arial" w:hAnsi="Arial"/>
          <w:b w:val="false"/>
          <w:bCs w:val="false"/>
          <w:color w:val="1A1A1A"/>
          <w:sz w:val="22"/>
          <w:szCs w:val="22"/>
        </w:rPr>
        <w:t xml:space="preserve">Even if you have only Georgian users, Georgian data protection law (Law of Georgia on Personal Data Protection) requires you to inform users how their data is processed. If any user is in the EU, GDPR applies directly.</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The Privacy Notice must cover: what personal data you collect (bank transaction data, email, usage data), legal basis for processing (consent, legitimate interest), who you share data with (Anthropic as processor, Salt Edge as processor), how long data is retained, and user rights (access, deletion, portability).</w:t>
      </w:r>
    </w:p>
    <w:p>
      <w:pPr>
        <w:pStyle w:val="ListParagraph"/>
        <w:numPr>
          <w:ilvl w:val="0"/>
          <w:numId w:val="2"/>
        </w:numPr>
        <w:spacing w:after="40" w:before="40"/>
      </w:pPr>
      <w:r>
        <w:rPr>
          <w:rFonts w:ascii="Arial" w:cs="Arial" w:eastAsia="Arial" w:hAnsi="Arial"/>
          <w:color w:val="1A1A1A"/>
          <w:sz w:val="22"/>
          <w:szCs w:val="22"/>
        </w:rPr>
        <w:t xml:space="preserve">Key accuracy requirement: the notice must describe Fain's actual data architecture. Fain stores raw transactions client-side (IndexedDB). Fain sends aggregated category-level data to Anthropic. The notice must reflect both, accurately.</w:t>
      </w:r>
    </w:p>
    <w:p>
      <w:pPr>
        <w:pStyle w:val="ListParagraph"/>
        <w:numPr>
          <w:ilvl w:val="0"/>
          <w:numId w:val="2"/>
        </w:numPr>
        <w:spacing w:after="40" w:before="40"/>
      </w:pPr>
      <w:r>
        <w:rPr>
          <w:rFonts w:ascii="Arial" w:cs="Arial" w:eastAsia="Arial" w:hAnsi="Arial"/>
          <w:color w:val="1A1A1A"/>
          <w:sz w:val="22"/>
          <w:szCs w:val="22"/>
        </w:rPr>
        <w:t xml:space="preserve">Do not say 'your data never leaves your device.' Say: 'Raw bank transactions are stored only on your device. When you ask Fain a question, anonymised financial summaries are sent to Anthropic (our AI provider) to generate your answer. These summaries do not include your account numbers or transaction details.'</w:t>
      </w:r>
    </w:p>
    <w:p>
      <w:pPr>
        <w:spacing w:after="0" w:before="80"/>
      </w:pPr>
      <w:r>
        <w:t xml:space="preserve"/>
      </w:r>
    </w:p>
    <w:p>
      <w:pPr>
        <w:pStyle w:val="Heading3"/>
        <w:spacing w:after="80" w:before="200"/>
      </w:pPr>
      <w:r>
        <w:rPr>
          <w:rFonts w:ascii="Arial" w:cs="Arial" w:eastAsia="Arial" w:hAnsi="Arial"/>
          <w:b/>
          <w:bCs/>
          <w:color w:val="4A4A4A"/>
          <w:sz w:val="22"/>
          <w:szCs w:val="22"/>
        </w:rPr>
        <w:t xml:space="preserve">Action 1.4 — AI Disclaimer (in-product, not just in ToS)</w:t>
      </w:r>
    </w:p>
    <w:p>
      <w:pPr>
        <w:spacing w:after="120" w:before="0"/>
        <w:jc w:val="left"/>
      </w:pPr>
      <w:r>
        <w:rPr>
          <w:rFonts w:ascii="Arial" w:cs="Arial" w:eastAsia="Arial" w:hAnsi="Arial"/>
          <w:b w:val="false"/>
          <w:bCs w:val="false"/>
          <w:color w:val="1A1A1A"/>
          <w:sz w:val="22"/>
          <w:szCs w:val="22"/>
        </w:rPr>
        <w:t xml:space="preserve">Fain's outputs will inform real business decisions. The AI Disclaimer cannot be buried in a Terms of Service that no one reads. It must be:</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Visible on every AI-generated response in the product UI.</w:t>
      </w:r>
    </w:p>
    <w:p>
      <w:pPr>
        <w:pStyle w:val="ListParagraph"/>
        <w:numPr>
          <w:ilvl w:val="0"/>
          <w:numId w:val="2"/>
        </w:numPr>
        <w:spacing w:after="40" w:before="40"/>
      </w:pPr>
      <w:r>
        <w:rPr>
          <w:rFonts w:ascii="Arial" w:cs="Arial" w:eastAsia="Arial" w:hAnsi="Arial"/>
          <w:color w:val="1A1A1A"/>
          <w:sz w:val="22"/>
          <w:szCs w:val="22"/>
        </w:rPr>
        <w:t xml:space="preserve">Plain language: 'Fain provides financial information to help you understand your business. It is not financial advice. Always verify important decisions with your accountant or financial advisor.'</w:t>
      </w:r>
    </w:p>
    <w:p>
      <w:pPr>
        <w:pStyle w:val="ListParagraph"/>
        <w:numPr>
          <w:ilvl w:val="0"/>
          <w:numId w:val="2"/>
        </w:numPr>
        <w:spacing w:after="40" w:before="40"/>
      </w:pPr>
      <w:r>
        <w:rPr>
          <w:rFonts w:ascii="Arial" w:cs="Arial" w:eastAsia="Arial" w:hAnsi="Arial"/>
          <w:color w:val="1A1A1A"/>
          <w:sz w:val="22"/>
          <w:szCs w:val="22"/>
        </w:rPr>
        <w:t xml:space="preserve">Design requirement: the disclaimer should appear as a small but legible label beneath every AI answer — not a popup, not a modal, not a one-time confirmation.</w:t>
      </w:r>
    </w:p>
    <w:p>
      <w:pPr>
        <w:pStyle w:val="ListParagraph"/>
        <w:numPr>
          <w:ilvl w:val="0"/>
          <w:numId w:val="2"/>
        </w:numPr>
        <w:spacing w:after="40" w:before="40"/>
      </w:pPr>
      <w:r>
        <w:rPr>
          <w:rFonts w:ascii="Arial" w:cs="Arial" w:eastAsia="Arial" w:hAnsi="Arial"/>
          <w:color w:val="1A1A1A"/>
          <w:sz w:val="22"/>
          <w:szCs w:val="22"/>
        </w:rPr>
        <w:t xml:space="preserve">Legal purpose: this disclaimer is what distinguishes Fain as a financial information tool (unregulated) from a financial advice service (potentially regulated in Georgia and the UK).</w:t>
      </w:r>
    </w:p>
    <w:p>
      <w:pPr>
        <w:spacing w:after="0" w:before="200"/>
      </w:pPr>
      <w:r>
        <w:t xml:space="preserve"/>
      </w:r>
    </w:p>
    <w:p>
      <w:r>
        <w:br w:type="page"/>
      </w:r>
    </w:p>
    <w:p>
      <w:pPr>
        <w:pStyle w:val="Heading2"/>
        <w:spacing w:after="120" w:before="280"/>
      </w:pPr>
      <w:r>
        <w:rPr>
          <w:rFonts w:ascii="Arial" w:cs="Arial" w:eastAsia="Arial" w:hAnsi="Arial"/>
          <w:b/>
          <w:bCs/>
          <w:color w:val="1A1A1A"/>
          <w:sz w:val="24"/>
          <w:szCs w:val="24"/>
        </w:rPr>
        <w:t xml:space="preserve">3.3 Phase 2: Public MVP Launch</w:t>
      </w:r>
    </w:p>
    <w:p>
      <w:pPr>
        <w:spacing w:after="120" w:before="0"/>
        <w:jc w:val="left"/>
      </w:pPr>
      <w:r>
        <w:rPr>
          <w:rFonts w:ascii="Arial" w:cs="Arial" w:eastAsia="Arial" w:hAnsi="Arial"/>
          <w:b w:val="false"/>
          <w:bCs w:val="false"/>
          <w:color w:val="1A1A1A"/>
          <w:sz w:val="22"/>
          <w:szCs w:val="22"/>
        </w:rPr>
        <w:t xml:space="preserve">Before opening Fain to any Georgian founder who signs up, the following must be in place. These are not optional.</w:t>
      </w:r>
    </w:p>
    <w:p>
      <w:pPr>
        <w:spacing w:after="0" w:before="80"/>
      </w:pPr>
      <w:r>
        <w:t xml:space="preserve"/>
      </w:r>
    </w:p>
    <w:p>
      <w:pPr>
        <w:pStyle w:val="Heading3"/>
        <w:spacing w:after="80" w:before="200"/>
      </w:pPr>
      <w:r>
        <w:rPr>
          <w:rFonts w:ascii="Arial" w:cs="Arial" w:eastAsia="Arial" w:hAnsi="Arial"/>
          <w:b/>
          <w:bCs/>
          <w:color w:val="4A4A4A"/>
          <w:sz w:val="22"/>
          <w:szCs w:val="22"/>
        </w:rPr>
        <w:t xml:space="preserve">Action 2.1 — Georgian legal counsel: NBG regulatory opinion</w:t>
      </w:r>
    </w:p>
    <w:p>
      <w:pPr>
        <w:spacing w:after="120" w:before="0"/>
        <w:jc w:val="left"/>
      </w:pPr>
      <w:r>
        <w:rPr>
          <w:rFonts w:ascii="Arial" w:cs="Arial" w:eastAsia="Arial" w:hAnsi="Arial"/>
          <w:b w:val="false"/>
          <w:bCs w:val="false"/>
          <w:color w:val="1A1A1A"/>
          <w:sz w:val="22"/>
          <w:szCs w:val="22"/>
        </w:rPr>
        <w:t xml:space="preserve">The National Bank of Georgia (NBG) regulates financial institutions. Whether an AI-powered financial analysis tool requires NBG notification, registration, or authorisation under Georgian law is genuinely unsettled. You need a written legal opinion from Georgian counsel before public launch.</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The opinion should address: does Fain's specific product (AI-generated cash flow analysis, runway estimation, burn rate calculation) constitute a 'financial analysis service' or 'financial advice' requiring NBG authorisation or notification?</w:t>
      </w:r>
    </w:p>
    <w:p>
      <w:pPr>
        <w:pStyle w:val="ListParagraph"/>
        <w:numPr>
          <w:ilvl w:val="0"/>
          <w:numId w:val="2"/>
        </w:numPr>
        <w:spacing w:after="40" w:before="40"/>
      </w:pPr>
      <w:r>
        <w:rPr>
          <w:rFonts w:ascii="Arial" w:cs="Arial" w:eastAsia="Arial" w:hAnsi="Arial"/>
          <w:color w:val="1A1A1A"/>
          <w:sz w:val="22"/>
          <w:szCs w:val="22"/>
        </w:rPr>
        <w:t xml:space="preserve">If the answer is 'no authorisation required,' get it in writing. This document protects you if the NBG ever questions your activities.</w:t>
      </w:r>
    </w:p>
    <w:p>
      <w:pPr>
        <w:pStyle w:val="ListParagraph"/>
        <w:numPr>
          <w:ilvl w:val="0"/>
          <w:numId w:val="2"/>
        </w:numPr>
        <w:spacing w:after="40" w:before="40"/>
      </w:pPr>
      <w:r>
        <w:rPr>
          <w:rFonts w:ascii="Arial" w:cs="Arial" w:eastAsia="Arial" w:hAnsi="Arial"/>
          <w:color w:val="1A1A1A"/>
          <w:sz w:val="22"/>
          <w:szCs w:val="22"/>
        </w:rPr>
        <w:t xml:space="preserve">If the answer is 'notification required,' file the notification before launch. This is typically inexpensive and procedural.</w:t>
      </w:r>
    </w:p>
    <w:p>
      <w:pPr>
        <w:pStyle w:val="ListParagraph"/>
        <w:numPr>
          <w:ilvl w:val="0"/>
          <w:numId w:val="2"/>
        </w:numPr>
        <w:spacing w:after="40" w:before="40"/>
      </w:pPr>
      <w:r>
        <w:rPr>
          <w:rFonts w:ascii="Arial" w:cs="Arial" w:eastAsia="Arial" w:hAnsi="Arial"/>
          <w:color w:val="1A1A1A"/>
          <w:sz w:val="22"/>
          <w:szCs w:val="22"/>
        </w:rPr>
        <w:t xml:space="preserve">Cost estimate: Georgian legal counsel for a regulatory opinion typically costs GEL 2,000 – 5,000 (approximately $700 – $1,800).</w:t>
      </w:r>
    </w:p>
    <w:p>
      <w:pPr>
        <w:spacing w:after="0" w:before="80"/>
      </w:pPr>
      <w:r>
        <w:t xml:space="preserve"/>
      </w:r>
    </w:p>
    <w:p>
      <w:pPr>
        <w:pStyle w:val="Heading3"/>
        <w:spacing w:after="80" w:before="200"/>
      </w:pPr>
      <w:r>
        <w:rPr>
          <w:rFonts w:ascii="Arial" w:cs="Arial" w:eastAsia="Arial" w:hAnsi="Arial"/>
          <w:b/>
          <w:bCs/>
          <w:color w:val="4A4A4A"/>
          <w:sz w:val="22"/>
          <w:szCs w:val="22"/>
        </w:rPr>
        <w:t xml:space="preserve">Action 2.2 — Full Terms of Service</w:t>
      </w:r>
    </w:p>
    <w:p>
      <w:pPr>
        <w:spacing w:after="120" w:before="0"/>
        <w:jc w:val="left"/>
      </w:pPr>
      <w:r>
        <w:rPr>
          <w:rFonts w:ascii="Arial" w:cs="Arial" w:eastAsia="Arial" w:hAnsi="Arial"/>
          <w:b w:val="false"/>
          <w:bCs w:val="false"/>
          <w:color w:val="1A1A1A"/>
          <w:sz w:val="22"/>
          <w:szCs w:val="22"/>
        </w:rPr>
        <w:t xml:space="preserve">The closed beta Terms of Use must be upgraded to a full Terms of Service covering:</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Freemium model: clear description of what is free, what is paid, and how billing works.</w:t>
      </w:r>
    </w:p>
    <w:p>
      <w:pPr>
        <w:pStyle w:val="ListParagraph"/>
        <w:numPr>
          <w:ilvl w:val="0"/>
          <w:numId w:val="2"/>
        </w:numPr>
        <w:spacing w:after="40" w:before="40"/>
      </w:pPr>
      <w:r>
        <w:rPr>
          <w:rFonts w:ascii="Arial" w:cs="Arial" w:eastAsia="Arial" w:hAnsi="Arial"/>
          <w:color w:val="1A1A1A"/>
          <w:sz w:val="22"/>
          <w:szCs w:val="22"/>
        </w:rPr>
        <w:t xml:space="preserve">Acceptable use: what Fain can and cannot be used for.</w:t>
      </w:r>
    </w:p>
    <w:p>
      <w:pPr>
        <w:pStyle w:val="ListParagraph"/>
        <w:numPr>
          <w:ilvl w:val="0"/>
          <w:numId w:val="2"/>
        </w:numPr>
        <w:spacing w:after="40" w:before="40"/>
      </w:pPr>
      <w:r>
        <w:rPr>
          <w:rFonts w:ascii="Arial" w:cs="Arial" w:eastAsia="Arial" w:hAnsi="Arial"/>
          <w:color w:val="1A1A1A"/>
          <w:sz w:val="22"/>
          <w:szCs w:val="22"/>
        </w:rPr>
        <w:t xml:space="preserve">Limitation of liability: cap Fain's liability to fees paid in the last 12 months, or a low fixed amount. Exclude consequential losses, lost profits, and business losses.</w:t>
      </w:r>
    </w:p>
    <w:p>
      <w:pPr>
        <w:pStyle w:val="ListParagraph"/>
        <w:numPr>
          <w:ilvl w:val="0"/>
          <w:numId w:val="2"/>
        </w:numPr>
        <w:spacing w:after="40" w:before="40"/>
      </w:pPr>
      <w:r>
        <w:rPr>
          <w:rFonts w:ascii="Arial" w:cs="Arial" w:eastAsia="Arial" w:hAnsi="Arial"/>
          <w:color w:val="1A1A1A"/>
          <w:sz w:val="22"/>
          <w:szCs w:val="22"/>
        </w:rPr>
        <w:t xml:space="preserve">Intellectual property: Fain owns the product; users own their data.</w:t>
      </w:r>
    </w:p>
    <w:p>
      <w:pPr>
        <w:pStyle w:val="ListParagraph"/>
        <w:numPr>
          <w:ilvl w:val="0"/>
          <w:numId w:val="2"/>
        </w:numPr>
        <w:spacing w:after="40" w:before="40"/>
      </w:pPr>
      <w:r>
        <w:rPr>
          <w:rFonts w:ascii="Arial" w:cs="Arial" w:eastAsia="Arial" w:hAnsi="Arial"/>
          <w:color w:val="1A1A1A"/>
          <w:sz w:val="22"/>
          <w:szCs w:val="22"/>
        </w:rPr>
        <w:t xml:space="preserve">Termination: how users can cancel, what happens to their data on cancellation (deletion within 30 days).</w:t>
      </w:r>
    </w:p>
    <w:p>
      <w:pPr>
        <w:pStyle w:val="ListParagraph"/>
        <w:numPr>
          <w:ilvl w:val="0"/>
          <w:numId w:val="2"/>
        </w:numPr>
        <w:spacing w:after="40" w:before="40"/>
      </w:pPr>
      <w:r>
        <w:rPr>
          <w:rFonts w:ascii="Arial" w:cs="Arial" w:eastAsia="Arial" w:hAnsi="Arial"/>
          <w:color w:val="1A1A1A"/>
          <w:sz w:val="22"/>
          <w:szCs w:val="22"/>
        </w:rPr>
        <w:t xml:space="preserve">Governing law: Georgian law. This keeps disputes on home turf and avoids international jurisdictional complexity at early stage.</w:t>
      </w:r>
    </w:p>
    <w:p>
      <w:pPr>
        <w:spacing w:after="0" w:before="80"/>
      </w:pPr>
      <w:r>
        <w:t xml:space="preserve"/>
      </w:r>
    </w:p>
    <w:p>
      <w:pPr>
        <w:pStyle w:val="Heading3"/>
        <w:spacing w:after="80" w:before="200"/>
      </w:pPr>
      <w:r>
        <w:rPr>
          <w:rFonts w:ascii="Arial" w:cs="Arial" w:eastAsia="Arial" w:hAnsi="Arial"/>
          <w:b/>
          <w:bCs/>
          <w:color w:val="4A4A4A"/>
          <w:sz w:val="22"/>
          <w:szCs w:val="22"/>
        </w:rPr>
        <w:t xml:space="preserve">Action 2.3 — Document Anthropic data processing chain</w:t>
      </w:r>
    </w:p>
    <w:p>
      <w:pPr>
        <w:spacing w:after="120" w:before="0"/>
        <w:jc w:val="left"/>
      </w:pPr>
      <w:r>
        <w:rPr>
          <w:rFonts w:ascii="Arial" w:cs="Arial" w:eastAsia="Arial" w:hAnsi="Arial"/>
          <w:b w:val="false"/>
          <w:bCs w:val="false"/>
          <w:color w:val="1A1A1A"/>
          <w:sz w:val="22"/>
          <w:szCs w:val="22"/>
        </w:rPr>
        <w:t xml:space="preserve">Create an internal document that maps the exact data flow: user bank account → Salt Edge → Fain client (IndexedDB) → user question → Claude API (aggregated data) → Fain client (answer). This document is required for GDPR accountability and will be needed in any regulatory inquiry or investor due diligence.</w:t>
      </w:r>
    </w:p>
    <w:p>
      <w:pPr>
        <w:spacing w:after="0" w:before="200"/>
      </w:pPr>
      <w:r>
        <w:t xml:space="preserve"/>
      </w:r>
    </w:p>
    <w:p>
      <w:r>
        <w:br w:type="page"/>
      </w:r>
    </w:p>
    <w:p>
      <w:pPr>
        <w:pStyle w:val="Heading1"/>
        <w:pBdr>
          <w:bottom w:val="single" w:color="D4632A" w:sz="4" w:space="4"/>
        </w:pBdr>
        <w:spacing w:after="160" w:before="360"/>
      </w:pPr>
      <w:r>
        <w:rPr>
          <w:rFonts w:ascii="Arial" w:cs="Arial" w:eastAsia="Arial" w:hAnsi="Arial"/>
          <w:b/>
          <w:bCs/>
          <w:color w:val="1A1A1A"/>
          <w:sz w:val="30"/>
          <w:szCs w:val="30"/>
        </w:rPr>
        <w:t xml:space="preserve">4. Risk Register</w:t>
      </w:r>
    </w:p>
    <w:p>
      <w:pPr>
        <w:spacing w:after="120" w:before="0"/>
        <w:jc w:val="left"/>
      </w:pPr>
      <w:r>
        <w:rPr>
          <w:rFonts w:ascii="Arial" w:cs="Arial" w:eastAsia="Arial" w:hAnsi="Arial"/>
          <w:b w:val="false"/>
          <w:bCs w:val="false"/>
          <w:color w:val="1A1A1A"/>
          <w:sz w:val="22"/>
          <w:szCs w:val="22"/>
        </w:rPr>
        <w:t xml:space="preserve">Updated risk assessment reflecting the starting-from-scratch position and Salt Edge ToS review. Scores: Severity × Likelihood = Risk Score.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500"/>
        <w:gridCol w:w="560"/>
        <w:gridCol w:w="560"/>
        <w:gridCol w:w="560"/>
        <w:gridCol w:w="1246"/>
      </w:tblGrid>
      <w:tr>
        <w:trPr>
          <w:tblHeader/>
        </w:trPr>
        <w:tc>
          <w:tcPr>
            <w:tcW w:type="dxa" w:w="10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Risk ID</w:t>
            </w:r>
          </w:p>
        </w:tc>
        <w:tc>
          <w:tcPr>
            <w:tcW w:type="dxa" w:w="16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Category</w:t>
            </w:r>
          </w:p>
        </w:tc>
        <w:tc>
          <w:tcPr>
            <w:tcW w:type="dxa" w:w="35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Description</w:t>
            </w:r>
          </w:p>
        </w:tc>
        <w:tc>
          <w:tcPr>
            <w:tcW w:type="dxa" w:w="56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Sev</w:t>
            </w:r>
          </w:p>
        </w:tc>
        <w:tc>
          <w:tcPr>
            <w:tcW w:type="dxa" w:w="56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Lik</w:t>
            </w:r>
          </w:p>
        </w:tc>
        <w:tc>
          <w:tcPr>
            <w:tcW w:type="dxa" w:w="56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Score</w:t>
            </w:r>
          </w:p>
        </w:tc>
        <w:tc>
          <w:tcPr>
            <w:tcW w:type="dxa" w:w="1246"/>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Level</w:t>
            </w:r>
          </w:p>
        </w:tc>
      </w:tr>
      <w:tr>
        <w:tc>
          <w:tcPr>
            <w:tcW w:type="dxa" w:w="10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R-01</w:t>
            </w:r>
          </w:p>
        </w:tc>
        <w:tc>
          <w:tcPr>
            <w:tcW w:type="dxa" w:w="16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4A4A4A"/>
                <w:sz w:val="18"/>
                <w:szCs w:val="18"/>
              </w:rPr>
              <w:t xml:space="preserve">Corporate / Tax</w:t>
            </w:r>
          </w:p>
        </w:tc>
        <w:tc>
          <w:tcPr>
            <w:tcW w:type="dxa" w:w="3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Operating without any legal entity — personal liability, no ability to sign Salt Edge SPA, no IP ownership structure</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4</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5</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20</w:t>
            </w:r>
          </w:p>
        </w:tc>
        <w:tc>
          <w:tcPr>
            <w:tcW w:type="dxa" w:w="1580"/>
            <w:tcBorders>
              <w:top w:val="single" w:color="D0C8BE" w:sz="1"/>
              <w:left w:val="single" w:color="D0C8BE" w:sz="1"/>
              <w:bottom w:val="single" w:color="D0C8BE" w:sz="1"/>
              <w:right w:val="single" w:color="D0C8BE" w:sz="1"/>
            </w:tcBorders>
            <w:shd w:fill="FDECEA" w:val="clear"/>
            <w:tcMar>
              <w:top w:type="dxa" w:w="100"/>
              <w:left w:type="dxa" w:w="140"/>
              <w:bottom w:type="dxa" w:w="100"/>
              <w:right w:type="dxa" w:w="140"/>
            </w:tcMar>
          </w:tcPr>
          <w:p>
            <w:pPr>
              <w:spacing w:after="0" w:before="0"/>
            </w:pPr>
            <w:r>
              <w:rPr>
                <w:rFonts w:ascii="Arial" w:cs="Arial" w:eastAsia="Arial" w:hAnsi="Arial"/>
                <w:b/>
                <w:bCs/>
                <w:color w:val="B71C1C"/>
                <w:sz w:val="18"/>
                <w:szCs w:val="18"/>
              </w:rPr>
              <w:t xml:space="preserve">CRITICAL</w:t>
            </w:r>
          </w:p>
        </w:tc>
      </w:tr>
      <w:tr>
        <w:tc>
          <w:tcPr>
            <w:tcW w:type="dxa" w:w="10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R-02</w:t>
            </w:r>
          </w:p>
        </w:tc>
        <w:tc>
          <w:tcPr>
            <w:tcW w:type="dxa" w:w="16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4A4A4A"/>
                <w:sz w:val="18"/>
                <w:szCs w:val="18"/>
              </w:rPr>
              <w:t xml:space="preserve">Data Privacy</w:t>
            </w:r>
          </w:p>
        </w:tc>
        <w:tc>
          <w:tcPr>
            <w:tcW w:type="dxa" w:w="3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Anthropic DPA not signed — no contractual protection for financial data sent to Claude API</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4</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5</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20</w:t>
            </w:r>
          </w:p>
        </w:tc>
        <w:tc>
          <w:tcPr>
            <w:tcW w:type="dxa" w:w="1580"/>
            <w:tcBorders>
              <w:top w:val="single" w:color="D0C8BE" w:sz="1"/>
              <w:left w:val="single" w:color="D0C8BE" w:sz="1"/>
              <w:bottom w:val="single" w:color="D0C8BE" w:sz="1"/>
              <w:right w:val="single" w:color="D0C8BE" w:sz="1"/>
            </w:tcBorders>
            <w:shd w:fill="FDECEA" w:val="clear"/>
            <w:tcMar>
              <w:top w:type="dxa" w:w="100"/>
              <w:left w:type="dxa" w:w="140"/>
              <w:bottom w:type="dxa" w:w="100"/>
              <w:right w:type="dxa" w:w="140"/>
            </w:tcMar>
          </w:tcPr>
          <w:p>
            <w:pPr>
              <w:spacing w:after="0" w:before="0"/>
            </w:pPr>
            <w:r>
              <w:rPr>
                <w:rFonts w:ascii="Arial" w:cs="Arial" w:eastAsia="Arial" w:hAnsi="Arial"/>
                <w:b/>
                <w:bCs/>
                <w:color w:val="B71C1C"/>
                <w:sz w:val="18"/>
                <w:szCs w:val="18"/>
              </w:rPr>
              <w:t xml:space="preserve">CRITICAL</w:t>
            </w:r>
          </w:p>
        </w:tc>
      </w:tr>
      <w:tr>
        <w:tc>
          <w:tcPr>
            <w:tcW w:type="dxa" w:w="10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R-03</w:t>
            </w:r>
          </w:p>
        </w:tc>
        <w:tc>
          <w:tcPr>
            <w:tcW w:type="dxa" w:w="16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4A4A4A"/>
                <w:sz w:val="18"/>
                <w:szCs w:val="18"/>
              </w:rPr>
              <w:t xml:space="preserve">Commercial</w:t>
            </w:r>
          </w:p>
        </w:tc>
        <w:tc>
          <w:tcPr>
            <w:tcW w:type="dxa" w:w="3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Salt Edge Test Account expires in 90 days — product goes offline for external users if SPA not negotiated in time</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5</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3</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15</w:t>
            </w:r>
          </w:p>
        </w:tc>
        <w:tc>
          <w:tcPr>
            <w:tcW w:type="dxa" w:w="158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0" w:before="0"/>
            </w:pPr>
            <w:r>
              <w:rPr>
                <w:rFonts w:ascii="Arial" w:cs="Arial" w:eastAsia="Arial" w:hAnsi="Arial"/>
                <w:b/>
                <w:bCs/>
                <w:color w:val="8C4A00"/>
                <w:sz w:val="18"/>
                <w:szCs w:val="18"/>
              </w:rPr>
              <w:t xml:space="preserve">HIGH</w:t>
            </w:r>
          </w:p>
        </w:tc>
      </w:tr>
      <w:tr>
        <w:tc>
          <w:tcPr>
            <w:tcW w:type="dxa" w:w="10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R-04</w:t>
            </w:r>
          </w:p>
        </w:tc>
        <w:tc>
          <w:tcPr>
            <w:tcW w:type="dxa" w:w="16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4A4A4A"/>
                <w:sz w:val="18"/>
                <w:szCs w:val="18"/>
              </w:rPr>
              <w:t xml:space="preserve">Regulatory</w:t>
            </w:r>
          </w:p>
        </w:tc>
        <w:tc>
          <w:tcPr>
            <w:tcW w:type="dxa" w:w="3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Georgian NBG may require authorisation or notification for AI financial analysis service</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4</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3</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12</w:t>
            </w:r>
          </w:p>
        </w:tc>
        <w:tc>
          <w:tcPr>
            <w:tcW w:type="dxa" w:w="158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0" w:before="0"/>
            </w:pPr>
            <w:r>
              <w:rPr>
                <w:rFonts w:ascii="Arial" w:cs="Arial" w:eastAsia="Arial" w:hAnsi="Arial"/>
                <w:b/>
                <w:bCs/>
                <w:color w:val="8C4A00"/>
                <w:sz w:val="18"/>
                <w:szCs w:val="18"/>
              </w:rPr>
              <w:t xml:space="preserve">HIGH</w:t>
            </w:r>
          </w:p>
        </w:tc>
      </w:tr>
      <w:tr>
        <w:tc>
          <w:tcPr>
            <w:tcW w:type="dxa" w:w="10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R-05</w:t>
            </w:r>
          </w:p>
        </w:tc>
        <w:tc>
          <w:tcPr>
            <w:tcW w:type="dxa" w:w="16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4A4A4A"/>
                <w:sz w:val="18"/>
                <w:szCs w:val="18"/>
              </w:rPr>
              <w:t xml:space="preserve">Commercial</w:t>
            </w:r>
          </w:p>
        </w:tc>
        <w:tc>
          <w:tcPr>
            <w:tcW w:type="dxa" w:w="3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Salt Edge $100 liability cap — no recourse if Salt Edge fails or removes Georgian bank access</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5</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2</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10</w:t>
            </w:r>
          </w:p>
        </w:tc>
        <w:tc>
          <w:tcPr>
            <w:tcW w:type="dxa" w:w="158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0" w:before="0"/>
            </w:pPr>
            <w:r>
              <w:rPr>
                <w:rFonts w:ascii="Arial" w:cs="Arial" w:eastAsia="Arial" w:hAnsi="Arial"/>
                <w:b/>
                <w:bCs/>
                <w:color w:val="8C4A00"/>
                <w:sz w:val="18"/>
                <w:szCs w:val="18"/>
              </w:rPr>
              <w:t xml:space="preserve">HIGH</w:t>
            </w:r>
          </w:p>
        </w:tc>
      </w:tr>
      <w:tr>
        <w:tc>
          <w:tcPr>
            <w:tcW w:type="dxa" w:w="10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R-06</w:t>
            </w:r>
          </w:p>
        </w:tc>
        <w:tc>
          <w:tcPr>
            <w:tcW w:type="dxa" w:w="16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4A4A4A"/>
                <w:sz w:val="18"/>
                <w:szCs w:val="18"/>
              </w:rPr>
              <w:t xml:space="preserve">Product / Liability</w:t>
            </w:r>
          </w:p>
        </w:tc>
        <w:tc>
          <w:tcPr>
            <w:tcW w:type="dxa" w:w="3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AI generates incorrect financial analysis; founder makes damaging business decision based on it</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4</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3</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12</w:t>
            </w:r>
          </w:p>
        </w:tc>
        <w:tc>
          <w:tcPr>
            <w:tcW w:type="dxa" w:w="158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0" w:before="0"/>
            </w:pPr>
            <w:r>
              <w:rPr>
                <w:rFonts w:ascii="Arial" w:cs="Arial" w:eastAsia="Arial" w:hAnsi="Arial"/>
                <w:b/>
                <w:bCs/>
                <w:color w:val="8C4A00"/>
                <w:sz w:val="18"/>
                <w:szCs w:val="18"/>
              </w:rPr>
              <w:t xml:space="preserve">HIGH</w:t>
            </w:r>
          </w:p>
        </w:tc>
      </w:tr>
      <w:tr>
        <w:tc>
          <w:tcPr>
            <w:tcW w:type="dxa" w:w="10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R-07</w:t>
            </w:r>
          </w:p>
        </w:tc>
        <w:tc>
          <w:tcPr>
            <w:tcW w:type="dxa" w:w="16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4A4A4A"/>
                <w:sz w:val="18"/>
                <w:szCs w:val="18"/>
              </w:rPr>
              <w:t xml:space="preserve">Regulatory</w:t>
            </w:r>
          </w:p>
        </w:tc>
        <w:tc>
          <w:tcPr>
            <w:tcW w:type="dxa" w:w="3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UK FCA exposure if UK entity formed and UK users onboarded without FCA exclusion analysis</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5</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2</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10</w:t>
            </w:r>
          </w:p>
        </w:tc>
        <w:tc>
          <w:tcPr>
            <w:tcW w:type="dxa" w:w="158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0" w:before="0"/>
            </w:pPr>
            <w:r>
              <w:rPr>
                <w:rFonts w:ascii="Arial" w:cs="Arial" w:eastAsia="Arial" w:hAnsi="Arial"/>
                <w:b/>
                <w:bCs/>
                <w:color w:val="8C4A00"/>
                <w:sz w:val="18"/>
                <w:szCs w:val="18"/>
              </w:rPr>
              <w:t xml:space="preserve">HIGH</w:t>
            </w:r>
          </w:p>
        </w:tc>
      </w:tr>
      <w:tr>
        <w:tc>
          <w:tcPr>
            <w:tcW w:type="dxa" w:w="10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R-08</w:t>
            </w:r>
          </w:p>
        </w:tc>
        <w:tc>
          <w:tcPr>
            <w:tcW w:type="dxa" w:w="16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4A4A4A"/>
                <w:sz w:val="18"/>
                <w:szCs w:val="18"/>
              </w:rPr>
              <w:t xml:space="preserve">Data Privacy</w:t>
            </w:r>
          </w:p>
        </w:tc>
        <w:tc>
          <w:tcPr>
            <w:tcW w:type="dxa" w:w="3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Fain's 'privacy' claim is overstated — aggregates DO leave the browser to Anthropic; misdescription in marketing</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3</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4</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12</w:t>
            </w:r>
          </w:p>
        </w:tc>
        <w:tc>
          <w:tcPr>
            <w:tcW w:type="dxa" w:w="158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0" w:before="0"/>
            </w:pPr>
            <w:r>
              <w:rPr>
                <w:rFonts w:ascii="Arial" w:cs="Arial" w:eastAsia="Arial" w:hAnsi="Arial"/>
                <w:b/>
                <w:bCs/>
                <w:color w:val="8C4A00"/>
                <w:sz w:val="18"/>
                <w:szCs w:val="18"/>
              </w:rPr>
              <w:t xml:space="preserve">HIGH</w:t>
            </w:r>
          </w:p>
        </w:tc>
      </w:tr>
      <w:tr>
        <w:tc>
          <w:tcPr>
            <w:tcW w:type="dxa" w:w="10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R-09</w:t>
            </w:r>
          </w:p>
        </w:tc>
        <w:tc>
          <w:tcPr>
            <w:tcW w:type="dxa" w:w="16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4A4A4A"/>
                <w:sz w:val="18"/>
                <w:szCs w:val="18"/>
              </w:rPr>
              <w:t xml:space="preserve">Commercial</w:t>
            </w:r>
          </w:p>
        </w:tc>
        <w:tc>
          <w:tcPr>
            <w:tcW w:type="dxa" w:w="3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Salt Edge data monetisation (Section 5) — conflicts with Fain's privacy differentiation</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3</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4</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12</w:t>
            </w:r>
          </w:p>
        </w:tc>
        <w:tc>
          <w:tcPr>
            <w:tcW w:type="dxa" w:w="158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0" w:before="0"/>
            </w:pPr>
            <w:r>
              <w:rPr>
                <w:rFonts w:ascii="Arial" w:cs="Arial" w:eastAsia="Arial" w:hAnsi="Arial"/>
                <w:b/>
                <w:bCs/>
                <w:color w:val="8C4A00"/>
                <w:sz w:val="18"/>
                <w:szCs w:val="18"/>
              </w:rPr>
              <w:t xml:space="preserve">HIGH</w:t>
            </w:r>
          </w:p>
        </w:tc>
      </w:tr>
      <w:tr>
        <w:tc>
          <w:tcPr>
            <w:tcW w:type="dxa" w:w="10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R-10</w:t>
            </w:r>
          </w:p>
        </w:tc>
        <w:tc>
          <w:tcPr>
            <w:tcW w:type="dxa" w:w="16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4A4A4A"/>
                <w:sz w:val="18"/>
                <w:szCs w:val="18"/>
              </w:rPr>
              <w:t xml:space="preserve">IP</w:t>
            </w:r>
          </w:p>
        </w:tc>
        <w:tc>
          <w:tcPr>
            <w:tcW w:type="dxa" w:w="3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IP created before Georgian LLC formed — ownership ambiguous; no entity to hold IP</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3</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3</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9</w:t>
            </w:r>
          </w:p>
        </w:tc>
        <w:tc>
          <w:tcPr>
            <w:tcW w:type="dxa" w:w="1580"/>
            <w:tcBorders>
              <w:top w:val="single" w:color="D0C8BE" w:sz="1"/>
              <w:left w:val="single" w:color="D0C8BE" w:sz="1"/>
              <w:bottom w:val="single" w:color="D0C8BE" w:sz="1"/>
              <w:right w:val="single" w:color="D0C8BE" w:sz="1"/>
            </w:tcBorders>
            <w:shd w:fill="FFFDE7" w:val="clear"/>
            <w:tcMar>
              <w:top w:type="dxa" w:w="100"/>
              <w:left w:type="dxa" w:w="140"/>
              <w:bottom w:type="dxa" w:w="100"/>
              <w:right w:type="dxa" w:w="140"/>
            </w:tcMar>
          </w:tcPr>
          <w:p>
            <w:pPr>
              <w:spacing w:after="0" w:before="0"/>
            </w:pPr>
            <w:r>
              <w:rPr>
                <w:rFonts w:ascii="Arial" w:cs="Arial" w:eastAsia="Arial" w:hAnsi="Arial"/>
                <w:b/>
                <w:bCs/>
                <w:color w:val="6D5C00"/>
                <w:sz w:val="18"/>
                <w:szCs w:val="18"/>
              </w:rPr>
              <w:t xml:space="preserve">MEDIUM</w:t>
            </w:r>
          </w:p>
        </w:tc>
      </w:tr>
      <w:tr>
        <w:tc>
          <w:tcPr>
            <w:tcW w:type="dxa" w:w="10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R-11</w:t>
            </w:r>
          </w:p>
        </w:tc>
        <w:tc>
          <w:tcPr>
            <w:tcW w:type="dxa" w:w="16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4A4A4A"/>
                <w:sz w:val="18"/>
                <w:szCs w:val="18"/>
              </w:rPr>
              <w:t xml:space="preserve">Technical</w:t>
            </w:r>
          </w:p>
        </w:tc>
        <w:tc>
          <w:tcPr>
            <w:tcW w:type="dxa" w:w="3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Georgian bank access may be screen-scraping not official API — more fragile, potentially restricted by banks</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3</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3</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9</w:t>
            </w:r>
          </w:p>
        </w:tc>
        <w:tc>
          <w:tcPr>
            <w:tcW w:type="dxa" w:w="1580"/>
            <w:tcBorders>
              <w:top w:val="single" w:color="D0C8BE" w:sz="1"/>
              <w:left w:val="single" w:color="D0C8BE" w:sz="1"/>
              <w:bottom w:val="single" w:color="D0C8BE" w:sz="1"/>
              <w:right w:val="single" w:color="D0C8BE" w:sz="1"/>
            </w:tcBorders>
            <w:shd w:fill="FFFDE7" w:val="clear"/>
            <w:tcMar>
              <w:top w:type="dxa" w:w="100"/>
              <w:left w:type="dxa" w:w="140"/>
              <w:bottom w:type="dxa" w:w="100"/>
              <w:right w:type="dxa" w:w="140"/>
            </w:tcMar>
          </w:tcPr>
          <w:p>
            <w:pPr>
              <w:spacing w:after="0" w:before="0"/>
            </w:pPr>
            <w:r>
              <w:rPr>
                <w:rFonts w:ascii="Arial" w:cs="Arial" w:eastAsia="Arial" w:hAnsi="Arial"/>
                <w:b/>
                <w:bCs/>
                <w:color w:val="6D5C00"/>
                <w:sz w:val="18"/>
                <w:szCs w:val="18"/>
              </w:rPr>
              <w:t xml:space="preserve">MEDIUM</w:t>
            </w:r>
          </w:p>
        </w:tc>
      </w:tr>
      <w:tr>
        <w:tc>
          <w:tcPr>
            <w:tcW w:type="dxa" w:w="10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R-12</w:t>
            </w:r>
          </w:p>
        </w:tc>
        <w:tc>
          <w:tcPr>
            <w:tcW w:type="dxa" w:w="16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4A4A4A"/>
                <w:sz w:val="18"/>
                <w:szCs w:val="18"/>
              </w:rPr>
              <w:t xml:space="preserve">Data Privacy</w:t>
            </w:r>
          </w:p>
        </w:tc>
        <w:tc>
          <w:tcPr>
            <w:tcW w:type="dxa" w:w="3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Anthropic model training risk — if policy changes, user financial data could be used for training</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4</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1</w:t>
            </w:r>
          </w:p>
        </w:tc>
        <w:tc>
          <w:tcPr>
            <w:tcW w:type="dxa" w:w="56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4</w:t>
            </w:r>
          </w:p>
        </w:tc>
        <w:tc>
          <w:tcPr>
            <w:tcW w:type="dxa" w:w="1580"/>
            <w:tcBorders>
              <w:top w:val="single" w:color="D0C8BE" w:sz="1"/>
              <w:left w:val="single" w:color="D0C8BE" w:sz="1"/>
              <w:bottom w:val="single" w:color="D0C8BE" w:sz="1"/>
              <w:right w:val="single" w:color="D0C8BE" w:sz="1"/>
            </w:tcBorders>
            <w:shd w:fill="E8F5E9" w:val="clear"/>
            <w:tcMar>
              <w:top w:type="dxa" w:w="100"/>
              <w:left w:type="dxa" w:w="140"/>
              <w:bottom w:type="dxa" w:w="100"/>
              <w:right w:type="dxa" w:w="140"/>
            </w:tcMar>
          </w:tcPr>
          <w:p>
            <w:pPr>
              <w:spacing w:after="0" w:before="0"/>
            </w:pPr>
            <w:r>
              <w:rPr>
                <w:rFonts w:ascii="Arial" w:cs="Arial" w:eastAsia="Arial" w:hAnsi="Arial"/>
                <w:b/>
                <w:bCs/>
                <w:color w:val="1B5E20"/>
                <w:sz w:val="18"/>
                <w:szCs w:val="18"/>
              </w:rPr>
              <w:t xml:space="preserve">LOW</w:t>
            </w:r>
          </w:p>
        </w:tc>
      </w:tr>
    </w:tbl>
    <w:p>
      <w:pPr>
        <w:spacing w:after="0" w:before="200"/>
      </w:pPr>
      <w:r>
        <w:t xml:space="preserve"/>
      </w:r>
    </w:p>
    <w:p>
      <w:r>
        <w:br w:type="page"/>
      </w:r>
    </w:p>
    <w:p>
      <w:pPr>
        <w:pStyle w:val="Heading1"/>
        <w:pBdr>
          <w:bottom w:val="single" w:color="D4632A" w:sz="4" w:space="4"/>
        </w:pBdr>
        <w:spacing w:after="160" w:before="360"/>
      </w:pPr>
      <w:r>
        <w:rPr>
          <w:rFonts w:ascii="Arial" w:cs="Arial" w:eastAsia="Arial" w:hAnsi="Arial"/>
          <w:b/>
          <w:bCs/>
          <w:color w:val="1A1A1A"/>
          <w:sz w:val="30"/>
          <w:szCs w:val="30"/>
        </w:rPr>
        <w:t xml:space="preserve">5. Master Action Checklist</w:t>
      </w:r>
    </w:p>
    <w:p>
      <w:pPr>
        <w:spacing w:after="120" w:before="0"/>
        <w:jc w:val="left"/>
      </w:pPr>
      <w:r>
        <w:rPr>
          <w:rFonts w:ascii="Arial" w:cs="Arial" w:eastAsia="Arial" w:hAnsi="Arial"/>
          <w:b w:val="false"/>
          <w:bCs w:val="false"/>
          <w:color w:val="1A1A1A"/>
          <w:sz w:val="22"/>
          <w:szCs w:val="22"/>
        </w:rPr>
        <w:t xml:space="preserve">Every action required to go from zero to a legally sound public launch, in priority order. 'NOW' actions should be completed this week.</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700"/>
        <w:gridCol w:w="1400"/>
        <w:gridCol w:w="926"/>
      </w:tblGrid>
      <w:tr>
        <w:trPr>
          <w:tblHeader/>
        </w:trPr>
        <w:tc>
          <w:tcPr>
            <w:tcW w:type="dxa" w:w="5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w:t>
            </w:r>
          </w:p>
        </w:tc>
        <w:tc>
          <w:tcPr>
            <w:tcW w:type="dxa" w:w="45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Action</w:t>
            </w:r>
          </w:p>
        </w:tc>
        <w:tc>
          <w:tcPr>
            <w:tcW w:type="dxa" w:w="17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Owner</w:t>
            </w:r>
          </w:p>
        </w:tc>
        <w:tc>
          <w:tcPr>
            <w:tcW w:type="dxa" w:w="14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Timing</w:t>
            </w:r>
          </w:p>
        </w:tc>
        <w:tc>
          <w:tcPr>
            <w:tcW w:type="dxa" w:w="926"/>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Priority</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1</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Sign Anthropic API Data Processing Addendum at console.anthropic.com</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Archil</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Today</w:t>
            </w:r>
          </w:p>
        </w:tc>
        <w:tc>
          <w:tcPr>
            <w:tcW w:type="dxa" w:w="1260"/>
            <w:tcBorders>
              <w:top w:val="single" w:color="D0C8BE" w:sz="1"/>
              <w:left w:val="single" w:color="D0C8BE" w:sz="1"/>
              <w:bottom w:val="single" w:color="D0C8BE" w:sz="1"/>
              <w:right w:val="single" w:color="D0C8BE" w:sz="1"/>
            </w:tcBorders>
            <w:shd w:fill="FDECEA" w:val="clear"/>
            <w:tcMar>
              <w:top w:type="dxa" w:w="100"/>
              <w:left w:type="dxa" w:w="140"/>
              <w:bottom w:type="dxa" w:w="100"/>
              <w:right w:type="dxa" w:w="140"/>
            </w:tcMar>
          </w:tcPr>
          <w:p>
            <w:pPr>
              <w:spacing w:after="0" w:before="0"/>
            </w:pPr>
            <w:r>
              <w:rPr>
                <w:rFonts w:ascii="Arial" w:cs="Arial" w:eastAsia="Arial" w:hAnsi="Arial"/>
                <w:b/>
                <w:bCs/>
                <w:color w:val="B71C1C"/>
                <w:sz w:val="18"/>
                <w:szCs w:val="18"/>
              </w:rPr>
              <w:t xml:space="preserve">NOW</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2</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Apply for Salt Edge Test Account — describe use case clearly</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Archil</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This week</w:t>
            </w:r>
          </w:p>
        </w:tc>
        <w:tc>
          <w:tcPr>
            <w:tcW w:type="dxa" w:w="1260"/>
            <w:tcBorders>
              <w:top w:val="single" w:color="D0C8BE" w:sz="1"/>
              <w:left w:val="single" w:color="D0C8BE" w:sz="1"/>
              <w:bottom w:val="single" w:color="D0C8BE" w:sz="1"/>
              <w:right w:val="single" w:color="D0C8BE" w:sz="1"/>
            </w:tcBorders>
            <w:shd w:fill="FDECEA" w:val="clear"/>
            <w:tcMar>
              <w:top w:type="dxa" w:w="100"/>
              <w:left w:type="dxa" w:w="140"/>
              <w:bottom w:type="dxa" w:w="100"/>
              <w:right w:type="dxa" w:w="140"/>
            </w:tcMar>
          </w:tcPr>
          <w:p>
            <w:pPr>
              <w:spacing w:after="0" w:before="0"/>
            </w:pPr>
            <w:r>
              <w:rPr>
                <w:rFonts w:ascii="Arial" w:cs="Arial" w:eastAsia="Arial" w:hAnsi="Arial"/>
                <w:b/>
                <w:bCs/>
                <w:color w:val="B71C1C"/>
                <w:sz w:val="18"/>
                <w:szCs w:val="18"/>
              </w:rPr>
              <w:t xml:space="preserve">NOW</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3</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Form Georgian LLC at the House of Justice</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Archil + lawyer</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Week 1-2</w:t>
            </w:r>
          </w:p>
        </w:tc>
        <w:tc>
          <w:tcPr>
            <w:tcW w:type="dxa" w:w="1260"/>
            <w:tcBorders>
              <w:top w:val="single" w:color="D0C8BE" w:sz="1"/>
              <w:left w:val="single" w:color="D0C8BE" w:sz="1"/>
              <w:bottom w:val="single" w:color="D0C8BE" w:sz="1"/>
              <w:right w:val="single" w:color="D0C8BE" w:sz="1"/>
            </w:tcBorders>
            <w:shd w:fill="FDECEA" w:val="clear"/>
            <w:tcMar>
              <w:top w:type="dxa" w:w="100"/>
              <w:left w:type="dxa" w:w="140"/>
              <w:bottom w:type="dxa" w:w="100"/>
              <w:right w:type="dxa" w:w="140"/>
            </w:tcMar>
          </w:tcPr>
          <w:p>
            <w:pPr>
              <w:spacing w:after="0" w:before="0"/>
            </w:pPr>
            <w:r>
              <w:rPr>
                <w:rFonts w:ascii="Arial" w:cs="Arial" w:eastAsia="Arial" w:hAnsi="Arial"/>
                <w:b/>
                <w:bCs/>
                <w:color w:val="B71C1C"/>
                <w:sz w:val="18"/>
                <w:szCs w:val="18"/>
              </w:rPr>
              <w:t xml:space="preserve">NOW</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4</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Have all co-founders sign IP assignment agreements (all code owned by Georgian LLC)</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All founders</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Week 2</w:t>
            </w:r>
          </w:p>
        </w:tc>
        <w:tc>
          <w:tcPr>
            <w:tcW w:type="dxa" w:w="1260"/>
            <w:tcBorders>
              <w:top w:val="single" w:color="D0C8BE" w:sz="1"/>
              <w:left w:val="single" w:color="D0C8BE" w:sz="1"/>
              <w:bottom w:val="single" w:color="D0C8BE" w:sz="1"/>
              <w:right w:val="single" w:color="D0C8BE" w:sz="1"/>
            </w:tcBorders>
            <w:shd w:fill="FDECEA" w:val="clear"/>
            <w:tcMar>
              <w:top w:type="dxa" w:w="100"/>
              <w:left w:type="dxa" w:w="140"/>
              <w:bottom w:type="dxa" w:w="100"/>
              <w:right w:type="dxa" w:w="140"/>
            </w:tcMar>
          </w:tcPr>
          <w:p>
            <w:pPr>
              <w:spacing w:after="0" w:before="0"/>
            </w:pPr>
            <w:r>
              <w:rPr>
                <w:rFonts w:ascii="Arial" w:cs="Arial" w:eastAsia="Arial" w:hAnsi="Arial"/>
                <w:b/>
                <w:bCs/>
                <w:color w:val="B71C1C"/>
                <w:sz w:val="18"/>
                <w:szCs w:val="18"/>
              </w:rPr>
              <w:t xml:space="preserve">NOW</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5</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Confirm Salt Edge's access method for BOG and TBC (official API vs screen-scraping)</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Archil</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Week 2</w:t>
            </w:r>
          </w:p>
        </w:tc>
        <w:tc>
          <w:tcPr>
            <w:tcW w:type="dxa" w:w="1260"/>
            <w:tcBorders>
              <w:top w:val="single" w:color="D0C8BE" w:sz="1"/>
              <w:left w:val="single" w:color="D0C8BE" w:sz="1"/>
              <w:bottom w:val="single" w:color="D0C8BE" w:sz="1"/>
              <w:right w:val="single" w:color="D0C8BE" w:sz="1"/>
            </w:tcBorders>
            <w:shd w:fill="FDECEA" w:val="clear"/>
            <w:tcMar>
              <w:top w:type="dxa" w:w="100"/>
              <w:left w:type="dxa" w:w="140"/>
              <w:bottom w:type="dxa" w:w="100"/>
              <w:right w:type="dxa" w:w="140"/>
            </w:tcMar>
          </w:tcPr>
          <w:p>
            <w:pPr>
              <w:spacing w:after="0" w:before="0"/>
            </w:pPr>
            <w:r>
              <w:rPr>
                <w:rFonts w:ascii="Arial" w:cs="Arial" w:eastAsia="Arial" w:hAnsi="Arial"/>
                <w:b/>
                <w:bCs/>
                <w:color w:val="B71C1C"/>
                <w:sz w:val="18"/>
                <w:szCs w:val="18"/>
              </w:rPr>
              <w:t xml:space="preserve">NOW</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6</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Contact Salt Edge commercial team to begin Service Provision Agreement negotiation</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Archil</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Week 3-4</w:t>
            </w:r>
          </w:p>
        </w:tc>
        <w:tc>
          <w:tcPr>
            <w:tcW w:type="dxa" w:w="126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0" w:before="0"/>
            </w:pPr>
            <w:r>
              <w:rPr>
                <w:rFonts w:ascii="Arial" w:cs="Arial" w:eastAsia="Arial" w:hAnsi="Arial"/>
                <w:b/>
                <w:bCs/>
                <w:color w:val="8C4A00"/>
                <w:sz w:val="18"/>
                <w:szCs w:val="18"/>
              </w:rPr>
              <w:t xml:space="preserve">BEFORE USERS</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7</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Draft minimum viable Terms of Use for closed beta (internal testing agreement)</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Archil + counsel</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Week 3</w:t>
            </w:r>
          </w:p>
        </w:tc>
        <w:tc>
          <w:tcPr>
            <w:tcW w:type="dxa" w:w="126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0" w:before="0"/>
            </w:pPr>
            <w:r>
              <w:rPr>
                <w:rFonts w:ascii="Arial" w:cs="Arial" w:eastAsia="Arial" w:hAnsi="Arial"/>
                <w:b/>
                <w:bCs/>
                <w:color w:val="8C4A00"/>
                <w:sz w:val="18"/>
                <w:szCs w:val="18"/>
              </w:rPr>
              <w:t xml:space="preserve">BEFORE USERS</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8</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Draft Privacy Notice reflecting accurate data flow (transactions on device, aggregates to Anthropic)</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Archil + counsel</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Week 3</w:t>
            </w:r>
          </w:p>
        </w:tc>
        <w:tc>
          <w:tcPr>
            <w:tcW w:type="dxa" w:w="126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0" w:before="0"/>
            </w:pPr>
            <w:r>
              <w:rPr>
                <w:rFonts w:ascii="Arial" w:cs="Arial" w:eastAsia="Arial" w:hAnsi="Arial"/>
                <w:b/>
                <w:bCs/>
                <w:color w:val="8C4A00"/>
                <w:sz w:val="18"/>
                <w:szCs w:val="18"/>
              </w:rPr>
              <w:t xml:space="preserve">BEFORE USERS</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9</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Add AI disclaimer to every AI-generated response in the product UI</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Product / Archil</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Week 3</w:t>
            </w:r>
          </w:p>
        </w:tc>
        <w:tc>
          <w:tcPr>
            <w:tcW w:type="dxa" w:w="126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0" w:before="0"/>
            </w:pPr>
            <w:r>
              <w:rPr>
                <w:rFonts w:ascii="Arial" w:cs="Arial" w:eastAsia="Arial" w:hAnsi="Arial"/>
                <w:b/>
                <w:bCs/>
                <w:color w:val="8C4A00"/>
                <w:sz w:val="18"/>
                <w:szCs w:val="18"/>
              </w:rPr>
              <w:t xml:space="preserve">BEFORE USERS</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10</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Sign Salt Edge Service Provision Agreement</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Archil + Georgian lawyer</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Before user #1</w:t>
            </w:r>
          </w:p>
        </w:tc>
        <w:tc>
          <w:tcPr>
            <w:tcW w:type="dxa" w:w="126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0" w:before="0"/>
            </w:pPr>
            <w:r>
              <w:rPr>
                <w:rFonts w:ascii="Arial" w:cs="Arial" w:eastAsia="Arial" w:hAnsi="Arial"/>
                <w:b/>
                <w:bCs/>
                <w:color w:val="8C4A00"/>
                <w:sz w:val="18"/>
                <w:szCs w:val="18"/>
              </w:rPr>
              <w:t xml:space="preserve">BEFORE USERS</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11</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Engage Georgian legal counsel for NBG regulatory opinion</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Archil</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Month 2</w:t>
            </w:r>
          </w:p>
        </w:tc>
        <w:tc>
          <w:tcPr>
            <w:tcW w:type="dxa" w:w="1260"/>
            <w:tcBorders>
              <w:top w:val="single" w:color="D0C8BE" w:sz="1"/>
              <w:left w:val="single" w:color="D0C8BE" w:sz="1"/>
              <w:bottom w:val="single" w:color="D0C8BE" w:sz="1"/>
              <w:right w:val="single" w:color="D0C8BE" w:sz="1"/>
            </w:tcBorders>
            <w:shd w:fill="FFFDE7" w:val="clear"/>
            <w:tcMar>
              <w:top w:type="dxa" w:w="100"/>
              <w:left w:type="dxa" w:w="140"/>
              <w:bottom w:type="dxa" w:w="100"/>
              <w:right w:type="dxa" w:w="140"/>
            </w:tcMar>
          </w:tcPr>
          <w:p>
            <w:pPr>
              <w:spacing w:after="0" w:before="0"/>
            </w:pPr>
            <w:r>
              <w:rPr>
                <w:rFonts w:ascii="Arial" w:cs="Arial" w:eastAsia="Arial" w:hAnsi="Arial"/>
                <w:b/>
                <w:bCs/>
                <w:color w:val="6D5C00"/>
                <w:sz w:val="18"/>
                <w:szCs w:val="18"/>
              </w:rPr>
              <w:t xml:space="preserve">PRE-LAUNCH</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12</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Draft full Terms of Service covering freemium model, liability cap, termination</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Georgian counsel</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Month 2-3</w:t>
            </w:r>
          </w:p>
        </w:tc>
        <w:tc>
          <w:tcPr>
            <w:tcW w:type="dxa" w:w="1260"/>
            <w:tcBorders>
              <w:top w:val="single" w:color="D0C8BE" w:sz="1"/>
              <w:left w:val="single" w:color="D0C8BE" w:sz="1"/>
              <w:bottom w:val="single" w:color="D0C8BE" w:sz="1"/>
              <w:right w:val="single" w:color="D0C8BE" w:sz="1"/>
            </w:tcBorders>
            <w:shd w:fill="FFFDE7" w:val="clear"/>
            <w:tcMar>
              <w:top w:type="dxa" w:w="100"/>
              <w:left w:type="dxa" w:w="140"/>
              <w:bottom w:type="dxa" w:w="100"/>
              <w:right w:type="dxa" w:w="140"/>
            </w:tcMar>
          </w:tcPr>
          <w:p>
            <w:pPr>
              <w:spacing w:after="0" w:before="0"/>
            </w:pPr>
            <w:r>
              <w:rPr>
                <w:rFonts w:ascii="Arial" w:cs="Arial" w:eastAsia="Arial" w:hAnsi="Arial"/>
                <w:b/>
                <w:bCs/>
                <w:color w:val="6D5C00"/>
                <w:sz w:val="18"/>
                <w:szCs w:val="18"/>
              </w:rPr>
              <w:t xml:space="preserve">PRE-LAUNCH</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13</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Create internal data processing map (user → Salt Edge → Fain → Anthropic → user)</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Archil</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Month 2</w:t>
            </w:r>
          </w:p>
        </w:tc>
        <w:tc>
          <w:tcPr>
            <w:tcW w:type="dxa" w:w="1260"/>
            <w:tcBorders>
              <w:top w:val="single" w:color="D0C8BE" w:sz="1"/>
              <w:left w:val="single" w:color="D0C8BE" w:sz="1"/>
              <w:bottom w:val="single" w:color="D0C8BE" w:sz="1"/>
              <w:right w:val="single" w:color="D0C8BE" w:sz="1"/>
            </w:tcBorders>
            <w:shd w:fill="FFFDE7" w:val="clear"/>
            <w:tcMar>
              <w:top w:type="dxa" w:w="100"/>
              <w:left w:type="dxa" w:w="140"/>
              <w:bottom w:type="dxa" w:w="100"/>
              <w:right w:type="dxa" w:w="140"/>
            </w:tcMar>
          </w:tcPr>
          <w:p>
            <w:pPr>
              <w:spacing w:after="0" w:before="0"/>
            </w:pPr>
            <w:r>
              <w:rPr>
                <w:rFonts w:ascii="Arial" w:cs="Arial" w:eastAsia="Arial" w:hAnsi="Arial"/>
                <w:b/>
                <w:bCs/>
                <w:color w:val="6D5C00"/>
                <w:sz w:val="18"/>
                <w:szCs w:val="18"/>
              </w:rPr>
              <w:t xml:space="preserve">PRE-LAUNCH</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14</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Review and correct all Fain marketing language: change 'data never leaves your browser' to accurate description</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Archil / product</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Month 2</w:t>
            </w:r>
          </w:p>
        </w:tc>
        <w:tc>
          <w:tcPr>
            <w:tcW w:type="dxa" w:w="1260"/>
            <w:tcBorders>
              <w:top w:val="single" w:color="D0C8BE" w:sz="1"/>
              <w:left w:val="single" w:color="D0C8BE" w:sz="1"/>
              <w:bottom w:val="single" w:color="D0C8BE" w:sz="1"/>
              <w:right w:val="single" w:color="D0C8BE" w:sz="1"/>
            </w:tcBorders>
            <w:shd w:fill="FFFDE7" w:val="clear"/>
            <w:tcMar>
              <w:top w:type="dxa" w:w="100"/>
              <w:left w:type="dxa" w:w="140"/>
              <w:bottom w:type="dxa" w:w="100"/>
              <w:right w:type="dxa" w:w="140"/>
            </w:tcMar>
          </w:tcPr>
          <w:p>
            <w:pPr>
              <w:spacing w:after="0" w:before="0"/>
            </w:pPr>
            <w:r>
              <w:rPr>
                <w:rFonts w:ascii="Arial" w:cs="Arial" w:eastAsia="Arial" w:hAnsi="Arial"/>
                <w:b/>
                <w:bCs/>
                <w:color w:val="6D5C00"/>
                <w:sz w:val="18"/>
                <w:szCs w:val="18"/>
              </w:rPr>
              <w:t xml:space="preserve">PRE-LAUNCH</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15</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Evaluate one alternative bank aggregator as contingency (Mono, Plaid, direct BOG/TBC API)</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Tech team</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Month 3</w:t>
            </w:r>
          </w:p>
        </w:tc>
        <w:tc>
          <w:tcPr>
            <w:tcW w:type="dxa" w:w="1260"/>
            <w:tcBorders>
              <w:top w:val="single" w:color="D0C8BE" w:sz="1"/>
              <w:left w:val="single" w:color="D0C8BE" w:sz="1"/>
              <w:bottom w:val="single" w:color="D0C8BE" w:sz="1"/>
              <w:right w:val="single" w:color="D0C8BE" w:sz="1"/>
            </w:tcBorders>
            <w:shd w:fill="FFFDE7" w:val="clear"/>
            <w:tcMar>
              <w:top w:type="dxa" w:w="100"/>
              <w:left w:type="dxa" w:w="140"/>
              <w:bottom w:type="dxa" w:w="100"/>
              <w:right w:type="dxa" w:w="140"/>
            </w:tcMar>
          </w:tcPr>
          <w:p>
            <w:pPr>
              <w:spacing w:after="0" w:before="0"/>
            </w:pPr>
            <w:r>
              <w:rPr>
                <w:rFonts w:ascii="Arial" w:cs="Arial" w:eastAsia="Arial" w:hAnsi="Arial"/>
                <w:b/>
                <w:bCs/>
                <w:color w:val="6D5C00"/>
                <w:sz w:val="18"/>
                <w:szCs w:val="18"/>
              </w:rPr>
              <w:t xml:space="preserve">PRE-LAUNCH</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16</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Form UK Ltd only when: first serious investor requires it OR first enterprise customer requires it</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Archil</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When needed</w:t>
            </w:r>
          </w:p>
        </w:tc>
        <w:tc>
          <w:tcPr>
            <w:tcW w:type="dxa" w:w="1260"/>
            <w:tcBorders>
              <w:top w:val="single" w:color="D0C8BE" w:sz="1"/>
              <w:left w:val="single" w:color="D0C8BE" w:sz="1"/>
              <w:bottom w:val="single" w:color="D0C8BE" w:sz="1"/>
              <w:right w:val="single" w:color="D0C8BE" w:sz="1"/>
            </w:tcBorders>
            <w:shd w:fill="E8F5E9" w:val="clear"/>
            <w:tcMar>
              <w:top w:type="dxa" w:w="100"/>
              <w:left w:type="dxa" w:w="140"/>
              <w:bottom w:type="dxa" w:w="100"/>
              <w:right w:type="dxa" w:w="140"/>
            </w:tcMar>
          </w:tcPr>
          <w:p>
            <w:pPr>
              <w:spacing w:after="0" w:before="0"/>
            </w:pPr>
            <w:r>
              <w:rPr>
                <w:rFonts w:ascii="Arial" w:cs="Arial" w:eastAsia="Arial" w:hAnsi="Arial"/>
                <w:b/>
                <w:bCs/>
                <w:color w:val="1B5E20"/>
                <w:sz w:val="18"/>
                <w:szCs w:val="18"/>
              </w:rPr>
              <w:t xml:space="preserve">DEFERRED</w:t>
            </w:r>
          </w:p>
        </w:tc>
      </w:tr>
      <w:tr>
        <w:tc>
          <w:tcPr>
            <w:tcW w:type="dxa" w:w="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bCs/>
                <w:color w:val="1A1A1A"/>
                <w:sz w:val="18"/>
                <w:szCs w:val="18"/>
              </w:rPr>
              <w:t xml:space="preserve">17</w:t>
            </w:r>
          </w:p>
        </w:tc>
        <w:tc>
          <w:tcPr>
            <w:tcW w:type="dxa" w:w="45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UK FCA exclusion analysis from UK financial services counsel (only when UK users onboarded)</w:t>
            </w:r>
          </w:p>
        </w:tc>
        <w:tc>
          <w:tcPr>
            <w:tcW w:type="dxa" w:w="17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UK counsel</w:t>
            </w:r>
          </w:p>
        </w:tc>
        <w:tc>
          <w:tcPr>
            <w:tcW w:type="dxa" w:w="1400"/>
            <w:tcBorders>
              <w:top w:val="single" w:color="D0C8BE" w:sz="1"/>
              <w:left w:val="single" w:color="D0C8BE" w:sz="1"/>
              <w:bottom w:val="single" w:color="D0C8BE" w:sz="1"/>
              <w:right w:val="single" w:color="D0C8BE"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A1A1A"/>
                <w:sz w:val="18"/>
                <w:szCs w:val="18"/>
              </w:rPr>
              <w:t xml:space="preserve">Before UK launch</w:t>
            </w:r>
          </w:p>
        </w:tc>
        <w:tc>
          <w:tcPr>
            <w:tcW w:type="dxa" w:w="1260"/>
            <w:tcBorders>
              <w:top w:val="single" w:color="D0C8BE" w:sz="1"/>
              <w:left w:val="single" w:color="D0C8BE" w:sz="1"/>
              <w:bottom w:val="single" w:color="D0C8BE" w:sz="1"/>
              <w:right w:val="single" w:color="D0C8BE" w:sz="1"/>
            </w:tcBorders>
            <w:shd w:fill="E8F5E9" w:val="clear"/>
            <w:tcMar>
              <w:top w:type="dxa" w:w="100"/>
              <w:left w:type="dxa" w:w="140"/>
              <w:bottom w:type="dxa" w:w="100"/>
              <w:right w:type="dxa" w:w="140"/>
            </w:tcMar>
          </w:tcPr>
          <w:p>
            <w:pPr>
              <w:spacing w:after="0" w:before="0"/>
            </w:pPr>
            <w:r>
              <w:rPr>
                <w:rFonts w:ascii="Arial" w:cs="Arial" w:eastAsia="Arial" w:hAnsi="Arial"/>
                <w:b/>
                <w:bCs/>
                <w:color w:val="1B5E20"/>
                <w:sz w:val="18"/>
                <w:szCs w:val="18"/>
              </w:rPr>
              <w:t xml:space="preserve">DEFERRED</w:t>
            </w:r>
          </w:p>
        </w:tc>
      </w:tr>
    </w:tbl>
    <w:p>
      <w:pPr>
        <w:spacing w:after="0" w:before="200"/>
      </w:pPr>
      <w:r>
        <w:t xml:space="preserve"/>
      </w:r>
    </w:p>
    <w:p>
      <w:r>
        <w:br w:type="page"/>
      </w:r>
    </w:p>
    <w:p>
      <w:pPr>
        <w:pStyle w:val="Heading1"/>
        <w:pBdr>
          <w:bottom w:val="single" w:color="D4632A" w:sz="4" w:space="4"/>
        </w:pBdr>
        <w:spacing w:after="160" w:before="360"/>
      </w:pPr>
      <w:r>
        <w:rPr>
          <w:rFonts w:ascii="Arial" w:cs="Arial" w:eastAsia="Arial" w:hAnsi="Arial"/>
          <w:b/>
          <w:bCs/>
          <w:color w:val="1A1A1A"/>
          <w:sz w:val="30"/>
          <w:szCs w:val="30"/>
        </w:rPr>
        <w:t xml:space="preserve">6. Legal Documents — What to Draft and When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1826"/>
      </w:tblGrid>
      <w:tr>
        <w:trPr>
          <w:tblHeader/>
        </w:trPr>
        <w:tc>
          <w:tcPr>
            <w:tcW w:type="dxa" w:w="24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Document</w:t>
            </w:r>
          </w:p>
        </w:tc>
        <w:tc>
          <w:tcPr>
            <w:tcW w:type="dxa" w:w="32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Purpose</w:t>
            </w:r>
          </w:p>
        </w:tc>
        <w:tc>
          <w:tcPr>
            <w:tcW w:type="dxa" w:w="16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When needed</w:t>
            </w:r>
          </w:p>
        </w:tc>
        <w:tc>
          <w:tcPr>
            <w:tcW w:type="dxa" w:w="1826"/>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Who drafts</w:t>
            </w:r>
          </w:p>
        </w:tc>
      </w:tr>
      <w:tr>
        <w:tc>
          <w:tcPr>
            <w:tcW w:type="dxa" w:w="2400"/>
            <w:tcBorders>
              <w:top w:val="single" w:color="D0C8BE" w:sz="1"/>
              <w:left w:val="single" w:color="D0C8BE" w:sz="1"/>
              <w:bottom w:val="single" w:color="D0C8BE" w:sz="1"/>
              <w:right w:val="single" w:color="D0C8BE" w:sz="1"/>
            </w:tcBorders>
            <w:shd w:fill="FDECEA" w:val="clear"/>
            <w:tcMar>
              <w:top w:type="dxa" w:w="100"/>
              <w:left w:type="dxa" w:w="140"/>
              <w:bottom w:type="dxa" w:w="100"/>
              <w:right w:type="dxa" w:w="140"/>
            </w:tcMar>
          </w:tcPr>
          <w:p>
            <w:pPr>
              <w:spacing w:after="120" w:before="0"/>
              <w:jc w:val="left"/>
            </w:pPr>
            <w:r>
              <w:rPr>
                <w:rFonts w:ascii="Arial" w:cs="Arial" w:eastAsia="Arial" w:hAnsi="Arial"/>
                <w:b/>
                <w:bCs/>
                <w:color w:val="B71C1C"/>
                <w:sz w:val="18"/>
                <w:szCs w:val="18"/>
              </w:rPr>
              <w:t xml:space="preserve">Anthropic API DPA</w:t>
            </w:r>
          </w:p>
        </w:tc>
        <w:tc>
          <w:tcPr>
            <w:tcW w:type="dxa" w:w="32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Contractual protection for user data sent to Claude API</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bCs/>
                <w:color w:val="B71C1C"/>
                <w:sz w:val="18"/>
                <w:szCs w:val="18"/>
              </w:rPr>
              <w:t xml:space="preserve">Today</w:t>
            </w:r>
          </w:p>
        </w:tc>
        <w:tc>
          <w:tcPr>
            <w:tcW w:type="dxa" w:w="18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Anthropic provides — you just sign</w:t>
            </w:r>
          </w:p>
        </w:tc>
      </w:tr>
      <w:tr>
        <w:tc>
          <w:tcPr>
            <w:tcW w:type="dxa" w:w="2400"/>
            <w:tcBorders>
              <w:top w:val="single" w:color="D0C8BE" w:sz="1"/>
              <w:left w:val="single" w:color="D0C8BE" w:sz="1"/>
              <w:bottom w:val="single" w:color="D0C8BE" w:sz="1"/>
              <w:right w:val="single" w:color="D0C8BE" w:sz="1"/>
            </w:tcBorders>
            <w:shd w:fill="FDECEA" w:val="clear"/>
            <w:tcMar>
              <w:top w:type="dxa" w:w="100"/>
              <w:left w:type="dxa" w:w="140"/>
              <w:bottom w:type="dxa" w:w="100"/>
              <w:right w:type="dxa" w:w="140"/>
            </w:tcMar>
          </w:tcPr>
          <w:p>
            <w:pPr>
              <w:spacing w:after="120" w:before="0"/>
              <w:jc w:val="left"/>
            </w:pPr>
            <w:r>
              <w:rPr>
                <w:rFonts w:ascii="Arial" w:cs="Arial" w:eastAsia="Arial" w:hAnsi="Arial"/>
                <w:b/>
                <w:bCs/>
                <w:color w:val="B71C1C"/>
                <w:sz w:val="18"/>
                <w:szCs w:val="18"/>
              </w:rPr>
              <w:t xml:space="preserve">IP Assignment Agreements</w:t>
            </w:r>
          </w:p>
        </w:tc>
        <w:tc>
          <w:tcPr>
            <w:tcW w:type="dxa" w:w="32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Ensures all code and IP is owned by the Georgian LLC, not individuals</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bCs/>
                <w:color w:val="B71C1C"/>
                <w:sz w:val="18"/>
                <w:szCs w:val="18"/>
              </w:rPr>
              <w:t xml:space="preserve">Week 2 (after LLC formed)</w:t>
            </w:r>
          </w:p>
        </w:tc>
        <w:tc>
          <w:tcPr>
            <w:tcW w:type="dxa" w:w="18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Georgian legal counsel (short, 1-2 pages)</w:t>
            </w:r>
          </w:p>
        </w:tc>
      </w:tr>
      <w:tr>
        <w:tc>
          <w:tcPr>
            <w:tcW w:type="dxa" w:w="240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120" w:before="0"/>
              <w:jc w:val="left"/>
            </w:pPr>
            <w:r>
              <w:rPr>
                <w:rFonts w:ascii="Arial" w:cs="Arial" w:eastAsia="Arial" w:hAnsi="Arial"/>
                <w:b/>
                <w:bCs/>
                <w:color w:val="8C4A00"/>
                <w:sz w:val="18"/>
                <w:szCs w:val="18"/>
              </w:rPr>
              <w:t xml:space="preserve">Salt Edge Service Provision Agreement</w:t>
            </w:r>
          </w:p>
        </w:tc>
        <w:tc>
          <w:tcPr>
            <w:tcW w:type="dxa" w:w="32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Unlocks Live Account for production use; governs pricing, data, SLAs</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bCs/>
                <w:color w:val="8C4A00"/>
                <w:sz w:val="18"/>
                <w:szCs w:val="18"/>
              </w:rPr>
              <w:t xml:space="preserve">Before user #1</w:t>
            </w:r>
          </w:p>
        </w:tc>
        <w:tc>
          <w:tcPr>
            <w:tcW w:type="dxa" w:w="18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Salt Edge provides; negotiate key clauses</w:t>
            </w:r>
          </w:p>
        </w:tc>
      </w:tr>
      <w:tr>
        <w:tc>
          <w:tcPr>
            <w:tcW w:type="dxa" w:w="240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120" w:before="0"/>
              <w:jc w:val="left"/>
            </w:pPr>
            <w:r>
              <w:rPr>
                <w:rFonts w:ascii="Arial" w:cs="Arial" w:eastAsia="Arial" w:hAnsi="Arial"/>
                <w:b/>
                <w:bCs/>
                <w:color w:val="8C4A00"/>
                <w:sz w:val="18"/>
                <w:szCs w:val="18"/>
              </w:rPr>
              <w:t xml:space="preserve">Beta Terms of Use</w:t>
            </w:r>
          </w:p>
        </w:tc>
        <w:tc>
          <w:tcPr>
            <w:tcW w:type="dxa" w:w="32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Governs relationship with beta users; limits liability; sets expectations</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bCs/>
                <w:color w:val="8C4A00"/>
                <w:sz w:val="18"/>
                <w:szCs w:val="18"/>
              </w:rPr>
              <w:t xml:space="preserve">Before user #1</w:t>
            </w:r>
          </w:p>
        </w:tc>
        <w:tc>
          <w:tcPr>
            <w:tcW w:type="dxa" w:w="18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Archil drafts; Georgian counsel reviews</w:t>
            </w:r>
          </w:p>
        </w:tc>
      </w:tr>
      <w:tr>
        <w:tc>
          <w:tcPr>
            <w:tcW w:type="dxa" w:w="2400"/>
            <w:tcBorders>
              <w:top w:val="single" w:color="D0C8BE" w:sz="1"/>
              <w:left w:val="single" w:color="D0C8BE" w:sz="1"/>
              <w:bottom w:val="single" w:color="D0C8BE" w:sz="1"/>
              <w:right w:val="single" w:color="D0C8BE" w:sz="1"/>
            </w:tcBorders>
            <w:shd w:fill="FEF3E2" w:val="clear"/>
            <w:tcMar>
              <w:top w:type="dxa" w:w="100"/>
              <w:left w:type="dxa" w:w="140"/>
              <w:bottom w:type="dxa" w:w="100"/>
              <w:right w:type="dxa" w:w="140"/>
            </w:tcMar>
          </w:tcPr>
          <w:p>
            <w:pPr>
              <w:spacing w:after="120" w:before="0"/>
              <w:jc w:val="left"/>
            </w:pPr>
            <w:r>
              <w:rPr>
                <w:rFonts w:ascii="Arial" w:cs="Arial" w:eastAsia="Arial" w:hAnsi="Arial"/>
                <w:b/>
                <w:bCs/>
                <w:color w:val="8C4A00"/>
                <w:sz w:val="18"/>
                <w:szCs w:val="18"/>
              </w:rPr>
              <w:t xml:space="preserve">Privacy Notice</w:t>
            </w:r>
          </w:p>
        </w:tc>
        <w:tc>
          <w:tcPr>
            <w:tcW w:type="dxa" w:w="32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Georgian data protection law + GDPR obligation; describes exact data flow</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bCs/>
                <w:color w:val="8C4A00"/>
                <w:sz w:val="18"/>
                <w:szCs w:val="18"/>
              </w:rPr>
              <w:t xml:space="preserve">Before user #1</w:t>
            </w:r>
          </w:p>
        </w:tc>
        <w:tc>
          <w:tcPr>
            <w:tcW w:type="dxa" w:w="18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Archil drafts; Georgian counsel reviews</w:t>
            </w:r>
          </w:p>
        </w:tc>
      </w:tr>
      <w:tr>
        <w:tc>
          <w:tcPr>
            <w:tcW w:type="dxa" w:w="2400"/>
            <w:tcBorders>
              <w:top w:val="single" w:color="D0C8BE" w:sz="1"/>
              <w:left w:val="single" w:color="D0C8BE" w:sz="1"/>
              <w:bottom w:val="single" w:color="D0C8BE" w:sz="1"/>
              <w:right w:val="single" w:color="D0C8BE" w:sz="1"/>
            </w:tcBorders>
            <w:shd w:fill="FFFDE7" w:val="clear"/>
            <w:tcMar>
              <w:top w:type="dxa" w:w="100"/>
              <w:left w:type="dxa" w:w="140"/>
              <w:bottom w:type="dxa" w:w="100"/>
              <w:right w:type="dxa" w:w="140"/>
            </w:tcMar>
          </w:tcPr>
          <w:p>
            <w:pPr>
              <w:spacing w:after="120" w:before="0"/>
              <w:jc w:val="left"/>
            </w:pPr>
            <w:r>
              <w:rPr>
                <w:rFonts w:ascii="Arial" w:cs="Arial" w:eastAsia="Arial" w:hAnsi="Arial"/>
                <w:b/>
                <w:bCs/>
                <w:color w:val="6D5C00"/>
                <w:sz w:val="18"/>
                <w:szCs w:val="18"/>
              </w:rPr>
              <w:t xml:space="preserve">NBG Regulatory Opinion</w:t>
            </w:r>
          </w:p>
        </w:tc>
        <w:tc>
          <w:tcPr>
            <w:tcW w:type="dxa" w:w="32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Written confirmation that Fain does not require NBG authorisation for Georgian operations</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bCs/>
                <w:color w:val="6D5C00"/>
                <w:sz w:val="18"/>
                <w:szCs w:val="18"/>
              </w:rPr>
              <w:t xml:space="preserve">Before public launch</w:t>
            </w:r>
          </w:p>
        </w:tc>
        <w:tc>
          <w:tcPr>
            <w:tcW w:type="dxa" w:w="18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Georgian legal counsel specialising in NBG</w:t>
            </w:r>
          </w:p>
        </w:tc>
      </w:tr>
      <w:tr>
        <w:tc>
          <w:tcPr>
            <w:tcW w:type="dxa" w:w="2400"/>
            <w:tcBorders>
              <w:top w:val="single" w:color="D0C8BE" w:sz="1"/>
              <w:left w:val="single" w:color="D0C8BE" w:sz="1"/>
              <w:bottom w:val="single" w:color="D0C8BE" w:sz="1"/>
              <w:right w:val="single" w:color="D0C8BE" w:sz="1"/>
            </w:tcBorders>
            <w:shd w:fill="FFFDE7" w:val="clear"/>
            <w:tcMar>
              <w:top w:type="dxa" w:w="100"/>
              <w:left w:type="dxa" w:w="140"/>
              <w:bottom w:type="dxa" w:w="100"/>
              <w:right w:type="dxa" w:w="140"/>
            </w:tcMar>
          </w:tcPr>
          <w:p>
            <w:pPr>
              <w:spacing w:after="120" w:before="0"/>
              <w:jc w:val="left"/>
            </w:pPr>
            <w:r>
              <w:rPr>
                <w:rFonts w:ascii="Arial" w:cs="Arial" w:eastAsia="Arial" w:hAnsi="Arial"/>
                <w:b/>
                <w:bCs/>
                <w:color w:val="6D5C00"/>
                <w:sz w:val="18"/>
                <w:szCs w:val="18"/>
              </w:rPr>
              <w:t xml:space="preserve">Full Terms of Service</w:t>
            </w:r>
          </w:p>
        </w:tc>
        <w:tc>
          <w:tcPr>
            <w:tcW w:type="dxa" w:w="32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Production-grade user agreement covering freemium, liability, IP, termination</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bCs/>
                <w:color w:val="6D5C00"/>
                <w:sz w:val="18"/>
                <w:szCs w:val="18"/>
              </w:rPr>
              <w:t xml:space="preserve">Before public launch</w:t>
            </w:r>
          </w:p>
        </w:tc>
        <w:tc>
          <w:tcPr>
            <w:tcW w:type="dxa" w:w="18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Georgian counsel + your review</w:t>
            </w:r>
          </w:p>
        </w:tc>
      </w:tr>
      <w:tr>
        <w:tc>
          <w:tcPr>
            <w:tcW w:type="dxa" w:w="2400"/>
            <w:tcBorders>
              <w:top w:val="single" w:color="D0C8BE" w:sz="1"/>
              <w:left w:val="single" w:color="D0C8BE" w:sz="1"/>
              <w:bottom w:val="single" w:color="D0C8BE" w:sz="1"/>
              <w:right w:val="single" w:color="D0C8BE" w:sz="1"/>
            </w:tcBorders>
            <w:shd w:fill="E8F5E9" w:val="clear"/>
            <w:tcMar>
              <w:top w:type="dxa" w:w="100"/>
              <w:left w:type="dxa" w:w="140"/>
              <w:bottom w:type="dxa" w:w="100"/>
              <w:right w:type="dxa" w:w="140"/>
            </w:tcMar>
          </w:tcPr>
          <w:p>
            <w:pPr>
              <w:spacing w:after="120" w:before="0"/>
              <w:jc w:val="left"/>
            </w:pPr>
            <w:r>
              <w:rPr>
                <w:rFonts w:ascii="Arial" w:cs="Arial" w:eastAsia="Arial" w:hAnsi="Arial"/>
                <w:b/>
                <w:bCs/>
                <w:color w:val="1B5E20"/>
                <w:sz w:val="18"/>
                <w:szCs w:val="18"/>
              </w:rPr>
              <w:t xml:space="preserve">UK Ltd formation documents</w:t>
            </w:r>
          </w:p>
        </w:tc>
        <w:tc>
          <w:tcPr>
            <w:tcW w:type="dxa" w:w="32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UK parent for investors / enterprise; requires genuine UK director and governance</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bCs/>
                <w:color w:val="1B5E20"/>
                <w:sz w:val="18"/>
                <w:szCs w:val="18"/>
              </w:rPr>
              <w:t xml:space="preserve">Only when needed</w:t>
            </w:r>
          </w:p>
        </w:tc>
        <w:tc>
          <w:tcPr>
            <w:tcW w:type="dxa" w:w="18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UK corporate solicitor</w:t>
            </w:r>
          </w:p>
        </w:tc>
      </w:tr>
    </w:tbl>
    <w:p>
      <w:pPr>
        <w:spacing w:after="0" w:before="200"/>
      </w:pPr>
      <w:r>
        <w:t xml:space="preserve"/>
      </w:r>
    </w:p>
    <w:p>
      <w:r>
        <w:br w:type="page"/>
      </w:r>
    </w:p>
    <w:p>
      <w:pPr>
        <w:pStyle w:val="Heading1"/>
        <w:pBdr>
          <w:bottom w:val="single" w:color="D4632A" w:sz="4" w:space="4"/>
        </w:pBdr>
        <w:spacing w:after="160" w:before="360"/>
      </w:pPr>
      <w:r>
        <w:rPr>
          <w:rFonts w:ascii="Arial" w:cs="Arial" w:eastAsia="Arial" w:hAnsi="Arial"/>
          <w:b/>
          <w:bCs/>
          <w:color w:val="1A1A1A"/>
          <w:sz w:val="30"/>
          <w:szCs w:val="30"/>
        </w:rPr>
        <w:t xml:space="preserve">7. Estimated Legal Costs — MVP Phase</w:t>
      </w:r>
    </w:p>
    <w:p>
      <w:pPr>
        <w:spacing w:after="120" w:before="0"/>
        <w:jc w:val="left"/>
      </w:pPr>
      <w:r>
        <w:rPr>
          <w:rFonts w:ascii="Arial" w:cs="Arial" w:eastAsia="Arial" w:hAnsi="Arial"/>
          <w:b w:val="false"/>
          <w:bCs w:val="false"/>
          <w:color w:val="1A1A1A"/>
          <w:sz w:val="22"/>
          <w:szCs w:val="22"/>
        </w:rPr>
        <w:t xml:space="preserve">These are estimates only. Actual costs depend on counsel chosen and negotiation complexity.</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2326"/>
      </w:tblGrid>
      <w:tr>
        <w:trPr>
          <w:tblHeader/>
        </w:trPr>
        <w:tc>
          <w:tcPr>
            <w:tcW w:type="dxa" w:w="35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Item</w:t>
            </w:r>
          </w:p>
        </w:tc>
        <w:tc>
          <w:tcPr>
            <w:tcW w:type="dxa" w:w="16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Low estimate</w:t>
            </w:r>
          </w:p>
        </w:tc>
        <w:tc>
          <w:tcPr>
            <w:tcW w:type="dxa" w:w="1600"/>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High estimate</w:t>
            </w:r>
          </w:p>
        </w:tc>
        <w:tc>
          <w:tcPr>
            <w:tcW w:type="dxa" w:w="2326"/>
            <w:tcBorders>
              <w:top w:val="single" w:color="D0C8BE" w:sz="1"/>
              <w:left w:val="single" w:color="D0C8BE" w:sz="1"/>
              <w:bottom w:val="single" w:color="D0C8BE" w:sz="1"/>
              <w:right w:val="single" w:color="D0C8BE" w:sz="1"/>
            </w:tcBorders>
            <w:shd w:fill="1A1A1A" w:val="clear"/>
            <w:tcMar>
              <w:top w:type="dxa" w:w="100"/>
              <w:left w:type="dxa" w:w="140"/>
              <w:bottom w:type="dxa" w:w="100"/>
              <w:right w:type="dxa" w:w="140"/>
            </w:tcMar>
          </w:tcPr>
          <w:p>
            <w:pPr>
              <w:spacing w:after="0" w:before="0"/>
            </w:pPr>
            <w:r>
              <w:rPr>
                <w:rFonts w:ascii="Arial" w:cs="Arial" w:eastAsia="Arial" w:hAnsi="Arial"/>
                <w:b/>
                <w:bCs/>
                <w:color w:val="FFFFFF"/>
                <w:sz w:val="18"/>
                <w:szCs w:val="18"/>
              </w:rPr>
              <w:t xml:space="preserve">Notes</w:t>
            </w:r>
          </w:p>
        </w:tc>
      </w:tr>
      <w:tr>
        <w:tc>
          <w:tcPr>
            <w:tcW w:type="dxa" w:w="35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Georgian LLC formation</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GEL 100 ($35)</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GEL 500 ($180)</w:t>
            </w:r>
          </w:p>
        </w:tc>
        <w:tc>
          <w:tcPr>
            <w:tcW w:type="dxa" w:w="23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Higher if using a registration agent</w:t>
            </w:r>
          </w:p>
        </w:tc>
      </w:tr>
      <w:tr>
        <w:tc>
          <w:tcPr>
            <w:tcW w:type="dxa" w:w="35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Anthropic DPA</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Free</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Free</w:t>
            </w:r>
          </w:p>
        </w:tc>
        <w:tc>
          <w:tcPr>
            <w:tcW w:type="dxa" w:w="23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Self-service via Anthropic console</w:t>
            </w:r>
          </w:p>
        </w:tc>
      </w:tr>
      <w:tr>
        <w:tc>
          <w:tcPr>
            <w:tcW w:type="dxa" w:w="35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IP assignment agreements (all founders)</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GEL 300 ($110)</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GEL 800 ($290)</w:t>
            </w:r>
          </w:p>
        </w:tc>
        <w:tc>
          <w:tcPr>
            <w:tcW w:type="dxa" w:w="23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Short document; Georgian counsel</w:t>
            </w:r>
          </w:p>
        </w:tc>
      </w:tr>
      <w:tr>
        <w:tc>
          <w:tcPr>
            <w:tcW w:type="dxa" w:w="35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Salt Edge Test Account</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Free</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Free</w:t>
            </w:r>
          </w:p>
        </w:tc>
        <w:tc>
          <w:tcPr>
            <w:tcW w:type="dxa" w:w="23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90 days, 100 connections</w:t>
            </w:r>
          </w:p>
        </w:tc>
      </w:tr>
      <w:tr>
        <w:tc>
          <w:tcPr>
            <w:tcW w:type="dxa" w:w="35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Beta Terms of Use + Privacy Notice</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GEL 500 ($180)</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GEL 2,000 ($720)</w:t>
            </w:r>
          </w:p>
        </w:tc>
        <w:tc>
          <w:tcPr>
            <w:tcW w:type="dxa" w:w="23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You draft, Georgian counsel reviews</w:t>
            </w:r>
          </w:p>
        </w:tc>
      </w:tr>
      <w:tr>
        <w:tc>
          <w:tcPr>
            <w:tcW w:type="dxa" w:w="35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Salt Edge SPA negotiation (legal review)</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GEL 1,000 ($360)</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GEL 4,000 ($1,450)</w:t>
            </w:r>
          </w:p>
        </w:tc>
        <w:tc>
          <w:tcPr>
            <w:tcW w:type="dxa" w:w="23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Ontario law; consider Canadian counsel</w:t>
            </w:r>
          </w:p>
        </w:tc>
      </w:tr>
      <w:tr>
        <w:tc>
          <w:tcPr>
            <w:tcW w:type="dxa" w:w="35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NBG regulatory opinion</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GEL 2,000 ($720)</w:t>
            </w:r>
          </w:p>
        </w:tc>
        <w:tc>
          <w:tcPr>
            <w:tcW w:type="dxa" w:w="1600"/>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GEL 5,000 ($1,800)</w:t>
            </w:r>
          </w:p>
        </w:tc>
        <w:tc>
          <w:tcPr>
            <w:tcW w:type="dxa" w:w="2326"/>
            <w:tcBorders>
              <w:top w:val="single" w:color="D0C8BE" w:sz="1"/>
              <w:left w:val="single" w:color="D0C8BE" w:sz="1"/>
              <w:bottom w:val="single" w:color="D0C8BE" w:sz="1"/>
              <w:right w:val="single" w:color="D0C8BE" w:sz="1"/>
            </w:tcBorders>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Must be from Georgian counsel with NBG expertise</w:t>
            </w:r>
          </w:p>
        </w:tc>
      </w:tr>
      <w:tr>
        <w:tc>
          <w:tcPr>
            <w:tcW w:type="dxa" w:w="3500"/>
            <w:tcBorders>
              <w:top w:val="single" w:color="D0C8BE" w:sz="1"/>
              <w:left w:val="single" w:color="D0C8BE" w:sz="1"/>
              <w:bottom w:val="single" w:color="D0C8BE" w:sz="1"/>
              <w:right w:val="single" w:color="D0C8BE" w:sz="1"/>
            </w:tcBorders>
            <w:shd w:fill="F5F0EA" w:val="clear"/>
            <w:tcMar>
              <w:top w:type="dxa" w:w="100"/>
              <w:left w:type="dxa" w:w="140"/>
              <w:bottom w:type="dxa" w:w="100"/>
              <w:right w:type="dxa" w:w="140"/>
            </w:tcMar>
          </w:tcPr>
          <w:p>
            <w:pPr>
              <w:spacing w:after="120" w:before="0"/>
              <w:jc w:val="left"/>
            </w:pPr>
            <w:r>
              <w:rPr>
                <w:rFonts w:ascii="Arial" w:cs="Arial" w:eastAsia="Arial" w:hAnsi="Arial"/>
                <w:b/>
                <w:bCs/>
                <w:color w:val="1A1A1A"/>
                <w:sz w:val="20"/>
                <w:szCs w:val="20"/>
              </w:rPr>
              <w:t xml:space="preserve">TOTAL MVP LEGAL BUDGET</w:t>
            </w:r>
          </w:p>
        </w:tc>
        <w:tc>
          <w:tcPr>
            <w:tcW w:type="dxa" w:w="1600"/>
            <w:tcBorders>
              <w:top w:val="single" w:color="D0C8BE" w:sz="1"/>
              <w:left w:val="single" w:color="D0C8BE" w:sz="1"/>
              <w:bottom w:val="single" w:color="D0C8BE" w:sz="1"/>
              <w:right w:val="single" w:color="D0C8BE" w:sz="1"/>
            </w:tcBorders>
            <w:shd w:fill="F5F0EA" w:val="clear"/>
            <w:tcMar>
              <w:top w:type="dxa" w:w="100"/>
              <w:left w:type="dxa" w:w="140"/>
              <w:bottom w:type="dxa" w:w="100"/>
              <w:right w:type="dxa" w:w="140"/>
            </w:tcMar>
          </w:tcPr>
          <w:p>
            <w:pPr>
              <w:spacing w:after="120" w:before="0"/>
              <w:jc w:val="left"/>
            </w:pPr>
            <w:r>
              <w:rPr>
                <w:rFonts w:ascii="Arial" w:cs="Arial" w:eastAsia="Arial" w:hAnsi="Arial"/>
                <w:b/>
                <w:bCs/>
                <w:color w:val="1A1A1A"/>
                <w:sz w:val="20"/>
                <w:szCs w:val="20"/>
              </w:rPr>
              <w:t xml:space="preserve">~$1,500</w:t>
            </w:r>
          </w:p>
        </w:tc>
        <w:tc>
          <w:tcPr>
            <w:tcW w:type="dxa" w:w="1600"/>
            <w:tcBorders>
              <w:top w:val="single" w:color="D0C8BE" w:sz="1"/>
              <w:left w:val="single" w:color="D0C8BE" w:sz="1"/>
              <w:bottom w:val="single" w:color="D0C8BE" w:sz="1"/>
              <w:right w:val="single" w:color="D0C8BE" w:sz="1"/>
            </w:tcBorders>
            <w:shd w:fill="F5F0EA" w:val="clear"/>
            <w:tcMar>
              <w:top w:type="dxa" w:w="100"/>
              <w:left w:type="dxa" w:w="140"/>
              <w:bottom w:type="dxa" w:w="100"/>
              <w:right w:type="dxa" w:w="140"/>
            </w:tcMar>
          </w:tcPr>
          <w:p>
            <w:pPr>
              <w:spacing w:after="120" w:before="0"/>
              <w:jc w:val="left"/>
            </w:pPr>
            <w:r>
              <w:rPr>
                <w:rFonts w:ascii="Arial" w:cs="Arial" w:eastAsia="Arial" w:hAnsi="Arial"/>
                <w:b/>
                <w:bCs/>
                <w:color w:val="1A1A1A"/>
                <w:sz w:val="20"/>
                <w:szCs w:val="20"/>
              </w:rPr>
              <w:t xml:space="preserve">~$5,000</w:t>
            </w:r>
          </w:p>
        </w:tc>
        <w:tc>
          <w:tcPr>
            <w:tcW w:type="dxa" w:w="2326"/>
            <w:tcBorders>
              <w:top w:val="single" w:color="D0C8BE" w:sz="1"/>
              <w:left w:val="single" w:color="D0C8BE" w:sz="1"/>
              <w:bottom w:val="single" w:color="D0C8BE" w:sz="1"/>
              <w:right w:val="single" w:color="D0C8BE" w:sz="1"/>
            </w:tcBorders>
            <w:shd w:fill="F5F0EA" w:val="clear"/>
            <w:tcMar>
              <w:top w:type="dxa" w:w="100"/>
              <w:left w:type="dxa" w:w="140"/>
              <w:bottom w:type="dxa" w:w="100"/>
              <w:right w:type="dxa" w:w="140"/>
            </w:tcMar>
          </w:tcPr>
          <w:p>
            <w:pPr>
              <w:spacing w:after="120" w:before="0"/>
              <w:jc w:val="left"/>
            </w:pPr>
            <w:r>
              <w:rPr>
                <w:rFonts w:ascii="Arial" w:cs="Arial" w:eastAsia="Arial" w:hAnsi="Arial"/>
                <w:b w:val="false"/>
                <w:bCs w:val="false"/>
                <w:color w:val="1A1A1A"/>
                <w:sz w:val="18"/>
                <w:szCs w:val="18"/>
              </w:rPr>
              <w:t xml:space="preserve">Excluding UK Ltd (defer)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32A" w:sz="1"/>
              <w:left w:val="single" w:color="D4632A" w:sz="1"/>
              <w:bottom w:val="single" w:color="D4632A" w:sz="1"/>
              <w:right w:val="single" w:color="D4632A" w:sz="1"/>
            </w:tcBorders>
            <w:shd w:fill="F5F0EA" w:val="clear"/>
            <w:tcMar>
              <w:top w:type="dxa" w:w="100"/>
              <w:left w:type="dxa" w:w="140"/>
              <w:bottom w:type="dxa" w:w="100"/>
              <w:right w:type="dxa" w:w="140"/>
            </w:tcMar>
          </w:tcPr>
          <w:p>
            <w:pPr>
              <w:spacing w:after="80" w:before="0"/>
            </w:pPr>
            <w:r>
              <w:rPr>
                <w:rFonts w:ascii="Arial" w:cs="Arial" w:eastAsia="Arial" w:hAnsi="Arial"/>
                <w:b/>
                <w:bCs/>
                <w:color w:val="D4632A"/>
                <w:sz w:val="22"/>
                <w:szCs w:val="22"/>
              </w:rPr>
              <w:t xml:space="preserve">Starting from scratch is a structural cost advantage</w:t>
            </w:r>
          </w:p>
          <w:p>
            <w:pPr>
              <w:spacing w:after="0" w:before="0"/>
            </w:pPr>
            <w:r>
              <w:rPr>
                <w:rFonts w:ascii="Arial" w:cs="Arial" w:eastAsia="Arial" w:hAnsi="Arial"/>
                <w:color w:val="1A1A1A"/>
                <w:sz w:val="20"/>
                <w:szCs w:val="20"/>
              </w:rPr>
              <w:t xml:space="preserve">The entire MVP legal foundation can be built for $1,500 – $5,000 USD. There are no legacy structures to unwind, no incorrect entity formations to reverse, and no prior agreements to renegotiate. Act on the NOW items immediately to lock in this clean starting position.</w:t>
            </w:r>
          </w:p>
        </w:tc>
      </w:tr>
    </w:tbl>
    <w:p>
      <w:pPr>
        <w:spacing w:after="0" w:before="200"/>
      </w:pPr>
      <w:r>
        <w:t xml:space="preserve"/>
      </w:r>
    </w:p>
    <w:p>
      <w:r>
        <w:br w:type="page"/>
      </w:r>
    </w:p>
    <w:p>
      <w:pPr>
        <w:pStyle w:val="Heading1"/>
        <w:pBdr>
          <w:bottom w:val="single" w:color="D4632A" w:sz="4" w:space="4"/>
        </w:pBdr>
        <w:spacing w:after="160" w:before="360"/>
      </w:pPr>
      <w:r>
        <w:rPr>
          <w:rFonts w:ascii="Arial" w:cs="Arial" w:eastAsia="Arial" w:hAnsi="Arial"/>
          <w:b/>
          <w:bCs/>
          <w:color w:val="1A1A1A"/>
          <w:sz w:val="30"/>
          <w:szCs w:val="30"/>
        </w:rPr>
        <w:t xml:space="preserve">Closing Note</w:t>
      </w:r>
    </w:p>
    <w:p>
      <w:pPr>
        <w:spacing w:after="120" w:before="0"/>
        <w:jc w:val="left"/>
      </w:pPr>
      <w:r>
        <w:rPr>
          <w:rFonts w:ascii="Arial" w:cs="Arial" w:eastAsia="Arial" w:hAnsi="Arial"/>
          <w:b w:val="false"/>
          <w:bCs w:val="false"/>
          <w:color w:val="1A1A1A"/>
          <w:sz w:val="22"/>
          <w:szCs w:val="22"/>
        </w:rPr>
        <w:t xml:space="preserve">This plan is designed to be executed in sequence. The Phase 0 actions (Anthropic DPA, Salt Edge Test Account, Georgian LLC) can all be completed within two weeks and cost almost nothing. They eliminate the two RED risks in the register immediately.</w:t>
      </w:r>
    </w:p>
    <w:p>
      <w:pPr>
        <w:spacing w:after="0" w:before="80"/>
      </w:pPr>
      <w:r>
        <w:t xml:space="preserve"/>
      </w:r>
    </w:p>
    <w:p>
      <w:pPr>
        <w:spacing w:after="120" w:before="0"/>
        <w:jc w:val="left"/>
      </w:pPr>
      <w:r>
        <w:rPr>
          <w:rFonts w:ascii="Arial" w:cs="Arial" w:eastAsia="Arial" w:hAnsi="Arial"/>
          <w:b w:val="false"/>
          <w:bCs w:val="false"/>
          <w:color w:val="1A1A1A"/>
          <w:sz w:val="22"/>
          <w:szCs w:val="22"/>
        </w:rPr>
        <w:t xml:space="preserve">The philosophy throughout: do the minimum necessary to operate legally at each stage, and add structure only when it is commercially justified. Do not build a UK holding company structure before you have investors or enterprise customers who need one. Do not spend on full-scale legal documents before you have external users. Do not acquire complexity you have not yet earned.</w:t>
      </w:r>
    </w:p>
    <w:p>
      <w:pPr>
        <w:spacing w:after="0" w:before="80"/>
      </w:pPr>
      <w:r>
        <w:t xml:space="preserve"/>
      </w:r>
    </w:p>
    <w:p>
      <w:pPr>
        <w:spacing w:after="120" w:before="0"/>
        <w:jc w:val="left"/>
      </w:pPr>
      <w:r>
        <w:rPr>
          <w:rFonts w:ascii="Arial" w:cs="Arial" w:eastAsia="Arial" w:hAnsi="Arial"/>
          <w:b w:val="false"/>
          <w:bCs w:val="false"/>
          <w:color w:val="1A1A1A"/>
          <w:sz w:val="22"/>
          <w:szCs w:val="22"/>
        </w:rPr>
        <w:t xml:space="preserve">When you are ready to engage legal counsel, prioritise finding a Georgian firm with experience in: (a) technology company formation, (b) NBG regulatory matters, and (c) data protection under Georgian law. One firm that covers all three is better than three separate advisors at the MVP 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632A" w:sz="1"/>
              <w:left w:val="single" w:color="D4632A" w:sz="1"/>
              <w:bottom w:val="single" w:color="D4632A" w:sz="1"/>
              <w:right w:val="single" w:color="D4632A" w:sz="1"/>
            </w:tcBorders>
            <w:shd w:fill="F5F0EA" w:val="clear"/>
            <w:tcMar>
              <w:top w:type="dxa" w:w="100"/>
              <w:left w:type="dxa" w:w="140"/>
              <w:bottom w:type="dxa" w:w="100"/>
              <w:right w:type="dxa" w:w="140"/>
            </w:tcMar>
          </w:tcPr>
          <w:p>
            <w:pPr>
              <w:spacing w:after="80" w:before="0"/>
            </w:pPr>
            <w:r>
              <w:rPr>
                <w:rFonts w:ascii="Arial" w:cs="Arial" w:eastAsia="Arial" w:hAnsi="Arial"/>
                <w:b/>
                <w:bCs/>
                <w:color w:val="D4632A"/>
                <w:sz w:val="22"/>
                <w:szCs w:val="22"/>
              </w:rPr>
              <w:t xml:space="preserve">The single most important thing to do today</w:t>
            </w:r>
          </w:p>
          <w:p>
            <w:pPr>
              <w:spacing w:after="0" w:before="0"/>
            </w:pPr>
            <w:r>
              <w:rPr>
                <w:rFonts w:ascii="Arial" w:cs="Arial" w:eastAsia="Arial" w:hAnsi="Arial"/>
                <w:color w:val="1A1A1A"/>
                <w:sz w:val="20"/>
                <w:szCs w:val="20"/>
              </w:rPr>
              <w:t xml:space="preserve">Sign the Anthropic API DPA. It takes 10 minutes, costs nothing, and eliminates the biggest data protection gap in your current setup. Everything else can be done in sequence over the next 4–8 weeks.</w:t>
            </w:r>
          </w:p>
        </w:tc>
      </w:tr>
    </w:tbl>
    <w:p>
      <w:pPr>
        <w:spacing w:after="0" w:before="80"/>
      </w:pPr>
      <w:r>
        <w:t xml:space="preserve"/>
      </w:r>
    </w:p>
    <w:p>
      <w:pPr>
        <w:spacing w:after="120" w:before="0"/>
        <w:jc w:val="left"/>
      </w:pPr>
      <w:r>
        <w:rPr>
          <w:rFonts w:ascii="Arial" w:cs="Arial" w:eastAsia="Arial" w:hAnsi="Arial"/>
          <w:b w:val="false"/>
          <w:bCs w:val="false"/>
          <w:color w:val="4A4A4A"/>
          <w:sz w:val="20"/>
          <w:szCs w:val="20"/>
        </w:rPr>
        <w:t xml:space="preserve">This document is not legal advice. It is a structured framework for planning. All recommendations must be reviewed by qualified legal professionals — Georgian counsel for Georgian and NBG matters, and Ontario/Canadian counsel for the Salt Edge Service Provision Agreement — before you rely on them.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8BE" w:sz="2" w:space="4"/>
      </w:pBdr>
      <w:spacing w:after="0" w:before="80"/>
      <w:jc w:val="center"/>
    </w:pPr>
    <w:r>
      <w:rPr>
        <w:rFonts w:ascii="Arial" w:cs="Arial" w:eastAsia="Arial" w:hAnsi="Arial"/>
        <w:color w:val="4A4A4A"/>
        <w:sz w:val="16"/>
        <w:szCs w:val="16"/>
      </w:rPr>
      <w:t xml:space="preserve">Not legal advice — review with qualified counsel before reliance  |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632A" w:sz="4" w:space="4"/>
      </w:pBdr>
      <w:spacing w:after="160" w:before="0"/>
      <w:jc w:val="right"/>
    </w:pPr>
    <w:r>
      <w:rPr>
        <w:rFonts w:ascii="Arial" w:cs="Arial" w:eastAsia="Arial" w:hAnsi="Arial"/>
        <w:color w:val="4A4A4A"/>
        <w:sz w:val="18"/>
        <w:szCs w:val="18"/>
      </w:rPr>
      <w:t xml:space="preserve">FAIN — MVP Legal Plan  |  Confidential  |  </w:t>
    </w:r>
    <w:r>
      <w:rPr>
        <w:rFonts w:ascii="Arial" w:cs="Arial" w:eastAsia="Arial" w:hAnsi="Arial"/>
        <w:color w:val="4A4A4A"/>
        <w:sz w:val="18"/>
        <w:szCs w:val="18"/>
      </w:rPr>
      <w:t xml:space="preserve">2026-06-20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A1A1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2026-06-20T19:45:53.770Z</dcterms:created>
  <dcterms:modified xsi:type="dcterms:W3CDTF">2026-06-20T19:45:53.770Z</dcterms:modified>
</cp:coreProperties>
</file>

<file path=docProps/custom.xml><?xml version="1.0" encoding="utf-8"?>
<Properties xmlns="http://schemas.openxmlformats.org/officeDocument/2006/custom-properties" xmlns:vt="http://schemas.openxmlformats.org/officeDocument/2006/docPropsVTypes"/>
</file>