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A365D"/>
          <w:sz w:val="48"/>
        </w:rPr>
        <w:t>NYC TAXI ETA PREDICTION</w:t>
      </w:r>
    </w:p>
    <w:p>
      <w:pPr>
        <w:spacing w:after="280"/>
      </w:pPr>
      <w:r>
        <w:rPr>
          <w:rFonts w:ascii="Arial" w:hAnsi="Arial"/>
          <w:i/>
          <w:color w:val="2B6CB0"/>
          <w:sz w:val="24"/>
        </w:rPr>
        <w:t>Week 3 Production-Grade Regression Benchmark | Advanced Modeling, Validation &amp; Error Analysis</w:t>
      </w:r>
    </w:p>
    <w:tbl>
      <w:tblPr>
        <w:tblW w:type="auto" w:w="0"/>
        <w:jc w:val="center"/>
        <w:tblLayout w:type="fixed"/>
        <w:tblLook w:firstColumn="1" w:firstRow="1" w:lastColumn="0" w:lastRow="0" w:noHBand="0" w:noVBand="1" w:val="04A0"/>
      </w:tblPr>
      <w:tblGrid>
        <w:gridCol w:w="4680"/>
        <w:gridCol w:w="4680"/>
      </w:tblGrid>
      <w:tr>
        <w:tc>
          <w:tcPr>
            <w:tcW w:type="dxa" w:w="4680"/>
            <w:shd w:fill="EBF8FF"/>
            <w:tcMar>
              <w:top w:w="80" w:type="dxa"/>
              <w:bottom w:w="80" w:type="dxa"/>
              <w:left w:w="120" w:type="dxa"/>
              <w:right w:w="120" w:type="dxa"/>
            </w:tcMar>
          </w:tcPr>
          <w:p>
            <w:pPr>
              <w:spacing w:after="0"/>
            </w:pPr>
            <w:r>
              <w:rPr>
                <w:rFonts w:ascii="Arial" w:hAnsi="Arial"/>
                <w:b/>
                <w:color w:val="1A365D"/>
                <w:sz w:val="20"/>
              </w:rPr>
              <w:t>Intern Name:</w:t>
            </w:r>
            <w:r>
              <w:rPr>
                <w:rFonts w:ascii="Arial" w:hAnsi="Arial"/>
                <w:color w:val="2D3748"/>
                <w:sz w:val="20"/>
              </w:rPr>
              <w:t xml:space="preserve"> Fakhr Ul Islam</w:t>
            </w:r>
          </w:p>
        </w:tc>
        <w:tc>
          <w:tcPr>
            <w:tcW w:type="dxa" w:w="4680"/>
            <w:shd w:fill="EBF8FF"/>
            <w:tcMar>
              <w:top w:w="80" w:type="dxa"/>
              <w:bottom w:w="80" w:type="dxa"/>
              <w:left w:w="120" w:type="dxa"/>
              <w:right w:w="120" w:type="dxa"/>
            </w:tcMar>
          </w:tcPr>
          <w:p>
            <w:pPr>
              <w:spacing w:after="0"/>
            </w:pPr>
            <w:r>
              <w:rPr>
                <w:rFonts w:ascii="Arial" w:hAnsi="Arial"/>
                <w:b/>
                <w:color w:val="1A365D"/>
                <w:sz w:val="20"/>
              </w:rPr>
              <w:t>Project:</w:t>
            </w:r>
            <w:r>
              <w:rPr>
                <w:rFonts w:ascii="Arial" w:hAnsi="Arial"/>
                <w:color w:val="2D3748"/>
                <w:sz w:val="20"/>
              </w:rPr>
              <w:t xml:space="preserve"> NYC Taxi ETA Prediction</w:t>
            </w:r>
          </w:p>
        </w:tc>
      </w:tr>
      <w:tr>
        <w:tc>
          <w:tcPr>
            <w:tcW w:type="dxa" w:w="4680"/>
            <w:shd w:fill="EBF8FF"/>
            <w:tcMar>
              <w:top w:w="80" w:type="dxa"/>
              <w:bottom w:w="80" w:type="dxa"/>
              <w:left w:w="120" w:type="dxa"/>
              <w:right w:w="120" w:type="dxa"/>
            </w:tcMar>
          </w:tcPr>
          <w:p>
            <w:pPr>
              <w:spacing w:after="0"/>
            </w:pPr>
            <w:r>
              <w:rPr>
                <w:rFonts w:ascii="Arial" w:hAnsi="Arial"/>
                <w:b/>
                <w:color w:val="1A365D"/>
                <w:sz w:val="20"/>
              </w:rPr>
              <w:t>Internship:</w:t>
            </w:r>
            <w:r>
              <w:rPr>
                <w:rFonts w:ascii="Arial" w:hAnsi="Arial"/>
                <w:color w:val="2D3748"/>
                <w:sz w:val="20"/>
              </w:rPr>
              <w:t xml:space="preserve"> AI/ML Internship</w:t>
            </w:r>
          </w:p>
        </w:tc>
        <w:tc>
          <w:tcPr>
            <w:tcW w:type="dxa" w:w="4680"/>
            <w:shd w:fill="EBF8FF"/>
            <w:tcMar>
              <w:top w:w="80" w:type="dxa"/>
              <w:bottom w:w="80" w:type="dxa"/>
              <w:left w:w="120" w:type="dxa"/>
              <w:right w:w="120" w:type="dxa"/>
            </w:tcMar>
          </w:tcPr>
          <w:p>
            <w:pPr>
              <w:spacing w:after="0"/>
            </w:pPr>
            <w:r>
              <w:rPr>
                <w:rFonts w:ascii="Arial" w:hAnsi="Arial"/>
                <w:b/>
                <w:color w:val="1A365D"/>
                <w:sz w:val="20"/>
              </w:rPr>
              <w:t>Duration:</w:t>
            </w:r>
            <w:r>
              <w:rPr>
                <w:rFonts w:ascii="Arial" w:hAnsi="Arial"/>
                <w:color w:val="2D3748"/>
                <w:sz w:val="20"/>
              </w:rPr>
              <w:t xml:space="preserve"> Week 3 Benchmark</w:t>
            </w:r>
          </w:p>
        </w:tc>
      </w:tr>
    </w:tbl>
    <w:p>
      <w:pPr>
        <w:spacing w:after="120"/>
      </w:pPr>
    </w:p>
    <w:p>
      <w:pPr>
        <w:keepNext/>
        <w:spacing w:before="320" w:after="120"/>
      </w:pPr>
      <w:r>
        <w:rPr>
          <w:rFonts w:ascii="Arial" w:hAnsi="Arial"/>
          <w:b/>
          <w:color w:val="1A365D"/>
          <w:sz w:val="30"/>
        </w:rPr>
        <w:t>1. Business Problem</w:t>
      </w:r>
    </w:p>
    <w:p>
      <w:pPr>
        <w:spacing w:before="0" w:after="80" w:line="276" w:lineRule="auto"/>
      </w:pPr>
      <w:r>
        <w:rPr>
          <w:rFonts w:ascii="Arial" w:hAnsi="Arial"/>
          <w:i w:val="0"/>
          <w:color w:val="2D3748"/>
          <w:sz w:val="21"/>
        </w:rPr>
        <w:t>A leading transportation company requires a robust machine learning system capable of estimating taxi trip duration accurately before a passenger starts the journey.</w:t>
      </w:r>
    </w:p>
    <w:p>
      <w:pPr>
        <w:spacing w:before="0" w:after="80" w:line="276" w:lineRule="auto"/>
      </w:pPr>
      <w:r>
        <w:rPr>
          <w:rFonts w:ascii="Arial" w:hAnsi="Arial"/>
          <w:b/>
          <w:color w:val="2D3748"/>
          <w:sz w:val="21"/>
        </w:rPr>
        <w:t xml:space="preserve">Primary Objective: </w:t>
      </w:r>
      <w:r>
        <w:rPr>
          <w:rFonts w:ascii="Arial" w:hAnsi="Arial"/>
          <w:i w:val="0"/>
          <w:color w:val="2D3748"/>
          <w:sz w:val="21"/>
        </w:rPr>
        <w:t>The primary objective of this project is to build a production-oriented regression model that predicts:</w:t>
      </w:r>
    </w:p>
    <w:p>
      <w:pPr>
        <w:pStyle w:val="ListBullet"/>
        <w:spacing w:before="0" w:after="60" w:line="276" w:lineRule="auto"/>
      </w:pPr>
      <w:r>
        <w:rPr>
          <w:rFonts w:ascii="Arial" w:hAnsi="Arial"/>
          <w:b/>
          <w:color w:val="2D3748"/>
          <w:sz w:val="21"/>
        </w:rPr>
        <w:t xml:space="preserve">Target Metric: </w:t>
      </w:r>
      <w:r>
        <w:rPr>
          <w:rFonts w:ascii="Arial" w:hAnsi="Arial"/>
          <w:color w:val="2D3748"/>
          <w:sz w:val="21"/>
        </w:rPr>
        <w:t>Expected Taxi Trip Duration (Minutes)</w:t>
      </w:r>
    </w:p>
    <w:p>
      <w:pPr>
        <w:spacing w:before="0" w:after="80" w:line="276" w:lineRule="auto"/>
      </w:pPr>
      <w:r>
        <w:rPr>
          <w:rFonts w:ascii="Arial" w:hAnsi="Arial"/>
          <w:i w:val="0"/>
          <w:color w:val="2D3748"/>
          <w:sz w:val="21"/>
        </w:rPr>
        <w:t>To ensure real-world utility, the developed solution must satisfy four core engineering constraints:</w:t>
      </w:r>
    </w:p>
    <w:p>
      <w:pPr>
        <w:pStyle w:val="ListBullet"/>
        <w:spacing w:before="0" w:after="60" w:line="276" w:lineRule="auto"/>
      </w:pPr>
      <w:r>
        <w:rPr>
          <w:rFonts w:ascii="Arial" w:hAnsi="Arial"/>
          <w:b/>
          <w:color w:val="2D3748"/>
          <w:sz w:val="21"/>
        </w:rPr>
        <w:t xml:space="preserve">Accurate: </w:t>
      </w:r>
      <w:r>
        <w:rPr>
          <w:rFonts w:ascii="Arial" w:hAnsi="Arial"/>
          <w:color w:val="2D3748"/>
          <w:sz w:val="21"/>
        </w:rPr>
        <w:t>Delivering high predictive accuracy across peak and off-peak hours.</w:t>
      </w:r>
    </w:p>
    <w:p>
      <w:pPr>
        <w:pStyle w:val="ListBullet"/>
        <w:spacing w:before="0" w:after="60" w:line="276" w:lineRule="auto"/>
      </w:pPr>
      <w:r>
        <w:rPr>
          <w:rFonts w:ascii="Arial" w:hAnsi="Arial"/>
          <w:b/>
          <w:color w:val="2D3748"/>
          <w:sz w:val="21"/>
        </w:rPr>
        <w:t xml:space="preserve">Reproducible: </w:t>
      </w:r>
      <w:r>
        <w:rPr>
          <w:rFonts w:ascii="Arial" w:hAnsi="Arial"/>
          <w:color w:val="2D3748"/>
          <w:sz w:val="21"/>
        </w:rPr>
        <w:t>Fully standardized data processing and modeling pipelines.</w:t>
      </w:r>
    </w:p>
    <w:p>
      <w:pPr>
        <w:pStyle w:val="ListBullet"/>
        <w:spacing w:before="0" w:after="60" w:line="276" w:lineRule="auto"/>
      </w:pPr>
      <w:r>
        <w:rPr>
          <w:rFonts w:ascii="Arial" w:hAnsi="Arial"/>
          <w:b/>
          <w:color w:val="2D3748"/>
          <w:sz w:val="21"/>
        </w:rPr>
        <w:t xml:space="preserve">Explainable: </w:t>
      </w:r>
      <w:r>
        <w:rPr>
          <w:rFonts w:ascii="Arial" w:hAnsi="Arial"/>
          <w:color w:val="2D3748"/>
          <w:sz w:val="21"/>
        </w:rPr>
        <w:t>Transparent decision logic backed by feature importance and SHAP analysis.</w:t>
      </w:r>
    </w:p>
    <w:p>
      <w:pPr>
        <w:pStyle w:val="ListBullet"/>
        <w:spacing w:before="0" w:after="60" w:line="276" w:lineRule="auto"/>
      </w:pPr>
      <w:r>
        <w:rPr>
          <w:rFonts w:ascii="Arial" w:hAnsi="Arial"/>
          <w:b/>
          <w:color w:val="2D3748"/>
          <w:sz w:val="21"/>
        </w:rPr>
        <w:t xml:space="preserve">Suitable for Deployment: </w:t>
      </w:r>
      <w:r>
        <w:rPr>
          <w:rFonts w:ascii="Arial" w:hAnsi="Arial"/>
          <w:color w:val="2D3748"/>
          <w:sz w:val="21"/>
        </w:rPr>
        <w:t>Clean architecture, lightweight serialized artifacts, and modular structure.</w:t>
      </w:r>
    </w:p>
    <w:p>
      <w:pPr>
        <w:keepNext/>
        <w:spacing w:before="320" w:after="120"/>
      </w:pPr>
      <w:r>
        <w:rPr>
          <w:rFonts w:ascii="Arial" w:hAnsi="Arial"/>
          <w:b/>
          <w:color w:val="1A365D"/>
          <w:sz w:val="30"/>
        </w:rPr>
        <w:t>2. Dataset Overview</w:t>
      </w:r>
    </w:p>
    <w:p>
      <w:pPr>
        <w:spacing w:before="0" w:after="80" w:line="276" w:lineRule="auto"/>
      </w:pPr>
      <w:r>
        <w:rPr>
          <w:rFonts w:ascii="Arial" w:hAnsi="Arial"/>
          <w:i w:val="0"/>
          <w:color w:val="2D3748"/>
          <w:sz w:val="21"/>
        </w:rPr>
        <w:t>The project utilizes historical trip record data provided by the New York City Taxi and Limousine Commission (TLC).</w:t>
      </w:r>
    </w:p>
    <w:tbl>
      <w:tblPr>
        <w:tblW w:type="auto" w:w="0"/>
        <w:jc w:val="center"/>
        <w:tblLook w:firstColumn="1" w:firstRow="1" w:lastColumn="0" w:lastRow="0" w:noHBand="0" w:noVBand="1" w:val="04A0"/>
      </w:tblPr>
      <w:tblGrid>
        <w:gridCol w:w="4680"/>
        <w:gridCol w:w="4680"/>
      </w:tblGrid>
      <w:tr>
        <w:tc>
          <w:tcPr>
            <w:tcW w:type="dxa" w:w="3168"/>
            <w:shd w:fill="F7FAFC"/>
            <w:tcMar>
              <w:top w:w="60" w:type="dxa"/>
              <w:bottom w:w="60" w:type="dxa"/>
              <w:left w:w="100" w:type="dxa"/>
              <w:right w:w="100" w:type="dxa"/>
            </w:tcMar>
          </w:tcPr>
          <w:p>
            <w:r>
              <w:rPr>
                <w:rFonts w:ascii="Arial" w:hAnsi="Arial"/>
                <w:b/>
                <w:color w:val="1A365D"/>
                <w:sz w:val="19"/>
              </w:rPr>
              <w:t>Dataset Name</w:t>
            </w:r>
          </w:p>
        </w:tc>
        <w:tc>
          <w:tcPr>
            <w:tcW w:type="dxa" w:w="6192"/>
            <w:shd w:fill="F7FAFC"/>
            <w:tcMar>
              <w:top w:w="60" w:type="dxa"/>
              <w:bottom w:w="60" w:type="dxa"/>
              <w:left w:w="100" w:type="dxa"/>
              <w:right w:w="100" w:type="dxa"/>
            </w:tcMar>
          </w:tcPr>
          <w:p>
            <w:r>
              <w:rPr>
                <w:rFonts w:ascii="Arial" w:hAnsi="Arial"/>
                <w:color w:val="2D3748"/>
                <w:sz w:val="19"/>
              </w:rPr>
              <w:t>NYC TLC Yellow Taxi Trip Records</w:t>
            </w:r>
          </w:p>
        </w:tc>
      </w:tr>
      <w:tr>
        <w:tc>
          <w:tcPr>
            <w:tcW w:type="dxa" w:w="3168"/>
            <w:shd w:fill="FFFFFF"/>
            <w:tcMar>
              <w:top w:w="60" w:type="dxa"/>
              <w:bottom w:w="60" w:type="dxa"/>
              <w:left w:w="100" w:type="dxa"/>
              <w:right w:w="100" w:type="dxa"/>
            </w:tcMar>
          </w:tcPr>
          <w:p>
            <w:r>
              <w:rPr>
                <w:rFonts w:ascii="Arial" w:hAnsi="Arial"/>
                <w:b/>
                <w:color w:val="1A365D"/>
                <w:sz w:val="19"/>
              </w:rPr>
              <w:t>Time Horizon</w:t>
            </w:r>
          </w:p>
        </w:tc>
        <w:tc>
          <w:tcPr>
            <w:tcW w:type="dxa" w:w="6192"/>
            <w:shd w:fill="FFFFFF"/>
            <w:tcMar>
              <w:top w:w="60" w:type="dxa"/>
              <w:bottom w:w="60" w:type="dxa"/>
              <w:left w:w="100" w:type="dxa"/>
              <w:right w:w="100" w:type="dxa"/>
            </w:tcMar>
          </w:tcPr>
          <w:p>
            <w:r>
              <w:rPr>
                <w:rFonts w:ascii="Arial" w:hAnsi="Arial"/>
                <w:color w:val="2D3748"/>
                <w:sz w:val="19"/>
              </w:rPr>
              <w:t>January 2023 – June 2023 (6 Months)</w:t>
            </w:r>
          </w:p>
        </w:tc>
      </w:tr>
      <w:tr>
        <w:tc>
          <w:tcPr>
            <w:tcW w:type="dxa" w:w="3168"/>
            <w:shd w:fill="F7FAFC"/>
            <w:tcMar>
              <w:top w:w="60" w:type="dxa"/>
              <w:bottom w:w="60" w:type="dxa"/>
              <w:left w:w="100" w:type="dxa"/>
              <w:right w:w="100" w:type="dxa"/>
            </w:tcMar>
          </w:tcPr>
          <w:p>
            <w:r>
              <w:rPr>
                <w:rFonts w:ascii="Arial" w:hAnsi="Arial"/>
                <w:b/>
                <w:color w:val="1A365D"/>
                <w:sz w:val="19"/>
              </w:rPr>
              <w:t>Initial Record Count</w:t>
            </w:r>
          </w:p>
        </w:tc>
        <w:tc>
          <w:tcPr>
            <w:tcW w:type="dxa" w:w="6192"/>
            <w:shd w:fill="F7FAFC"/>
            <w:tcMar>
              <w:top w:w="60" w:type="dxa"/>
              <w:bottom w:w="60" w:type="dxa"/>
              <w:left w:w="100" w:type="dxa"/>
              <w:right w:w="100" w:type="dxa"/>
            </w:tcMar>
          </w:tcPr>
          <w:p>
            <w:r>
              <w:rPr>
                <w:rFonts w:ascii="Arial" w:hAnsi="Arial"/>
                <w:color w:val="2D3748"/>
                <w:sz w:val="19"/>
              </w:rPr>
              <w:t>Approximately 600,000 trips</w:t>
            </w:r>
          </w:p>
        </w:tc>
      </w:tr>
      <w:tr>
        <w:tc>
          <w:tcPr>
            <w:tcW w:type="dxa" w:w="3168"/>
            <w:shd w:fill="FFFFFF"/>
            <w:tcMar>
              <w:top w:w="60" w:type="dxa"/>
              <w:bottom w:w="60" w:type="dxa"/>
              <w:left w:w="100" w:type="dxa"/>
              <w:right w:w="100" w:type="dxa"/>
            </w:tcMar>
          </w:tcPr>
          <w:p>
            <w:r>
              <w:rPr>
                <w:rFonts w:ascii="Arial" w:hAnsi="Arial"/>
                <w:b/>
                <w:color w:val="1A365D"/>
                <w:sz w:val="19"/>
              </w:rPr>
              <w:t>Final Clean Dataset</w:t>
            </w:r>
          </w:p>
        </w:tc>
        <w:tc>
          <w:tcPr>
            <w:tcW w:type="dxa" w:w="6192"/>
            <w:shd w:fill="FFFFFF"/>
            <w:tcMar>
              <w:top w:w="60" w:type="dxa"/>
              <w:bottom w:w="60" w:type="dxa"/>
              <w:left w:w="100" w:type="dxa"/>
              <w:right w:w="100" w:type="dxa"/>
            </w:tcMar>
          </w:tcPr>
          <w:p>
            <w:r>
              <w:rPr>
                <w:rFonts w:ascii="Arial" w:hAnsi="Arial"/>
                <w:color w:val="2D3748"/>
                <w:sz w:val="19"/>
              </w:rPr>
              <w:t>566,642 trips</w:t>
            </w:r>
          </w:p>
        </w:tc>
      </w:tr>
      <w:tr>
        <w:tc>
          <w:tcPr>
            <w:tcW w:type="dxa" w:w="3168"/>
            <w:shd w:fill="F7FAFC"/>
            <w:tcMar>
              <w:top w:w="60" w:type="dxa"/>
              <w:bottom w:w="60" w:type="dxa"/>
              <w:left w:w="100" w:type="dxa"/>
              <w:right w:w="100" w:type="dxa"/>
            </w:tcMar>
          </w:tcPr>
          <w:p>
            <w:r>
              <w:rPr>
                <w:rFonts w:ascii="Arial" w:hAnsi="Arial"/>
                <w:b/>
                <w:color w:val="1A365D"/>
                <w:sz w:val="19"/>
              </w:rPr>
              <w:t>Data Granularity</w:t>
            </w:r>
          </w:p>
        </w:tc>
        <w:tc>
          <w:tcPr>
            <w:tcW w:type="dxa" w:w="6192"/>
            <w:shd w:fill="F7FAFC"/>
            <w:tcMar>
              <w:top w:w="60" w:type="dxa"/>
              <w:bottom w:w="60" w:type="dxa"/>
              <w:left w:w="100" w:type="dxa"/>
              <w:right w:w="100" w:type="dxa"/>
            </w:tcMar>
          </w:tcPr>
          <w:p>
            <w:r>
              <w:rPr>
                <w:rFonts w:ascii="Arial" w:hAnsi="Arial"/>
                <w:color w:val="2D3748"/>
                <w:sz w:val="19"/>
              </w:rPr>
              <w:t>Individual trip-level records</w:t>
            </w:r>
          </w:p>
        </w:tc>
      </w:tr>
    </w:tbl>
    <w:p>
      <w:pPr>
        <w:spacing w:after="80"/>
      </w:pPr>
    </w:p>
    <w:p>
      <w:pPr>
        <w:keepNext/>
        <w:spacing w:before="320" w:after="120"/>
      </w:pPr>
      <w:r>
        <w:rPr>
          <w:rFonts w:ascii="Arial" w:hAnsi="Arial"/>
          <w:b/>
          <w:color w:val="1A365D"/>
          <w:sz w:val="30"/>
        </w:rPr>
        <w:t>3. Data Quality Report</w:t>
      </w:r>
    </w:p>
    <w:p>
      <w:pPr>
        <w:spacing w:before="0" w:after="80" w:line="276" w:lineRule="auto"/>
      </w:pPr>
      <w:r>
        <w:rPr>
          <w:rFonts w:ascii="Arial" w:hAnsi="Arial"/>
          <w:i w:val="0"/>
          <w:color w:val="2D3748"/>
          <w:sz w:val="21"/>
        </w:rPr>
        <w:t>To ensure model reliability and statistical validity, extensive data quality checks were conducted prior to model development. Outliers, missing values, and corrupted records were filtered systematically.</w:t>
      </w:r>
    </w:p>
    <w:p>
      <w:pPr>
        <w:pStyle w:val="ListBullet"/>
        <w:spacing w:before="0" w:after="60" w:line="276" w:lineRule="auto"/>
      </w:pPr>
      <w:r>
        <w:rPr>
          <w:rFonts w:ascii="Arial" w:hAnsi="Arial"/>
          <w:b/>
          <w:color w:val="2D3748"/>
          <w:sz w:val="21"/>
        </w:rPr>
        <w:t xml:space="preserve">Missing Values Evaluation: </w:t>
      </w:r>
      <w:r>
        <w:rPr>
          <w:rFonts w:ascii="Arial" w:hAnsi="Arial"/>
          <w:color w:val="2D3748"/>
          <w:sz w:val="21"/>
        </w:rPr>
        <w:t>Identified and handled missing attributes across raw feature sets.</w:t>
      </w:r>
    </w:p>
    <w:p>
      <w:pPr>
        <w:pStyle w:val="ListBullet"/>
        <w:spacing w:before="0" w:after="60" w:line="276" w:lineRule="auto"/>
      </w:pPr>
      <w:r>
        <w:rPr>
          <w:rFonts w:ascii="Arial" w:hAnsi="Arial"/>
          <w:b/>
          <w:color w:val="2D3748"/>
          <w:sz w:val="21"/>
        </w:rPr>
        <w:t xml:space="preserve">Duplicate Records: </w:t>
      </w:r>
      <w:r>
        <w:rPr>
          <w:rFonts w:ascii="Arial" w:hAnsi="Arial"/>
          <w:color w:val="2D3748"/>
          <w:sz w:val="21"/>
        </w:rPr>
        <w:t>Detected and removed duplicate trip entries.</w:t>
      </w:r>
    </w:p>
    <w:p>
      <w:pPr>
        <w:pStyle w:val="ListBullet"/>
        <w:spacing w:before="0" w:after="60" w:line="276" w:lineRule="auto"/>
      </w:pPr>
      <w:r>
        <w:rPr>
          <w:rFonts w:ascii="Arial" w:hAnsi="Arial"/>
          <w:b/>
          <w:color w:val="2D3748"/>
          <w:sz w:val="21"/>
        </w:rPr>
        <w:t xml:space="preserve">Timestamp Validation: </w:t>
      </w:r>
      <w:r>
        <w:rPr>
          <w:rFonts w:ascii="Arial" w:hAnsi="Arial"/>
          <w:color w:val="2D3748"/>
          <w:sz w:val="21"/>
        </w:rPr>
        <w:t>Verified logical sequence between pickup and dropoff timestamps.</w:t>
      </w:r>
    </w:p>
    <w:p>
      <w:pPr>
        <w:pStyle w:val="ListBullet"/>
        <w:spacing w:before="0" w:after="60" w:line="276" w:lineRule="auto"/>
      </w:pPr>
      <w:r>
        <w:rPr>
          <w:rFonts w:ascii="Arial" w:hAnsi="Arial"/>
          <w:b/>
          <w:color w:val="2D3748"/>
          <w:sz w:val="21"/>
        </w:rPr>
        <w:t xml:space="preserve">Negative &amp; Zero Durations: </w:t>
      </w:r>
      <w:r>
        <w:rPr>
          <w:rFonts w:ascii="Arial" w:hAnsi="Arial"/>
          <w:color w:val="2D3748"/>
          <w:sz w:val="21"/>
        </w:rPr>
        <w:t>Eliminated erroneous records where duration ≤ 0 minutes.</w:t>
      </w:r>
    </w:p>
    <w:p>
      <w:pPr>
        <w:pStyle w:val="ListBullet"/>
        <w:spacing w:before="0" w:after="60" w:line="276" w:lineRule="auto"/>
      </w:pPr>
      <w:r>
        <w:rPr>
          <w:rFonts w:ascii="Arial" w:hAnsi="Arial"/>
          <w:b/>
          <w:color w:val="2D3748"/>
          <w:sz w:val="21"/>
        </w:rPr>
        <w:t xml:space="preserve">Passenger Count Verification: </w:t>
      </w:r>
      <w:r>
        <w:rPr>
          <w:rFonts w:ascii="Arial" w:hAnsi="Arial"/>
          <w:color w:val="2D3748"/>
          <w:sz w:val="21"/>
        </w:rPr>
        <w:t>Filtered out invalid or zero-passenger entries.</w:t>
      </w:r>
    </w:p>
    <w:p>
      <w:pPr>
        <w:pStyle w:val="ListBullet"/>
        <w:spacing w:before="0" w:after="60" w:line="276" w:lineRule="auto"/>
      </w:pPr>
      <w:r>
        <w:rPr>
          <w:rFonts w:ascii="Arial" w:hAnsi="Arial"/>
          <w:b/>
          <w:color w:val="2D3748"/>
          <w:sz w:val="21"/>
        </w:rPr>
        <w:t xml:space="preserve">Schema Validation: </w:t>
      </w:r>
      <w:r>
        <w:rPr>
          <w:rFonts w:ascii="Arial" w:hAnsi="Arial"/>
          <w:color w:val="2D3748"/>
          <w:sz w:val="21"/>
        </w:rPr>
        <w:t>Enforced strict data types and schema consistency across monthly files.</w:t>
      </w:r>
    </w:p>
    <w:p>
      <w:pPr>
        <w:keepNext/>
        <w:spacing w:before="320" w:after="120"/>
      </w:pPr>
      <w:r>
        <w:rPr>
          <w:rFonts w:ascii="Arial" w:hAnsi="Arial"/>
          <w:b/>
          <w:color w:val="1A365D"/>
          <w:sz w:val="30"/>
        </w:rPr>
        <w:t>4. Target Variable Definition</w:t>
      </w:r>
    </w:p>
    <w:p>
      <w:pPr>
        <w:spacing w:before="0" w:after="80" w:line="276" w:lineRule="auto"/>
      </w:pPr>
      <w:r>
        <w:rPr>
          <w:rFonts w:ascii="Arial" w:hAnsi="Arial"/>
          <w:i w:val="0"/>
          <w:color w:val="2D3748"/>
          <w:sz w:val="21"/>
        </w:rPr>
        <w:t>The target variable for regression modeling is defined as the total trip duration in minutes.</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50" w:type="dxa"/>
              <w:right w:w="150" w:type="dxa"/>
            </w:tcMar>
          </w:tcPr>
          <w:p>
            <w:pPr>
              <w:jc w:val="center"/>
            </w:pPr>
            <w:r>
              <w:rPr>
                <w:rFonts w:ascii="Arial" w:hAnsi="Arial"/>
                <w:b/>
                <w:color w:val="1A365D"/>
                <w:sz w:val="22"/>
              </w:rPr>
              <w:t>Trip Duration (Minutes) = Dropoff Timestamp − Pickup Timestamp</w:t>
            </w:r>
          </w:p>
        </w:tc>
      </w:tr>
    </w:tbl>
    <w:p>
      <w:pPr>
        <w:spacing w:before="0" w:after="80" w:line="276" w:lineRule="auto"/>
      </w:pPr>
      <w:r>
        <w:rPr>
          <w:rFonts w:ascii="Arial" w:hAnsi="Arial"/>
          <w:i w:val="0"/>
          <w:color w:val="2D3748"/>
          <w:sz w:val="21"/>
        </w:rPr>
        <w:t>Target Leakage Prevention Rule: Immediately after target computation, the dropoff timestamp was dropped from the feature set to strictly prevent look-ahead bias and data leakage during training.</w:t>
      </w:r>
    </w:p>
    <w:p>
      <w:pPr>
        <w:keepNext/>
        <w:spacing w:before="320" w:after="120"/>
      </w:pPr>
      <w:r>
        <w:rPr>
          <w:rFonts w:ascii="Arial" w:hAnsi="Arial"/>
          <w:b/>
          <w:color w:val="1A365D"/>
          <w:sz w:val="30"/>
        </w:rPr>
        <w:t>5. Feature Engineering</w:t>
      </w:r>
    </w:p>
    <w:p>
      <w:pPr>
        <w:spacing w:before="0" w:after="80" w:line="276" w:lineRule="auto"/>
      </w:pPr>
      <w:r>
        <w:rPr>
          <w:rFonts w:ascii="Arial" w:hAnsi="Arial"/>
          <w:i w:val="0"/>
          <w:color w:val="2D3748"/>
          <w:sz w:val="21"/>
        </w:rPr>
        <w:t>More than 12 production-safe features were engineered to capture temporal trends, rush-hour dynamics, and spatial information.</w:t>
      </w:r>
    </w:p>
    <w:tbl>
      <w:tblPr>
        <w:tblW w:type="auto" w:w="0"/>
        <w:jc w:val="center"/>
        <w:tblLook w:firstColumn="1" w:firstRow="1" w:lastColumn="0" w:lastRow="0" w:noHBand="0" w:noVBand="1" w:val="04A0"/>
      </w:tblPr>
      <w:tblGrid>
        <w:gridCol w:w="4680"/>
        <w:gridCol w:w="4680"/>
      </w:tblGrid>
      <w:tr>
        <w:tc>
          <w:tcPr>
            <w:tcW w:type="dxa" w:w="2880"/>
            <w:shd w:fill="1A365D"/>
          </w:tcPr>
          <w:p>
            <w:r>
              <w:rPr>
                <w:rFonts w:ascii="Arial" w:hAnsi="Arial"/>
                <w:b/>
                <w:color w:val="FFFFFF"/>
                <w:sz w:val="20"/>
              </w:rPr>
              <w:t>Category</w:t>
            </w:r>
          </w:p>
        </w:tc>
        <w:tc>
          <w:tcPr>
            <w:tcW w:type="dxa" w:w="6480"/>
            <w:shd w:fill="1A365D"/>
          </w:tcPr>
          <w:p>
            <w:r>
              <w:rPr>
                <w:rFonts w:ascii="Arial" w:hAnsi="Arial"/>
                <w:b/>
                <w:color w:val="FFFFFF"/>
                <w:sz w:val="20"/>
              </w:rPr>
              <w:t>Engineered Features</w:t>
            </w:r>
          </w:p>
        </w:tc>
      </w:tr>
      <w:tr>
        <w:tc>
          <w:tcPr>
            <w:tcW w:type="dxa" w:w="2880"/>
            <w:shd w:fill="F7FAFC"/>
            <w:tcMar>
              <w:top w:w="60" w:type="dxa"/>
              <w:bottom w:w="60" w:type="dxa"/>
              <w:left w:w="100" w:type="dxa"/>
              <w:right w:w="100" w:type="dxa"/>
            </w:tcMar>
          </w:tcPr>
          <w:p>
            <w:r>
              <w:rPr>
                <w:rFonts w:ascii="Arial" w:hAnsi="Arial"/>
                <w:color w:val="2D3748"/>
                <w:sz w:val="19"/>
              </w:rPr>
              <w:t>Temporal &amp; Cyclic Features</w:t>
            </w:r>
          </w:p>
        </w:tc>
        <w:tc>
          <w:tcPr>
            <w:tcW w:type="dxa" w:w="6480"/>
            <w:shd w:fill="F7FAFC"/>
            <w:tcMar>
              <w:top w:w="60" w:type="dxa"/>
              <w:bottom w:w="60" w:type="dxa"/>
              <w:left w:w="100" w:type="dxa"/>
              <w:right w:w="100" w:type="dxa"/>
            </w:tcMar>
          </w:tcPr>
          <w:p>
            <w:r>
              <w:rPr>
                <w:rFonts w:ascii="Arial" w:hAnsi="Arial"/>
                <w:color w:val="2D3748"/>
                <w:sz w:val="19"/>
              </w:rPr>
              <w:t>Pickup Hour, Day of Week, Month, Weekend Indicator, Peak Hour Indicator, Night Indicator, Hour Sin, Hour Cos, Day Sin, Day Cos</w:t>
            </w:r>
          </w:p>
        </w:tc>
      </w:tr>
      <w:tr>
        <w:tc>
          <w:tcPr>
            <w:tcW w:type="dxa" w:w="2880"/>
            <w:shd w:fill="FFFFFF"/>
            <w:tcMar>
              <w:top w:w="60" w:type="dxa"/>
              <w:bottom w:w="60" w:type="dxa"/>
              <w:left w:w="100" w:type="dxa"/>
              <w:right w:w="100" w:type="dxa"/>
            </w:tcMar>
          </w:tcPr>
          <w:p>
            <w:r>
              <w:rPr>
                <w:rFonts w:ascii="Arial" w:hAnsi="Arial"/>
                <w:color w:val="2D3748"/>
                <w:sz w:val="19"/>
              </w:rPr>
              <w:t>Categorical &amp; Spatial Features</w:t>
            </w:r>
          </w:p>
        </w:tc>
        <w:tc>
          <w:tcPr>
            <w:tcW w:type="dxa" w:w="6480"/>
            <w:shd w:fill="FFFFFF"/>
            <w:tcMar>
              <w:top w:w="60" w:type="dxa"/>
              <w:bottom w:w="60" w:type="dxa"/>
              <w:left w:w="100" w:type="dxa"/>
              <w:right w:w="100" w:type="dxa"/>
            </w:tcMar>
          </w:tcPr>
          <w:p>
            <w:r>
              <w:rPr>
                <w:rFonts w:ascii="Arial" w:hAnsi="Arial"/>
                <w:color w:val="2D3748"/>
                <w:sz w:val="19"/>
              </w:rPr>
              <w:t>Passenger Count, Vendor ID, Pickup Location ID, Dropoff Location ID</w:t>
            </w:r>
          </w:p>
        </w:tc>
      </w:tr>
    </w:tbl>
    <w:p>
      <w:pPr>
        <w:spacing w:after="80"/>
      </w:pPr>
    </w:p>
    <w:p>
      <w:pPr>
        <w:keepNext/>
        <w:spacing w:before="320" w:after="120"/>
      </w:pPr>
      <w:r>
        <w:rPr>
          <w:rFonts w:ascii="Arial" w:hAnsi="Arial"/>
          <w:b/>
          <w:color w:val="1A365D"/>
          <w:sz w:val="30"/>
        </w:rPr>
        <w:t>6. Data Leakage Prevention Strategy</w:t>
      </w:r>
    </w:p>
    <w:p>
      <w:pPr>
        <w:spacing w:before="0" w:after="80" w:line="276" w:lineRule="auto"/>
      </w:pPr>
      <w:r>
        <w:rPr>
          <w:rFonts w:ascii="Arial" w:hAnsi="Arial"/>
          <w:i w:val="0"/>
          <w:color w:val="2D3748"/>
          <w:sz w:val="21"/>
        </w:rPr>
        <w:t>To guarantee that the model operates strictly on information available prior to trip start, features were categorized into three distinct buckets:</w:t>
      </w:r>
    </w:p>
    <w:tbl>
      <w:tblPr>
        <w:tblW w:type="auto" w:w="0"/>
        <w:jc w:val="center"/>
        <w:tblLook w:firstColumn="1" w:firstRow="1" w:lastColumn="0" w:lastRow="0" w:noHBand="0" w:noVBand="1" w:val="04A0"/>
      </w:tblPr>
      <w:tblGrid>
        <w:gridCol w:w="4680"/>
        <w:gridCol w:w="4680"/>
      </w:tblGrid>
      <w:tr>
        <w:tc>
          <w:tcPr>
            <w:tcW w:type="dxa" w:w="3168"/>
            <w:shd w:fill="1A365D"/>
          </w:tcPr>
          <w:p>
            <w:r>
              <w:rPr>
                <w:rFonts w:ascii="Arial" w:hAnsi="Arial"/>
                <w:b/>
                <w:color w:val="FFFFFF"/>
                <w:sz w:val="20"/>
              </w:rPr>
              <w:t>Classification</w:t>
            </w:r>
          </w:p>
        </w:tc>
        <w:tc>
          <w:tcPr>
            <w:tcW w:type="dxa" w:w="6192"/>
            <w:shd w:fill="1A365D"/>
          </w:tcPr>
          <w:p>
            <w:r>
              <w:rPr>
                <w:rFonts w:ascii="Arial" w:hAnsi="Arial"/>
                <w:b/>
                <w:color w:val="FFFFFF"/>
                <w:sz w:val="20"/>
              </w:rPr>
              <w:t>Variables &amp; Handling Strategy</w:t>
            </w:r>
          </w:p>
        </w:tc>
      </w:tr>
      <w:tr>
        <w:tc>
          <w:tcPr>
            <w:tcW w:type="dxa" w:w="3168"/>
            <w:shd w:fill="F7FAFC"/>
            <w:tcMar>
              <w:top w:w="60" w:type="dxa"/>
              <w:bottom w:w="60" w:type="dxa"/>
              <w:left w:w="100" w:type="dxa"/>
              <w:right w:w="100" w:type="dxa"/>
            </w:tcMar>
          </w:tcPr>
          <w:p>
            <w:r>
              <w:rPr>
                <w:rFonts w:ascii="Arial" w:hAnsi="Arial"/>
                <w:b/>
                <w:color w:val="2D3748"/>
                <w:sz w:val="19"/>
              </w:rPr>
              <w:t>Safe Features</w:t>
            </w:r>
          </w:p>
        </w:tc>
        <w:tc>
          <w:tcPr>
            <w:tcW w:type="dxa" w:w="6192"/>
            <w:shd w:fill="F7FAFC"/>
            <w:tcMar>
              <w:top w:w="60" w:type="dxa"/>
              <w:bottom w:w="60" w:type="dxa"/>
              <w:left w:w="100" w:type="dxa"/>
              <w:right w:w="100" w:type="dxa"/>
            </w:tcMar>
          </w:tcPr>
          <w:p>
            <w:r>
              <w:rPr>
                <w:rFonts w:ascii="Arial" w:hAnsi="Arial"/>
                <w:color w:val="2D3748"/>
                <w:sz w:val="19"/>
              </w:rPr>
              <w:t>Pickup Time, Pickup Hour, Passenger Count, Vendor ID, Pickup Location, Dropoff Location. (Fully retained for model training)</w:t>
            </w:r>
          </w:p>
        </w:tc>
      </w:tr>
      <w:tr>
        <w:tc>
          <w:tcPr>
            <w:tcW w:type="dxa" w:w="3168"/>
            <w:shd w:fill="FFFFFF"/>
            <w:tcMar>
              <w:top w:w="60" w:type="dxa"/>
              <w:bottom w:w="60" w:type="dxa"/>
              <w:left w:w="100" w:type="dxa"/>
              <w:right w:w="100" w:type="dxa"/>
            </w:tcMar>
          </w:tcPr>
          <w:p>
            <w:r>
              <w:rPr>
                <w:rFonts w:ascii="Arial" w:hAnsi="Arial"/>
                <w:b/>
                <w:color w:val="2D3748"/>
                <w:sz w:val="19"/>
              </w:rPr>
              <w:t>Questionable Features</w:t>
            </w:r>
          </w:p>
        </w:tc>
        <w:tc>
          <w:tcPr>
            <w:tcW w:type="dxa" w:w="6192"/>
            <w:shd w:fill="FFFFFF"/>
            <w:tcMar>
              <w:top w:w="60" w:type="dxa"/>
              <w:bottom w:w="60" w:type="dxa"/>
              <w:left w:w="100" w:type="dxa"/>
              <w:right w:w="100" w:type="dxa"/>
            </w:tcMar>
          </w:tcPr>
          <w:p>
            <w:r>
              <w:rPr>
                <w:rFonts w:ascii="Arial" w:hAnsi="Arial"/>
                <w:color w:val="2D3748"/>
                <w:sz w:val="19"/>
              </w:rPr>
              <w:t>Trip Distance, Store Forward Flag. (Evaluated carefully for operational availability at inference time)</w:t>
            </w:r>
          </w:p>
        </w:tc>
      </w:tr>
      <w:tr>
        <w:tc>
          <w:tcPr>
            <w:tcW w:type="dxa" w:w="3168"/>
            <w:shd w:fill="F7FAFC"/>
            <w:tcMar>
              <w:top w:w="60" w:type="dxa"/>
              <w:bottom w:w="60" w:type="dxa"/>
              <w:left w:w="100" w:type="dxa"/>
              <w:right w:w="100" w:type="dxa"/>
            </w:tcMar>
          </w:tcPr>
          <w:p>
            <w:r>
              <w:rPr>
                <w:rFonts w:ascii="Arial" w:hAnsi="Arial"/>
                <w:b/>
                <w:color w:val="2D3748"/>
                <w:sz w:val="19"/>
              </w:rPr>
              <w:t>Forbidden Features</w:t>
            </w:r>
          </w:p>
        </w:tc>
        <w:tc>
          <w:tcPr>
            <w:tcW w:type="dxa" w:w="6192"/>
            <w:shd w:fill="F7FAFC"/>
            <w:tcMar>
              <w:top w:w="60" w:type="dxa"/>
              <w:bottom w:w="60" w:type="dxa"/>
              <w:left w:w="100" w:type="dxa"/>
              <w:right w:w="100" w:type="dxa"/>
            </w:tcMar>
          </w:tcPr>
          <w:p>
            <w:r>
              <w:rPr>
                <w:rFonts w:ascii="Arial" w:hAnsi="Arial"/>
                <w:color w:val="2D3748"/>
                <w:sz w:val="19"/>
              </w:rPr>
              <w:t>Dropoff Datetime, Fare Amount, Tip Amount, Total Amount, Tolls, Airport Fee, Congestion Charges. (Strictly excluded to prevent leakage)</w:t>
            </w:r>
          </w:p>
        </w:tc>
      </w:tr>
    </w:tbl>
    <w:p>
      <w:pPr>
        <w:spacing w:after="80"/>
      </w:pPr>
    </w:p>
    <w:p>
      <w:pPr>
        <w:keepNext/>
        <w:spacing w:before="320" w:after="120"/>
      </w:pPr>
      <w:r>
        <w:rPr>
          <w:rFonts w:ascii="Arial" w:hAnsi="Arial"/>
          <w:b/>
          <w:color w:val="1A365D"/>
          <w:sz w:val="30"/>
        </w:rPr>
        <w:t>7. Machine Learning Models &amp; Benchmarking</w:t>
      </w:r>
    </w:p>
    <w:p>
      <w:pPr>
        <w:spacing w:before="0" w:after="80" w:line="276" w:lineRule="auto"/>
      </w:pPr>
      <w:r>
        <w:rPr>
          <w:rFonts w:ascii="Arial" w:hAnsi="Arial"/>
          <w:i w:val="0"/>
          <w:color w:val="2D3748"/>
          <w:sz w:val="21"/>
        </w:rPr>
        <w:t>Eight regression algorithms ranging from simple baselines to advanced ensemble methods were trained and systematically benchmarked:</w:t>
      </w:r>
    </w:p>
    <w:p>
      <w:pPr>
        <w:pStyle w:val="ListBullet"/>
        <w:spacing w:before="0" w:after="60" w:line="276" w:lineRule="auto"/>
      </w:pPr>
      <w:r>
        <w:rPr>
          <w:rFonts w:ascii="Arial" w:hAnsi="Arial"/>
          <w:color w:val="2D3748"/>
          <w:sz w:val="21"/>
        </w:rPr>
        <w:t>Dummy Regressor (Baseline)</w:t>
      </w:r>
    </w:p>
    <w:p>
      <w:pPr>
        <w:pStyle w:val="ListBullet"/>
        <w:spacing w:before="0" w:after="60" w:line="276" w:lineRule="auto"/>
      </w:pPr>
      <w:r>
        <w:rPr>
          <w:rFonts w:ascii="Arial" w:hAnsi="Arial"/>
          <w:color w:val="2D3748"/>
          <w:sz w:val="21"/>
        </w:rPr>
        <w:t>Linear Regression</w:t>
      </w:r>
    </w:p>
    <w:p>
      <w:pPr>
        <w:pStyle w:val="ListBullet"/>
        <w:spacing w:before="0" w:after="60" w:line="276" w:lineRule="auto"/>
      </w:pPr>
      <w:r>
        <w:rPr>
          <w:rFonts w:ascii="Arial" w:hAnsi="Arial"/>
          <w:color w:val="2D3748"/>
          <w:sz w:val="21"/>
        </w:rPr>
        <w:t>Ridge Regression</w:t>
      </w:r>
    </w:p>
    <w:p>
      <w:pPr>
        <w:pStyle w:val="ListBullet"/>
        <w:spacing w:before="0" w:after="60" w:line="276" w:lineRule="auto"/>
      </w:pPr>
      <w:r>
        <w:rPr>
          <w:rFonts w:ascii="Arial" w:hAnsi="Arial"/>
          <w:color w:val="2D3748"/>
          <w:sz w:val="21"/>
        </w:rPr>
        <w:t>Lasso Regression</w:t>
      </w:r>
    </w:p>
    <w:p>
      <w:pPr>
        <w:pStyle w:val="ListBullet"/>
        <w:spacing w:before="0" w:after="60" w:line="276" w:lineRule="auto"/>
      </w:pPr>
      <w:r>
        <w:rPr>
          <w:rFonts w:ascii="Arial" w:hAnsi="Arial"/>
          <w:color w:val="2D3748"/>
          <w:sz w:val="21"/>
        </w:rPr>
        <w:t>Elastic Net</w:t>
      </w:r>
    </w:p>
    <w:p>
      <w:pPr>
        <w:pStyle w:val="ListBullet"/>
        <w:spacing w:before="0" w:after="60" w:line="276" w:lineRule="auto"/>
      </w:pPr>
      <w:r>
        <w:rPr>
          <w:rFonts w:ascii="Arial" w:hAnsi="Arial"/>
          <w:color w:val="2D3748"/>
          <w:sz w:val="21"/>
        </w:rPr>
        <w:t>Decision Tree Regressor</w:t>
      </w:r>
    </w:p>
    <w:p>
      <w:pPr>
        <w:pStyle w:val="ListBullet"/>
        <w:spacing w:before="0" w:after="60" w:line="276" w:lineRule="auto"/>
      </w:pPr>
      <w:r>
        <w:rPr>
          <w:rFonts w:ascii="Arial" w:hAnsi="Arial"/>
          <w:color w:val="2D3748"/>
          <w:sz w:val="21"/>
        </w:rPr>
        <w:t>Random Forest Regressor</w:t>
      </w:r>
    </w:p>
    <w:p>
      <w:pPr>
        <w:pStyle w:val="ListBullet"/>
        <w:spacing w:before="0" w:after="60" w:line="276" w:lineRule="auto"/>
      </w:pPr>
      <w:r>
        <w:rPr>
          <w:rFonts w:ascii="Arial" w:hAnsi="Arial"/>
          <w:color w:val="2D3748"/>
          <w:sz w:val="21"/>
        </w:rPr>
        <w:t>Gradient Boosting Regressor (Champion Model)</w:t>
      </w:r>
    </w:p>
    <w:p>
      <w:pPr>
        <w:spacing w:before="0" w:after="80" w:line="276" w:lineRule="auto"/>
      </w:pPr>
      <w:r>
        <w:rPr>
          <w:rFonts w:ascii="Arial" w:hAnsi="Arial"/>
          <w:b/>
          <w:color w:val="2D3748"/>
          <w:sz w:val="21"/>
        </w:rPr>
        <w:t xml:space="preserve">Outcome: </w:t>
      </w:r>
      <w:r>
        <w:rPr>
          <w:rFonts w:ascii="Arial" w:hAnsi="Arial"/>
          <w:i w:val="0"/>
          <w:color w:val="2D3748"/>
          <w:sz w:val="21"/>
        </w:rPr>
        <w:t>Gradient Boosting Regressor achieved the best overall metric profile across validation sets and was designated as the Champion Model.</w:t>
      </w:r>
    </w:p>
    <w:p>
      <w:pPr>
        <w:keepNext/>
        <w:spacing w:before="320" w:after="120"/>
      </w:pPr>
      <w:r>
        <w:rPr>
          <w:rFonts w:ascii="Arial" w:hAnsi="Arial"/>
          <w:b/>
          <w:color w:val="1A365D"/>
          <w:sz w:val="30"/>
        </w:rPr>
        <w:t>8. Model Evaluation &amp; Metrics</w:t>
      </w:r>
    </w:p>
    <w:p>
      <w:pPr>
        <w:spacing w:before="0" w:after="80" w:line="276" w:lineRule="auto"/>
      </w:pPr>
      <w:r>
        <w:rPr>
          <w:rFonts w:ascii="Arial" w:hAnsi="Arial"/>
          <w:i w:val="0"/>
          <w:color w:val="2D3748"/>
          <w:sz w:val="21"/>
        </w:rPr>
        <w:t>Model performance was comprehensively evaluated using standard regression metrics:</w:t>
      </w:r>
    </w:p>
    <w:p>
      <w:pPr>
        <w:pStyle w:val="ListBullet"/>
        <w:spacing w:before="0" w:after="60" w:line="276" w:lineRule="auto"/>
      </w:pPr>
      <w:r>
        <w:rPr>
          <w:rFonts w:ascii="Arial" w:hAnsi="Arial"/>
          <w:b/>
          <w:color w:val="2D3748"/>
          <w:sz w:val="21"/>
        </w:rPr>
        <w:t xml:space="preserve">MAE: </w:t>
      </w:r>
      <w:r>
        <w:rPr>
          <w:rFonts w:ascii="Arial" w:hAnsi="Arial"/>
          <w:color w:val="2D3748"/>
          <w:sz w:val="21"/>
        </w:rPr>
        <w:t>Mean Absolute Error (MAE)</w:t>
      </w:r>
    </w:p>
    <w:p>
      <w:pPr>
        <w:pStyle w:val="ListBullet"/>
        <w:spacing w:before="0" w:after="60" w:line="276" w:lineRule="auto"/>
      </w:pPr>
      <w:r>
        <w:rPr>
          <w:rFonts w:ascii="Arial" w:hAnsi="Arial"/>
          <w:b/>
          <w:color w:val="2D3748"/>
          <w:sz w:val="21"/>
        </w:rPr>
        <w:t xml:space="preserve">MSE: </w:t>
      </w:r>
      <w:r>
        <w:rPr>
          <w:rFonts w:ascii="Arial" w:hAnsi="Arial"/>
          <w:color w:val="2D3748"/>
          <w:sz w:val="21"/>
        </w:rPr>
        <w:t>Mean Squared Error (MSE)</w:t>
      </w:r>
    </w:p>
    <w:p>
      <w:pPr>
        <w:pStyle w:val="ListBullet"/>
        <w:spacing w:before="0" w:after="60" w:line="276" w:lineRule="auto"/>
      </w:pPr>
      <w:r>
        <w:rPr>
          <w:rFonts w:ascii="Arial" w:hAnsi="Arial"/>
          <w:b/>
          <w:color w:val="2D3748"/>
          <w:sz w:val="21"/>
        </w:rPr>
        <w:t xml:space="preserve">RMSE: </w:t>
      </w:r>
      <w:r>
        <w:rPr>
          <w:rFonts w:ascii="Arial" w:hAnsi="Arial"/>
          <w:color w:val="2D3748"/>
          <w:sz w:val="21"/>
        </w:rPr>
        <w:t>Root Mean Squared Error (RMSE)</w:t>
      </w:r>
    </w:p>
    <w:p>
      <w:pPr>
        <w:pStyle w:val="ListBullet"/>
        <w:spacing w:before="0" w:after="60" w:line="276" w:lineRule="auto"/>
      </w:pPr>
      <w:r>
        <w:rPr>
          <w:rFonts w:ascii="Arial" w:hAnsi="Arial"/>
          <w:b/>
          <w:color w:val="2D3748"/>
          <w:sz w:val="21"/>
        </w:rPr>
        <w:t xml:space="preserve">R² Score: </w:t>
      </w:r>
      <w:r>
        <w:rPr>
          <w:rFonts w:ascii="Arial" w:hAnsi="Arial"/>
          <w:color w:val="2D3748"/>
          <w:sz w:val="21"/>
        </w:rPr>
        <w:t>Coefficient of Determination (R² Score)</w:t>
      </w:r>
    </w:p>
    <w:p>
      <w:pPr>
        <w:pStyle w:val="ListBullet"/>
        <w:spacing w:before="0" w:after="60" w:line="276" w:lineRule="auto"/>
      </w:pPr>
      <w:r>
        <w:rPr>
          <w:rFonts w:ascii="Arial" w:hAnsi="Arial"/>
          <w:b/>
          <w:color w:val="2D3748"/>
          <w:sz w:val="21"/>
        </w:rPr>
        <w:t xml:space="preserve">MAPE: </w:t>
      </w:r>
      <w:r>
        <w:rPr>
          <w:rFonts w:ascii="Arial" w:hAnsi="Arial"/>
          <w:color w:val="2D3748"/>
          <w:sz w:val="21"/>
        </w:rPr>
        <w:t>Mean Absolute Percentage Error (MAPE)</w:t>
      </w:r>
    </w:p>
    <w:p>
      <w:pPr>
        <w:spacing w:before="0" w:after="80" w:line="276" w:lineRule="auto"/>
      </w:pPr>
      <w:r>
        <w:rPr>
          <w:rFonts w:ascii="Arial" w:hAnsi="Arial"/>
          <w:i w:val="0"/>
          <w:color w:val="2D3748"/>
          <w:sz w:val="21"/>
        </w:rPr>
        <w:t>All evaluation summaries, metric comparative tables, and serialized logs were automatically stored inside the reports/ directory.</w:t>
      </w:r>
    </w:p>
    <w:p>
      <w:pPr>
        <w:keepNext/>
        <w:spacing w:before="320" w:after="120"/>
      </w:pPr>
      <w:r>
        <w:rPr>
          <w:rFonts w:ascii="Arial" w:hAnsi="Arial"/>
          <w:b/>
          <w:color w:val="1A365D"/>
          <w:sz w:val="30"/>
        </w:rPr>
        <w:t>9. Hyperparameter Tuning &amp; Cross-Validation</w:t>
      </w:r>
    </w:p>
    <w:p>
      <w:pPr>
        <w:spacing w:before="0" w:after="80" w:line="276" w:lineRule="auto"/>
      </w:pPr>
      <w:r>
        <w:rPr>
          <w:rFonts w:ascii="Arial" w:hAnsi="Arial"/>
          <w:i w:val="0"/>
          <w:color w:val="2D3748"/>
          <w:sz w:val="21"/>
        </w:rPr>
        <w:t>Hyperparameter optimization was conducted for tree-based architectures to refine learning rates, tree depth, and split parameters. Grid search and randomized sampling were applied to balance model complexity against overfitting risks.</w:t>
      </w:r>
    </w:p>
    <w:p>
      <w:pPr>
        <w:spacing w:before="0" w:after="80" w:line="276" w:lineRule="auto"/>
      </w:pPr>
      <w:r>
        <w:rPr>
          <w:rFonts w:ascii="Arial" w:hAnsi="Arial"/>
          <w:i w:val="0"/>
          <w:color w:val="2D3748"/>
          <w:sz w:val="21"/>
        </w:rPr>
        <w:t>Cross-validation was executed across multiple data splits to assess structural stability and ensure consistent generalization on unseen test instances.</w:t>
      </w:r>
    </w:p>
    <w:p>
      <w:pPr>
        <w:keepNext/>
        <w:spacing w:before="320" w:after="120"/>
      </w:pPr>
      <w:r>
        <w:rPr>
          <w:rFonts w:ascii="Arial" w:hAnsi="Arial"/>
          <w:b/>
          <w:color w:val="1A365D"/>
          <w:sz w:val="30"/>
        </w:rPr>
        <w:t>10. Error Analysis &amp; Model Explainability</w:t>
      </w:r>
    </w:p>
    <w:p>
      <w:pPr>
        <w:spacing w:before="0" w:after="80" w:line="276" w:lineRule="auto"/>
      </w:pPr>
      <w:r>
        <w:rPr>
          <w:rFonts w:ascii="Arial" w:hAnsi="Arial"/>
          <w:i w:val="0"/>
          <w:color w:val="2D3748"/>
          <w:sz w:val="21"/>
        </w:rPr>
        <w:t>Thorough residual analysis was performed to diagnose model behavior and boundary error conditions:</w:t>
      </w:r>
    </w:p>
    <w:p>
      <w:pPr>
        <w:pStyle w:val="ListBullet"/>
        <w:spacing w:before="0" w:after="60" w:line="276" w:lineRule="auto"/>
      </w:pPr>
      <w:r>
        <w:rPr>
          <w:rFonts w:ascii="Arial" w:hAnsi="Arial"/>
          <w:b/>
          <w:color w:val="2D3748"/>
          <w:sz w:val="21"/>
        </w:rPr>
        <w:t xml:space="preserve">Actual vs. Predicted Plots: </w:t>
      </w:r>
      <w:r>
        <w:rPr>
          <w:rFonts w:ascii="Arial" w:hAnsi="Arial"/>
          <w:color w:val="2D3748"/>
          <w:sz w:val="21"/>
        </w:rPr>
        <w:t>Assessed systematic bias across short vs. long duration trips.</w:t>
      </w:r>
    </w:p>
    <w:p>
      <w:pPr>
        <w:pStyle w:val="ListBullet"/>
        <w:spacing w:before="0" w:after="60" w:line="276" w:lineRule="auto"/>
      </w:pPr>
      <w:r>
        <w:rPr>
          <w:rFonts w:ascii="Arial" w:hAnsi="Arial"/>
          <w:b/>
          <w:color w:val="2D3748"/>
          <w:sz w:val="21"/>
        </w:rPr>
        <w:t xml:space="preserve">Residual Distribution: </w:t>
      </w:r>
      <w:r>
        <w:rPr>
          <w:rFonts w:ascii="Arial" w:hAnsi="Arial"/>
          <w:color w:val="2D3748"/>
          <w:sz w:val="21"/>
        </w:rPr>
        <w:t>Confirmed near-zero mean error with tight variance.</w:t>
      </w:r>
    </w:p>
    <w:p>
      <w:pPr>
        <w:pStyle w:val="ListBullet"/>
        <w:spacing w:before="0" w:after="60" w:line="276" w:lineRule="auto"/>
      </w:pPr>
      <w:r>
        <w:rPr>
          <w:rFonts w:ascii="Arial" w:hAnsi="Arial"/>
          <w:b/>
          <w:color w:val="2D3748"/>
          <w:sz w:val="21"/>
        </w:rPr>
        <w:t xml:space="preserve">Prediction Error Histograms: </w:t>
      </w:r>
      <w:r>
        <w:rPr>
          <w:rFonts w:ascii="Arial" w:hAnsi="Arial"/>
          <w:color w:val="2D3748"/>
          <w:sz w:val="21"/>
        </w:rPr>
        <w:t>Identified tail extreme predictions for targeted post-processing.</w:t>
      </w:r>
    </w:p>
    <w:p>
      <w:pPr>
        <w:spacing w:before="0" w:after="80" w:line="276" w:lineRule="auto"/>
      </w:pPr>
      <w:r>
        <w:rPr>
          <w:rFonts w:ascii="Arial" w:hAnsi="Arial"/>
          <w:i w:val="0"/>
          <w:color w:val="2D3748"/>
          <w:sz w:val="21"/>
        </w:rPr>
        <w:t>To open the 'black box' of ensemble predictions, feature importance was interpreted using three complementary techniques:</w:t>
      </w:r>
    </w:p>
    <w:p>
      <w:pPr>
        <w:pStyle w:val="ListBullet"/>
        <w:spacing w:before="0" w:after="60" w:line="276" w:lineRule="auto"/>
      </w:pPr>
      <w:r>
        <w:rPr>
          <w:rFonts w:ascii="Arial" w:hAnsi="Arial"/>
          <w:b/>
          <w:color w:val="2D3748"/>
          <w:sz w:val="21"/>
        </w:rPr>
        <w:t xml:space="preserve">Gradient Boosting Feature Importance: </w:t>
      </w:r>
      <w:r>
        <w:rPr>
          <w:rFonts w:ascii="Arial" w:hAnsi="Arial"/>
          <w:color w:val="2D3748"/>
          <w:sz w:val="21"/>
        </w:rPr>
        <w:t>Evaluated split gain metrics across boosting stages.</w:t>
      </w:r>
    </w:p>
    <w:p>
      <w:pPr>
        <w:pStyle w:val="ListBullet"/>
        <w:spacing w:before="0" w:after="60" w:line="276" w:lineRule="auto"/>
      </w:pPr>
      <w:r>
        <w:rPr>
          <w:rFonts w:ascii="Arial" w:hAnsi="Arial"/>
          <w:b/>
          <w:color w:val="2D3748"/>
          <w:sz w:val="21"/>
        </w:rPr>
        <w:t xml:space="preserve">Permutation Importance: </w:t>
      </w:r>
      <w:r>
        <w:rPr>
          <w:rFonts w:ascii="Arial" w:hAnsi="Arial"/>
          <w:color w:val="2D3748"/>
          <w:sz w:val="21"/>
        </w:rPr>
        <w:t>Measured performance degradation upon feature shuffling.</w:t>
      </w:r>
    </w:p>
    <w:p>
      <w:pPr>
        <w:pStyle w:val="ListBullet"/>
        <w:spacing w:before="0" w:after="60" w:line="276" w:lineRule="auto"/>
      </w:pPr>
      <w:r>
        <w:rPr>
          <w:rFonts w:ascii="Arial" w:hAnsi="Arial"/>
          <w:b/>
          <w:color w:val="2D3748"/>
          <w:sz w:val="21"/>
        </w:rPr>
        <w:t xml:space="preserve">SHAP Explainability: </w:t>
      </w:r>
      <w:r>
        <w:rPr>
          <w:rFonts w:ascii="Arial" w:hAnsi="Arial"/>
          <w:color w:val="2D3748"/>
          <w:sz w:val="21"/>
        </w:rPr>
        <w:t>Successfully generated SHAP Summary Plots to quantify feature impact directions and global contribution magnitudes.</w:t>
      </w:r>
    </w:p>
    <w:p>
      <w:pPr>
        <w:keepNext/>
        <w:spacing w:before="320" w:after="120"/>
      </w:pPr>
      <w:r>
        <w:rPr>
          <w:rFonts w:ascii="Arial" w:hAnsi="Arial"/>
          <w:b/>
          <w:color w:val="1A365D"/>
          <w:sz w:val="30"/>
        </w:rPr>
        <w:t>11. Test Predictions &amp; Deliverables</w:t>
      </w:r>
    </w:p>
    <w:p>
      <w:pPr>
        <w:spacing w:before="0" w:after="80" w:line="276" w:lineRule="auto"/>
      </w:pPr>
      <w:r>
        <w:rPr>
          <w:rFonts w:ascii="Arial" w:hAnsi="Arial"/>
          <w:i w:val="0"/>
          <w:color w:val="2D3748"/>
          <w:sz w:val="21"/>
        </w:rPr>
        <w:t>Final holdout test set predictions were generated and saved directly to reports/test_predictions.csv.</w:t>
      </w:r>
    </w:p>
    <w:p>
      <w:pPr>
        <w:spacing w:before="0" w:after="80" w:line="276" w:lineRule="auto"/>
      </w:pPr>
      <w:r>
        <w:rPr>
          <w:rFonts w:ascii="Arial" w:hAnsi="Arial"/>
          <w:b/>
          <w:color w:val="2D3748"/>
          <w:sz w:val="21"/>
        </w:rPr>
        <w:t xml:space="preserve">Schema: </w:t>
      </w:r>
      <w:r>
        <w:rPr>
          <w:rFonts w:ascii="Arial" w:hAnsi="Arial"/>
          <w:i w:val="0"/>
          <w:color w:val="2D3748"/>
          <w:sz w:val="21"/>
        </w:rPr>
        <w:t>The exported output file includes:</w:t>
      </w:r>
    </w:p>
    <w:p>
      <w:pPr>
        <w:pStyle w:val="ListBullet"/>
        <w:spacing w:before="0" w:after="60" w:line="276" w:lineRule="auto"/>
      </w:pPr>
      <w:r>
        <w:rPr>
          <w:rFonts w:ascii="Arial" w:hAnsi="Arial"/>
          <w:b/>
          <w:color w:val="2D3748"/>
          <w:sz w:val="21"/>
        </w:rPr>
        <w:t xml:space="preserve">Actual Duration: </w:t>
      </w:r>
      <w:r>
        <w:rPr>
          <w:rFonts w:ascii="Arial" w:hAnsi="Arial"/>
          <w:color w:val="2D3748"/>
          <w:sz w:val="21"/>
        </w:rPr>
        <w:t>Ground truth trip duration in minutes.</w:t>
      </w:r>
    </w:p>
    <w:p>
      <w:pPr>
        <w:pStyle w:val="ListBullet"/>
        <w:spacing w:before="0" w:after="60" w:line="276" w:lineRule="auto"/>
      </w:pPr>
      <w:r>
        <w:rPr>
          <w:rFonts w:ascii="Arial" w:hAnsi="Arial"/>
          <w:b/>
          <w:color w:val="2D3748"/>
          <w:sz w:val="21"/>
        </w:rPr>
        <w:t xml:space="preserve">Predicted Duration: </w:t>
      </w:r>
      <w:r>
        <w:rPr>
          <w:rFonts w:ascii="Arial" w:hAnsi="Arial"/>
          <w:color w:val="2D3748"/>
          <w:sz w:val="21"/>
        </w:rPr>
        <w:t>Champion model predicted duration.</w:t>
      </w:r>
    </w:p>
    <w:p>
      <w:pPr>
        <w:pStyle w:val="ListBullet"/>
        <w:spacing w:before="0" w:after="60" w:line="276" w:lineRule="auto"/>
      </w:pPr>
      <w:r>
        <w:rPr>
          <w:rFonts w:ascii="Arial" w:hAnsi="Arial"/>
          <w:b/>
          <w:color w:val="2D3748"/>
          <w:sz w:val="21"/>
        </w:rPr>
        <w:t xml:space="preserve">Absolute Error: </w:t>
      </w:r>
      <w:r>
        <w:rPr>
          <w:rFonts w:ascii="Arial" w:hAnsi="Arial"/>
          <w:color w:val="2D3748"/>
          <w:sz w:val="21"/>
        </w:rPr>
        <w:t>| Actual Duration − Predicted Duration |</w:t>
      </w:r>
    </w:p>
    <w:p>
      <w:pPr>
        <w:keepNext/>
        <w:spacing w:before="320" w:after="120"/>
      </w:pPr>
      <w:r>
        <w:rPr>
          <w:rFonts w:ascii="Arial" w:hAnsi="Arial"/>
          <w:b/>
          <w:color w:val="1A365D"/>
          <w:sz w:val="30"/>
        </w:rPr>
        <w:t>12. Generated Visualizations</w:t>
      </w:r>
    </w:p>
    <w:p>
      <w:pPr>
        <w:spacing w:before="0" w:after="80" w:line="276" w:lineRule="auto"/>
      </w:pPr>
      <w:r>
        <w:rPr>
          <w:rFonts w:ascii="Arial" w:hAnsi="Arial"/>
          <w:i w:val="0"/>
          <w:color w:val="2D3748"/>
          <w:sz w:val="21"/>
        </w:rPr>
        <w:t>A comprehensive suite of high-resolution visual reports was engineered for operational review:</w:t>
      </w:r>
    </w:p>
    <w:tbl>
      <w:tblPr>
        <w:tblW w:type="auto" w:w="0"/>
        <w:jc w:val="center"/>
        <w:tblLook w:firstColumn="1" w:firstRow="1" w:lastColumn="0" w:lastRow="0" w:noHBand="0" w:noVBand="1" w:val="04A0"/>
      </w:tblPr>
      <w:tblGrid>
        <w:gridCol w:w="4680"/>
        <w:gridCol w:w="4680"/>
      </w:tblGrid>
      <w:tr>
        <w:tc>
          <w:tcPr>
            <w:tcW w:type="dxa" w:w="3168"/>
            <w:shd w:fill="1A365D"/>
          </w:tcPr>
          <w:p>
            <w:r>
              <w:rPr>
                <w:rFonts w:ascii="Arial" w:hAnsi="Arial"/>
                <w:b/>
                <w:color w:val="FFFFFF"/>
                <w:sz w:val="20"/>
              </w:rPr>
              <w:t>Phase / Category</w:t>
            </w:r>
          </w:p>
        </w:tc>
        <w:tc>
          <w:tcPr>
            <w:tcW w:type="dxa" w:w="6192"/>
            <w:shd w:fill="1A365D"/>
          </w:tcPr>
          <w:p>
            <w:r>
              <w:rPr>
                <w:rFonts w:ascii="Arial" w:hAnsi="Arial"/>
                <w:b/>
                <w:color w:val="FFFFFF"/>
                <w:sz w:val="20"/>
              </w:rPr>
              <w:t>Generated Visual Artifacts</w:t>
            </w:r>
          </w:p>
        </w:tc>
      </w:tr>
      <w:tr>
        <w:tc>
          <w:tcPr>
            <w:tcW w:type="dxa" w:w="3168"/>
            <w:shd w:fill="F7FAFC"/>
            <w:tcMar>
              <w:top w:w="60" w:type="dxa"/>
              <w:bottom w:w="60" w:type="dxa"/>
              <w:left w:w="100" w:type="dxa"/>
              <w:right w:w="100" w:type="dxa"/>
            </w:tcMar>
          </w:tcPr>
          <w:p>
            <w:r>
              <w:rPr>
                <w:rFonts w:ascii="Arial" w:hAnsi="Arial"/>
                <w:b/>
                <w:color w:val="2D3748"/>
                <w:sz w:val="19"/>
              </w:rPr>
              <w:t>Exploratory Data Analysis (EDA)</w:t>
            </w:r>
          </w:p>
        </w:tc>
        <w:tc>
          <w:tcPr>
            <w:tcW w:type="dxa" w:w="6192"/>
            <w:shd w:fill="F7FAFC"/>
            <w:tcMar>
              <w:top w:w="60" w:type="dxa"/>
              <w:bottom w:w="60" w:type="dxa"/>
              <w:left w:w="100" w:type="dxa"/>
              <w:right w:w="100" w:type="dxa"/>
            </w:tcMar>
          </w:tcPr>
          <w:p>
            <w:r>
              <w:rPr>
                <w:rFonts w:ascii="Arial" w:hAnsi="Arial"/>
                <w:color w:val="2D3748"/>
                <w:sz w:val="19"/>
              </w:rPr>
              <w:t>Trip Duration Distribution, Feature Correlation Heatmap, Pickup Hour Distribution, Temporal Correlations</w:t>
            </w:r>
          </w:p>
        </w:tc>
      </w:tr>
      <w:tr>
        <w:tc>
          <w:tcPr>
            <w:tcW w:type="dxa" w:w="3168"/>
            <w:shd w:fill="FFFFFF"/>
            <w:tcMar>
              <w:top w:w="60" w:type="dxa"/>
              <w:bottom w:w="60" w:type="dxa"/>
              <w:left w:w="100" w:type="dxa"/>
              <w:right w:w="100" w:type="dxa"/>
            </w:tcMar>
          </w:tcPr>
          <w:p>
            <w:r>
              <w:rPr>
                <w:rFonts w:ascii="Arial" w:hAnsi="Arial"/>
                <w:b/>
                <w:color w:val="2D3748"/>
                <w:sz w:val="19"/>
              </w:rPr>
              <w:t>Model Performance Analysis</w:t>
            </w:r>
          </w:p>
        </w:tc>
        <w:tc>
          <w:tcPr>
            <w:tcW w:type="dxa" w:w="6192"/>
            <w:shd w:fill="FFFFFF"/>
            <w:tcMar>
              <w:top w:w="60" w:type="dxa"/>
              <w:bottom w:w="60" w:type="dxa"/>
              <w:left w:w="100" w:type="dxa"/>
              <w:right w:w="100" w:type="dxa"/>
            </w:tcMar>
          </w:tcPr>
          <w:p>
            <w:r>
              <w:rPr>
                <w:rFonts w:ascii="Arial" w:hAnsi="Arial"/>
                <w:color w:val="2D3748"/>
                <w:sz w:val="19"/>
              </w:rPr>
              <w:t>Residual Distribution Plot, Actual vs. Predicted Scatter Plot, Error Distribution Histograms</w:t>
            </w:r>
          </w:p>
        </w:tc>
      </w:tr>
      <w:tr>
        <w:tc>
          <w:tcPr>
            <w:tcW w:type="dxa" w:w="3168"/>
            <w:shd w:fill="F7FAFC"/>
            <w:tcMar>
              <w:top w:w="60" w:type="dxa"/>
              <w:bottom w:w="60" w:type="dxa"/>
              <w:left w:w="100" w:type="dxa"/>
              <w:right w:w="100" w:type="dxa"/>
            </w:tcMar>
          </w:tcPr>
          <w:p>
            <w:r>
              <w:rPr>
                <w:rFonts w:ascii="Arial" w:hAnsi="Arial"/>
                <w:b/>
                <w:color w:val="2D3748"/>
                <w:sz w:val="19"/>
              </w:rPr>
              <w:t>Model Explainability</w:t>
            </w:r>
          </w:p>
        </w:tc>
        <w:tc>
          <w:tcPr>
            <w:tcW w:type="dxa" w:w="6192"/>
            <w:shd w:fill="F7FAFC"/>
            <w:tcMar>
              <w:top w:w="60" w:type="dxa"/>
              <w:bottom w:w="60" w:type="dxa"/>
              <w:left w:w="100" w:type="dxa"/>
              <w:right w:w="100" w:type="dxa"/>
            </w:tcMar>
          </w:tcPr>
          <w:p>
            <w:r>
              <w:rPr>
                <w:rFonts w:ascii="Arial" w:hAnsi="Arial"/>
                <w:color w:val="2D3748"/>
                <w:sz w:val="19"/>
              </w:rPr>
              <w:t>Gradient Boosting Feature Importance Bar Chart, SHAP Global Summary Plot</w:t>
            </w:r>
          </w:p>
        </w:tc>
      </w:tr>
      <w:tr>
        <w:tc>
          <w:tcPr>
            <w:tcW w:type="dxa" w:w="3168"/>
            <w:shd w:fill="FFFFFF"/>
            <w:tcMar>
              <w:top w:w="60" w:type="dxa"/>
              <w:bottom w:w="60" w:type="dxa"/>
              <w:left w:w="100" w:type="dxa"/>
              <w:right w:w="100" w:type="dxa"/>
            </w:tcMar>
          </w:tcPr>
          <w:p>
            <w:r>
              <w:rPr>
                <w:rFonts w:ascii="Arial" w:hAnsi="Arial"/>
                <w:b/>
                <w:color w:val="2D3748"/>
                <w:sz w:val="19"/>
              </w:rPr>
              <w:t>Saved Artifact Location</w:t>
            </w:r>
          </w:p>
        </w:tc>
        <w:tc>
          <w:tcPr>
            <w:tcW w:type="dxa" w:w="6192"/>
            <w:shd w:fill="FFFFFF"/>
            <w:tcMar>
              <w:top w:w="60" w:type="dxa"/>
              <w:bottom w:w="60" w:type="dxa"/>
              <w:left w:w="100" w:type="dxa"/>
              <w:right w:w="100" w:type="dxa"/>
            </w:tcMar>
          </w:tcPr>
          <w:p>
            <w:r>
              <w:rPr>
                <w:rFonts w:ascii="Arial" w:hAnsi="Arial"/>
                <w:color w:val="2D3748"/>
                <w:sz w:val="19"/>
              </w:rPr>
              <w:t>All plots compiled in SVG/PNG format inside reports/</w:t>
            </w:r>
          </w:p>
        </w:tc>
      </w:tr>
    </w:tbl>
    <w:p>
      <w:pPr>
        <w:spacing w:after="80"/>
      </w:pPr>
    </w:p>
    <w:p>
      <w:pPr>
        <w:keepNext/>
        <w:spacing w:before="320" w:after="120"/>
      </w:pPr>
      <w:r>
        <w:rPr>
          <w:rFonts w:ascii="Arial" w:hAnsi="Arial"/>
          <w:b/>
          <w:color w:val="1A365D"/>
          <w:sz w:val="30"/>
        </w:rPr>
        <w:t>13. Production Repository Directory Structure</w:t>
      </w:r>
    </w:p>
    <w:p>
      <w:pPr>
        <w:spacing w:before="0" w:after="80" w:line="276" w:lineRule="auto"/>
      </w:pPr>
      <w:r>
        <w:rPr>
          <w:rFonts w:ascii="Arial" w:hAnsi="Arial"/>
          <w:i w:val="0"/>
          <w:color w:val="2D3748"/>
          <w:sz w:val="21"/>
        </w:rPr>
        <w:t>The codebase adheres to enterprise machine learning repository standards:</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r>
              <w:rPr>
                <w:rFonts w:ascii="Consolas" w:hAnsi="Consolas"/>
                <w:color w:val="2D3748"/>
                <w:sz w:val="17"/>
              </w:rPr>
              <w:t>advanced-regression/</w:t>
              <w:br/>
              <w:t>├── configs/</w:t>
              <w:br/>
              <w:t>├── data/</w:t>
              <w:br/>
              <w:t>│   ├── raw/</w:t>
              <w:br/>
              <w:t>│   └── processed/</w:t>
              <w:br/>
              <w:t>├── models/</w:t>
              <w:br/>
              <w:t>│   ├── champion_model.joblib</w:t>
              <w:br/>
              <w:t>│   └── preprocessor.joblib</w:t>
              <w:br/>
              <w:t>├── notebooks/</w:t>
              <w:br/>
              <w:t>├── reports/</w:t>
              <w:br/>
              <w:t>│   ├── model_comparison.csv</w:t>
              <w:br/>
              <w:t>│   ├── test_predictions.csv</w:t>
              <w:br/>
              <w:t>│   ├── feature_importance.csv</w:t>
              <w:br/>
              <w:t>│   ├── shap_summary.png</w:t>
              <w:br/>
              <w:t>│   ├── residual_plot.png</w:t>
              <w:br/>
              <w:t>│   ├── prediction_vs_actual.png</w:t>
              <w:br/>
              <w:t>│   └── error_distribution.png</w:t>
              <w:br/>
              <w:t>├── src/</w:t>
              <w:br/>
              <w:t>│   ├── data/</w:t>
              <w:br/>
              <w:t>│   ├── features/</w:t>
              <w:br/>
              <w:t>│   ├── models/</w:t>
              <w:br/>
              <w:t>│   └── visualization/</w:t>
              <w:br/>
              <w:t>├── tests/</w:t>
              <w:br/>
              <w:t>├── README.md</w:t>
              <w:br/>
              <w:t>└── requirements.txt</w:t>
            </w:r>
          </w:p>
        </w:tc>
      </w:tr>
    </w:tbl>
    <w:p>
      <w:pPr>
        <w:spacing w:after="80"/>
      </w:pPr>
    </w:p>
    <w:p>
      <w:pPr>
        <w:keepNext/>
        <w:spacing w:before="320" w:after="120"/>
      </w:pPr>
      <w:r>
        <w:rPr>
          <w:rFonts w:ascii="Arial" w:hAnsi="Arial"/>
          <w:b/>
          <w:color w:val="1A365D"/>
          <w:sz w:val="30"/>
        </w:rPr>
        <w:t>14. Summary of Completed Deliverables</w:t>
      </w:r>
    </w:p>
    <w:tbl>
      <w:tblPr>
        <w:tblW w:type="auto" w:w="0"/>
        <w:jc w:val="center"/>
        <w:tblLook w:firstColumn="1" w:firstRow="1" w:lastColumn="0" w:lastRow="0" w:noHBand="0" w:noVBand="1" w:val="04A0"/>
      </w:tblPr>
      <w:tblGrid>
        <w:gridCol w:w="4680"/>
        <w:gridCol w:w="4680"/>
      </w:tblGrid>
      <w:tr>
        <w:tc>
          <w:tcPr>
            <w:tcW w:type="dxa" w:w="4680"/>
            <w:shd w:fill="1A365D"/>
          </w:tcPr>
          <w:p>
            <w:r>
              <w:rPr>
                <w:rFonts w:ascii="Arial" w:hAnsi="Arial"/>
                <w:b/>
                <w:color w:val="FFFFFF"/>
                <w:sz w:val="20"/>
              </w:rPr>
              <w:t>Completed Deliverable (1–8)</w:t>
            </w:r>
          </w:p>
        </w:tc>
        <w:tc>
          <w:tcPr>
            <w:tcW w:type="dxa" w:w="4680"/>
            <w:shd w:fill="1A365D"/>
          </w:tcPr>
          <w:p>
            <w:r>
              <w:rPr>
                <w:rFonts w:ascii="Arial" w:hAnsi="Arial"/>
                <w:b/>
                <w:color w:val="FFFFFF"/>
                <w:sz w:val="20"/>
              </w:rPr>
              <w:t>Completed Deliverable (9–16)</w:t>
            </w:r>
          </w:p>
        </w:tc>
      </w:tr>
      <w:tr>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Data Loading &amp; Ingestion Pipeline</w:t>
            </w:r>
          </w:p>
        </w:tc>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Cross-Validation &amp; Stability Evaluation</w:t>
            </w:r>
          </w:p>
        </w:tc>
      </w:tr>
      <w:tr>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Data Quality &amp; Validation Checks</w:t>
            </w:r>
          </w:p>
        </w:tc>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Automated Model Benchmarking &amp; Comparison</w:t>
            </w:r>
          </w:p>
        </w:tc>
      </w:tr>
      <w:tr>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Data Preprocessing &amp; Cleaning</w:t>
            </w:r>
          </w:p>
        </w:tc>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Champion Model Selection</w:t>
            </w:r>
          </w:p>
        </w:tc>
      </w:tr>
      <w:tr>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Production-Safe Feature Engineering</w:t>
            </w:r>
          </w:p>
        </w:tc>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Test Set Prediction Pipeline</w:t>
            </w:r>
          </w:p>
        </w:tc>
      </w:tr>
      <w:tr>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Exploratory Data Analysis (EDA)</w:t>
            </w:r>
          </w:p>
        </w:tc>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Feature Importance Analysis</w:t>
            </w:r>
          </w:p>
        </w:tc>
      </w:tr>
      <w:tr>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Modular Machine Learning Pipeline</w:t>
            </w:r>
          </w:p>
        </w:tc>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SHAP Explainability &amp; Summary Generation</w:t>
            </w:r>
          </w:p>
        </w:tc>
      </w:tr>
      <w:tr>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Multiple Regression Model Training</w:t>
            </w:r>
          </w:p>
        </w:tc>
        <w:tc>
          <w:tcPr>
            <w:tcW w:type="dxa" w:w="4680"/>
            <w:shd w:fill="FFFFFF"/>
            <w:tcMar>
              <w:top w:w="50" w:type="dxa"/>
              <w:bottom w:w="50" w:type="dxa"/>
              <w:left w:w="100" w:type="dxa"/>
              <w:right w:w="100" w:type="dxa"/>
            </w:tcMar>
          </w:tcPr>
          <w:p>
            <w:r>
              <w:rPr>
                <w:b/>
                <w:color w:val="2E8540"/>
              </w:rPr>
              <w:t xml:space="preserve">✓ </w:t>
            </w:r>
            <w:r>
              <w:rPr>
                <w:rFonts w:ascii="Arial" w:hAnsi="Arial"/>
                <w:color w:val="2D3748"/>
                <w:sz w:val="18"/>
              </w:rPr>
              <w:t>Serialized Champion Model &amp; Preprocessor</w:t>
            </w:r>
          </w:p>
        </w:tc>
      </w:tr>
      <w:tr>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Hyperparameter Tuning Framework</w:t>
            </w:r>
          </w:p>
        </w:tc>
        <w:tc>
          <w:tcPr>
            <w:tcW w:type="dxa" w:w="4680"/>
            <w:shd w:fill="F7FAFC"/>
            <w:tcMar>
              <w:top w:w="50" w:type="dxa"/>
              <w:bottom w:w="50" w:type="dxa"/>
              <w:left w:w="100" w:type="dxa"/>
              <w:right w:w="100" w:type="dxa"/>
            </w:tcMar>
          </w:tcPr>
          <w:p>
            <w:r>
              <w:rPr>
                <w:b/>
                <w:color w:val="2E8540"/>
              </w:rPr>
              <w:t xml:space="preserve">✓ </w:t>
            </w:r>
            <w:r>
              <w:rPr>
                <w:rFonts w:ascii="Arial" w:hAnsi="Arial"/>
                <w:color w:val="2D3748"/>
                <w:sz w:val="18"/>
              </w:rPr>
              <w:t>Visual Performance &amp; Error Reports</w:t>
            </w:r>
          </w:p>
        </w:tc>
      </w:tr>
    </w:tbl>
    <w:p>
      <w:pPr>
        <w:spacing w:after="80"/>
      </w:pPr>
    </w:p>
    <w:p>
      <w:pPr>
        <w:keepNext/>
        <w:spacing w:before="320" w:after="120"/>
      </w:pPr>
      <w:r>
        <w:rPr>
          <w:rFonts w:ascii="Arial" w:hAnsi="Arial"/>
          <w:b/>
          <w:color w:val="1A365D"/>
          <w:sz w:val="30"/>
        </w:rPr>
        <w:t>15. Champion Model Specification</w:t>
      </w:r>
    </w:p>
    <w:p>
      <w:pPr>
        <w:spacing w:before="0" w:after="80" w:line="276" w:lineRule="auto"/>
      </w:pPr>
      <w:r>
        <w:rPr>
          <w:rFonts w:ascii="Arial" w:hAnsi="Arial"/>
          <w:b/>
          <w:color w:val="2D3748"/>
          <w:sz w:val="21"/>
        </w:rPr>
        <w:t xml:space="preserve">Champion Architecture: </w:t>
      </w:r>
      <w:r>
        <w:rPr>
          <w:rFonts w:ascii="Arial" w:hAnsi="Arial"/>
          <w:i w:val="0"/>
          <w:color w:val="2D3748"/>
          <w:sz w:val="21"/>
        </w:rPr>
        <w:t>Selected Architecture: Gradient Boosting Regressor</w:t>
      </w:r>
    </w:p>
    <w:p>
      <w:pPr>
        <w:spacing w:before="0" w:after="80" w:line="276" w:lineRule="auto"/>
      </w:pPr>
      <w:r>
        <w:rPr>
          <w:rFonts w:ascii="Arial" w:hAnsi="Arial"/>
          <w:i w:val="0"/>
          <w:color w:val="2D3748"/>
          <w:sz w:val="21"/>
        </w:rPr>
        <w:t>Key Selection Rationale:</w:t>
      </w:r>
    </w:p>
    <w:p>
      <w:pPr>
        <w:pStyle w:val="ListBullet"/>
        <w:spacing w:before="0" w:after="60" w:line="276" w:lineRule="auto"/>
      </w:pPr>
      <w:r>
        <w:rPr>
          <w:rFonts w:ascii="Arial" w:hAnsi="Arial"/>
          <w:b/>
          <w:color w:val="2D3748"/>
          <w:sz w:val="21"/>
        </w:rPr>
        <w:t xml:space="preserve">Lowest Prediction Error: </w:t>
      </w:r>
      <w:r>
        <w:rPr>
          <w:rFonts w:ascii="Arial" w:hAnsi="Arial"/>
          <w:color w:val="2D3748"/>
          <w:sz w:val="21"/>
        </w:rPr>
        <w:t>Outperformed linear baselines and decision trees in MAE and RMSE metrics.</w:t>
      </w:r>
    </w:p>
    <w:p>
      <w:pPr>
        <w:pStyle w:val="ListBullet"/>
        <w:spacing w:before="0" w:after="60" w:line="276" w:lineRule="auto"/>
      </w:pPr>
      <w:r>
        <w:rPr>
          <w:rFonts w:ascii="Arial" w:hAnsi="Arial"/>
          <w:b/>
          <w:color w:val="2D3748"/>
          <w:sz w:val="21"/>
        </w:rPr>
        <w:t xml:space="preserve">High Generalization Stability: </w:t>
      </w:r>
      <w:r>
        <w:rPr>
          <w:rFonts w:ascii="Arial" w:hAnsi="Arial"/>
          <w:color w:val="2D3748"/>
          <w:sz w:val="21"/>
        </w:rPr>
        <w:t>Demonstrated robust performance across cross-validation folds without overfitting.</w:t>
      </w:r>
    </w:p>
    <w:p>
      <w:pPr>
        <w:pStyle w:val="ListBullet"/>
        <w:spacing w:before="0" w:after="60" w:line="276" w:lineRule="auto"/>
      </w:pPr>
      <w:r>
        <w:rPr>
          <w:rFonts w:ascii="Arial" w:hAnsi="Arial"/>
          <w:b/>
          <w:color w:val="2D3748"/>
          <w:sz w:val="21"/>
        </w:rPr>
        <w:t xml:space="preserve">Non-linear Complexity Handling: </w:t>
      </w:r>
      <w:r>
        <w:rPr>
          <w:rFonts w:ascii="Arial" w:hAnsi="Arial"/>
          <w:color w:val="2D3748"/>
          <w:sz w:val="21"/>
        </w:rPr>
        <w:t>Successfully captured non-linear spatial and temporal interactions.</w:t>
      </w:r>
    </w:p>
    <w:p>
      <w:pPr>
        <w:pStyle w:val="ListBullet"/>
        <w:spacing w:before="0" w:after="60" w:line="276" w:lineRule="auto"/>
      </w:pPr>
      <w:r>
        <w:rPr>
          <w:rFonts w:ascii="Arial" w:hAnsi="Arial"/>
          <w:b/>
          <w:color w:val="2D3748"/>
          <w:sz w:val="21"/>
        </w:rPr>
        <w:t xml:space="preserve">Deployment Suitability: </w:t>
      </w:r>
      <w:r>
        <w:rPr>
          <w:rFonts w:ascii="Arial" w:hAnsi="Arial"/>
          <w:color w:val="2D3748"/>
          <w:sz w:val="21"/>
        </w:rPr>
        <w:t>Fast inference speeds compatible with low-latency API serving environments.</w:t>
      </w:r>
    </w:p>
    <w:p>
      <w:pPr>
        <w:keepNext/>
        <w:spacing w:before="320" w:after="120"/>
      </w:pPr>
      <w:r>
        <w:rPr>
          <w:rFonts w:ascii="Arial" w:hAnsi="Arial"/>
          <w:b/>
          <w:color w:val="1A365D"/>
          <w:sz w:val="30"/>
        </w:rPr>
        <w:t>16. Engineering Challenges &amp; Solutions</w:t>
      </w:r>
    </w:p>
    <w:tbl>
      <w:tblPr>
        <w:tblW w:type="auto" w:w="0"/>
        <w:jc w:val="center"/>
        <w:tblLook w:firstColumn="1" w:firstRow="1" w:lastColumn="0" w:lastRow="0" w:noHBand="0" w:noVBand="1" w:val="04A0"/>
      </w:tblPr>
      <w:tblGrid>
        <w:gridCol w:w="4680"/>
        <w:gridCol w:w="4680"/>
      </w:tblGrid>
      <w:tr>
        <w:tc>
          <w:tcPr>
            <w:tcW w:type="dxa" w:w="4032"/>
            <w:shd w:fill="1A365D"/>
          </w:tcPr>
          <w:p>
            <w:r>
              <w:rPr>
                <w:rFonts w:ascii="Arial" w:hAnsi="Arial"/>
                <w:b/>
                <w:color w:val="FFFFFF"/>
                <w:sz w:val="20"/>
              </w:rPr>
              <w:t>Challenge / Issue Encountered</w:t>
            </w:r>
          </w:p>
        </w:tc>
        <w:tc>
          <w:tcPr>
            <w:tcW w:type="dxa" w:w="5328"/>
            <w:shd w:fill="1A365D"/>
          </w:tcPr>
          <w:p>
            <w:r>
              <w:rPr>
                <w:rFonts w:ascii="Arial" w:hAnsi="Arial"/>
                <w:b/>
                <w:color w:val="FFFFFF"/>
                <w:sz w:val="20"/>
              </w:rPr>
              <w:t>Resolution &amp; Engineering Solution</w:t>
            </w:r>
          </w:p>
        </w:tc>
      </w:tr>
      <w:tr>
        <w:tc>
          <w:tcPr>
            <w:tcW w:type="dxa" w:w="4032"/>
            <w:shd w:fill="F7FAFC"/>
            <w:tcMar>
              <w:top w:w="60" w:type="dxa"/>
              <w:bottom w:w="60" w:type="dxa"/>
              <w:left w:w="100" w:type="dxa"/>
              <w:right w:w="100" w:type="dxa"/>
            </w:tcMar>
          </w:tcPr>
          <w:p>
            <w:r>
              <w:rPr>
                <w:rFonts w:ascii="Arial" w:hAnsi="Arial"/>
                <w:b/>
                <w:color w:val="2D3748"/>
                <w:sz w:val="18"/>
              </w:rPr>
              <w:t>Missing &amp; Corrupted Values</w:t>
            </w:r>
          </w:p>
        </w:tc>
        <w:tc>
          <w:tcPr>
            <w:tcW w:type="dxa" w:w="5328"/>
            <w:shd w:fill="F7FAFC"/>
            <w:tcMar>
              <w:top w:w="60" w:type="dxa"/>
              <w:bottom w:w="60" w:type="dxa"/>
              <w:left w:w="100" w:type="dxa"/>
              <w:right w:w="100" w:type="dxa"/>
            </w:tcMar>
          </w:tcPr>
          <w:p>
            <w:r>
              <w:rPr>
                <w:rFonts w:ascii="Arial" w:hAnsi="Arial"/>
                <w:color w:val="2D3748"/>
                <w:sz w:val="18"/>
              </w:rPr>
              <w:t>Implemented robust automated cleaning and imputation logic in data pipeline.</w:t>
            </w:r>
          </w:p>
        </w:tc>
      </w:tr>
      <w:tr>
        <w:tc>
          <w:tcPr>
            <w:tcW w:type="dxa" w:w="4032"/>
            <w:shd w:fill="FFFFFF"/>
            <w:tcMar>
              <w:top w:w="60" w:type="dxa"/>
              <w:bottom w:w="60" w:type="dxa"/>
              <w:left w:w="100" w:type="dxa"/>
              <w:right w:w="100" w:type="dxa"/>
            </w:tcMar>
          </w:tcPr>
          <w:p>
            <w:r>
              <w:rPr>
                <w:rFonts w:ascii="Arial" w:hAnsi="Arial"/>
                <w:b/>
                <w:color w:val="2D3748"/>
                <w:sz w:val="18"/>
              </w:rPr>
              <w:t>Invalid Trip Durations</w:t>
            </w:r>
          </w:p>
        </w:tc>
        <w:tc>
          <w:tcPr>
            <w:tcW w:type="dxa" w:w="5328"/>
            <w:shd w:fill="FFFFFF"/>
            <w:tcMar>
              <w:top w:w="60" w:type="dxa"/>
              <w:bottom w:w="60" w:type="dxa"/>
              <w:left w:w="100" w:type="dxa"/>
              <w:right w:w="100" w:type="dxa"/>
            </w:tcMar>
          </w:tcPr>
          <w:p>
            <w:r>
              <w:rPr>
                <w:rFonts w:ascii="Arial" w:hAnsi="Arial"/>
                <w:color w:val="2D3748"/>
                <w:sz w:val="18"/>
              </w:rPr>
              <w:t>Enforced strict threshold constraints (0 &lt; duration ≤ 180 mins) to filter outliers.</w:t>
            </w:r>
          </w:p>
        </w:tc>
      </w:tr>
      <w:tr>
        <w:tc>
          <w:tcPr>
            <w:tcW w:type="dxa" w:w="4032"/>
            <w:shd w:fill="F7FAFC"/>
            <w:tcMar>
              <w:top w:w="60" w:type="dxa"/>
              <w:bottom w:w="60" w:type="dxa"/>
              <w:left w:w="100" w:type="dxa"/>
              <w:right w:w="100" w:type="dxa"/>
            </w:tcMar>
          </w:tcPr>
          <w:p>
            <w:r>
              <w:rPr>
                <w:rFonts w:ascii="Arial" w:hAnsi="Arial"/>
                <w:b/>
                <w:color w:val="2D3748"/>
                <w:sz w:val="18"/>
              </w:rPr>
              <w:t>Data Leakage Risks</w:t>
            </w:r>
          </w:p>
        </w:tc>
        <w:tc>
          <w:tcPr>
            <w:tcW w:type="dxa" w:w="5328"/>
            <w:shd w:fill="F7FAFC"/>
            <w:tcMar>
              <w:top w:w="60" w:type="dxa"/>
              <w:bottom w:w="60" w:type="dxa"/>
              <w:left w:w="100" w:type="dxa"/>
              <w:right w:w="100" w:type="dxa"/>
            </w:tcMar>
          </w:tcPr>
          <w:p>
            <w:r>
              <w:rPr>
                <w:rFonts w:ascii="Arial" w:hAnsi="Arial"/>
                <w:color w:val="2D3748"/>
                <w:sz w:val="18"/>
              </w:rPr>
              <w:t>Strictly segregated dropoff and post-trip financial variables prior to training.</w:t>
            </w:r>
          </w:p>
        </w:tc>
      </w:tr>
      <w:tr>
        <w:tc>
          <w:tcPr>
            <w:tcW w:type="dxa" w:w="4032"/>
            <w:shd w:fill="FFFFFF"/>
            <w:tcMar>
              <w:top w:w="60" w:type="dxa"/>
              <w:bottom w:w="60" w:type="dxa"/>
              <w:left w:w="100" w:type="dxa"/>
              <w:right w:w="100" w:type="dxa"/>
            </w:tcMar>
          </w:tcPr>
          <w:p>
            <w:r>
              <w:rPr>
                <w:rFonts w:ascii="Arial" w:hAnsi="Arial"/>
                <w:b/>
                <w:color w:val="2D3748"/>
                <w:sz w:val="18"/>
              </w:rPr>
              <w:t>Feature Engineering Complexity</w:t>
            </w:r>
          </w:p>
        </w:tc>
        <w:tc>
          <w:tcPr>
            <w:tcW w:type="dxa" w:w="5328"/>
            <w:shd w:fill="FFFFFF"/>
            <w:tcMar>
              <w:top w:w="60" w:type="dxa"/>
              <w:bottom w:w="60" w:type="dxa"/>
              <w:left w:w="100" w:type="dxa"/>
              <w:right w:w="100" w:type="dxa"/>
            </w:tcMar>
          </w:tcPr>
          <w:p>
            <w:r>
              <w:rPr>
                <w:rFonts w:ascii="Arial" w:hAnsi="Arial"/>
                <w:color w:val="2D3748"/>
                <w:sz w:val="18"/>
              </w:rPr>
              <w:t>Created vectorised cyclic time features (Sin/Cos transformations) for smooth hour/day encoding.</w:t>
            </w:r>
          </w:p>
        </w:tc>
      </w:tr>
      <w:tr>
        <w:tc>
          <w:tcPr>
            <w:tcW w:type="dxa" w:w="4032"/>
            <w:shd w:fill="F7FAFC"/>
            <w:tcMar>
              <w:top w:w="60" w:type="dxa"/>
              <w:bottom w:w="60" w:type="dxa"/>
              <w:left w:w="100" w:type="dxa"/>
              <w:right w:w="100" w:type="dxa"/>
            </w:tcMar>
          </w:tcPr>
          <w:p>
            <w:r>
              <w:rPr>
                <w:rFonts w:ascii="Arial" w:hAnsi="Arial"/>
                <w:b/>
                <w:color w:val="2D3748"/>
                <w:sz w:val="18"/>
              </w:rPr>
              <w:t>SHAP Compatibility Issues</w:t>
            </w:r>
          </w:p>
        </w:tc>
        <w:tc>
          <w:tcPr>
            <w:tcW w:type="dxa" w:w="5328"/>
            <w:shd w:fill="F7FAFC"/>
            <w:tcMar>
              <w:top w:w="60" w:type="dxa"/>
              <w:bottom w:w="60" w:type="dxa"/>
              <w:left w:w="100" w:type="dxa"/>
              <w:right w:w="100" w:type="dxa"/>
            </w:tcMar>
          </w:tcPr>
          <w:p>
            <w:r>
              <w:rPr>
                <w:rFonts w:ascii="Arial" w:hAnsi="Arial"/>
                <w:color w:val="2D3748"/>
                <w:sz w:val="18"/>
              </w:rPr>
              <w:t>Resolved object data type mismatches during tree explainability matrix generation.</w:t>
            </w:r>
          </w:p>
        </w:tc>
      </w:tr>
      <w:tr>
        <w:tc>
          <w:tcPr>
            <w:tcW w:type="dxa" w:w="4032"/>
            <w:shd w:fill="FFFFFF"/>
            <w:tcMar>
              <w:top w:w="60" w:type="dxa"/>
              <w:bottom w:w="60" w:type="dxa"/>
              <w:left w:w="100" w:type="dxa"/>
              <w:right w:w="100" w:type="dxa"/>
            </w:tcMar>
          </w:tcPr>
          <w:p>
            <w:r>
              <w:rPr>
                <w:rFonts w:ascii="Arial" w:hAnsi="Arial"/>
                <w:b/>
                <w:color w:val="2D3748"/>
                <w:sz w:val="18"/>
              </w:rPr>
              <w:t>Pipeline Preprocessing Sync</w:t>
            </w:r>
          </w:p>
        </w:tc>
        <w:tc>
          <w:tcPr>
            <w:tcW w:type="dxa" w:w="5328"/>
            <w:shd w:fill="FFFFFF"/>
            <w:tcMar>
              <w:top w:w="60" w:type="dxa"/>
              <w:bottom w:w="60" w:type="dxa"/>
              <w:left w:w="100" w:type="dxa"/>
              <w:right w:w="100" w:type="dxa"/>
            </w:tcMar>
          </w:tcPr>
          <w:p>
            <w:r>
              <w:rPr>
                <w:rFonts w:ascii="Arial" w:hAnsi="Arial"/>
                <w:color w:val="2D3748"/>
                <w:sz w:val="18"/>
              </w:rPr>
              <w:t>Encapsulated transformers using Scikit-Learn Pipeline and exported via Joblib.</w:t>
            </w:r>
          </w:p>
        </w:tc>
      </w:tr>
    </w:tbl>
    <w:p>
      <w:pPr>
        <w:spacing w:after="80"/>
      </w:pPr>
    </w:p>
    <w:p>
      <w:pPr>
        <w:keepNext/>
        <w:spacing w:before="320" w:after="120"/>
      </w:pPr>
      <w:r>
        <w:rPr>
          <w:rFonts w:ascii="Arial" w:hAnsi="Arial"/>
          <w:b/>
          <w:color w:val="1A365D"/>
          <w:sz w:val="30"/>
        </w:rPr>
        <w:t>17. Roadmap &amp; Future Improvements</w:t>
      </w:r>
    </w:p>
    <w:p>
      <w:pPr>
        <w:spacing w:before="0" w:after="80" w:line="276" w:lineRule="auto"/>
      </w:pPr>
      <w:r>
        <w:rPr>
          <w:rFonts w:ascii="Arial" w:hAnsi="Arial"/>
          <w:i w:val="0"/>
          <w:color w:val="2D3748"/>
          <w:sz w:val="21"/>
        </w:rPr>
        <w:t>To further scale predictive accuracy and operational efficiency, the following roadmap is proposed:</w:t>
      </w:r>
    </w:p>
    <w:p>
      <w:pPr>
        <w:pStyle w:val="ListBullet"/>
        <w:spacing w:before="0" w:after="60" w:line="276" w:lineRule="auto"/>
      </w:pPr>
      <w:r>
        <w:rPr>
          <w:rFonts w:ascii="Arial" w:hAnsi="Arial"/>
          <w:b/>
          <w:color w:val="2D3748"/>
          <w:sz w:val="21"/>
        </w:rPr>
        <w:t xml:space="preserve">Advanced Gradient Boosting Models: </w:t>
      </w:r>
      <w:r>
        <w:rPr>
          <w:rFonts w:ascii="Arial" w:hAnsi="Arial"/>
          <w:color w:val="2D3748"/>
          <w:sz w:val="21"/>
        </w:rPr>
        <w:t>Benchmark XGBoost, LightGBM, and CatBoost algorithms for speed and accuracy gains.</w:t>
      </w:r>
    </w:p>
    <w:p>
      <w:pPr>
        <w:pStyle w:val="ListBullet"/>
        <w:spacing w:before="0" w:after="60" w:line="276" w:lineRule="auto"/>
      </w:pPr>
      <w:r>
        <w:rPr>
          <w:rFonts w:ascii="Arial" w:hAnsi="Arial"/>
          <w:b/>
          <w:color w:val="2D3748"/>
          <w:sz w:val="21"/>
        </w:rPr>
        <w:t xml:space="preserve">Automated Hyperparameter Tuning: </w:t>
      </w:r>
      <w:r>
        <w:rPr>
          <w:rFonts w:ascii="Arial" w:hAnsi="Arial"/>
          <w:color w:val="2D3748"/>
          <w:sz w:val="21"/>
        </w:rPr>
        <w:t>Integrate Optuna or Bayesian Optimization frameworks for fine-grained tuning.</w:t>
      </w:r>
    </w:p>
    <w:p>
      <w:pPr>
        <w:pStyle w:val="ListBullet"/>
        <w:spacing w:before="0" w:after="60" w:line="276" w:lineRule="auto"/>
      </w:pPr>
      <w:r>
        <w:rPr>
          <w:rFonts w:ascii="Arial" w:hAnsi="Arial"/>
          <w:b/>
          <w:color w:val="2D3748"/>
          <w:sz w:val="21"/>
        </w:rPr>
        <w:t xml:space="preserve">Real-Time API Deployment: </w:t>
      </w:r>
      <w:r>
        <w:rPr>
          <w:rFonts w:ascii="Arial" w:hAnsi="Arial"/>
          <w:color w:val="2D3748"/>
          <w:sz w:val="21"/>
        </w:rPr>
        <w:t>Wrap saved pipelines in FastAPI endpoints with input schema validation.</w:t>
      </w:r>
    </w:p>
    <w:p>
      <w:pPr>
        <w:pStyle w:val="ListBullet"/>
        <w:spacing w:before="0" w:after="60" w:line="276" w:lineRule="auto"/>
      </w:pPr>
      <w:r>
        <w:rPr>
          <w:rFonts w:ascii="Arial" w:hAnsi="Arial"/>
          <w:b/>
          <w:color w:val="2D3748"/>
          <w:sz w:val="21"/>
        </w:rPr>
        <w:t xml:space="preserve">Containerization &amp; Orchestration: </w:t>
      </w:r>
      <w:r>
        <w:rPr>
          <w:rFonts w:ascii="Arial" w:hAnsi="Arial"/>
          <w:color w:val="2D3748"/>
          <w:sz w:val="21"/>
        </w:rPr>
        <w:t>Dockerize application containers for seamless cloud deployment.</w:t>
      </w:r>
    </w:p>
    <w:p>
      <w:pPr>
        <w:pStyle w:val="ListBullet"/>
        <w:spacing w:before="0" w:after="60" w:line="276" w:lineRule="auto"/>
      </w:pPr>
      <w:r>
        <w:rPr>
          <w:rFonts w:ascii="Arial" w:hAnsi="Arial"/>
          <w:b/>
          <w:color w:val="2D3748"/>
          <w:sz w:val="21"/>
        </w:rPr>
        <w:t xml:space="preserve">Interactive Operational Dashboard: </w:t>
      </w:r>
      <w:r>
        <w:rPr>
          <w:rFonts w:ascii="Arial" w:hAnsi="Arial"/>
          <w:color w:val="2D3748"/>
          <w:sz w:val="21"/>
        </w:rPr>
        <w:t>Build a Streamlit or Gradio dashboard for real-time ETA visualization.</w:t>
      </w:r>
    </w:p>
    <w:p>
      <w:pPr>
        <w:pStyle w:val="ListBullet"/>
        <w:spacing w:before="0" w:after="60" w:line="276" w:lineRule="auto"/>
      </w:pPr>
      <w:r>
        <w:rPr>
          <w:rFonts w:ascii="Arial" w:hAnsi="Arial"/>
          <w:b/>
          <w:color w:val="2D3748"/>
          <w:sz w:val="21"/>
        </w:rPr>
        <w:t xml:space="preserve">Model Monitoring &amp; Drift Detection: </w:t>
      </w:r>
      <w:r>
        <w:rPr>
          <w:rFonts w:ascii="Arial" w:hAnsi="Arial"/>
          <w:color w:val="2D3748"/>
          <w:sz w:val="21"/>
        </w:rPr>
        <w:t>Implement continuous drift monitoring for incoming ride distribution changes.</w:t>
      </w:r>
    </w:p>
    <w:p>
      <w:pPr>
        <w:keepNext/>
        <w:spacing w:before="320" w:after="120"/>
      </w:pPr>
      <w:r>
        <w:rPr>
          <w:rFonts w:ascii="Arial" w:hAnsi="Arial"/>
          <w:b/>
          <w:color w:val="1A365D"/>
          <w:sz w:val="30"/>
        </w:rPr>
        <w:t>18. Conclusion</w:t>
      </w:r>
    </w:p>
    <w:p>
      <w:pPr>
        <w:spacing w:before="0" w:after="80" w:line="276" w:lineRule="auto"/>
      </w:pPr>
      <w:r>
        <w:rPr>
          <w:rFonts w:ascii="Arial" w:hAnsi="Arial"/>
          <w:i w:val="0"/>
          <w:color w:val="2D3748"/>
          <w:sz w:val="21"/>
        </w:rPr>
        <w:t>This project successfully developed a production-grade machine learning regression system for predicting NYC taxi trip duration. The implemented pipeline covers end-to-end operational stages, from raw TLC data ingestion and leakage prevention to modular feature engineering, multi-model benchmarking, hyperparameter tuning, and SHAP explainability.</w:t>
      </w:r>
    </w:p>
    <w:p>
      <w:pPr>
        <w:spacing w:before="0" w:after="80" w:line="276" w:lineRule="auto"/>
      </w:pPr>
      <w:r>
        <w:rPr>
          <w:rFonts w:ascii="Arial" w:hAnsi="Arial"/>
          <w:i w:val="0"/>
          <w:color w:val="2D3748"/>
          <w:sz w:val="21"/>
        </w:rPr>
        <w:t>Gradient Boosting Regressor emerged as the Champion Model, offering the optimal balance of predictive precision, stability, and explainability. The final repository is fully reproducible, modular, and ready for deployment in real-time transportation technology stack.</w:t>
      </w:r>
    </w:p>
    <w:p>
      <w:pPr>
        <w:keepNext/>
        <w:spacing w:before="320" w:after="120"/>
      </w:pPr>
      <w:r>
        <w:rPr>
          <w:rFonts w:ascii="Arial" w:hAnsi="Arial"/>
          <w:b/>
          <w:color w:val="1A365D"/>
          <w:sz w:val="30"/>
        </w:rPr>
        <w:t>19. Appendix: Generated Project Outputs &amp; Artifacts</w:t>
      </w:r>
    </w:p>
    <w:p>
      <w:pPr>
        <w:spacing w:before="0" w:after="80" w:line="276" w:lineRule="auto"/>
      </w:pPr>
      <w:r>
        <w:rPr>
          <w:rFonts w:ascii="Arial" w:hAnsi="Arial"/>
          <w:i w:val="0"/>
          <w:color w:val="2D3748"/>
          <w:sz w:val="21"/>
        </w:rPr>
        <w:t>The table below lists all generated report files, data exports, and serialized model artifacts:</w:t>
      </w:r>
    </w:p>
    <w:tbl>
      <w:tblPr>
        <w:tblW w:type="auto" w:w="0"/>
        <w:jc w:val="center"/>
        <w:tblLook w:firstColumn="1" w:firstRow="1" w:lastColumn="0" w:lastRow="0" w:noHBand="0" w:noVBand="1" w:val="04A0"/>
      </w:tblPr>
      <w:tblGrid>
        <w:gridCol w:w="4680"/>
        <w:gridCol w:w="4680"/>
      </w:tblGrid>
      <w:tr>
        <w:tc>
          <w:tcPr>
            <w:tcW w:type="dxa" w:w="3600"/>
            <w:shd w:fill="1A365D"/>
          </w:tcPr>
          <w:p>
            <w:r>
              <w:rPr>
                <w:rFonts w:ascii="Arial" w:hAnsi="Arial"/>
                <w:b/>
                <w:color w:val="FFFFFF"/>
                <w:sz w:val="20"/>
              </w:rPr>
              <w:t>File Path / Output Artifact</w:t>
            </w:r>
          </w:p>
        </w:tc>
        <w:tc>
          <w:tcPr>
            <w:tcW w:type="dxa" w:w="5760"/>
            <w:shd w:fill="1A365D"/>
          </w:tcPr>
          <w:p>
            <w:r>
              <w:rPr>
                <w:rFonts w:ascii="Arial" w:hAnsi="Arial"/>
                <w:b/>
                <w:color w:val="FFFFFF"/>
                <w:sz w:val="20"/>
              </w:rPr>
              <w:t>Description &amp; Usage</w:t>
            </w:r>
          </w:p>
        </w:tc>
      </w:tr>
      <w:tr>
        <w:tc>
          <w:tcPr>
            <w:tcW w:type="dxa" w:w="3600"/>
            <w:shd w:fill="F7FAFC"/>
            <w:tcMar>
              <w:top w:w="60" w:type="dxa"/>
              <w:bottom w:w="60" w:type="dxa"/>
              <w:left w:w="100" w:type="dxa"/>
              <w:right w:w="100" w:type="dxa"/>
            </w:tcMar>
          </w:tcPr>
          <w:p>
            <w:r>
              <w:rPr>
                <w:rFonts w:ascii="Consolas" w:hAnsi="Consolas"/>
                <w:b/>
                <w:color w:val="1A365D"/>
                <w:sz w:val="18"/>
              </w:rPr>
              <w:t>reports/model_comparison.csv</w:t>
            </w:r>
          </w:p>
        </w:tc>
        <w:tc>
          <w:tcPr>
            <w:tcW w:type="dxa" w:w="5760"/>
            <w:shd w:fill="F7FAFC"/>
            <w:tcMar>
              <w:top w:w="60" w:type="dxa"/>
              <w:bottom w:w="60" w:type="dxa"/>
              <w:left w:w="100" w:type="dxa"/>
              <w:right w:w="100" w:type="dxa"/>
            </w:tcMar>
          </w:tcPr>
          <w:p>
            <w:r>
              <w:rPr>
                <w:rFonts w:ascii="Arial" w:hAnsi="Arial"/>
                <w:color w:val="2D3748"/>
                <w:sz w:val="18"/>
              </w:rPr>
              <w:t>Metric comparison table across all 8 evaluated regression models.</w:t>
            </w:r>
          </w:p>
        </w:tc>
      </w:tr>
      <w:tr>
        <w:tc>
          <w:tcPr>
            <w:tcW w:type="dxa" w:w="3600"/>
            <w:shd w:fill="FFFFFF"/>
            <w:tcMar>
              <w:top w:w="60" w:type="dxa"/>
              <w:bottom w:w="60" w:type="dxa"/>
              <w:left w:w="100" w:type="dxa"/>
              <w:right w:w="100" w:type="dxa"/>
            </w:tcMar>
          </w:tcPr>
          <w:p>
            <w:r>
              <w:rPr>
                <w:rFonts w:ascii="Consolas" w:hAnsi="Consolas"/>
                <w:b/>
                <w:color w:val="1A365D"/>
                <w:sz w:val="18"/>
              </w:rPr>
              <w:t>reports/test_predictions.csv</w:t>
            </w:r>
          </w:p>
        </w:tc>
        <w:tc>
          <w:tcPr>
            <w:tcW w:type="dxa" w:w="5760"/>
            <w:shd w:fill="FFFFFF"/>
            <w:tcMar>
              <w:top w:w="60" w:type="dxa"/>
              <w:bottom w:w="60" w:type="dxa"/>
              <w:left w:w="100" w:type="dxa"/>
              <w:right w:w="100" w:type="dxa"/>
            </w:tcMar>
          </w:tcPr>
          <w:p>
            <w:r>
              <w:rPr>
                <w:rFonts w:ascii="Arial" w:hAnsi="Arial"/>
                <w:color w:val="2D3748"/>
                <w:sz w:val="18"/>
              </w:rPr>
              <w:t>Holdout set predictions containing Actual, Predicted, and Absolute Errors.</w:t>
            </w:r>
          </w:p>
        </w:tc>
      </w:tr>
      <w:tr>
        <w:tc>
          <w:tcPr>
            <w:tcW w:type="dxa" w:w="3600"/>
            <w:shd w:fill="F7FAFC"/>
            <w:tcMar>
              <w:top w:w="60" w:type="dxa"/>
              <w:bottom w:w="60" w:type="dxa"/>
              <w:left w:w="100" w:type="dxa"/>
              <w:right w:w="100" w:type="dxa"/>
            </w:tcMar>
          </w:tcPr>
          <w:p>
            <w:r>
              <w:rPr>
                <w:rFonts w:ascii="Consolas" w:hAnsi="Consolas"/>
                <w:b/>
                <w:color w:val="1A365D"/>
                <w:sz w:val="18"/>
              </w:rPr>
              <w:t>reports/feature_importance.csv</w:t>
            </w:r>
          </w:p>
        </w:tc>
        <w:tc>
          <w:tcPr>
            <w:tcW w:type="dxa" w:w="5760"/>
            <w:shd w:fill="F7FAFC"/>
            <w:tcMar>
              <w:top w:w="60" w:type="dxa"/>
              <w:bottom w:w="60" w:type="dxa"/>
              <w:left w:w="100" w:type="dxa"/>
              <w:right w:w="100" w:type="dxa"/>
            </w:tcMar>
          </w:tcPr>
          <w:p>
            <w:r>
              <w:rPr>
                <w:rFonts w:ascii="Arial" w:hAnsi="Arial"/>
                <w:color w:val="2D3748"/>
                <w:sz w:val="18"/>
              </w:rPr>
              <w:t>Calculated feature importance scores for Gradient Boosting.</w:t>
            </w:r>
          </w:p>
        </w:tc>
      </w:tr>
      <w:tr>
        <w:tc>
          <w:tcPr>
            <w:tcW w:type="dxa" w:w="3600"/>
            <w:shd w:fill="FFFFFF"/>
            <w:tcMar>
              <w:top w:w="60" w:type="dxa"/>
              <w:bottom w:w="60" w:type="dxa"/>
              <w:left w:w="100" w:type="dxa"/>
              <w:right w:w="100" w:type="dxa"/>
            </w:tcMar>
          </w:tcPr>
          <w:p>
            <w:r>
              <w:rPr>
                <w:rFonts w:ascii="Consolas" w:hAnsi="Consolas"/>
                <w:b/>
                <w:color w:val="1A365D"/>
                <w:sz w:val="18"/>
              </w:rPr>
              <w:t>reports/shap_summary.png</w:t>
            </w:r>
          </w:p>
        </w:tc>
        <w:tc>
          <w:tcPr>
            <w:tcW w:type="dxa" w:w="5760"/>
            <w:shd w:fill="FFFFFF"/>
            <w:tcMar>
              <w:top w:w="60" w:type="dxa"/>
              <w:bottom w:w="60" w:type="dxa"/>
              <w:left w:w="100" w:type="dxa"/>
              <w:right w:w="100" w:type="dxa"/>
            </w:tcMar>
          </w:tcPr>
          <w:p>
            <w:r>
              <w:rPr>
                <w:rFonts w:ascii="Arial" w:hAnsi="Arial"/>
                <w:color w:val="2D3748"/>
                <w:sz w:val="18"/>
              </w:rPr>
              <w:t>SHAP summary plot visualization for global feature impact.</w:t>
            </w:r>
          </w:p>
        </w:tc>
      </w:tr>
      <w:tr>
        <w:tc>
          <w:tcPr>
            <w:tcW w:type="dxa" w:w="3600"/>
            <w:shd w:fill="F7FAFC"/>
            <w:tcMar>
              <w:top w:w="60" w:type="dxa"/>
              <w:bottom w:w="60" w:type="dxa"/>
              <w:left w:w="100" w:type="dxa"/>
              <w:right w:w="100" w:type="dxa"/>
            </w:tcMar>
          </w:tcPr>
          <w:p>
            <w:r>
              <w:rPr>
                <w:rFonts w:ascii="Consolas" w:hAnsi="Consolas"/>
                <w:b/>
                <w:color w:val="1A365D"/>
                <w:sz w:val="18"/>
              </w:rPr>
              <w:t>reports/residual_plot.png</w:t>
            </w:r>
          </w:p>
        </w:tc>
        <w:tc>
          <w:tcPr>
            <w:tcW w:type="dxa" w:w="5760"/>
            <w:shd w:fill="F7FAFC"/>
            <w:tcMar>
              <w:top w:w="60" w:type="dxa"/>
              <w:bottom w:w="60" w:type="dxa"/>
              <w:left w:w="100" w:type="dxa"/>
              <w:right w:w="100" w:type="dxa"/>
            </w:tcMar>
          </w:tcPr>
          <w:p>
            <w:r>
              <w:rPr>
                <w:rFonts w:ascii="Arial" w:hAnsi="Arial"/>
                <w:color w:val="2D3748"/>
                <w:sz w:val="18"/>
              </w:rPr>
              <w:t>Residual error distribution plot across predicted values.</w:t>
            </w:r>
          </w:p>
        </w:tc>
      </w:tr>
      <w:tr>
        <w:tc>
          <w:tcPr>
            <w:tcW w:type="dxa" w:w="3600"/>
            <w:shd w:fill="FFFFFF"/>
            <w:tcMar>
              <w:top w:w="60" w:type="dxa"/>
              <w:bottom w:w="60" w:type="dxa"/>
              <w:left w:w="100" w:type="dxa"/>
              <w:right w:w="100" w:type="dxa"/>
            </w:tcMar>
          </w:tcPr>
          <w:p>
            <w:r>
              <w:rPr>
                <w:rFonts w:ascii="Consolas" w:hAnsi="Consolas"/>
                <w:b/>
                <w:color w:val="1A365D"/>
                <w:sz w:val="18"/>
              </w:rPr>
              <w:t>reports/prediction_vs_actual.png</w:t>
            </w:r>
          </w:p>
        </w:tc>
        <w:tc>
          <w:tcPr>
            <w:tcW w:type="dxa" w:w="5760"/>
            <w:shd w:fill="FFFFFF"/>
            <w:tcMar>
              <w:top w:w="60" w:type="dxa"/>
              <w:bottom w:w="60" w:type="dxa"/>
              <w:left w:w="100" w:type="dxa"/>
              <w:right w:w="100" w:type="dxa"/>
            </w:tcMar>
          </w:tcPr>
          <w:p>
            <w:r>
              <w:rPr>
                <w:rFonts w:ascii="Arial" w:hAnsi="Arial"/>
                <w:color w:val="2D3748"/>
                <w:sz w:val="18"/>
              </w:rPr>
              <w:t>Scatter plot comparing predicted vs actual trip duration.</w:t>
            </w:r>
          </w:p>
        </w:tc>
      </w:tr>
      <w:tr>
        <w:tc>
          <w:tcPr>
            <w:tcW w:type="dxa" w:w="3600"/>
            <w:shd w:fill="F7FAFC"/>
            <w:tcMar>
              <w:top w:w="60" w:type="dxa"/>
              <w:bottom w:w="60" w:type="dxa"/>
              <w:left w:w="100" w:type="dxa"/>
              <w:right w:w="100" w:type="dxa"/>
            </w:tcMar>
          </w:tcPr>
          <w:p>
            <w:r>
              <w:rPr>
                <w:rFonts w:ascii="Consolas" w:hAnsi="Consolas"/>
                <w:b/>
                <w:color w:val="1A365D"/>
                <w:sz w:val="18"/>
              </w:rPr>
              <w:t>reports/error_distribution.png</w:t>
            </w:r>
          </w:p>
        </w:tc>
        <w:tc>
          <w:tcPr>
            <w:tcW w:type="dxa" w:w="5760"/>
            <w:shd w:fill="F7FAFC"/>
            <w:tcMar>
              <w:top w:w="60" w:type="dxa"/>
              <w:bottom w:w="60" w:type="dxa"/>
              <w:left w:w="100" w:type="dxa"/>
              <w:right w:w="100" w:type="dxa"/>
            </w:tcMar>
          </w:tcPr>
          <w:p>
            <w:r>
              <w:rPr>
                <w:rFonts w:ascii="Arial" w:hAnsi="Arial"/>
                <w:color w:val="2D3748"/>
                <w:sz w:val="18"/>
              </w:rPr>
              <w:t>Histogram plot of prediction error variance.</w:t>
            </w:r>
          </w:p>
        </w:tc>
      </w:tr>
      <w:tr>
        <w:tc>
          <w:tcPr>
            <w:tcW w:type="dxa" w:w="3600"/>
            <w:shd w:fill="FFFFFF"/>
            <w:tcMar>
              <w:top w:w="60" w:type="dxa"/>
              <w:bottom w:w="60" w:type="dxa"/>
              <w:left w:w="100" w:type="dxa"/>
              <w:right w:w="100" w:type="dxa"/>
            </w:tcMar>
          </w:tcPr>
          <w:p>
            <w:r>
              <w:rPr>
                <w:rFonts w:ascii="Consolas" w:hAnsi="Consolas"/>
                <w:b/>
                <w:color w:val="1A365D"/>
                <w:sz w:val="18"/>
              </w:rPr>
              <w:t>models/champion_model.joblib</w:t>
            </w:r>
          </w:p>
        </w:tc>
        <w:tc>
          <w:tcPr>
            <w:tcW w:type="dxa" w:w="5760"/>
            <w:shd w:fill="FFFFFF"/>
            <w:tcMar>
              <w:top w:w="60" w:type="dxa"/>
              <w:bottom w:w="60" w:type="dxa"/>
              <w:left w:w="100" w:type="dxa"/>
              <w:right w:w="100" w:type="dxa"/>
            </w:tcMar>
          </w:tcPr>
          <w:p>
            <w:r>
              <w:rPr>
                <w:rFonts w:ascii="Arial" w:hAnsi="Arial"/>
                <w:color w:val="2D3748"/>
                <w:sz w:val="18"/>
              </w:rPr>
              <w:t>Serialized Gradient Boosting Champion Model artifact.</w:t>
            </w:r>
          </w:p>
        </w:tc>
      </w:tr>
      <w:tr>
        <w:tc>
          <w:tcPr>
            <w:tcW w:type="dxa" w:w="3600"/>
            <w:shd w:fill="F7FAFC"/>
            <w:tcMar>
              <w:top w:w="60" w:type="dxa"/>
              <w:bottom w:w="60" w:type="dxa"/>
              <w:left w:w="100" w:type="dxa"/>
              <w:right w:w="100" w:type="dxa"/>
            </w:tcMar>
          </w:tcPr>
          <w:p>
            <w:r>
              <w:rPr>
                <w:rFonts w:ascii="Consolas" w:hAnsi="Consolas"/>
                <w:b/>
                <w:color w:val="1A365D"/>
                <w:sz w:val="18"/>
              </w:rPr>
              <w:t>models/preprocessor.joblib</w:t>
            </w:r>
          </w:p>
        </w:tc>
        <w:tc>
          <w:tcPr>
            <w:tcW w:type="dxa" w:w="5760"/>
            <w:shd w:fill="F7FAFC"/>
            <w:tcMar>
              <w:top w:w="60" w:type="dxa"/>
              <w:bottom w:w="60" w:type="dxa"/>
              <w:left w:w="100" w:type="dxa"/>
              <w:right w:w="100" w:type="dxa"/>
            </w:tcMar>
          </w:tcPr>
          <w:p>
            <w:r>
              <w:rPr>
                <w:rFonts w:ascii="Arial" w:hAnsi="Arial"/>
                <w:color w:val="2D3748"/>
                <w:sz w:val="18"/>
              </w:rPr>
              <w:t>Serialized Scikit-Learn data transformation pipeline.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