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3c6e"/>
          <w:sz w:val="44"/>
          <w:szCs w:val="44"/>
        </w:rPr>
        <w:t xml:space="preserve">Business Insights Report</w:t>
      </w:r>
    </w:p>
    <w:p>
      <w:pPr>
        <w:spacing w:after="400"/>
      </w:pPr>
      <w:r>
        <w:rPr>
          <w:color w:val="555555"/>
          <w:sz w:val="24"/>
          <w:szCs w:val="24"/>
        </w:rPr>
        <w:t xml:space="preserve">Customer Personality &amp; Marketing Analytics — AI Lab 99 Internship 2026 (Module ML-M04)</w:t>
      </w:r>
    </w:p>
    <w:p>
      <w:pPr>
        <w:pStyle w:val="Heading1"/>
        <w:spacing w:after="150" w:before="300"/>
      </w:pPr>
      <w:r>
        <w:t xml:space="preserve">Overview</w:t>
      </w:r>
    </w:p>
    <w:p>
      <w:pPr>
        <w:spacing w:after="140"/>
      </w:pPr>
      <w:r>
        <w:t xml:space="preserve">This report translates the Exploratory Data Analysis of 2,237 customer records into actionable business insights. It answers the eleven core business questions defined for Task 11 of the EDA module and closes with concrete, prioritized marketing recommendations.</w:t>
      </w:r>
    </w:p>
    <w:p>
      <w:pPr>
        <w:pStyle w:val="Heading1"/>
        <w:spacing w:after="150" w:before="300"/>
      </w:pPr>
      <w:r>
        <w:t xml:space="preserve">Business Questions &amp; Answers</w:t>
      </w:r>
    </w:p>
    <w:p>
      <w:pPr>
        <w:pStyle w:val="Heading2"/>
        <w:spacing w:after="100" w:before="200"/>
      </w:pPr>
      <w:r>
        <w:t xml:space="preserve">Which customers spend the most?</w:t>
      </w:r>
    </w:p>
    <w:p>
      <w:pPr>
        <w:spacing w:after="140"/>
      </w:pPr>
      <w:r>
        <w:t xml:space="preserve">High-value customers (top 25% by spend, 561 customers) tend to be higher-income and older on average, with fewer children at home.</w:t>
      </w:r>
    </w:p>
    <w:p>
      <w:pPr>
        <w:pStyle w:val="Heading2"/>
        <w:spacing w:after="100" w:before="200"/>
      </w:pPr>
      <w:r>
        <w:t xml:space="preserve">Which product category generates the highest revenue?</w:t>
      </w:r>
    </w:p>
    <w:p>
      <w:pPr>
        <w:spacing w:after="140"/>
      </w:pPr>
      <w:r>
        <w:t xml:space="preserve">Wine generates the highest total revenue ($675,920), followed by meat products.</w:t>
      </w:r>
    </w:p>
    <w:p>
      <w:pPr>
        <w:pStyle w:val="Heading2"/>
        <w:spacing w:after="100" w:before="200"/>
      </w:pPr>
      <w:r>
        <w:t xml:space="preserve">Does income influence spending?</w:t>
      </w:r>
    </w:p>
    <w:p>
      <w:pPr>
        <w:spacing w:after="140"/>
      </w:pPr>
      <w:r>
        <w:t xml:space="preserve">Yes — Income and Total Spending show a strong positive Pearson correlation of 0.80: higher-income customers spend significantly more.</w:t>
      </w:r>
    </w:p>
    <w:p>
      <w:pPr>
        <w:pStyle w:val="Heading2"/>
        <w:spacing w:after="100" w:before="200"/>
      </w:pPr>
      <w:r>
        <w:t xml:space="preserve">Which purchase channel is most popular?</w:t>
      </w:r>
    </w:p>
    <w:p>
      <w:pPr>
        <w:spacing w:after="140"/>
      </w:pPr>
      <w:r>
        <w:t xml:space="preserve">Store purchases are the most popular channel, with 12,962 total purchases, ahead of web (9,143), catalog (5,956), and deals (5,205).</w:t>
      </w:r>
    </w:p>
    <w:p>
      <w:pPr>
        <w:pStyle w:val="Heading2"/>
        <w:spacing w:after="100" w:before="200"/>
      </w:pPr>
      <w:r>
        <w:t xml:space="preserve">Which campaign performs best?</w:t>
      </w:r>
    </w:p>
    <w:p>
      <w:pPr>
        <w:spacing w:after="140"/>
      </w:pPr>
      <w:r>
        <w:t xml:space="preserve">The Latest Campaign performs best with a 14.93% acceptance rate — nearly double the next-best campaign.</w:t>
      </w:r>
    </w:p>
    <w:p>
      <w:pPr>
        <w:pStyle w:val="Heading2"/>
        <w:spacing w:after="100" w:before="200"/>
      </w:pPr>
      <w:r>
        <w:t xml:space="preserve">Which customers respond most frequently?</w:t>
      </w:r>
    </w:p>
    <w:p>
      <w:pPr>
        <w:spacing w:after="140"/>
      </w:pPr>
      <w:r>
        <w:t xml:space="preserve">Customers with PhD-level education respond most frequently on average; overall, 462 customers (20.7%) responded to at least one campaign.</w:t>
      </w:r>
    </w:p>
    <w:p>
      <w:pPr>
        <w:pStyle w:val="Heading2"/>
        <w:spacing w:after="100" w:before="200"/>
      </w:pPr>
      <w:r>
        <w:t xml:space="preserve">Which customers are inactive?</w:t>
      </w:r>
    </w:p>
    <w:p>
      <w:pPr>
        <w:spacing w:after="140"/>
      </w:pPr>
      <w:r>
        <w:t xml:space="preserve">Roughly half the customer base (1,117 customers, 49.9%) has a Recency above the median of 49 days and should be treated as inactive or at churn risk.</w:t>
      </w:r>
    </w:p>
    <w:p>
      <w:pPr>
        <w:pStyle w:val="Heading2"/>
        <w:spacing w:after="100" w:before="200"/>
      </w:pPr>
      <w:r>
        <w:t xml:space="preserve">Which customers visit the website most?</w:t>
      </w:r>
    </w:p>
    <w:p>
      <w:pPr>
        <w:spacing w:after="140"/>
      </w:pPr>
      <w:r>
        <w:t xml:space="preserve">The top ~5% of customers average 8+ web visits per month; many of these high-traffic visitors convert to web purchases infrequently, indicating a conversion opportunity.</w:t>
      </w:r>
    </w:p>
    <w:p>
      <w:pPr>
        <w:pStyle w:val="Heading2"/>
        <w:spacing w:after="100" w:before="200"/>
      </w:pPr>
      <w:r>
        <w:t xml:space="preserve">Do customers with children spend differently?</w:t>
      </w:r>
    </w:p>
    <w:p>
      <w:pPr>
        <w:spacing w:after="140"/>
      </w:pPr>
      <w:r>
        <w:t xml:space="preserve">Yes — customers without children spend $1,003 on average versus $395 for customers with children, roughly 2.5x more.</w:t>
      </w:r>
    </w:p>
    <w:p>
      <w:pPr>
        <w:pStyle w:val="Heading2"/>
        <w:spacing w:after="100" w:before="200"/>
      </w:pPr>
      <w:r>
        <w:t xml:space="preserve">What characteristics define high-value customers?</w:t>
      </w:r>
    </w:p>
    <w:p>
      <w:pPr>
        <w:spacing w:after="140"/>
      </w:pPr>
      <w:r>
        <w:t xml:space="preserve">Average income of $74,349 (vs. $51,855 overall), average age 58.5, and fewer children at home (0.40 vs. 0.95 overall) — high-value customers are affluent, mature, and mostly child-free households.</w:t>
      </w:r>
    </w:p>
    <w:p>
      <w:pPr>
        <w:pStyle w:val="Heading2"/>
        <w:spacing w:after="100" w:before="200"/>
      </w:pPr>
      <w:r>
        <w:t xml:space="preserve">Which variables have the strongest correlations?</w:t>
      </w:r>
    </w:p>
    <w:p>
      <w:pPr>
        <w:spacing w:after="140"/>
      </w:pPr>
      <w:r>
        <w:t xml:space="preserve">Strongest positive: Wine spending &amp; Total Spending (r = 0.93), and Income &amp; Total Spending (r = 0.80). Strongest negative: Income &amp; Web Visits/Month (r = -0.65).</w:t>
      </w:r>
    </w:p>
    <w:p>
      <w:pPr>
        <w:pStyle w:val="Heading2"/>
        <w:spacing w:after="100" w:before="200"/>
      </w:pPr>
      <w:r>
        <w:t xml:space="preserve">What marketing strategies should be recommended?</w:t>
      </w:r>
    </w:p>
    <w:p>
      <w:pPr>
        <w:spacing w:after="140"/>
      </w:pPr>
      <w:r>
        <w:t xml:space="preserve">See the five strategic recommendations below.</w:t>
      </w:r>
    </w:p>
    <w:p>
      <w:pPr>
        <w:pStyle w:val="Heading1"/>
        <w:spacing w:after="150" w:before="300"/>
      </w:pPr>
      <w:r>
        <w:t xml:space="preserve">Strategic Recommendations</w:t>
      </w:r>
    </w:p>
    <w:p>
      <w:pPr>
        <w:spacing w:after="140"/>
      </w:pPr>
      <w:r>
        <w:t xml:space="preserve">The following actions are prioritized based on the segments and correlations identified during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1a3c6e" w:val="clear"/>
            <w:tcMar>
              <w:top w:type="dxa" w:w="80"/>
              <w:left w:type="dxa" w:w="100"/>
              <w:bottom w:type="dxa" w:w="80"/>
              <w:right w:type="dxa" w:w="100"/>
            </w:tcMar>
          </w:tcPr>
          <w:p>
            <w:r>
              <w:rPr>
                <w:b/>
                <w:bCs/>
                <w:color w:val="FFFFFF"/>
                <w:sz w:val="20"/>
                <w:szCs w:val="20"/>
              </w:rPr>
              <w:t xml:space="preserve">#</w:t>
            </w:r>
          </w:p>
        </w:tc>
        <w:tc>
          <w:tcPr>
            <w:tcW w:type="dxa" w:w="2600"/>
            <w:shd w:fill="1a3c6e" w:val="clear"/>
            <w:tcMar>
              <w:top w:type="dxa" w:w="80"/>
              <w:left w:type="dxa" w:w="100"/>
              <w:bottom w:type="dxa" w:w="80"/>
              <w:right w:type="dxa" w:w="100"/>
            </w:tcMar>
          </w:tcPr>
          <w:p>
            <w:r>
              <w:rPr>
                <w:b/>
                <w:bCs/>
                <w:color w:val="FFFFFF"/>
                <w:sz w:val="20"/>
                <w:szCs w:val="20"/>
              </w:rPr>
              <w:t xml:space="preserve">Recommendation</w:t>
            </w:r>
          </w:p>
        </w:tc>
        <w:tc>
          <w:tcPr>
            <w:tcW w:type="dxa" w:w="6700"/>
            <w:shd w:fill="1a3c6e" w:val="clear"/>
            <w:tcMar>
              <w:top w:type="dxa" w:w="80"/>
              <w:left w:type="dxa" w:w="100"/>
              <w:bottom w:type="dxa" w:w="80"/>
              <w:right w:type="dxa" w:w="100"/>
            </w:tcMar>
          </w:tcPr>
          <w:p>
            <w:r>
              <w:rPr>
                <w:b/>
                <w:bCs/>
                <w:color w:val="FFFFFF"/>
                <w:sz w:val="20"/>
                <w:szCs w:val="20"/>
              </w:rPr>
              <w:t xml:space="preserve">Rationale / Action</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2600"/>
            <w:tcMar>
              <w:top w:type="dxa" w:w="80"/>
              <w:left w:type="dxa" w:w="100"/>
              <w:bottom w:type="dxa" w:w="80"/>
              <w:right w:type="dxa" w:w="100"/>
            </w:tcMar>
          </w:tcPr>
          <w:p>
            <w:r>
              <w:rPr>
                <w:b w:val="false"/>
                <w:bCs w:val="false"/>
                <w:color w:val="000000"/>
                <w:sz w:val="20"/>
                <w:szCs w:val="20"/>
              </w:rPr>
              <w:t xml:space="preserve">Re-engage inactive customers</w:t>
            </w:r>
          </w:p>
        </w:tc>
        <w:tc>
          <w:tcPr>
            <w:tcW w:type="dxa" w:w="6700"/>
            <w:tcMar>
              <w:top w:type="dxa" w:w="80"/>
              <w:left w:type="dxa" w:w="100"/>
              <w:bottom w:type="dxa" w:w="80"/>
              <w:right w:type="dxa" w:w="100"/>
            </w:tcMar>
          </w:tcPr>
          <w:p>
            <w:r>
              <w:rPr>
                <w:b w:val="false"/>
                <w:bCs w:val="false"/>
                <w:color w:val="000000"/>
                <w:sz w:val="20"/>
                <w:szCs w:val="20"/>
              </w:rPr>
              <w:t xml:space="preserve">Launch win-back campaigns with targeted discounts for the ~1,117 customers (49.9%) with above-median Recency.</w:t>
            </w:r>
          </w:p>
        </w:tc>
      </w:tr>
      <w:tr>
        <w:tc>
          <w:tcPr>
            <w:tcW w:type="dxa" w:w="500"/>
            <w:shd w:fill="f2f6fb" w:val="clear"/>
            <w:tcMar>
              <w:top w:type="dxa" w:w="80"/>
              <w:left w:type="dxa" w:w="100"/>
              <w:bottom w:type="dxa" w:w="80"/>
              <w:right w:type="dxa" w:w="100"/>
            </w:tcMar>
          </w:tcPr>
          <w:p>
            <w:r>
              <w:rPr>
                <w:b w:val="false"/>
                <w:bCs w:val="false"/>
                <w:color w:val="000000"/>
                <w:sz w:val="20"/>
                <w:szCs w:val="20"/>
              </w:rPr>
              <w:t xml:space="preserve">2</w:t>
            </w:r>
          </w:p>
        </w:tc>
        <w:tc>
          <w:tcPr>
            <w:tcW w:type="dxa" w:w="2600"/>
            <w:shd w:fill="f2f6fb" w:val="clear"/>
            <w:tcMar>
              <w:top w:type="dxa" w:w="80"/>
              <w:left w:type="dxa" w:w="100"/>
              <w:bottom w:type="dxa" w:w="80"/>
              <w:right w:type="dxa" w:w="100"/>
            </w:tcMar>
          </w:tcPr>
          <w:p>
            <w:r>
              <w:rPr>
                <w:b w:val="false"/>
                <w:bCs w:val="false"/>
                <w:color w:val="000000"/>
                <w:sz w:val="20"/>
                <w:szCs w:val="20"/>
              </w:rPr>
              <w:t xml:space="preserve">Target high-income, child-free households</w:t>
            </w:r>
          </w:p>
        </w:tc>
        <w:tc>
          <w:tcPr>
            <w:tcW w:type="dxa" w:w="6700"/>
            <w:shd w:fill="f2f6fb" w:val="clear"/>
            <w:tcMar>
              <w:top w:type="dxa" w:w="80"/>
              <w:left w:type="dxa" w:w="100"/>
              <w:bottom w:type="dxa" w:w="80"/>
              <w:right w:type="dxa" w:w="100"/>
            </w:tcMar>
          </w:tcPr>
          <w:p>
            <w:r>
              <w:rPr>
                <w:b w:val="false"/>
                <w:bCs w:val="false"/>
                <w:color w:val="000000"/>
                <w:sz w:val="20"/>
                <w:szCs w:val="20"/>
              </w:rPr>
              <w:t xml:space="preserve">Promote premium Wine and Gold product bundles to affluent, mature customers with few or no children — this segment drives the bulk of revenue.</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2600"/>
            <w:tcMar>
              <w:top w:type="dxa" w:w="80"/>
              <w:left w:type="dxa" w:w="100"/>
              <w:bottom w:type="dxa" w:w="80"/>
              <w:right w:type="dxa" w:w="100"/>
            </w:tcMar>
          </w:tcPr>
          <w:p>
            <w:r>
              <w:rPr>
                <w:b w:val="false"/>
                <w:bCs w:val="false"/>
                <w:color w:val="000000"/>
                <w:sz w:val="20"/>
                <w:szCs w:val="20"/>
              </w:rPr>
              <w:t xml:space="preserve">Scale the Latest Campaign approach</w:t>
            </w:r>
          </w:p>
        </w:tc>
        <w:tc>
          <w:tcPr>
            <w:tcW w:type="dxa" w:w="6700"/>
            <w:tcMar>
              <w:top w:type="dxa" w:w="80"/>
              <w:left w:type="dxa" w:w="100"/>
              <w:bottom w:type="dxa" w:w="80"/>
              <w:right w:type="dxa" w:w="100"/>
            </w:tcMar>
          </w:tcPr>
          <w:p>
            <w:r>
              <w:rPr>
                <w:b w:val="false"/>
                <w:bCs w:val="false"/>
                <w:color w:val="000000"/>
                <w:sz w:val="20"/>
                <w:szCs w:val="20"/>
              </w:rPr>
              <w:t xml:space="preserve">Replicate the targeting, offer design, and channel mix of the Latest Campaign (14.93% acceptance) in future campaign planning.</w:t>
            </w:r>
          </w:p>
        </w:tc>
      </w:tr>
      <w:tr>
        <w:tc>
          <w:tcPr>
            <w:tcW w:type="dxa" w:w="500"/>
            <w:shd w:fill="f2f6fb" w:val="clear"/>
            <w:tcMar>
              <w:top w:type="dxa" w:w="80"/>
              <w:left w:type="dxa" w:w="100"/>
              <w:bottom w:type="dxa" w:w="80"/>
              <w:right w:type="dxa" w:w="100"/>
            </w:tcMar>
          </w:tcPr>
          <w:p>
            <w:r>
              <w:rPr>
                <w:b w:val="false"/>
                <w:bCs w:val="false"/>
                <w:color w:val="000000"/>
                <w:sz w:val="20"/>
                <w:szCs w:val="20"/>
              </w:rPr>
              <w:t xml:space="preserve">4</w:t>
            </w:r>
          </w:p>
        </w:tc>
        <w:tc>
          <w:tcPr>
            <w:tcW w:type="dxa" w:w="2600"/>
            <w:shd w:fill="f2f6fb" w:val="clear"/>
            <w:tcMar>
              <w:top w:type="dxa" w:w="80"/>
              <w:left w:type="dxa" w:w="100"/>
              <w:bottom w:type="dxa" w:w="80"/>
              <w:right w:type="dxa" w:w="100"/>
            </w:tcMar>
          </w:tcPr>
          <w:p>
            <w:r>
              <w:rPr>
                <w:b w:val="false"/>
                <w:bCs w:val="false"/>
                <w:color w:val="000000"/>
                <w:sz w:val="20"/>
                <w:szCs w:val="20"/>
              </w:rPr>
              <w:t xml:space="preserve">Improve web conversion</w:t>
            </w:r>
          </w:p>
        </w:tc>
        <w:tc>
          <w:tcPr>
            <w:tcW w:type="dxa" w:w="6700"/>
            <w:shd w:fill="f2f6fb" w:val="clear"/>
            <w:tcMar>
              <w:top w:type="dxa" w:w="80"/>
              <w:left w:type="dxa" w:w="100"/>
              <w:bottom w:type="dxa" w:w="80"/>
              <w:right w:type="dxa" w:w="100"/>
            </w:tcMar>
          </w:tcPr>
          <w:p>
            <w:r>
              <w:rPr>
                <w:b w:val="false"/>
                <w:bCs w:val="false"/>
                <w:color w:val="000000"/>
                <w:sz w:val="20"/>
                <w:szCs w:val="20"/>
              </w:rPr>
              <w:t xml:space="preserve">Use deal/discount promotions to convert frequent website visitors who rarely complete purchases online.</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2600"/>
            <w:tcMar>
              <w:top w:type="dxa" w:w="80"/>
              <w:left w:type="dxa" w:w="100"/>
              <w:bottom w:type="dxa" w:w="80"/>
              <w:right w:type="dxa" w:w="100"/>
            </w:tcMar>
          </w:tcPr>
          <w:p>
            <w:r>
              <w:rPr>
                <w:b w:val="false"/>
                <w:bCs w:val="false"/>
                <w:color w:val="000000"/>
                <w:sz w:val="20"/>
                <w:szCs w:val="20"/>
              </w:rPr>
              <w:t xml:space="preserve">Strengthen the top channel</w:t>
            </w:r>
          </w:p>
        </w:tc>
        <w:tc>
          <w:tcPr>
            <w:tcW w:type="dxa" w:w="6700"/>
            <w:tcMar>
              <w:top w:type="dxa" w:w="80"/>
              <w:left w:type="dxa" w:w="100"/>
              <w:bottom w:type="dxa" w:w="80"/>
              <w:right w:type="dxa" w:w="100"/>
            </w:tcMar>
          </w:tcPr>
          <w:p>
            <w:r>
              <w:rPr>
                <w:b w:val="false"/>
                <w:bCs w:val="false"/>
                <w:color w:val="000000"/>
                <w:sz w:val="20"/>
                <w:szCs w:val="20"/>
              </w:rPr>
              <w:t xml:space="preserve">Continue investing in in-store experience and promotions, since store purchases are the leading channel by volume.</w:t>
            </w:r>
          </w:p>
        </w:tc>
      </w:tr>
      <w:tr>
        <w:tc>
          <w:tcPr>
            <w:tcW w:type="dxa" w:w="500"/>
            <w:shd w:fill="f2f6fb" w:val="clear"/>
            <w:tcMar>
              <w:top w:type="dxa" w:w="80"/>
              <w:left w:type="dxa" w:w="100"/>
              <w:bottom w:type="dxa" w:w="80"/>
              <w:right w:type="dxa" w:w="100"/>
            </w:tcMar>
          </w:tcPr>
          <w:p>
            <w:r>
              <w:rPr>
                <w:b w:val="false"/>
                <w:bCs w:val="false"/>
                <w:color w:val="000000"/>
                <w:sz w:val="20"/>
                <w:szCs w:val="20"/>
              </w:rPr>
              <w:t xml:space="preserve">6</w:t>
            </w:r>
          </w:p>
        </w:tc>
        <w:tc>
          <w:tcPr>
            <w:tcW w:type="dxa" w:w="2600"/>
            <w:shd w:fill="f2f6fb" w:val="clear"/>
            <w:tcMar>
              <w:top w:type="dxa" w:w="80"/>
              <w:left w:type="dxa" w:w="100"/>
              <w:bottom w:type="dxa" w:w="80"/>
              <w:right w:type="dxa" w:w="100"/>
            </w:tcMar>
          </w:tcPr>
          <w:p>
            <w:r>
              <w:rPr>
                <w:b w:val="false"/>
                <w:bCs w:val="false"/>
                <w:color w:val="000000"/>
                <w:sz w:val="20"/>
                <w:szCs w:val="20"/>
              </w:rPr>
              <w:t xml:space="preserve">Support family-budget customers</w:t>
            </w:r>
          </w:p>
        </w:tc>
        <w:tc>
          <w:tcPr>
            <w:tcW w:type="dxa" w:w="6700"/>
            <w:shd w:fill="f2f6fb" w:val="clear"/>
            <w:tcMar>
              <w:top w:type="dxa" w:w="80"/>
              <w:left w:type="dxa" w:w="100"/>
              <w:bottom w:type="dxa" w:w="80"/>
              <w:right w:type="dxa" w:w="100"/>
            </w:tcMar>
          </w:tcPr>
          <w:p>
            <w:r>
              <w:rPr>
                <w:b w:val="false"/>
                <w:bCs w:val="false"/>
                <w:color w:val="000000"/>
                <w:sz w:val="20"/>
                <w:szCs w:val="20"/>
              </w:rPr>
              <w:t xml:space="preserve">Design family-oriented offers to lift spending among customers with children, who currently spend markedly less.</w:t>
            </w:r>
          </w:p>
        </w:tc>
      </w:tr>
    </w:tbl>
    <w:p>
      <w:pPr>
        <w:spacing w:before="300"/>
      </w:pPr>
    </w:p>
    <w:p>
      <w:pPr>
        <w:pStyle w:val="Heading1"/>
        <w:spacing w:after="150" w:before="300"/>
      </w:pPr>
      <w:r>
        <w:t xml:space="preserve">Summary</w:t>
      </w:r>
    </w:p>
    <w:p>
      <w:pPr>
        <w:pStyle w:val="ListParagraph"/>
        <w:numPr>
          <w:ilvl w:val="0"/>
          <w:numId w:val="1"/>
        </w:numPr>
        <w:spacing w:after="90"/>
      </w:pPr>
      <w:r>
        <w:t xml:space="preserve">Total revenue analyzed: $1,275,344 in spending across 2,237 customers.</w:t>
      </w:r>
    </w:p>
    <w:p>
      <w:pPr>
        <w:pStyle w:val="ListParagraph"/>
        <w:numPr>
          <w:ilvl w:val="0"/>
          <w:numId w:val="1"/>
        </w:numPr>
        <w:spacing w:after="90"/>
      </w:pPr>
      <w:r>
        <w:t xml:space="preserve">Income is the single strongest driver of spending (r = 0.80).</w:t>
      </w:r>
    </w:p>
    <w:p>
      <w:pPr>
        <w:pStyle w:val="ListParagraph"/>
        <w:numPr>
          <w:ilvl w:val="0"/>
          <w:numId w:val="1"/>
        </w:numPr>
        <w:spacing w:after="90"/>
      </w:pPr>
      <w:r>
        <w:t xml:space="preserve">Wine and Meat products are the top two revenue categories.</w:t>
      </w:r>
    </w:p>
    <w:p>
      <w:pPr>
        <w:pStyle w:val="ListParagraph"/>
        <w:numPr>
          <w:ilvl w:val="0"/>
          <w:numId w:val="1"/>
        </w:numPr>
        <w:spacing w:after="90"/>
      </w:pPr>
      <w:r>
        <w:t xml:space="preserve">Store purchases remain the dominant channel, ahead of web, catalog, and deals.</w:t>
      </w:r>
    </w:p>
    <w:p>
      <w:pPr>
        <w:pStyle w:val="ListParagraph"/>
        <w:numPr>
          <w:ilvl w:val="0"/>
          <w:numId w:val="1"/>
        </w:numPr>
        <w:spacing w:after="90"/>
      </w:pPr>
      <w:r>
        <w:t xml:space="preserve">Nearly half of customers are currently inactive and represent the biggest re-engagement opportunity.</w:t>
      </w:r>
    </w:p>
    <w:p>
      <w:pPr>
        <w:pStyle w:val="ListParagraph"/>
        <w:numPr>
          <w:ilvl w:val="0"/>
          <w:numId w:val="1"/>
        </w:numPr>
        <w:spacing w:after="90"/>
      </w:pPr>
      <w:r>
        <w:t xml:space="preserve">High-value customers are affluent, mature, and largely child-free — a clear targeting profile for premium offers.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2026-08-04T07:31:55.437Z</dcterms:created>
  <dcterms:modified xsi:type="dcterms:W3CDTF">2026-08-04T07:31:55.437Z</dcterms:modified>
</cp:coreProperties>
</file>

<file path=docProps/custom.xml><?xml version="1.0" encoding="utf-8"?>
<Properties xmlns="http://schemas.openxmlformats.org/officeDocument/2006/custom-properties" xmlns:vt="http://schemas.openxmlformats.org/officeDocument/2006/docPropsVTypes"/>
</file>