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Module 7: Cluster Evaluation &amp; Customer Profiling</w:t>
      </w:r>
    </w:p>
    <w:p>
      <w:pPr>
        <w:spacing w:after="120"/>
      </w:pPr>
      <w:r>
        <w:rPr>
          <w:i/>
          <w:iCs/>
          <w:color w:val="555555"/>
        </w:rPr>
        <w:t xml:space="preserve">Dataset: Customer Personality Analysis  |  Final Customer Profiling Report</w:t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t xml:space="preserve">K-means clustering on the customer base produced two distinct, well-separated segments (Cluster 0 and Cluster 1). Both segments are store-purchase dominant, but Cluster 1 is meaningfully higher-value: higher income, higher total spend across every product category, more purchases through every channel, and a stronger response rate to marketing campaigns. This report profiles each cluster on demographics, spending, channel behavior and campaign engagement, assigns each a business-oriented name, and recommends a differentiated marketing strategy.</w:t>
      </w:r>
    </w:p>
    <w:p>
      <w:pPr>
        <w:pStyle w:val="Heading1"/>
        <w:spacing w:after="120" w:before="240"/>
      </w:pPr>
      <w:r>
        <w:t xml:space="preserve">2. Cluster Size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Cluster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Customers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1,234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55.1%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1,003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44.9%</w:t>
            </w:r>
          </w:p>
        </w:tc>
      </w:tr>
    </w:tbl>
    <w:p>
      <w:pPr>
        <w:spacing w:after="240" w:before="120"/>
      </w:pPr>
      <w:r>
        <w:drawing>
          <wp:inline distT="0" distB="0" distL="0" distR="0">
            <wp:extent cx="3619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3. Demographic Profile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300"/>
        <w:gridCol w:w="2300"/>
        <w:gridCol w:w="1700"/>
      </w:tblGrid>
      <w:tr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Cluster</w:t>
            </w:r>
          </w:p>
        </w:tc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Avg Age</w:t>
            </w:r>
          </w:p>
        </w:tc>
        <w:tc>
          <w:tcPr>
            <w:tcW w:type="dxa" w:w="2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Avg Income</w:t>
            </w:r>
          </w:p>
        </w:tc>
        <w:tc>
          <w:tcPr>
            <w:tcW w:type="dxa" w:w="2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Avg Family Size</w:t>
            </w:r>
          </w:p>
        </w:tc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Avg Children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57.6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$50,204.81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3.02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1.02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56.5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$53,884.83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2.87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0.87</w:t>
            </w:r>
          </w:p>
        </w:tc>
      </w:tr>
    </w:tbl>
    <w:p>
      <w:pPr>
        <w:spacing w:after="120"/>
      </w:pPr>
      <w:r>
        <w:t xml:space="preserve">Cluster 1 skews slightly higher-income with a slightly smaller household, meaning more disposable income per family member — consistent with its higher spending seen below.</w:t>
      </w:r>
    </w:p>
    <w:p>
      <w:r>
        <w:drawing>
          <wp:inline distT="0" distB="0" distL="0" distR="0">
            <wp:extent cx="2857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857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4. Spending Behavior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11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Cluster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Wine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Fruit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Meat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Fish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Sweets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Gold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278.82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20.15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134.60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29.81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19.80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37.28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330.86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23.54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170.78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34.94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24.56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42.17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Cluster 1 outspends Cluster 0 on every single product category, most sharply on Meat (+27%) and Wine (+19%). Cluster 1 is the higher-spending / premium-leaning segment; Cluster 0 is the more budget-conscious segment.</w:t>
      </w:r>
    </w:p>
    <w:p>
      <w:r>
        <w:drawing>
          <wp:inline distT="0" distB="0" distL="0" distR="0">
            <wp:extent cx="3048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3048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5. Shopping Channel &amp; Engagement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200"/>
        <w:gridCol w:w="1200"/>
        <w:gridCol w:w="1300"/>
        <w:gridCol w:w="1400"/>
      </w:tblGrid>
      <w:tr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Cluster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Web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Catalog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Store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Deals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Visits/mo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Recency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3.95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2.45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5.63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2.35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5.42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49.94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4.26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2.92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6.00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2.29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5.20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48.08</w:t>
            </w:r>
          </w:p>
        </w:tc>
      </w:tr>
    </w:tbl>
    <w:p>
      <w:pPr>
        <w:spacing w:after="120"/>
      </w:pPr>
      <w:r>
        <w:t xml:space="preserve">Both clusters are Store-Oriented (store purchases are the top channel for each), but Cluster 1 buys more through every channel and returns slightly more recently (48 vs 50 days), indicating a more actively engaged customer base.</w:t>
      </w:r>
    </w:p>
    <w:p>
      <w:r>
        <w:drawing>
          <wp:inline distT="0" distB="0" distL="0" distR="0">
            <wp:extent cx="3619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6. Marketing Campaign Response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400"/>
      </w:tblGrid>
      <w:t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Cluster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Campaign Score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Final Response Rate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Complaint Rate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0.417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14.2%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0.9%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0.485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15.9%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0.9%</w:t>
            </w:r>
          </w:p>
        </w:tc>
      </w:tr>
    </w:tbl>
    <w:p>
      <w:pPr>
        <w:spacing w:after="120"/>
      </w:pPr>
      <w:r>
        <w:t xml:space="preserve">Cluster 1 is the campaign-responsive segment (higher acceptance across campaigns and higher final response rate). Cluster 0 is comparatively marketing-resistant and is the priority group for re-engagement offers. Complaint rates are low and essentially identical between segments, so satisfaction is not a differentiator.</w:t>
      </w:r>
    </w:p>
    <w:p>
      <w:r>
        <w:drawing>
          <wp:inline distT="0" distB="0" distL="0" distR="0">
            <wp:extent cx="3619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7. Business Segment Names &amp;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Cluster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Business Segment</w:t>
            </w:r>
          </w:p>
        </w:tc>
        <w:tc>
          <w:tcPr>
            <w:tcW w:type="dxa" w:w="4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Recommended Strategy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Store-Oriented Traditional Customers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</w:rPr>
              <w:t xml:space="preserve">Maintain in-store engagement with periodic loyalty incentives; use targeted re-engagement offers to lift the lower campaign response rate.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High-Value Store-Oriented Customers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</w:rPr>
              <w:t xml:space="preserve">Increase in-store promotions, loyalty rewards and cross-sell at checkout; this segment already responds best to campaigns, so prioritize premium/upsell offers here.</w:t>
            </w:r>
          </w:p>
        </w:tc>
      </w:tr>
    </w:tbl>
    <w:p>
      <w:pPr>
        <w:pStyle w:val="Heading1"/>
        <w:spacing w:after="120" w:before="240"/>
      </w:pPr>
      <w:r>
        <w:t xml:space="preserve">8. Customer Personas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Cluster 0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Cluster 1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Persona Name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Traditional Store Shopper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Premium Store Shopper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Age Group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Senior Adults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Senior Adults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Income Level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Medium (~$50K)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Medium-High (~$54K)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Family Status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Medium Family (3.0 avg size)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Medium Family (2.9 avg size)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Preferred Channel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Store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Store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Marketing Responsiveness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Lower (14.2% response)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Higher (15.9% response)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Estimated CLV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Medium (~$520 total spend)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Medium-High (~$627 total spend)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Key Challenge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Increase purchase frequency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Sustain engagement, grow basket size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Recommended Strategy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In-store loyalty incentives + re-engagement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In-store promotions, loyalty rewards, cross-sell</w:t>
            </w:r>
          </w:p>
        </w:tc>
      </w:tr>
    </w:tbl>
    <w:p>
      <w:pPr>
        <w:pStyle w:val="Heading1"/>
        <w:spacing w:after="120" w:before="240"/>
      </w:pPr>
      <w:r>
        <w:t xml:space="preserve">9. Conclusion</w:t>
      </w:r>
    </w:p>
    <w:p>
      <w:pPr>
        <w:spacing w:after="120"/>
      </w:pPr>
      <w:r>
        <w:t xml:space="preserve">The two clusters represent a value gradient rather than fundamentally different shopping styles: both are store-first, but Cluster 1 is a higher-value, higher-responsiveness segment worth premium/loyalty investment, while Cluster 0 is a larger but lower-spend, lower-response segment that needs re-engagement and incentive-driven campaigns to lift frequency and response rate.</w:t>
      </w:r>
    </w:p>
    <w:p>
      <w:pPr>
        <w:spacing w:after="120"/>
      </w:pPr>
      <w:r>
        <w:rPr>
          <w:i/>
          <w:iCs/>
          <w:color w:val="555555"/>
        </w:rPr>
        <w:t xml:space="preserve">All supporting tables are provided in MASTER_Module7_Report.xlsx (one sheet per analysis) and all charts are provided in the figures package.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7732eb5bdb75819da3c5ab0b6938ec2d92de19.png"/><Relationship Id="rId8" Type="http://schemas.openxmlformats.org/officeDocument/2006/relationships/image" Target="media/f7118e0b5eedc7fe61621e0020fb1871c967cb99.png"/><Relationship Id="rId9" Type="http://schemas.openxmlformats.org/officeDocument/2006/relationships/image" Target="media/e8d331efa6eecb269e46114a806516e87213ff25.png"/><Relationship Id="rId10" Type="http://schemas.openxmlformats.org/officeDocument/2006/relationships/image" Target="media/2f0f67954f2c94db5ea75d724dc64decda94e9bf.png"/><Relationship Id="rId11" Type="http://schemas.openxmlformats.org/officeDocument/2006/relationships/image" Target="media/dc6c4b3845525311e7c206814215c8db5bf7c0e1.png"/><Relationship Id="rId12" Type="http://schemas.openxmlformats.org/officeDocument/2006/relationships/image" Target="media/45941b253aaa745e7194ce7763a9f5207e5fa1c2.png"/><Relationship Id="rId13" Type="http://schemas.openxmlformats.org/officeDocument/2006/relationships/image" Target="media/9fe8a6fbfeb7a9ca4cefe715c43f4dbc5568724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2026-08-09T00:57:25.816Z</dcterms:created>
  <dcterms:modified xsi:type="dcterms:W3CDTF">2026-08-09T00:57:25.817Z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