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3552"/>
        <w:gridCol w:w="3552"/>
        <w:gridCol w:w="3552"/>
      </w:tblGrid>
      <w:tr>
        <w:tc>
          <w:tcPr>
            <w:tcW w:type="dxa" w:w="1944"/>
            <w:vMerge w:val="restart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NubiDoc</w:t>
              <w:br/>
              <w:t>Gestión Documental</w:t>
            </w:r>
          </w:p>
        </w:tc>
        <w:tc>
          <w:tcPr>
            <w:tcW w:type="dxa" w:w="78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26"/>
              </w:rPr>
              <w:t>ACTA DE RECHAZO TÉCNICO DOCUMENTAL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Código:</w:t>
              <w:br/>
              <w:t>GD-F-RTD-01</w:t>
            </w:r>
          </w:p>
        </w:tc>
      </w:tr>
      <w:tr>
        <w:tc>
          <w:tcPr>
            <w:tcW w:type="dxa" w:w="1944"/>
            <w:vMerge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78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464646"/>
                <w:sz w:val="17"/>
              </w:rPr>
              <w:t>Secretaría Distrital de Integración Social</w:t>
              <w:br/>
              <w:t>Subdirección Local para la Integración Social de Ciudad Bolívar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70AD4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Versión: 1</w:t>
              <w:br/>
              <w:t>Acta No. RTD-2026-001</w:t>
            </w:r>
          </w:p>
        </w:tc>
      </w:tr>
    </w:tbl>
    <w:p>
      <w:pPr>
        <w:spacing w:after="60"/>
        <w:jc w:val="center"/>
      </w:pPr>
      <w:r>
        <w:rPr>
          <w:rFonts w:ascii="Arial" w:hAnsi="Arial"/>
          <w:b/>
          <w:color w:val="C0504D"/>
          <w:sz w:val="17"/>
        </w:rPr>
        <w:t>EJEMPLO DILIGENCIADO - CASO SIMULADO CON DATOS INSTITUCIONALES REALES</w:t>
      </w:r>
    </w:p>
    <w:p>
      <w:pPr>
        <w:spacing w:before="80" w:after="40"/>
      </w:pPr>
      <w:r>
        <w:rPr>
          <w:rFonts w:ascii="Arial" w:hAnsi="Arial"/>
          <w:b/>
          <w:color w:val="1F4E79"/>
          <w:sz w:val="20"/>
        </w:rPr>
        <w:t>1. DATOS DE LA TRANSFERENCIA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6" w:space="0" w:color="9EADBA"/>
          <w:insideV w:val="single" w:sz="6" w:space="0" w:color="9EADBA"/>
        </w:tblBorders>
      </w:tblPr>
      <w:tblGrid>
        <w:gridCol w:w="5328"/>
        <w:gridCol w:w="5328"/>
      </w:tblGrid>
      <w:tr>
        <w:tc>
          <w:tcPr>
            <w:tcW w:type="dxa" w:w="324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Dependencia remitente</w:t>
            </w:r>
          </w:p>
        </w:tc>
        <w:tc>
          <w:tcPr>
            <w:tcW w:type="dxa" w:w="85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Área Administrativa - Subdirección Local Ciudad Bolívar</w:t>
            </w:r>
          </w:p>
        </w:tc>
      </w:tr>
      <w:tr>
        <w:tc>
          <w:tcPr>
            <w:tcW w:type="dxa" w:w="324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Responsable de la transferencia</w:t>
            </w:r>
          </w:p>
        </w:tc>
        <w:tc>
          <w:tcPr>
            <w:tcW w:type="dxa" w:w="85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Laura Marcela Gómez Rodríguez</w:t>
            </w:r>
          </w:p>
        </w:tc>
      </w:tr>
      <w:tr>
        <w:tc>
          <w:tcPr>
            <w:tcW w:type="dxa" w:w="324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Cargo</w:t>
            </w:r>
          </w:p>
        </w:tc>
        <w:tc>
          <w:tcPr>
            <w:tcW w:type="dxa" w:w="85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Apoyo administrativo</w:t>
            </w:r>
          </w:p>
        </w:tc>
      </w:tr>
      <w:tr>
        <w:tc>
          <w:tcPr>
            <w:tcW w:type="dxa" w:w="324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Correo institucional</w:t>
            </w:r>
          </w:p>
        </w:tc>
        <w:tc>
          <w:tcPr>
            <w:tcW w:type="dxa" w:w="85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laura.gomez@sdis.gov.co</w:t>
            </w:r>
          </w:p>
        </w:tc>
      </w:tr>
      <w:tr>
        <w:tc>
          <w:tcPr>
            <w:tcW w:type="dxa" w:w="324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Fecha de entrega</w:t>
            </w:r>
          </w:p>
        </w:tc>
        <w:tc>
          <w:tcPr>
            <w:tcW w:type="dxa" w:w="85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10/06/2026</w:t>
            </w:r>
          </w:p>
        </w:tc>
      </w:tr>
      <w:tr>
        <w:tc>
          <w:tcPr>
            <w:tcW w:type="dxa" w:w="324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Número de transferencia</w:t>
            </w:r>
          </w:p>
        </w:tc>
        <w:tc>
          <w:tcPr>
            <w:tcW w:type="dxa" w:w="85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TD-CB-2026-014</w:t>
            </w:r>
          </w:p>
        </w:tc>
      </w:tr>
      <w:tr>
        <w:tc>
          <w:tcPr>
            <w:tcW w:type="dxa" w:w="324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Serie documental</w:t>
            </w:r>
          </w:p>
        </w:tc>
        <w:tc>
          <w:tcPr>
            <w:tcW w:type="dxa" w:w="85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Contratos</w:t>
            </w:r>
          </w:p>
        </w:tc>
      </w:tr>
      <w:tr>
        <w:tc>
          <w:tcPr>
            <w:tcW w:type="dxa" w:w="324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Subserie documental</w:t>
            </w:r>
          </w:p>
        </w:tc>
        <w:tc>
          <w:tcPr>
            <w:tcW w:type="dxa" w:w="85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Contratos de prestación de servicios</w:t>
            </w:r>
          </w:p>
        </w:tc>
      </w:tr>
      <w:tr>
        <w:tc>
          <w:tcPr>
            <w:tcW w:type="dxa" w:w="324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Fechas extremas</w:t>
            </w:r>
          </w:p>
        </w:tc>
        <w:tc>
          <w:tcPr>
            <w:tcW w:type="dxa" w:w="85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01/01/2025 al 31/12/2025</w:t>
            </w:r>
          </w:p>
        </w:tc>
      </w:tr>
      <w:tr>
        <w:tc>
          <w:tcPr>
            <w:tcW w:type="dxa" w:w="324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Cantidad</w:t>
            </w:r>
          </w:p>
        </w:tc>
        <w:tc>
          <w:tcPr>
            <w:tcW w:type="dxa" w:w="85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cajas - 18 carpetas - 18 expedientes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1F4E79"/>
          <w:sz w:val="20"/>
        </w:rPr>
        <w:t>2. RESULTADO DE LA REVISIÓN</w:t>
      </w:r>
    </w:p>
    <w:p>
      <w:pPr>
        <w:spacing w:after="40"/>
      </w:pPr>
      <w:r>
        <w:rPr>
          <w:rFonts w:ascii="Arial" w:hAnsi="Arial"/>
          <w:sz w:val="17"/>
        </w:rPr>
        <w:t>☐ Cumple con los requisitos establecidos.</w:t>
        <w:br/>
      </w:r>
      <w:r>
        <w:rPr>
          <w:rFonts w:ascii="Arial" w:hAnsi="Arial"/>
          <w:sz w:val="17"/>
        </w:rPr>
        <w:t>☒ No cumple con los requisitos establecidos.</w:t>
        <w:br/>
      </w:r>
      <w:r>
        <w:rPr>
          <w:rFonts w:ascii="Arial" w:hAnsi="Arial"/>
          <w:sz w:val="17"/>
        </w:rPr>
        <w:t>☒ Requiere correcciones antes de su recepción definitiva.</w:t>
        <w:br/>
      </w:r>
    </w:p>
    <w:p>
      <w:pPr>
        <w:spacing w:before="80" w:after="40"/>
      </w:pPr>
      <w:r>
        <w:rPr>
          <w:rFonts w:ascii="Arial" w:hAnsi="Arial"/>
          <w:b/>
          <w:color w:val="1F4E79"/>
          <w:sz w:val="20"/>
        </w:rPr>
        <w:t>3. INCONSISTENCIAS IDENTIFICADAS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6" w:space="0" w:color="9EADBA"/>
          <w:insideV w:val="single" w:sz="6" w:space="0" w:color="9EADBA"/>
        </w:tblBorders>
      </w:tblPr>
      <w:tblGrid>
        <w:gridCol w:w="5328"/>
        <w:gridCol w:w="5328"/>
      </w:tblGrid>
      <w:tr>
        <w:tc>
          <w:tcPr>
            <w:tcW w:type="dxa" w:w="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>☒</w:t>
            </w:r>
          </w:p>
        </w:tc>
        <w:tc>
          <w:tcPr>
            <w:tcW w:type="dxa" w:w="111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Foliación incompleta y discontinua en 6 expedientes.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>☒</w:t>
            </w:r>
          </w:p>
        </w:tc>
        <w:tc>
          <w:tcPr>
            <w:tcW w:type="dxa" w:w="111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 inventario documental no coincide con el contenido físico de 4 carpetas.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>☒</w:t>
            </w:r>
          </w:p>
        </w:tc>
        <w:tc>
          <w:tcPr>
            <w:tcW w:type="dxa" w:w="111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Dos carpetas no presentan identificación completa de serie y subserie.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>☒</w:t>
            </w:r>
          </w:p>
        </w:tc>
        <w:tc>
          <w:tcPr>
            <w:tcW w:type="dxa" w:w="111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 encontraron clips metálicos en varios documentos.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>☐</w:t>
            </w:r>
          </w:p>
        </w:tc>
        <w:tc>
          <w:tcPr>
            <w:tcW w:type="dxa" w:w="111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Cajas deterioradas o sobrecargadas.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1F4E79"/>
          <w:sz w:val="20"/>
        </w:rPr>
        <w:t>4. DESCRIPCIÓN DE LA INCONSISTENCIA</w:t>
      </w:r>
    </w:p>
    <w:p>
      <w:pPr>
        <w:spacing w:after="40"/>
      </w:pPr>
      <w:r>
        <w:rPr>
          <w:rFonts w:ascii="Arial" w:hAnsi="Arial"/>
          <w:sz w:val="17"/>
        </w:rPr>
        <w:t>Durante la revisión técnica se evidenció que la transferencia presenta errores de foliación, diferencias entre el inventario y el contenido físico, identificación incompleta de algunas carpetas y presencia de elementos metálicos. Estas inconsistencias impiden la recepción definitiva de la transferencia.</w:t>
      </w:r>
    </w:p>
    <w:p>
      <w:pPr>
        <w:spacing w:before="80" w:after="40"/>
      </w:pPr>
      <w:r>
        <w:rPr>
          <w:rFonts w:ascii="Arial" w:hAnsi="Arial"/>
          <w:b/>
          <w:color w:val="1F4E79"/>
          <w:sz w:val="20"/>
        </w:rPr>
        <w:t>5. FUNDAMENTO TÉCNICO O LINEAMIENTO INCUMPLIDO</w:t>
      </w:r>
    </w:p>
    <w:p>
      <w:pPr>
        <w:spacing w:after="40"/>
      </w:pPr>
      <w:r>
        <w:rPr>
          <w:rFonts w:ascii="Arial" w:hAnsi="Arial"/>
          <w:sz w:val="17"/>
        </w:rPr>
        <w:t>La documentación debe organizarse y transferirse de acuerdo con la Tabla de Retención Documental, el inventario documental y los lineamientos internos de organización, foliación e identificación de expedientes.</w:t>
      </w:r>
    </w:p>
    <w:p>
      <w:pPr>
        <w:spacing w:before="80" w:after="40"/>
      </w:pPr>
      <w:r>
        <w:rPr>
          <w:rFonts w:ascii="Arial" w:hAnsi="Arial"/>
          <w:b/>
          <w:color w:val="1F4E79"/>
          <w:sz w:val="20"/>
        </w:rPr>
        <w:t>6. ACCIONES CORRECTIVAS SOLICITADAS</w:t>
      </w:r>
    </w:p>
    <w:p>
      <w:pPr>
        <w:spacing w:after="0"/>
        <w:ind w:left="259" w:hanging="173"/>
      </w:pPr>
      <w:r>
        <w:rPr>
          <w:rFonts w:ascii="Arial" w:hAnsi="Arial"/>
          <w:sz w:val="16"/>
        </w:rPr>
        <w:t>• Corregir la foliación de los 6 expedientes identificados.</w:t>
      </w:r>
    </w:p>
    <w:p>
      <w:pPr>
        <w:spacing w:after="0"/>
        <w:ind w:left="259" w:hanging="173"/>
      </w:pPr>
      <w:r>
        <w:rPr>
          <w:rFonts w:ascii="Arial" w:hAnsi="Arial"/>
          <w:sz w:val="16"/>
        </w:rPr>
        <w:t>• Actualizar el inventario documental para que coincida con el contenido físico.</w:t>
      </w:r>
    </w:p>
    <w:p>
      <w:pPr>
        <w:spacing w:after="0"/>
        <w:ind w:left="259" w:hanging="173"/>
      </w:pPr>
      <w:r>
        <w:rPr>
          <w:rFonts w:ascii="Arial" w:hAnsi="Arial"/>
          <w:sz w:val="16"/>
        </w:rPr>
        <w:t>• Completar la identificación de las carpetas con serie, subserie y fechas extremas.</w:t>
      </w:r>
    </w:p>
    <w:p>
      <w:pPr>
        <w:spacing w:after="0"/>
        <w:ind w:left="259" w:hanging="173"/>
      </w:pPr>
      <w:r>
        <w:rPr>
          <w:rFonts w:ascii="Arial" w:hAnsi="Arial"/>
          <w:sz w:val="16"/>
        </w:rPr>
        <w:t>• Retirar clips y demás elementos metálicos antes de presentar nuevamente la transferencia.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6" w:space="0" w:color="9EADBA"/>
          <w:insideV w:val="single" w:sz="6" w:space="0" w:color="9EADBA"/>
        </w:tblBorders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Responsable de la corrección</w:t>
            </w:r>
          </w:p>
        </w:tc>
        <w:tc>
          <w:tcPr>
            <w:tcW w:type="dxa" w:w="53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Laura Marcela Gómez Rodríguez - Apoyo administrativo</w:t>
            </w:r>
          </w:p>
        </w:tc>
      </w:tr>
      <w:tr>
        <w:tc>
          <w:tcPr>
            <w:tcW w:type="dxa" w:w="532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Fecha límite de subsanación</w:t>
            </w:r>
          </w:p>
        </w:tc>
        <w:tc>
          <w:tcPr>
            <w:tcW w:type="dxa" w:w="53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17/06/2026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1F4E79"/>
          <w:sz w:val="20"/>
        </w:rPr>
        <w:t>7. SEGUNDA REVISIÓN</w:t>
      </w:r>
    </w:p>
    <w:p>
      <w:pPr>
        <w:spacing w:after="20"/>
      </w:pPr>
      <w:r>
        <w:rPr>
          <w:rFonts w:ascii="Arial" w:hAnsi="Arial"/>
          <w:sz w:val="17"/>
        </w:rPr>
        <w:t>Fecha de segunda revisión: 18/06/2026</w:t>
      </w:r>
    </w:p>
    <w:p>
      <w:pPr>
        <w:spacing w:after="20"/>
      </w:pPr>
      <w:r>
        <w:rPr>
          <w:rFonts w:ascii="Arial" w:hAnsi="Arial"/>
          <w:sz w:val="17"/>
        </w:rPr>
        <w:t>☒ Las inconsistencias fueron corregidas y la transferencia fue aceptada.</w:t>
      </w:r>
    </w:p>
    <w:p>
      <w:pPr>
        <w:spacing w:after="40"/>
      </w:pPr>
      <w:r>
        <w:rPr>
          <w:rFonts w:ascii="Arial" w:hAnsi="Arial"/>
          <w:sz w:val="16"/>
        </w:rPr>
        <w:t>Observación: Se verificó la corrección de la foliación, el inventario y la identificación de las carpetas. La transferencia queda aceptada para su recepción.</w:t>
      </w:r>
    </w:p>
    <w:p>
      <w:pPr>
        <w:spacing w:before="80" w:after="40"/>
      </w:pPr>
      <w:r>
        <w:rPr>
          <w:rFonts w:ascii="Arial" w:hAnsi="Arial"/>
          <w:b/>
          <w:color w:val="1F4E79"/>
          <w:sz w:val="20"/>
        </w:rPr>
        <w:t>8. VALIDACIÓN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6" w:space="0" w:color="9EADBA"/>
          <w:insideV w:val="single" w:sz="6" w:space="0" w:color="9EADBA"/>
        </w:tblBorders>
      </w:tblPr>
      <w:tblGrid>
        <w:gridCol w:w="5328"/>
        <w:gridCol w:w="5328"/>
      </w:tblGrid>
      <w:tr>
        <w:tc>
          <w:tcPr>
            <w:tcW w:type="dxa" w:w="5328"/>
            <w:vAlign w:val="center"/>
            <w:shd w:fill="1F4E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Responsable del área de archivo</w:t>
            </w:r>
          </w:p>
        </w:tc>
        <w:tc>
          <w:tcPr>
            <w:tcW w:type="dxa" w:w="5328"/>
            <w:vAlign w:val="center"/>
            <w:shd w:fill="1F4E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Responsable de la dependencia remitente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Nombre: Betty Delgado</w:t>
              <w:br/>
              <w:t>Cargo: Responsable de archivo</w:t>
              <w:br/>
              <w:t>Firma/validación: ____________________</w:t>
            </w:r>
          </w:p>
        </w:tc>
        <w:tc>
          <w:tcPr>
            <w:tcW w:type="dxa" w:w="53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Nombre: Laura Marcela Gómez Rodríguez</w:t>
              <w:br/>
              <w:t>Cargo: Apoyo administrativo</w:t>
              <w:br/>
              <w:t>Firma/validación: ____________________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Fecha: 18/06/2026</w:t>
            </w:r>
          </w:p>
        </w:tc>
        <w:tc>
          <w:tcPr>
            <w:tcW w:type="dxa" w:w="53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Fecha: 18/06/2026</w:t>
            </w:r>
          </w:p>
        </w:tc>
      </w:tr>
    </w:tbl>
    <w:p>
      <w:pPr>
        <w:spacing w:before="80" w:after="0"/>
      </w:pPr>
      <w:r>
        <w:rPr>
          <w:rFonts w:ascii="Arial" w:hAnsi="Arial"/>
          <w:i/>
          <w:color w:val="595959"/>
          <w:sz w:val="15"/>
        </w:rPr>
        <w:t>Nota: La presente acta formaliza la devolución técnica y orienta las acciones correctivas. No constituye una sanción. Los datos de la entidad y la dependencia se basan en la información del proyecto; los datos específicos de la transferencia corresponden a un caso simulado.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