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1B2AE8" w:rsidRPr="00924FF4" w:rsidP="0032715A">
      <w:pPr>
        <w:spacing w:before="240" w:after="280" w:line="520" w:lineRule="auto"/>
      </w:pPr>
      <w:r w:rsidRPr="00924FF4" w:rsidR="00924FF4">
        <w:rPr>
          <w:rFonts w:hint="eastAsia"/>
        </w:rPr>
        <w:t xml:space="preserve">表1 </w:t>
      </w:r>
      <w:r w:rsidRPr="00924FF4" w:rsidR="00DE2716">
        <w:rPr>
          <w:rFonts w:hint="eastAsia"/>
        </w:rPr>
        <w:t>原油</w:t>
      </w:r>
      <w:r w:rsidRPr="00924FF4" w:rsidR="00741F47">
        <w:rPr>
          <w:rFonts w:hint="eastAsia"/>
        </w:rPr>
        <w:t>输油管道安全检查表</w:t>
      </w:r>
      <w:r w:rsidRPr="00924FF4" w:rsidR="00924FF4">
        <w:rPr>
          <w:rFonts w:hint="eastAsia"/>
        </w:rPr>
        <w:t>（GB50253-2014）</w:t>
      </w:r>
    </w:p>
    <w:tbl>
      <w:tblPr>
        <w:tblStyle w:val="TableNormal"/>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tblPr>
      <w:tblGrid>
        <w:gridCol w:w="487"/>
        <w:gridCol w:w="3402"/>
        <w:gridCol w:w="1134"/>
        <w:gridCol w:w="2851"/>
        <w:gridCol w:w="695"/>
      </w:tblGrid>
      <w:tr w:rsidTr="00BF6F74">
        <w:tblPrEx>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tblPrEx>
        <w:trPr>
          <w:trHeight w:val="75"/>
          <w:tblHeader/>
          <w:jc w:val="center"/>
        </w:trPr>
        <w:tc>
          <w:tcPr>
            <w:tcW w:w="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序号</w:t>
            </w: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检查项目</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依据</w:t>
            </w:r>
          </w:p>
        </w:tc>
        <w:tc>
          <w:tcPr>
            <w:tcW w:w="2851"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实际情况</w:t>
            </w:r>
          </w:p>
        </w:tc>
        <w:tc>
          <w:tcPr>
            <w:tcW w:w="695"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检查结果</w:t>
            </w:r>
          </w:p>
        </w:tc>
      </w:tr>
      <w:tr w:rsidTr="00BF6F74">
        <w:tblPrEx>
          <w:tblW w:w="0" w:type="auto"/>
          <w:jc w:val="center"/>
          <w:tblLayout w:type="fixed"/>
          <w:tblLook w:val="01E0"/>
        </w:tblPrEx>
        <w:trPr>
          <w:trHeight w:val="75"/>
          <w:jc w:val="center"/>
        </w:trPr>
        <w:tc>
          <w:tcPr>
            <w:tcW w:w="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一</w:t>
            </w:r>
          </w:p>
        </w:tc>
        <w:tc>
          <w:tcPr>
            <w:tcW w:w="8082" w:type="dxa"/>
            <w:gridSpan w:val="4"/>
            <w:shd w:val="clear" w:color="auto" w:fill="auto"/>
            <w:vAlign w:val="center"/>
          </w:tcPr>
          <w:p w:rsidR="00CC18D8" w:rsidRPr="00FD5F6F" w:rsidP="00F73BF4">
            <w:pPr>
              <w:rPr>
                <w:rFonts w:eastAsia="宋体"/>
                <w:snapToGrid/>
                <w:kern w:val="21"/>
                <w:sz w:val="21"/>
                <w:szCs w:val="21"/>
                <w:lang w:val="en-US" w:eastAsia="zh-CN"/>
              </w:rPr>
            </w:pPr>
            <w:r w:rsidRPr="00FD5F6F">
              <w:rPr>
                <w:rFonts w:eastAsia="宋体" w:hint="eastAsia"/>
                <w:snapToGrid/>
                <w:kern w:val="21"/>
                <w:sz w:val="21"/>
                <w:szCs w:val="21"/>
                <w:lang w:val="en-US" w:eastAsia="zh-CN"/>
              </w:rPr>
              <w:t>输油工艺</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输油管道宜采用密闭输送工艺。采用其他输送工艺时，应进行技术经济论证，并说明其可行性及必要性。</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w:t>
            </w:r>
            <w:r w:rsidRPr="00FD5F6F">
              <w:rPr>
                <w:rFonts w:eastAsia="宋体"/>
                <w:snapToGrid/>
                <w:kern w:val="21"/>
                <w:sz w:val="21"/>
                <w:szCs w:val="21"/>
                <w:lang w:val="en-US" w:eastAsia="zh-CN"/>
              </w:rPr>
              <w:t>B50253</w:t>
            </w:r>
            <w:r w:rsidRPr="00FD5F6F">
              <w:rPr>
                <w:rFonts w:eastAsia="宋体" w:hint="eastAsia"/>
                <w:snapToGrid/>
                <w:kern w:val="21"/>
                <w:sz w:val="21"/>
                <w:szCs w:val="21"/>
                <w:lang w:val="en-US" w:eastAsia="zh-CN"/>
              </w:rPr>
              <w:t>-2014第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3.1.3</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输送工艺方案应根据管道的设计内压力、管径、输送方式、输油站数量、顺序输送油品批次等，以多个组合方案进行比选确定。</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二</w:t>
            </w:r>
          </w:p>
        </w:tc>
        <w:tc>
          <w:tcPr>
            <w:tcW w:w="8082" w:type="dxa"/>
            <w:gridSpan w:val="4"/>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线路选择</w:t>
            </w:r>
          </w:p>
        </w:tc>
      </w:tr>
      <w:tr w:rsidTr="00BF6F74">
        <w:tblPrEx>
          <w:tblW w:w="0" w:type="auto"/>
          <w:jc w:val="center"/>
          <w:tblLayout w:type="fixed"/>
          <w:tblLook w:val="01E0"/>
        </w:tblPrEx>
        <w:trPr>
          <w:trHeight w:val="901"/>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管道线路的选择，应根据该工程建设的目的和资源、市场分布，结合沿线城镇、交通、水利、矿产资源和环境敏感区的现状与规划，以及沿途地区的地形、地貌、地质、水文、气象、地震自然条件，通过综合分析和多方案技术经济比较确定线路总体走向。</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GB50253-2014第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4.1.1</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1658"/>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中间站场和大、中型穿跨越工程位置选择应符合线路总体走向；局部线路走向应根据中间站场和大、中型穿跨越位置进行调整。</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GB50253-2014第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4.1.2</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1666"/>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管道不应通过饮用水水源一级保护区、飞机场、火车站、海（河）港码头、军事禁区、国家重点文物保护范围、自然保护区的核心区。</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GB50253-2014第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4.1.3</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1448"/>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应避开滑坡、崩塌、塌陷、泥石流、洪水严重侵蚀等地质灾害地段，宜避开矿山采空区、全新世活动断层。当受到条件限制必须通过上述区域时，应选择其危害程度较小的位置通过，并采取相应的防护措施。</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GB50253-2014第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4.1.4</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rsidR="00CC18D8" w:rsidRPr="00FD5F6F" w:rsidP="00F81753">
            <w:pPr>
              <w:numPr>
                <w:ilvl w:val="0"/>
                <w:numId w:val="26"/>
              </w:numPr>
              <w:rPr>
                <w:rFonts w:eastAsia="宋体"/>
                <w:snapToGrid/>
                <w:kern w:val="21"/>
                <w:sz w:val="21"/>
                <w:szCs w:val="21"/>
                <w:lang w:val="en-US" w:eastAsia="zh-CN"/>
              </w:rPr>
            </w:pPr>
            <w:r w:rsidRPr="00FD5F6F" w:rsidR="00F81753">
              <w:rPr>
                <w:rFonts w:eastAsia="宋体" w:hint="eastAsia"/>
                <w:snapToGrid/>
                <w:kern w:val="21"/>
                <w:sz w:val="21"/>
                <w:szCs w:val="21"/>
                <w:lang w:val="en-US" w:eastAsia="zh-CN"/>
              </w:rPr>
              <w:t>5</w:t>
            </w: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埋地输油管道同地面建（构）筑物的最小间距应符合下列规定：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原油、成品油管道与城镇居民点或重要公共建筑的距离不应小于5m；</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原油、成品油管道临近飞机场、海（河）港码头、大中型水库和水工建（构）筑物敷设时，间距不宜小于20m；</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  输油管道与铁路并行敷设时，管道应敷设在铁路用地范围边线</w:t>
            </w:r>
            <w:smartTag w:uri="urn:schemas-microsoft-com:office:smarttags" w:element="chmetcnv">
              <w:smartTagPr>
                <w:attr w:name="HasSpace" w:val="False"/>
                <w:attr w:name="Negative" w:val="False"/>
                <w:attr w:name="NumberType" w:val="1"/>
                <w:attr w:name="SourceValue" w:val="3"/>
                <w:attr w:name="TCSC" w:val="0"/>
                <w:attr w:name="UnitName" w:val="m"/>
              </w:smartTagPr>
              <w:r w:rsidRPr="00FD5F6F">
                <w:rPr>
                  <w:rFonts w:eastAsia="宋体" w:hint="eastAsia"/>
                  <w:snapToGrid/>
                  <w:kern w:val="21"/>
                  <w:sz w:val="21"/>
                  <w:szCs w:val="21"/>
                  <w:lang w:val="en-US" w:eastAsia="zh-CN"/>
                </w:rPr>
                <w:t>3m</w:t>
              </w:r>
            </w:smartTag>
            <w:r w:rsidRPr="00FD5F6F">
              <w:rPr>
                <w:rFonts w:eastAsia="宋体" w:hint="eastAsia"/>
                <w:snapToGrid/>
                <w:kern w:val="21"/>
                <w:sz w:val="21"/>
                <w:szCs w:val="21"/>
                <w:lang w:val="en-US" w:eastAsia="zh-CN"/>
              </w:rPr>
              <w:t>以外，且原油、成品油管道距铁路线不应小于25m、液化石油气管道距铁路线不应小于</w:t>
            </w:r>
            <w:smartTag w:uri="urn:schemas-microsoft-com:office:smarttags" w:element="chmetcnv">
              <w:smartTagPr>
                <w:attr w:name="HasSpace" w:val="False"/>
                <w:attr w:name="Negative" w:val="False"/>
                <w:attr w:name="NumberType" w:val="1"/>
                <w:attr w:name="SourceValue" w:val="50"/>
                <w:attr w:name="TCSC" w:val="0"/>
                <w:attr w:name="UnitName" w:val="m"/>
              </w:smartTagPr>
              <w:r w:rsidRPr="00FD5F6F">
                <w:rPr>
                  <w:rFonts w:eastAsia="宋体" w:hint="eastAsia"/>
                  <w:snapToGrid/>
                  <w:kern w:val="21"/>
                  <w:sz w:val="21"/>
                  <w:szCs w:val="21"/>
                  <w:lang w:val="en-US" w:eastAsia="zh-CN"/>
                </w:rPr>
                <w:t>50m</w:t>
              </w:r>
            </w:smartTag>
            <w:r w:rsidRPr="00FD5F6F">
              <w:rPr>
                <w:rFonts w:eastAsia="宋体" w:hint="eastAsia"/>
                <w:snapToGrid/>
                <w:kern w:val="21"/>
                <w:sz w:val="21"/>
                <w:szCs w:val="21"/>
                <w:lang w:val="en-US" w:eastAsia="zh-CN"/>
              </w:rPr>
              <w:t>。如受制于地形或其他条件限制不满足本条要求时，应征得铁路管理部门的同意；</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  输油管道与公路并行敷设时，管道应敷设在公路用地范围边线以外，距用地边线不应小于3m。如受制于地形或其他条件限制不满足本条要求时，应征得公路管理部门的同意；</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5  原油、成品油管道与军工厂、军事设施、炸药库、国家重点文物保护设施的最小距离应同有关部门协商解决。液化石油气管道与军工厂、军事设施、炸药库、国家重点文物保护设施的距离不应小于100m；</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6  液化石油气管道与城镇居民点、重要公共建筑和一般建构、筑物的最小距离应符合现行国家标准《城镇燃气设计规范》（GB 50028）的有关规定。</w:t>
            </w:r>
          </w:p>
        </w:tc>
        <w:tc>
          <w:tcPr>
            <w:tcW w:w="1134" w:type="dxa"/>
            <w:shd w:val="clear" w:color="auto" w:fill="auto"/>
            <w:vAlign w:val="center"/>
          </w:tcP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管道与架空输电线路平行敷设时，其距离应符合现行国家标准《66kV及以下架空电力线路设计规范》GB50061及《110kV~750kV架空输电线路设计规范》GB 50545的有关规定。管道与干扰源接地体的距离应符合现行国家标准《埋地钢质管道交流干扰防护技术标准》GB/T 50698的有关规定。埋地输油管道与埋地电力电缆平行敷设的最小距离，应符合现行国家标准《钢质管道外腐蚀控制规范》GB/T 21447的有关规定。</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4.1.</w:t>
              </w:r>
              <w:r w:rsidRPr="00FD5F6F">
                <w:rPr>
                  <w:rFonts w:eastAsia="宋体" w:hint="eastAsia"/>
                  <w:snapToGrid/>
                  <w:kern w:val="21"/>
                  <w:sz w:val="21"/>
                  <w:szCs w:val="21"/>
                  <w:lang w:val="en-US" w:eastAsia="zh-CN"/>
                </w:rPr>
                <w:t>7</w:t>
              </w:r>
            </w:smartTag>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输油管道与已建管道并行敷设时，土方地区管道间距不宜小于</w:t>
            </w:r>
            <w:smartTag w:uri="urn:schemas-microsoft-com:office:smarttags" w:element="chmetcnv">
              <w:smartTagPr>
                <w:attr w:name="HasSpace" w:val="False"/>
                <w:attr w:name="Negative" w:val="False"/>
                <w:attr w:name="NumberType" w:val="1"/>
                <w:attr w:name="SourceValue" w:val="6"/>
                <w:attr w:name="TCSC" w:val="0"/>
                <w:attr w:name="UnitName" w:val="m"/>
              </w:smartTagPr>
              <w:r w:rsidRPr="00FD5F6F">
                <w:rPr>
                  <w:rFonts w:eastAsia="宋体" w:hint="eastAsia"/>
                  <w:snapToGrid/>
                  <w:kern w:val="21"/>
                  <w:sz w:val="21"/>
                  <w:szCs w:val="21"/>
                  <w:lang w:val="en-US" w:eastAsia="zh-CN"/>
                </w:rPr>
                <w:t>6m</w:t>
              </w:r>
            </w:smartTag>
            <w:r w:rsidRPr="00FD5F6F">
              <w:rPr>
                <w:rFonts w:eastAsia="宋体" w:hint="eastAsia"/>
                <w:snapToGrid/>
                <w:kern w:val="21"/>
                <w:sz w:val="21"/>
                <w:szCs w:val="21"/>
                <w:lang w:val="en-US" w:eastAsia="zh-CN"/>
              </w:rPr>
              <w:t>，如受制于地形或其他条件限制不能保持</w:t>
            </w:r>
            <w:smartTag w:uri="urn:schemas-microsoft-com:office:smarttags" w:element="chmetcnv">
              <w:smartTagPr>
                <w:attr w:name="HasSpace" w:val="False"/>
                <w:attr w:name="Negative" w:val="False"/>
                <w:attr w:name="NumberType" w:val="1"/>
                <w:attr w:name="SourceValue" w:val="6"/>
                <w:attr w:name="TCSC" w:val="0"/>
                <w:attr w:name="UnitName" w:val="m"/>
              </w:smartTagPr>
              <w:r w:rsidRPr="00FD5F6F">
                <w:rPr>
                  <w:rFonts w:eastAsia="宋体" w:hint="eastAsia"/>
                  <w:snapToGrid/>
                  <w:kern w:val="21"/>
                  <w:sz w:val="21"/>
                  <w:szCs w:val="21"/>
                  <w:lang w:val="en-US" w:eastAsia="zh-CN"/>
                </w:rPr>
                <w:t>6m</w:t>
              </w:r>
            </w:smartTag>
            <w:r w:rsidRPr="00FD5F6F">
              <w:rPr>
                <w:rFonts w:eastAsia="宋体" w:hint="eastAsia"/>
                <w:snapToGrid/>
                <w:kern w:val="21"/>
                <w:sz w:val="21"/>
                <w:szCs w:val="21"/>
                <w:lang w:val="en-US" w:eastAsia="zh-CN"/>
              </w:rPr>
              <w:t>间距时，应对已建管道采取保护措施。石方地区与已建管道并行间距小于</w:t>
            </w:r>
            <w:smartTag w:uri="urn:schemas-microsoft-com:office:smarttags" w:element="chmetcnv">
              <w:smartTagPr>
                <w:attr w:name="HasSpace" w:val="False"/>
                <w:attr w:name="Negative" w:val="False"/>
                <w:attr w:name="NumberType" w:val="1"/>
                <w:attr w:name="SourceValue" w:val="20"/>
                <w:attr w:name="TCSC" w:val="0"/>
                <w:attr w:name="UnitName" w:val="m"/>
              </w:smartTagPr>
              <w:r w:rsidRPr="00FD5F6F">
                <w:rPr>
                  <w:rFonts w:eastAsia="宋体" w:hint="eastAsia"/>
                  <w:snapToGrid/>
                  <w:kern w:val="21"/>
                  <w:sz w:val="21"/>
                  <w:szCs w:val="21"/>
                  <w:lang w:val="en-US" w:eastAsia="zh-CN"/>
                </w:rPr>
                <w:t>20m</w:t>
              </w:r>
            </w:smartTag>
            <w:r w:rsidRPr="00FD5F6F">
              <w:rPr>
                <w:rFonts w:eastAsia="宋体" w:hint="eastAsia"/>
                <w:snapToGrid/>
                <w:kern w:val="21"/>
                <w:sz w:val="21"/>
                <w:szCs w:val="21"/>
                <w:lang w:val="en-US" w:eastAsia="zh-CN"/>
              </w:rPr>
              <w:t>时不宜进行爆破施工。</w:t>
            </w:r>
          </w:p>
        </w:tc>
        <w:tc>
          <w:tcPr>
            <w:tcW w:w="1134"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4.1.</w:t>
              </w:r>
              <w:r w:rsidRPr="00FD5F6F">
                <w:rPr>
                  <w:rFonts w:eastAsia="宋体" w:hint="eastAsia"/>
                  <w:snapToGrid/>
                  <w:kern w:val="21"/>
                  <w:sz w:val="21"/>
                  <w:szCs w:val="21"/>
                  <w:lang w:val="en-US" w:eastAsia="zh-CN"/>
                </w:rPr>
                <w:t>8</w:t>
              </w:r>
            </w:smartTag>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FC05E5" w:rsidRPr="00FD5F6F" w:rsidP="00EA3E27">
            <w:pPr>
              <w:rPr>
                <w:rFonts w:eastAsia="宋体"/>
                <w:snapToGrid/>
                <w:kern w:val="21"/>
                <w:sz w:val="21"/>
                <w:szCs w:val="21"/>
                <w:lang w:val="en-US" w:eastAsia="zh-CN"/>
              </w:rPr>
            </w:pPr>
            <w:r w:rsidRPr="00FD5F6F">
              <w:rPr>
                <w:rFonts w:eastAsia="宋体" w:hint="eastAsia"/>
                <w:kern w:val="21"/>
                <w:sz w:val="21"/>
                <w:szCs w:val="21"/>
                <w:lang w:val="en-US" w:eastAsia="zh-CN"/>
              </w:rPr>
              <w:t>同期建设的输油管道，宜采用同沟方式敷设；同期建设的油、气管道，受地形限制时局部地段可采用同沟敷设，管道同沟敷</w:t>
            </w:r>
            <w:r w:rsidRPr="00FD5F6F">
              <w:rPr>
                <w:rFonts w:eastAsia="宋体" w:hint="eastAsia"/>
                <w:snapToGrid/>
                <w:kern w:val="21"/>
                <w:sz w:val="21"/>
                <w:szCs w:val="21"/>
                <w:lang w:val="en-US" w:eastAsia="zh-CN"/>
              </w:rPr>
              <w:t>设时其最小净间距不应小于</w:t>
            </w:r>
            <w:r w:rsidRPr="00FD5F6F" w:rsidR="007D6E34">
              <w:rPr>
                <w:rFonts w:eastAsia="宋体"/>
                <w:snapToGrid/>
                <w:kern w:val="21"/>
                <w:sz w:val="21"/>
                <w:szCs w:val="21"/>
                <w:lang w:val="en-US" w:eastAsia="zh-CN"/>
              </w:rPr>
              <w:t>0.</w:t>
            </w:r>
            <w:r w:rsidRPr="00FD5F6F">
              <w:rPr>
                <w:rFonts w:eastAsia="宋体"/>
                <w:snapToGrid/>
                <w:kern w:val="21"/>
                <w:sz w:val="21"/>
                <w:szCs w:val="21"/>
                <w:lang w:val="en-US" w:eastAsia="zh-CN"/>
              </w:rPr>
              <w:t>5m</w:t>
            </w:r>
            <w:r w:rsidRPr="00FD5F6F">
              <w:rPr>
                <w:rFonts w:eastAsia="宋体" w:hint="eastAsia"/>
                <w:snapToGrid/>
                <w:kern w:val="21"/>
                <w:sz w:val="21"/>
                <w:szCs w:val="21"/>
                <w:lang w:val="en-US" w:eastAsia="zh-CN"/>
              </w:rPr>
              <w:t>。</w:t>
            </w:r>
          </w:p>
        </w:tc>
        <w:tc>
          <w:tcPr>
            <w:tcW w:w="1134" w:type="dxa"/>
            <w:shd w:val="clear" w:color="auto" w:fill="auto"/>
            <w:vAlign w:val="center"/>
          </w:tcPr>
          <w:p w:rsidR="00FC05E5" w:rsidRPr="00FD5F6F" w:rsidP="00FC05E5">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第4.1.</w:t>
            </w:r>
            <w:r w:rsidRPr="00FD5F6F">
              <w:rPr>
                <w:rFonts w:eastAsia="宋体" w:hint="eastAsia"/>
                <w:snapToGrid/>
                <w:kern w:val="21"/>
                <w:sz w:val="21"/>
                <w:szCs w:val="21"/>
                <w:lang w:val="en-US" w:eastAsia="zh-CN"/>
              </w:rPr>
              <w:t>9</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FC05E5" w:rsidRPr="00FD5F6F" w:rsidP="00FC05E5">
            <w:pPr>
              <w:rPr>
                <w:rFonts w:eastAsia="宋体"/>
                <w:snapToGrid/>
                <w:kern w:val="21"/>
                <w:sz w:val="21"/>
                <w:szCs w:val="21"/>
                <w:lang w:val="en-US" w:eastAsia="zh-CN"/>
              </w:rPr>
            </w:pPr>
            <w:r w:rsidRPr="00FD5F6F">
              <w:rPr>
                <w:rFonts w:eastAsia="宋体" w:hint="eastAsia"/>
                <w:snapToGrid/>
                <w:kern w:val="21"/>
                <w:sz w:val="21"/>
                <w:szCs w:val="21"/>
                <w:lang w:val="en-US" w:eastAsia="zh-CN"/>
              </w:rPr>
              <w:t>管道与通信光缆同沟敷设时，其最小净距（指两断面垂直投影的净距）不应小于</w:t>
            </w:r>
            <w:r w:rsidRPr="00FD5F6F" w:rsidR="007D6E34">
              <w:rPr>
                <w:rFonts w:eastAsia="宋体" w:hint="eastAsia"/>
                <w:snapToGrid/>
                <w:kern w:val="21"/>
                <w:sz w:val="21"/>
                <w:szCs w:val="21"/>
                <w:lang w:val="en-US" w:eastAsia="zh-CN"/>
              </w:rPr>
              <w:t>0.</w:t>
            </w:r>
            <w:r w:rsidRPr="00FD5F6F">
              <w:rPr>
                <w:rFonts w:eastAsia="宋体" w:hint="eastAsia"/>
                <w:snapToGrid/>
                <w:kern w:val="21"/>
                <w:sz w:val="21"/>
                <w:szCs w:val="21"/>
                <w:lang w:val="en-US" w:eastAsia="zh-CN"/>
              </w:rPr>
              <w:t>3m 。</w:t>
            </w:r>
          </w:p>
        </w:tc>
        <w:tc>
          <w:tcPr>
            <w:tcW w:w="1134" w:type="dxa"/>
            <w:shd w:val="clear" w:color="auto" w:fill="auto"/>
            <w:vAlign w:val="center"/>
          </w:tcPr>
          <w:p w:rsidR="00FC05E5" w:rsidRPr="00FD5F6F" w:rsidP="00FC05E5">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第4.1.</w:t>
            </w:r>
            <w:r w:rsidRPr="00FD5F6F">
              <w:rPr>
                <w:rFonts w:eastAsia="宋体" w:hint="eastAsia"/>
                <w:snapToGrid/>
                <w:kern w:val="21"/>
                <w:sz w:val="21"/>
                <w:szCs w:val="21"/>
                <w:lang w:val="en-US" w:eastAsia="zh-CN"/>
              </w:rPr>
              <w:t>10</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rsidR="00176F39" w:rsidRPr="00FD5F6F" w:rsidP="00176F39">
            <w:pPr>
              <w:rPr>
                <w:rFonts w:eastAsia="宋体"/>
                <w:snapToGrid/>
                <w:kern w:val="21"/>
                <w:sz w:val="21"/>
                <w:szCs w:val="21"/>
                <w:lang w:val="en-US" w:eastAsia="zh-CN"/>
              </w:rPr>
            </w:pPr>
            <w:r w:rsidRPr="00FD5F6F">
              <w:rPr>
                <w:rFonts w:eastAsia="宋体" w:hint="eastAsia"/>
                <w:snapToGrid/>
                <w:kern w:val="21"/>
                <w:sz w:val="21"/>
                <w:szCs w:val="21"/>
                <w:lang w:val="en-US" w:eastAsia="zh-CN"/>
              </w:rPr>
              <w:t>三</w:t>
            </w:r>
          </w:p>
        </w:tc>
        <w:tc>
          <w:tcPr>
            <w:tcW w:w="8082" w:type="dxa"/>
            <w:gridSpan w:val="4"/>
            <w:shd w:val="clear" w:color="auto" w:fill="auto"/>
            <w:vAlign w:val="center"/>
          </w:tcPr>
          <w:p w:rsidR="00176F39"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管道敷设</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C1C7D" w:rsidRPr="00FD5F6F" w:rsidP="00FC05E5">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输油管道应采用地下埋设方式。当受自然条件限制时，局部地段可采用土堤埋设或地上敷设。</w:t>
            </w:r>
          </w:p>
        </w:tc>
        <w:tc>
          <w:tcPr>
            <w:tcW w:w="1134" w:type="dxa"/>
            <w:shd w:val="clear" w:color="auto" w:fill="auto"/>
            <w:vAlign w:val="center"/>
          </w:tcPr>
          <w:p w:rsidR="005C1C7D" w:rsidRPr="00FD5F6F" w:rsidP="005C1C7D">
            <w:pPr>
              <w:rPr>
                <w:rFonts w:eastAsia="宋体"/>
                <w:snapToGrid/>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1</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176F39" w:rsidRPr="00FD5F6F" w:rsidP="00176F39">
            <w:pPr>
              <w:rPr>
                <w:rFonts w:eastAsia="宋体"/>
                <w:snapToGrid/>
                <w:kern w:val="21"/>
                <w:sz w:val="21"/>
                <w:szCs w:val="21"/>
                <w:lang w:val="en-US" w:eastAsia="zh-CN"/>
              </w:rPr>
            </w:pPr>
            <w:r w:rsidRPr="00FD5F6F">
              <w:rPr>
                <w:rFonts w:eastAsia="宋体" w:hint="eastAsia"/>
                <w:snapToGrid/>
                <w:kern w:val="21"/>
                <w:sz w:val="21"/>
                <w:szCs w:val="21"/>
                <w:lang w:val="en-US" w:eastAsia="zh-CN"/>
              </w:rPr>
              <w:t>当输油管道需改变平面走向或为适应地形变化改变纵向坡度时，可采用弹性弯曲、冷弯管和热煨弯管，不得采用虾米腰弯头或褶皱弯头，并应符合下列规定：</w:t>
            </w:r>
          </w:p>
          <w:p w:rsidR="00176F39" w:rsidRPr="00FD5F6F" w:rsidP="00176F39">
            <w:pPr>
              <w:rPr>
                <w:rFonts w:eastAsia="宋体"/>
                <w:snapToGrid/>
                <w:kern w:val="21"/>
                <w:sz w:val="21"/>
                <w:szCs w:val="21"/>
                <w:lang w:val="en-US" w:eastAsia="zh-CN"/>
              </w:rPr>
            </w:pPr>
            <w:r w:rsidRPr="00FD5F6F">
              <w:rPr>
                <w:rFonts w:eastAsia="宋体" w:hint="eastAsia"/>
                <w:snapToGrid/>
                <w:kern w:val="21"/>
                <w:sz w:val="21"/>
                <w:szCs w:val="21"/>
                <w:lang w:val="en-US" w:eastAsia="zh-CN"/>
              </w:rPr>
              <w:t>1  在平面转角较小或地形起伏不大的情况下，应优先采用弹性弯曲敷设，并应符合下列规定：1）弹性敷设管道的曲率半径应满足钢管强度要求，且不宜小于钢管外直径的</w:t>
            </w:r>
            <w:r w:rsidRPr="00FD5F6F">
              <w:rPr>
                <w:rFonts w:eastAsia="宋体"/>
                <w:snapToGrid/>
                <w:kern w:val="21"/>
                <w:sz w:val="21"/>
                <w:szCs w:val="21"/>
                <w:lang w:val="en-US" w:eastAsia="zh-CN"/>
              </w:rPr>
              <w:t>1000</w:t>
            </w:r>
            <w:r w:rsidRPr="00FD5F6F">
              <w:rPr>
                <w:rFonts w:eastAsia="宋体" w:hint="eastAsia"/>
                <w:snapToGrid/>
                <w:kern w:val="21"/>
                <w:sz w:val="21"/>
                <w:szCs w:val="21"/>
                <w:lang w:val="en-US" w:eastAsia="zh-CN"/>
              </w:rPr>
              <w:t>倍。</w:t>
            </w:r>
            <w:r w:rsidRPr="00FD5F6F">
              <w:rPr>
                <w:rFonts w:eastAsia="宋体"/>
                <w:snapToGrid/>
                <w:kern w:val="21"/>
                <w:sz w:val="21"/>
                <w:szCs w:val="21"/>
                <w:lang w:val="en-US" w:eastAsia="zh-CN"/>
              </w:rPr>
              <w:t>2</w:t>
            </w:r>
            <w:r w:rsidRPr="00FD5F6F">
              <w:rPr>
                <w:rFonts w:eastAsia="宋体" w:hint="eastAsia"/>
                <w:snapToGrid/>
                <w:kern w:val="21"/>
                <w:sz w:val="21"/>
                <w:szCs w:val="21"/>
                <w:lang w:val="en-US" w:eastAsia="zh-CN"/>
              </w:rPr>
              <w:t>）弹性敷设管道与相邻的反向弹性弯曲管段之间及弹性弯曲管段与弯管之间，应采用直管段连接，直管段长度不应小于钢管的外径，且不应小于</w:t>
            </w:r>
            <w:smartTag w:uri="urn:schemas-microsoft-com:office:smarttags" w:element="chmetcnv">
              <w:smartTagPr>
                <w:attr w:name="HasSpace" w:val="False"/>
                <w:attr w:name="Negative" w:val="False"/>
                <w:attr w:name="NumberType" w:val="1"/>
                <w:attr w:name="SourceValue" w:val="0.5"/>
                <w:attr w:name="TCSC" w:val="0"/>
                <w:attr w:name="UnitName" w:val="m"/>
              </w:smartTagPr>
              <w:r w:rsidRPr="00FD5F6F">
                <w:rPr>
                  <w:rFonts w:eastAsia="宋体" w:hint="eastAsia"/>
                  <w:snapToGrid/>
                  <w:kern w:val="21"/>
                  <w:sz w:val="21"/>
                  <w:szCs w:val="21"/>
                  <w:lang w:val="en-US" w:eastAsia="zh-CN"/>
                </w:rPr>
                <w:t>0.5</w:t>
              </w:r>
              <w:r w:rsidRPr="00FD5F6F">
                <w:rPr>
                  <w:rFonts w:eastAsia="宋体"/>
                  <w:snapToGrid/>
                  <w:kern w:val="21"/>
                  <w:sz w:val="21"/>
                  <w:szCs w:val="21"/>
                  <w:lang w:val="en-US" w:eastAsia="zh-CN"/>
                </w:rPr>
                <w:t>m</w:t>
              </w:r>
            </w:smartTag>
            <w:r w:rsidRPr="00FD5F6F">
              <w:rPr>
                <w:rFonts w:eastAsia="宋体" w:hint="eastAsia"/>
                <w:snapToGrid/>
                <w:kern w:val="21"/>
                <w:sz w:val="21"/>
                <w:szCs w:val="21"/>
                <w:lang w:val="en-US" w:eastAsia="zh-CN"/>
              </w:rPr>
              <w:t>。2  当采用热煨弯管时，其曲率半径不宜小于钢管外直径的5倍，且应满足清管器或检测器顺利通过的要求。</w:t>
            </w:r>
          </w:p>
        </w:tc>
        <w:tc>
          <w:tcPr>
            <w:tcW w:w="1134" w:type="dxa"/>
            <w:shd w:val="clear" w:color="auto" w:fill="auto"/>
            <w:vAlign w:val="center"/>
          </w:tcPr>
          <w:p w:rsidR="00176F39" w:rsidRPr="00FD5F6F" w:rsidP="00176F39">
            <w:pPr>
              <w:rPr>
                <w:rFonts w:eastAsia="宋体"/>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2条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C1C7D" w:rsidRPr="00FD5F6F" w:rsidP="00FC05E5">
            <w:pPr>
              <w:rPr>
                <w:rFonts w:eastAsia="宋体"/>
                <w:snapToGrid/>
                <w:kern w:val="21"/>
                <w:sz w:val="21"/>
                <w:szCs w:val="21"/>
                <w:lang w:val="en-US" w:eastAsia="zh-CN"/>
              </w:rPr>
            </w:pPr>
            <w:r w:rsidRPr="00FD5F6F">
              <w:rPr>
                <w:rFonts w:eastAsia="宋体"/>
                <w:snapToGrid/>
                <w:kern w:val="21"/>
                <w:sz w:val="21"/>
                <w:szCs w:val="21"/>
                <w:lang w:val="en-US" w:eastAsia="zh-CN"/>
              </w:rPr>
              <w:t>埋地管道的埋设深度，应根据管道所经地段的农田耕作深度、冻土深度、地形和地质条件、地下水深度、地面车辆所施加的荷载及管道稳定性的要求等因素，经综合分析后确定。管顶的覆土层厚度不</w:t>
            </w:r>
            <w:r w:rsidRPr="00FD5F6F">
              <w:rPr>
                <w:rFonts w:eastAsia="宋体" w:hint="eastAsia"/>
                <w:snapToGrid/>
                <w:kern w:val="21"/>
                <w:sz w:val="21"/>
                <w:szCs w:val="21"/>
                <w:lang w:val="en-US" w:eastAsia="zh-CN"/>
              </w:rPr>
              <w:t>宜</w:t>
            </w:r>
            <w:r w:rsidRPr="00FD5F6F">
              <w:rPr>
                <w:rFonts w:eastAsia="宋体"/>
                <w:snapToGrid/>
                <w:kern w:val="21"/>
                <w:sz w:val="21"/>
                <w:szCs w:val="21"/>
                <w:lang w:val="en-US" w:eastAsia="zh-CN"/>
              </w:rPr>
              <w:t>小于</w:t>
            </w:r>
            <w:smartTag w:uri="urn:schemas-microsoft-com:office:smarttags" w:element="chmetcnv">
              <w:smartTagPr>
                <w:attr w:name="HasSpace" w:val="False"/>
                <w:attr w:name="Negative" w:val="False"/>
                <w:attr w:name="NumberType" w:val="1"/>
                <w:attr w:name="SourceValue" w:val="0.8"/>
                <w:attr w:name="TCSC" w:val="0"/>
                <w:attr w:name="UnitName" w:val="m"/>
              </w:smartTagPr>
              <w:r w:rsidRPr="00FD5F6F">
                <w:rPr>
                  <w:rFonts w:eastAsia="宋体"/>
                  <w:snapToGrid/>
                  <w:kern w:val="21"/>
                  <w:sz w:val="21"/>
                  <w:szCs w:val="21"/>
                  <w:lang w:val="en-US" w:eastAsia="zh-CN"/>
                </w:rPr>
                <w:t>0.8m</w:t>
              </w:r>
            </w:smartTag>
            <w:r w:rsidRPr="00FD5F6F">
              <w:rPr>
                <w:rFonts w:eastAsia="宋体"/>
                <w:snapToGrid/>
                <w:kern w:val="21"/>
                <w:sz w:val="21"/>
                <w:szCs w:val="21"/>
                <w:lang w:val="en-US" w:eastAsia="zh-CN"/>
              </w:rPr>
              <w:t>。</w:t>
            </w:r>
          </w:p>
        </w:tc>
        <w:tc>
          <w:tcPr>
            <w:tcW w:w="1134" w:type="dxa"/>
            <w:shd w:val="clear" w:color="auto" w:fill="auto"/>
            <w:vAlign w:val="center"/>
          </w:tcPr>
          <w:p w:rsidR="005C1C7D" w:rsidRPr="00FD5F6F" w:rsidP="007E24CD">
            <w:pPr>
              <w:rPr>
                <w:rFonts w:eastAsia="宋体"/>
                <w:snapToGrid/>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3</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3B195D" w:rsidRPr="00FD5F6F" w:rsidP="003B195D">
            <w:pPr>
              <w:rPr>
                <w:rFonts w:eastAsia="宋体"/>
                <w:snapToGrid/>
                <w:kern w:val="21"/>
                <w:sz w:val="21"/>
                <w:szCs w:val="21"/>
                <w:lang w:val="en-US" w:eastAsia="zh-CN"/>
              </w:rPr>
            </w:pPr>
            <w:r w:rsidRPr="00FD5F6F">
              <w:rPr>
                <w:rFonts w:eastAsia="宋体" w:hint="eastAsia"/>
                <w:snapToGrid/>
                <w:kern w:val="21"/>
                <w:sz w:val="21"/>
                <w:szCs w:val="21"/>
                <w:lang w:val="en-US" w:eastAsia="zh-CN"/>
              </w:rPr>
              <w:t>管沟回填土作业应符合下列规定：</w:t>
            </w:r>
          </w:p>
          <w:p w:rsidR="003B195D" w:rsidRPr="00FD5F6F" w:rsidP="003B195D">
            <w:pPr>
              <w:rPr>
                <w:rFonts w:eastAsia="宋体"/>
                <w:snapToGrid/>
                <w:kern w:val="21"/>
                <w:sz w:val="21"/>
                <w:szCs w:val="21"/>
                <w:lang w:val="en-US" w:eastAsia="zh-CN"/>
              </w:rPr>
            </w:pPr>
            <w:r w:rsidRPr="00FD5F6F">
              <w:rPr>
                <w:rFonts w:eastAsia="宋体" w:hint="eastAsia"/>
                <w:snapToGrid/>
                <w:kern w:val="21"/>
                <w:sz w:val="21"/>
                <w:szCs w:val="21"/>
                <w:lang w:val="en-US" w:eastAsia="zh-CN"/>
              </w:rPr>
              <w:t>1 岩石、卵砾石、冻土段管沟，应在沟底先铺设细土或砂垫层，压实后的厚度不宣小于</w:t>
            </w:r>
            <w:r w:rsidRPr="00FD5F6F" w:rsidR="007D6E34">
              <w:rPr>
                <w:rFonts w:eastAsia="宋体" w:hint="eastAsia"/>
                <w:snapToGrid/>
                <w:kern w:val="21"/>
                <w:sz w:val="21"/>
                <w:szCs w:val="21"/>
                <w:lang w:val="en-US" w:eastAsia="zh-CN"/>
              </w:rPr>
              <w:t>0.2m</w:t>
            </w:r>
            <w:r w:rsidRPr="00FD5F6F">
              <w:rPr>
                <w:rFonts w:eastAsia="宋体" w:hint="eastAsia"/>
                <w:snapToGrid/>
                <w:kern w:val="21"/>
                <w:sz w:val="21"/>
                <w:szCs w:val="21"/>
                <w:lang w:val="en-US" w:eastAsia="zh-CN"/>
              </w:rPr>
              <w:t>。</w:t>
            </w:r>
          </w:p>
          <w:p w:rsidR="003B195D" w:rsidRPr="00FD5F6F" w:rsidP="003B195D">
            <w:pPr>
              <w:rPr>
                <w:rFonts w:eastAsia="宋体"/>
                <w:snapToGrid/>
                <w:kern w:val="21"/>
                <w:sz w:val="21"/>
                <w:szCs w:val="21"/>
                <w:lang w:val="en-US" w:eastAsia="zh-CN"/>
              </w:rPr>
            </w:pPr>
            <w:r w:rsidRPr="00FD5F6F">
              <w:rPr>
                <w:rFonts w:eastAsia="宋体" w:hint="eastAsia"/>
                <w:snapToGrid/>
                <w:kern w:val="21"/>
                <w:sz w:val="21"/>
                <w:szCs w:val="21"/>
                <w:lang w:val="en-US" w:eastAsia="zh-CN"/>
              </w:rPr>
              <w:t>2 回填岩石、砾石、冻土段的管沟时，应先用细土或砂回填至管顶以上0.3m 后，方可用原状土回填，回填土中的岩石和碎石块最大粒径不应超过250mm 。</w:t>
            </w:r>
          </w:p>
          <w:p w:rsidR="003B195D" w:rsidRPr="00FD5F6F" w:rsidP="003B195D">
            <w:pPr>
              <w:rPr>
                <w:rFonts w:eastAsia="宋体"/>
                <w:snapToGrid/>
                <w:kern w:val="21"/>
                <w:sz w:val="21"/>
                <w:szCs w:val="21"/>
                <w:lang w:val="en-US" w:eastAsia="zh-CN"/>
              </w:rPr>
            </w:pPr>
            <w:r w:rsidRPr="00FD5F6F">
              <w:rPr>
                <w:rFonts w:eastAsia="宋体" w:hint="eastAsia"/>
                <w:snapToGrid/>
                <w:kern w:val="21"/>
                <w:sz w:val="21"/>
                <w:szCs w:val="21"/>
                <w:lang w:val="en-US" w:eastAsia="zh-CN"/>
              </w:rPr>
              <w:t>3 管顶和管底用的细土或砂的最大粒径应根据外防腐涂层的类型确定；对于三层结构聚乙烯、三层结构聚丙烯和双层环氧粉末外防腐涂层，最大粒径不宜超过20mm ，且应保证良好的颗粒级配；对于其他涂层，最大粒径不宜超过10mm。</w:t>
            </w:r>
          </w:p>
          <w:p w:rsidR="003B195D" w:rsidRPr="00FD5F6F" w:rsidP="003B195D">
            <w:pPr>
              <w:rPr>
                <w:rFonts w:eastAsia="宋体"/>
                <w:snapToGrid/>
                <w:kern w:val="21"/>
                <w:sz w:val="21"/>
                <w:szCs w:val="21"/>
                <w:lang w:val="en-US" w:eastAsia="zh-CN"/>
              </w:rPr>
            </w:pPr>
            <w:r w:rsidRPr="00FD5F6F">
              <w:rPr>
                <w:rFonts w:eastAsia="宋体" w:hint="eastAsia"/>
                <w:snapToGrid/>
                <w:kern w:val="21"/>
                <w:sz w:val="21"/>
                <w:szCs w:val="21"/>
                <w:lang w:val="en-US" w:eastAsia="zh-CN"/>
              </w:rPr>
              <w:t>4 一般地段的管沟回填，应留有沉降余量，回填土宜高出地面0.3m 以上。对于回填后可能遭受地表汇水冲刷或浸泡的管沟，回填土应压实，压实系数不宜小于0.85，并应满足水土保持的要求。</w:t>
            </w:r>
          </w:p>
          <w:p w:rsidR="003B195D" w:rsidRPr="00FD5F6F" w:rsidP="003B195D">
            <w:pPr>
              <w:rPr>
                <w:rFonts w:eastAsia="宋体"/>
                <w:snapToGrid/>
                <w:kern w:val="21"/>
                <w:sz w:val="21"/>
                <w:szCs w:val="21"/>
                <w:lang w:val="en-US" w:eastAsia="zh-CN"/>
              </w:rPr>
            </w:pPr>
            <w:r w:rsidRPr="00FD5F6F">
              <w:rPr>
                <w:rFonts w:eastAsia="宋体" w:hint="eastAsia"/>
                <w:snapToGrid/>
                <w:kern w:val="21"/>
                <w:sz w:val="21"/>
                <w:szCs w:val="21"/>
                <w:lang w:val="en-US" w:eastAsia="zh-CN"/>
              </w:rPr>
              <w:t>5 输油管道出土端、进出站（阀室）和固定墩前后段，回填土时应分层旁实，分层厚度不应大于0.3m ，穷实系数不宜小于0. 9。单侧穷实段长度应根据计算确定。</w:t>
            </w:r>
          </w:p>
        </w:tc>
        <w:tc>
          <w:tcPr>
            <w:tcW w:w="1134" w:type="dxa"/>
            <w:shd w:val="clear" w:color="auto" w:fill="auto"/>
            <w:vAlign w:val="center"/>
          </w:tcPr>
          <w:p w:rsidR="003B195D" w:rsidRPr="00FD5F6F" w:rsidP="003B195D">
            <w:pPr>
              <w:rPr>
                <w:rFonts w:eastAsia="宋体"/>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6条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7E24CD" w:rsidRPr="00FD5F6F" w:rsidP="00FC05E5">
            <w:pPr>
              <w:rPr>
                <w:rFonts w:eastAsia="宋体"/>
                <w:snapToGrid/>
                <w:kern w:val="21"/>
                <w:sz w:val="21"/>
                <w:szCs w:val="21"/>
                <w:lang w:val="en-US" w:eastAsia="zh-CN"/>
              </w:rPr>
            </w:pPr>
            <w:r w:rsidRPr="00FD5F6F">
              <w:rPr>
                <w:rFonts w:eastAsia="宋体" w:hint="eastAsia"/>
                <w:snapToGrid/>
                <w:kern w:val="21"/>
                <w:sz w:val="21"/>
                <w:szCs w:val="21"/>
                <w:lang w:val="en-US" w:eastAsia="zh-CN"/>
              </w:rPr>
              <w:t>管沟回填后，应恢复原地貌，并保护耕植层，防止水土流失和积水。</w:t>
            </w:r>
          </w:p>
        </w:tc>
        <w:tc>
          <w:tcPr>
            <w:tcW w:w="1134" w:type="dxa"/>
            <w:shd w:val="clear" w:color="auto" w:fill="auto"/>
            <w:vAlign w:val="center"/>
          </w:tcPr>
          <w:p w:rsidR="007E24CD" w:rsidRPr="00FD5F6F" w:rsidP="007E24CD">
            <w:pPr>
              <w:rPr>
                <w:rFonts w:eastAsia="宋体"/>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7条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7E24CD" w:rsidRPr="00FD5F6F" w:rsidP="00FC05E5">
            <w:pPr>
              <w:rPr>
                <w:rFonts w:eastAsia="宋体"/>
                <w:snapToGrid/>
                <w:kern w:val="21"/>
                <w:sz w:val="21"/>
                <w:szCs w:val="21"/>
                <w:lang w:val="en-US" w:eastAsia="zh-CN"/>
              </w:rPr>
            </w:pPr>
            <w:r w:rsidRPr="00FD5F6F">
              <w:rPr>
                <w:rFonts w:eastAsia="宋体"/>
                <w:snapToGrid/>
                <w:kern w:val="21"/>
                <w:sz w:val="21"/>
                <w:szCs w:val="21"/>
                <w:lang w:val="en-US" w:eastAsia="zh-CN"/>
              </w:rPr>
              <w:t>当输油管道</w:t>
            </w:r>
            <w:r w:rsidRPr="00FD5F6F">
              <w:rPr>
                <w:rFonts w:eastAsia="宋体" w:hint="eastAsia"/>
                <w:snapToGrid/>
                <w:kern w:val="21"/>
                <w:sz w:val="21"/>
                <w:szCs w:val="21"/>
                <w:lang w:val="en-US" w:eastAsia="zh-CN"/>
              </w:rPr>
              <w:t>一侧临近</w:t>
            </w:r>
            <w:r w:rsidRPr="00FD5F6F">
              <w:rPr>
                <w:rFonts w:eastAsia="宋体"/>
                <w:snapToGrid/>
                <w:kern w:val="21"/>
                <w:sz w:val="21"/>
                <w:szCs w:val="21"/>
                <w:lang w:val="en-US" w:eastAsia="zh-CN"/>
              </w:rPr>
              <w:t>冲沟</w:t>
            </w:r>
            <w:r w:rsidRPr="00FD5F6F">
              <w:rPr>
                <w:rFonts w:eastAsia="宋体" w:hint="eastAsia"/>
                <w:snapToGrid/>
                <w:kern w:val="21"/>
                <w:sz w:val="21"/>
                <w:szCs w:val="21"/>
                <w:lang w:val="en-US" w:eastAsia="zh-CN"/>
              </w:rPr>
              <w:t>或陡坎时</w:t>
            </w:r>
            <w:r w:rsidRPr="00FD5F6F">
              <w:rPr>
                <w:rFonts w:eastAsia="宋体"/>
                <w:snapToGrid/>
                <w:kern w:val="21"/>
                <w:sz w:val="21"/>
                <w:szCs w:val="21"/>
                <w:lang w:val="en-US" w:eastAsia="zh-CN"/>
              </w:rPr>
              <w:t>，应对冲沟的边坡、沟底和陡坎采取加固措施。</w:t>
            </w:r>
          </w:p>
        </w:tc>
        <w:tc>
          <w:tcPr>
            <w:tcW w:w="1134" w:type="dxa"/>
            <w:shd w:val="clear" w:color="auto" w:fill="auto"/>
            <w:vAlign w:val="center"/>
          </w:tcPr>
          <w:p w:rsidR="007E24CD" w:rsidRPr="00FD5F6F" w:rsidP="007E24CD">
            <w:pPr>
              <w:rPr>
                <w:rFonts w:eastAsia="宋体"/>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8条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DC0376" w:rsidRPr="00FD5F6F" w:rsidP="00DC0376">
            <w:pPr>
              <w:rPr>
                <w:rFonts w:eastAsia="宋体"/>
                <w:snapToGrid/>
                <w:kern w:val="21"/>
                <w:sz w:val="21"/>
                <w:szCs w:val="21"/>
                <w:lang w:val="en-US" w:eastAsia="zh-CN"/>
              </w:rPr>
            </w:pPr>
            <w:r w:rsidRPr="00FD5F6F">
              <w:rPr>
                <w:rFonts w:eastAsia="宋体" w:hint="eastAsia"/>
                <w:snapToGrid/>
                <w:kern w:val="21"/>
                <w:sz w:val="21"/>
                <w:szCs w:val="21"/>
                <w:lang w:val="en-US" w:eastAsia="zh-CN"/>
              </w:rPr>
              <w:t>当输油管道采取土堤埋设时，土堤设计应符合下列规定：</w:t>
            </w:r>
          </w:p>
          <w:p w:rsidR="00DC0376" w:rsidRPr="00FD5F6F" w:rsidP="00DC0376">
            <w:pPr>
              <w:rPr>
                <w:rFonts w:eastAsia="宋体"/>
                <w:snapToGrid/>
                <w:kern w:val="21"/>
                <w:sz w:val="21"/>
                <w:szCs w:val="21"/>
                <w:lang w:val="en-US" w:eastAsia="zh-CN"/>
              </w:rPr>
            </w:pPr>
            <w:r w:rsidRPr="00FD5F6F">
              <w:rPr>
                <w:rFonts w:eastAsia="宋体" w:hint="eastAsia"/>
                <w:snapToGrid/>
                <w:kern w:val="21"/>
                <w:sz w:val="21"/>
                <w:szCs w:val="21"/>
                <w:lang w:val="en-US" w:eastAsia="zh-CN"/>
              </w:rPr>
              <w:t>1 输油管道在土堤中的径向覆土厚度不应小于1.0m ；土堤顶宽应大于管道直径两倍且不得小于1.0m 。</w:t>
            </w:r>
          </w:p>
          <w:p w:rsidR="00DC0376" w:rsidRPr="00FD5F6F" w:rsidP="00DC0376">
            <w:pPr>
              <w:rPr>
                <w:rFonts w:eastAsia="宋体"/>
                <w:snapToGrid/>
                <w:kern w:val="21"/>
                <w:sz w:val="21"/>
                <w:szCs w:val="21"/>
                <w:lang w:val="en-US" w:eastAsia="zh-CN"/>
              </w:rPr>
            </w:pPr>
            <w:r w:rsidRPr="00FD5F6F">
              <w:rPr>
                <w:rFonts w:eastAsia="宋体" w:hint="eastAsia"/>
                <w:snapToGrid/>
                <w:kern w:val="21"/>
                <w:sz w:val="21"/>
                <w:szCs w:val="21"/>
                <w:lang w:val="en-US" w:eastAsia="zh-CN"/>
              </w:rPr>
              <w:t>2 土堤边坡坡度应根据当地自然条件、填土类别和土堤高度确定。对黏性士土堤，堤高小于2.0m 时，土堤边坡坡度可采用1：0.75~ 1：1；堤高为2m～ 5m 时，可采用1：1.25~ 1：1.5。</w:t>
            </w:r>
          </w:p>
          <w:p w:rsidR="00DC0376" w:rsidRPr="00FD5F6F" w:rsidP="00DC0376">
            <w:pPr>
              <w:rPr>
                <w:rFonts w:eastAsia="宋体"/>
                <w:snapToGrid/>
                <w:kern w:val="21"/>
                <w:sz w:val="21"/>
                <w:szCs w:val="21"/>
                <w:lang w:val="en-US" w:eastAsia="zh-CN"/>
              </w:rPr>
            </w:pPr>
            <w:r w:rsidRPr="00FD5F6F">
              <w:rPr>
                <w:rFonts w:eastAsia="宋体" w:hint="eastAsia"/>
                <w:snapToGrid/>
                <w:kern w:val="21"/>
                <w:sz w:val="21"/>
                <w:szCs w:val="21"/>
                <w:lang w:val="en-US" w:eastAsia="zh-CN"/>
              </w:rPr>
              <w:t>3 土堤受水浸淹部分的边坡应采用1 : 2 的坡度，并应根据水流情况采取保护措施。</w:t>
            </w:r>
          </w:p>
          <w:p w:rsidR="00DC0376" w:rsidRPr="00FD5F6F" w:rsidP="00DC0376">
            <w:pPr>
              <w:rPr>
                <w:rFonts w:eastAsia="宋体"/>
                <w:snapToGrid/>
                <w:kern w:val="21"/>
                <w:sz w:val="21"/>
                <w:szCs w:val="21"/>
                <w:lang w:val="en-US" w:eastAsia="zh-CN"/>
              </w:rPr>
            </w:pPr>
            <w:r w:rsidRPr="00FD5F6F">
              <w:rPr>
                <w:rFonts w:eastAsia="宋体" w:hint="eastAsia"/>
                <w:snapToGrid/>
                <w:kern w:val="21"/>
                <w:sz w:val="21"/>
                <w:szCs w:val="21"/>
                <w:lang w:val="en-US" w:eastAsia="zh-CN"/>
              </w:rPr>
              <w:t>4 在沼泽和低洼地区，土堤的堤肩高度应根据常水位、波浪高度和地基强度确定。</w:t>
            </w:r>
          </w:p>
          <w:p w:rsidR="00DC0376" w:rsidRPr="00FD5F6F" w:rsidP="00DC0376">
            <w:pPr>
              <w:rPr>
                <w:rFonts w:eastAsia="宋体"/>
                <w:snapToGrid/>
                <w:kern w:val="21"/>
                <w:sz w:val="21"/>
                <w:szCs w:val="21"/>
                <w:lang w:val="en-US" w:eastAsia="zh-CN"/>
              </w:rPr>
            </w:pPr>
            <w:r w:rsidRPr="00FD5F6F">
              <w:rPr>
                <w:rFonts w:eastAsia="宋体" w:hint="eastAsia"/>
                <w:snapToGrid/>
                <w:kern w:val="21"/>
                <w:sz w:val="21"/>
                <w:szCs w:val="21"/>
                <w:lang w:val="en-US" w:eastAsia="zh-CN"/>
              </w:rPr>
              <w:t>5 当土堤阻挡水流排泄时，应设置泄水孔或涵洞等构筑物；泄水能力应满足重现期为25 年一遇的洪水流量。</w:t>
            </w:r>
          </w:p>
          <w:p w:rsidR="00DC0376" w:rsidRPr="00FD5F6F" w:rsidP="00DC0376">
            <w:pPr>
              <w:rPr>
                <w:rFonts w:eastAsia="宋体"/>
                <w:snapToGrid/>
                <w:kern w:val="21"/>
                <w:sz w:val="21"/>
                <w:szCs w:val="21"/>
                <w:lang w:val="en-US" w:eastAsia="zh-CN"/>
              </w:rPr>
            </w:pPr>
            <w:r w:rsidRPr="00FD5F6F">
              <w:rPr>
                <w:rFonts w:eastAsia="宋体" w:hint="eastAsia"/>
                <w:snapToGrid/>
                <w:kern w:val="21"/>
                <w:sz w:val="21"/>
                <w:szCs w:val="21"/>
                <w:lang w:val="en-US" w:eastAsia="zh-CN"/>
              </w:rPr>
              <w:t>6 软弱地基上的土堤，应防止填土后基础的沉陷。</w:t>
            </w:r>
          </w:p>
          <w:p w:rsidR="00EA3E27" w:rsidRPr="00FD5F6F" w:rsidP="00DC0376">
            <w:pPr>
              <w:rPr>
                <w:rFonts w:eastAsia="宋体"/>
                <w:snapToGrid/>
                <w:kern w:val="21"/>
                <w:sz w:val="21"/>
                <w:szCs w:val="21"/>
                <w:lang w:val="en-US" w:eastAsia="zh-CN"/>
              </w:rPr>
            </w:pPr>
            <w:r w:rsidRPr="00FD5F6F" w:rsidR="00DC0376">
              <w:rPr>
                <w:rFonts w:eastAsia="宋体" w:hint="eastAsia"/>
                <w:snapToGrid/>
                <w:kern w:val="21"/>
                <w:sz w:val="21"/>
                <w:szCs w:val="21"/>
                <w:lang w:val="en-US" w:eastAsia="zh-CN"/>
              </w:rPr>
              <w:t>7 土堤用土的透水性能宜接近原状土，且应满足填方的强度和稳定性的要求。</w:t>
            </w:r>
          </w:p>
        </w:tc>
        <w:tc>
          <w:tcPr>
            <w:tcW w:w="1134" w:type="dxa"/>
            <w:shd w:val="clear" w:color="auto" w:fill="auto"/>
            <w:vAlign w:val="center"/>
          </w:tcPr>
          <w:p w:rsidR="00EA3E27" w:rsidRPr="00FD5F6F" w:rsidP="00DC0376">
            <w:pPr>
              <w:rPr>
                <w:rFonts w:eastAsia="宋体"/>
                <w:kern w:val="21"/>
                <w:sz w:val="21"/>
                <w:szCs w:val="21"/>
                <w:lang w:val="en-US" w:eastAsia="zh-CN"/>
              </w:rPr>
            </w:pPr>
            <w:r w:rsidRPr="00FD5F6F" w:rsidR="00DC0376">
              <w:rPr>
                <w:rFonts w:eastAsia="宋体"/>
                <w:kern w:val="21"/>
                <w:sz w:val="21"/>
                <w:szCs w:val="21"/>
                <w:lang w:val="en-US" w:eastAsia="zh-CN"/>
              </w:rPr>
              <w:t>GB50253-2014</w:t>
            </w:r>
            <w:r w:rsidRPr="00FD5F6F" w:rsidR="00DC0376">
              <w:rPr>
                <w:rFonts w:eastAsia="宋体" w:hint="eastAsia"/>
                <w:snapToGrid/>
                <w:kern w:val="21"/>
                <w:sz w:val="21"/>
                <w:szCs w:val="21"/>
                <w:lang w:val="en-US" w:eastAsia="zh-CN"/>
              </w:rPr>
              <w:t>第</w:t>
            </w:r>
            <w:r w:rsidRPr="00FD5F6F" w:rsidR="00DC0376">
              <w:rPr>
                <w:rFonts w:eastAsia="宋体"/>
                <w:snapToGrid/>
                <w:kern w:val="21"/>
                <w:sz w:val="21"/>
                <w:szCs w:val="21"/>
                <w:lang w:val="en-US" w:eastAsia="zh-CN"/>
              </w:rPr>
              <w:t>4.2.</w:t>
            </w:r>
            <w:r w:rsidRPr="00FD5F6F" w:rsidR="00DC0376">
              <w:rPr>
                <w:rFonts w:eastAsia="宋体" w:hint="eastAsia"/>
                <w:snapToGrid/>
                <w:kern w:val="21"/>
                <w:sz w:val="21"/>
                <w:szCs w:val="21"/>
                <w:lang w:val="en-US" w:eastAsia="zh-CN"/>
              </w:rPr>
              <w:t>9条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FC05E5">
            <w:pPr>
              <w:rPr>
                <w:rFonts w:eastAsia="宋体"/>
                <w:snapToGrid/>
                <w:kern w:val="21"/>
                <w:sz w:val="21"/>
                <w:szCs w:val="21"/>
                <w:lang w:val="en-US" w:eastAsia="zh-CN"/>
              </w:rPr>
            </w:pPr>
            <w:r w:rsidRPr="00FD5F6F">
              <w:rPr>
                <w:rFonts w:eastAsia="宋体" w:hint="eastAsia"/>
                <w:snapToGrid/>
                <w:kern w:val="21"/>
                <w:sz w:val="21"/>
                <w:szCs w:val="21"/>
                <w:lang w:val="en-US" w:eastAsia="zh-CN"/>
              </w:rPr>
              <w:t>地上敷设的输油管道应采取措施补偿管道轴向变形。</w:t>
            </w:r>
          </w:p>
        </w:tc>
        <w:tc>
          <w:tcPr>
            <w:tcW w:w="1134" w:type="dxa"/>
            <w:shd w:val="clear" w:color="auto" w:fill="auto"/>
            <w:vAlign w:val="center"/>
          </w:tcPr>
          <w:p w:rsidR="00B9661E" w:rsidRPr="00FD5F6F" w:rsidP="00B9661E">
            <w:pPr>
              <w:rPr>
                <w:rFonts w:eastAsia="宋体"/>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10条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FC05E5">
            <w:pPr>
              <w:rPr>
                <w:rFonts w:eastAsia="宋体"/>
                <w:snapToGrid/>
                <w:kern w:val="21"/>
                <w:sz w:val="21"/>
                <w:szCs w:val="21"/>
                <w:lang w:val="en-US" w:eastAsia="zh-CN"/>
              </w:rPr>
            </w:pPr>
            <w:r w:rsidRPr="00FD5F6F">
              <w:rPr>
                <w:rFonts w:eastAsia="宋体"/>
                <w:snapToGrid/>
                <w:kern w:val="21"/>
                <w:sz w:val="21"/>
                <w:szCs w:val="21"/>
                <w:lang w:val="en-US" w:eastAsia="zh-CN"/>
              </w:rPr>
              <w:t>当埋地输油管道同其他埋地管道或金属构筑物交叉时，其垂直净距不应小于</w:t>
            </w:r>
            <w:smartTag w:uri="urn:schemas-microsoft-com:office:smarttags" w:element="chmetcnv">
              <w:smartTagPr>
                <w:attr w:name="HasSpace" w:val="False"/>
                <w:attr w:name="Negative" w:val="False"/>
                <w:attr w:name="NumberType" w:val="1"/>
                <w:attr w:name="SourceValue" w:val="0.3"/>
                <w:attr w:name="TCSC" w:val="0"/>
                <w:attr w:name="UnitName" w:val="m"/>
              </w:smartTagPr>
              <w:r w:rsidRPr="00FD5F6F">
                <w:rPr>
                  <w:rFonts w:eastAsia="宋体"/>
                  <w:snapToGrid/>
                  <w:kern w:val="21"/>
                  <w:sz w:val="21"/>
                  <w:szCs w:val="21"/>
                  <w:lang w:val="en-US" w:eastAsia="zh-CN"/>
                </w:rPr>
                <w:t>0.3m</w:t>
              </w:r>
            </w:smartTag>
            <w:r w:rsidRPr="00FD5F6F">
              <w:rPr>
                <w:rFonts w:eastAsia="宋体"/>
                <w:snapToGrid/>
                <w:kern w:val="21"/>
                <w:sz w:val="21"/>
                <w:szCs w:val="21"/>
                <w:lang w:val="en-US" w:eastAsia="zh-CN"/>
              </w:rPr>
              <w:t>，</w:t>
            </w:r>
            <w:r w:rsidRPr="00FD5F6F">
              <w:rPr>
                <w:rFonts w:eastAsia="宋体" w:hint="eastAsia"/>
                <w:snapToGrid/>
                <w:kern w:val="21"/>
                <w:sz w:val="21"/>
                <w:szCs w:val="21"/>
                <w:lang w:val="en-US" w:eastAsia="zh-CN"/>
              </w:rPr>
              <w:t>两条管道的交叉角不宜小于30</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w:t>
            </w:r>
            <w:r w:rsidRPr="00FD5F6F">
              <w:rPr>
                <w:rFonts w:eastAsia="宋体"/>
                <w:snapToGrid/>
                <w:kern w:val="21"/>
                <w:sz w:val="21"/>
                <w:szCs w:val="21"/>
                <w:lang w:val="en-US" w:eastAsia="zh-CN"/>
              </w:rPr>
              <w:t>管道与电力、通信电缆交叉时，其垂直净距不应小于</w:t>
            </w:r>
            <w:smartTag w:uri="urn:schemas-microsoft-com:office:smarttags" w:element="chmetcnv">
              <w:smartTagPr>
                <w:attr w:name="HasSpace" w:val="False"/>
                <w:attr w:name="Negative" w:val="False"/>
                <w:attr w:name="NumberType" w:val="1"/>
                <w:attr w:name="SourceValue" w:val=".5"/>
                <w:attr w:name="TCSC" w:val="0"/>
                <w:attr w:name="UnitName" w:val="m"/>
              </w:smartTagPr>
              <w:r w:rsidRPr="00FD5F6F">
                <w:rPr>
                  <w:rFonts w:eastAsia="宋体"/>
                  <w:snapToGrid/>
                  <w:kern w:val="21"/>
                  <w:sz w:val="21"/>
                  <w:szCs w:val="21"/>
                  <w:lang w:val="en-US" w:eastAsia="zh-CN"/>
                </w:rPr>
                <w:t>0.5m</w:t>
              </w:r>
            </w:smartTag>
            <w:r w:rsidRPr="00FD5F6F">
              <w:rPr>
                <w:rFonts w:eastAsia="宋体"/>
                <w:snapToGrid/>
                <w:kern w:val="21"/>
                <w:sz w:val="21"/>
                <w:szCs w:val="21"/>
                <w:lang w:val="en-US" w:eastAsia="zh-CN"/>
              </w:rPr>
              <w:t>。</w:t>
            </w:r>
          </w:p>
        </w:tc>
        <w:tc>
          <w:tcPr>
            <w:tcW w:w="1134" w:type="dxa"/>
            <w:shd w:val="clear" w:color="auto" w:fill="auto"/>
            <w:vAlign w:val="center"/>
          </w:tcPr>
          <w:p w:rsidR="00B9661E" w:rsidRPr="00FD5F6F" w:rsidP="00B9661E">
            <w:pPr>
              <w:rPr>
                <w:rFonts w:eastAsia="宋体"/>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11条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B9661E">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输油管道通过人工或天然障碍物（水域、冲沟、铁路、公路等）时，应符合现行国家标准《油气输送管道穿越工程设计规范》GB 50423 和《油气输送管道跨越工程设计规范》GB 50459 的有关规定。液化石油气管道穿越铁路、公路管段的设计系数应按本规范附录F 的规定选取。</w:t>
            </w:r>
          </w:p>
        </w:tc>
        <w:tc>
          <w:tcPr>
            <w:tcW w:w="1134" w:type="dxa"/>
            <w:shd w:val="clear" w:color="auto" w:fill="auto"/>
            <w:vAlign w:val="center"/>
          </w:tcPr>
          <w:p w:rsidR="00B9661E" w:rsidRPr="00FD5F6F" w:rsidP="00B9661E">
            <w:pPr>
              <w:rPr>
                <w:rFonts w:eastAsia="宋体"/>
                <w:kern w:val="21"/>
                <w:sz w:val="21"/>
                <w:szCs w:val="21"/>
                <w:lang w:val="en-US" w:eastAsia="zh-CN"/>
              </w:rPr>
            </w:pPr>
            <w:r w:rsidRPr="00FD5F6F">
              <w:rPr>
                <w:rFonts w:eastAsia="宋体"/>
                <w:kern w:val="21"/>
                <w:sz w:val="21"/>
                <w:szCs w:val="21"/>
                <w:lang w:val="en-US" w:eastAsia="zh-CN"/>
              </w:rPr>
              <w:t>GB50253-2014</w:t>
            </w:r>
            <w:r w:rsidRPr="00FD5F6F">
              <w:rPr>
                <w:rFonts w:eastAsia="宋体" w:hint="eastAsia"/>
                <w:snapToGrid/>
                <w:kern w:val="21"/>
                <w:sz w:val="21"/>
                <w:szCs w:val="21"/>
                <w:lang w:val="en-US" w:eastAsia="zh-CN"/>
              </w:rPr>
              <w:t>第</w:t>
            </w:r>
            <w:r w:rsidRPr="00FD5F6F">
              <w:rPr>
                <w:rFonts w:eastAsia="宋体"/>
                <w:snapToGrid/>
                <w:kern w:val="21"/>
                <w:sz w:val="21"/>
                <w:szCs w:val="21"/>
                <w:lang w:val="en-US" w:eastAsia="zh-CN"/>
              </w:rPr>
              <w:t>4.2.</w:t>
            </w:r>
            <w:r w:rsidRPr="00FD5F6F">
              <w:rPr>
                <w:rFonts w:eastAsia="宋体" w:hint="eastAsia"/>
                <w:snapToGrid/>
                <w:kern w:val="21"/>
                <w:sz w:val="21"/>
                <w:szCs w:val="21"/>
                <w:lang w:val="en-US" w:eastAsia="zh-CN"/>
              </w:rPr>
              <w:t>12条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rsidR="005574A2" w:rsidRPr="00FD5F6F" w:rsidP="00BF20F9">
            <w:pPr>
              <w:rPr>
                <w:rFonts w:eastAsia="宋体"/>
                <w:snapToGrid/>
                <w:kern w:val="21"/>
                <w:sz w:val="21"/>
                <w:szCs w:val="21"/>
                <w:lang w:val="en-US" w:eastAsia="zh-CN"/>
              </w:rPr>
            </w:pPr>
            <w:r w:rsidRPr="00FD5F6F">
              <w:rPr>
                <w:rFonts w:eastAsia="宋体" w:hint="eastAsia"/>
                <w:snapToGrid/>
                <w:kern w:val="21"/>
                <w:sz w:val="21"/>
                <w:szCs w:val="21"/>
                <w:lang w:val="en-US" w:eastAsia="zh-CN"/>
              </w:rPr>
              <w:t>四</w:t>
            </w:r>
          </w:p>
        </w:tc>
        <w:tc>
          <w:tcPr>
            <w:tcW w:w="8082" w:type="dxa"/>
            <w:gridSpan w:val="4"/>
            <w:shd w:val="clear" w:color="auto" w:fill="auto"/>
            <w:vAlign w:val="center"/>
          </w:tcPr>
          <w:p w:rsidR="005574A2" w:rsidRPr="00FD5F6F" w:rsidP="00EA3E27">
            <w:pPr>
              <w:rPr>
                <w:rFonts w:eastAsia="宋体"/>
                <w:snapToGrid/>
                <w:color w:val="FF0000"/>
                <w:kern w:val="21"/>
                <w:sz w:val="21"/>
                <w:szCs w:val="21"/>
                <w:lang w:val="en-US" w:eastAsia="zh-CN"/>
              </w:rPr>
            </w:pPr>
            <w:r w:rsidRPr="00FD5F6F">
              <w:rPr>
                <w:rFonts w:eastAsia="宋体" w:hint="eastAsia"/>
                <w:snapToGrid/>
                <w:kern w:val="21"/>
                <w:sz w:val="21"/>
                <w:szCs w:val="21"/>
                <w:lang w:val="en-US" w:eastAsia="zh-CN"/>
              </w:rPr>
              <w:t>管道的外腐蚀控制和保温</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输油管道应采取防腐层与阴极保护联合腐蚀控制措施。输油管道的防腐蚀设计应符合现行国家标准《钢质管道外腐蚀控制规范》GB/T 2144</w:t>
            </w:r>
            <w:r w:rsidRPr="00FD5F6F">
              <w:rPr>
                <w:rFonts w:eastAsia="宋体"/>
                <w:snapToGrid/>
                <w:kern w:val="21"/>
                <w:sz w:val="21"/>
                <w:szCs w:val="21"/>
                <w:lang w:val="en-US" w:eastAsia="zh-CN"/>
              </w:rPr>
              <w:t>7</w:t>
            </w:r>
            <w:r w:rsidRPr="00FD5F6F">
              <w:rPr>
                <w:rFonts w:eastAsia="宋体" w:hint="eastAsia"/>
                <w:snapToGrid/>
                <w:kern w:val="21"/>
                <w:sz w:val="21"/>
                <w:szCs w:val="21"/>
                <w:lang w:val="en-US" w:eastAsia="zh-CN"/>
              </w:rPr>
              <w:t>和《埋地钢质管道阴极保护技术规范》GB</w:t>
            </w:r>
            <w:r w:rsidRPr="00FD5F6F">
              <w:rPr>
                <w:rFonts w:eastAsia="宋体"/>
                <w:snapToGrid/>
                <w:kern w:val="21"/>
                <w:sz w:val="21"/>
                <w:szCs w:val="21"/>
                <w:lang w:val="en-US" w:eastAsia="zh-CN"/>
              </w:rPr>
              <w:t xml:space="preserve">/T </w:t>
            </w:r>
            <w:r w:rsidRPr="00FD5F6F">
              <w:rPr>
                <w:rFonts w:eastAsia="宋体" w:hint="eastAsia"/>
                <w:snapToGrid/>
                <w:kern w:val="21"/>
                <w:sz w:val="21"/>
                <w:szCs w:val="21"/>
                <w:lang w:val="en-US" w:eastAsia="zh-CN"/>
              </w:rPr>
              <w:t>21448</w:t>
            </w:r>
            <w:r w:rsidRPr="00FD5F6F">
              <w:rPr>
                <w:rFonts w:eastAsia="宋体"/>
                <w:snapToGrid/>
                <w:kern w:val="21"/>
                <w:sz w:val="21"/>
                <w:szCs w:val="21"/>
                <w:lang w:val="en-US" w:eastAsia="zh-CN"/>
              </w:rPr>
              <w:t>的</w:t>
            </w:r>
            <w:r w:rsidRPr="00FD5F6F">
              <w:rPr>
                <w:rFonts w:eastAsia="宋体" w:hint="eastAsia"/>
                <w:snapToGrid/>
                <w:kern w:val="21"/>
                <w:sz w:val="21"/>
                <w:szCs w:val="21"/>
                <w:lang w:val="en-US" w:eastAsia="zh-CN"/>
              </w:rPr>
              <w:t>有关规定。</w:t>
            </w:r>
          </w:p>
        </w:tc>
        <w:tc>
          <w:tcPr>
            <w:tcW w:w="1134"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4.3.1</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埋地管道外防腐层的性能、等级及外防护层的选用，应根据地质、环境条件需求确定。</w:t>
            </w:r>
          </w:p>
        </w:tc>
        <w:tc>
          <w:tcPr>
            <w:tcW w:w="1134"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4.3.2</w:t>
              </w:r>
            </w:smartTag>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地上管道防腐层的技术性能应能满足现场环境要求。</w:t>
            </w:r>
          </w:p>
        </w:tc>
        <w:tc>
          <w:tcPr>
            <w:tcW w:w="1134"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4.3.3</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hint="eastAsia"/>
                <w:snapToGrid/>
                <w:kern w:val="21"/>
                <w:sz w:val="21"/>
                <w:szCs w:val="21"/>
                <w:lang w:val="en-US" w:eastAsia="zh-CN"/>
              </w:rPr>
              <w:t>采用强制电流保护方式时，应避免或抑制对邻近金属构筑物的干扰影响。</w:t>
            </w:r>
          </w:p>
        </w:tc>
        <w:tc>
          <w:tcPr>
            <w:tcW w:w="1134"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4.3.4</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采用牺牲阳极方式保护时，应考虑地质条件的限定影响。</w:t>
            </w:r>
          </w:p>
        </w:tc>
        <w:tc>
          <w:tcPr>
            <w:tcW w:w="1134"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4.3.5</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hint="eastAsia"/>
                <w:snapToGrid/>
                <w:kern w:val="21"/>
                <w:sz w:val="21"/>
                <w:szCs w:val="21"/>
                <w:lang w:val="en-US" w:eastAsia="zh-CN"/>
              </w:rPr>
              <w:t>在交、直流干扰源影响区域内的管道，应按照国家现行标准《埋地钢质管道交流干扰防护技术标准》GB/T 50698 和《埋地钢质管道直流排流保护技术标准》SY/T 0017 的相关规定，采取有效的排流保护或防护措施。</w:t>
            </w:r>
          </w:p>
        </w:tc>
        <w:tc>
          <w:tcPr>
            <w:tcW w:w="1134"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4.3.6</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相临并行的任一管道受到干扰影响时，不宜采取联合阴极保护措施。需要进行联合保护的，应在并行段两端受干扰的管道上采取绝缘隔离措施。</w:t>
            </w:r>
          </w:p>
        </w:tc>
        <w:tc>
          <w:tcPr>
            <w:tcW w:w="1134"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4.3.7</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hint="eastAsia"/>
                <w:snapToGrid/>
                <w:kern w:val="21"/>
                <w:sz w:val="21"/>
                <w:szCs w:val="21"/>
                <w:lang w:val="en-US" w:eastAsia="zh-CN"/>
              </w:rPr>
              <w:t>埋地输油管道的保温层应符合现行国家标准《埋地钢质管道防腐保温层技术标准》GB/T 50538 的有关规定。</w:t>
            </w:r>
          </w:p>
        </w:tc>
        <w:tc>
          <w:tcPr>
            <w:tcW w:w="1134"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4.3.8</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保温层应采用导热系数小的闭孔材料，保温材料应具有一定机械强度，耐热性能好，不易燃烧和具有自熄性，且对管道无腐蚀作用。</w:t>
            </w:r>
          </w:p>
        </w:tc>
        <w:tc>
          <w:tcPr>
            <w:tcW w:w="1134"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4.3.9</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保温层外部宜有保护层，保护层材料应具有足够的机械强度和韧性，化学性能稳定，且具有耐老化、防水和电绝缘的性能。</w:t>
            </w:r>
          </w:p>
        </w:tc>
        <w:tc>
          <w:tcPr>
            <w:tcW w:w="1134" w:type="dxa"/>
            <w:shd w:val="clear" w:color="auto" w:fill="auto"/>
            <w:vAlign w:val="center"/>
          </w:tcPr>
          <w:p w:rsidR="00BF20F9"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rsidR="00B9661E" w:rsidRPr="00FD5F6F" w:rsidP="00EA3E27">
            <w:pPr>
              <w:rPr>
                <w:rFonts w:eastAsia="宋体"/>
                <w:snapToGrid/>
                <w:kern w:val="21"/>
                <w:sz w:val="21"/>
                <w:szCs w:val="21"/>
                <w:lang w:val="en-US" w:eastAsia="zh-CN"/>
              </w:rPr>
            </w:pPr>
            <w:r w:rsidRPr="00FD5F6F" w:rsidR="005574A2">
              <w:rPr>
                <w:rFonts w:eastAsia="宋体" w:hint="eastAsia"/>
                <w:snapToGrid/>
                <w:kern w:val="21"/>
                <w:sz w:val="21"/>
                <w:szCs w:val="21"/>
                <w:lang w:val="en-US" w:eastAsia="zh-CN"/>
              </w:rPr>
              <w:t>五</w:t>
            </w:r>
          </w:p>
        </w:tc>
        <w:tc>
          <w:tcPr>
            <w:tcW w:w="8082" w:type="dxa"/>
            <w:gridSpan w:val="4"/>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线路截断阀</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0A7E32">
            <w:pPr>
              <w:rPr>
                <w:rFonts w:eastAsia="宋体"/>
                <w:sz w:val="21"/>
                <w:szCs w:val="21"/>
                <w:lang w:val="en-US" w:eastAsia="zh-CN"/>
              </w:rPr>
            </w:pPr>
            <w:r w:rsidRPr="00FD5F6F">
              <w:rPr>
                <w:rFonts w:eastAsia="宋体" w:hAnsi="宋体"/>
                <w:sz w:val="21"/>
                <w:szCs w:val="21"/>
                <w:lang w:val="en-US" w:eastAsia="zh-CN"/>
              </w:rPr>
              <w:t>输油管道沿线应设置线路截断阀。</w:t>
            </w:r>
          </w:p>
        </w:tc>
        <w:tc>
          <w:tcPr>
            <w:tcW w:w="1134" w:type="dxa"/>
            <w:shd w:val="clear" w:color="auto" w:fill="auto"/>
            <w:vAlign w:val="center"/>
          </w:tcPr>
          <w:p w:rsidR="005574A2" w:rsidRPr="00FD5F6F" w:rsidP="000A7E32">
            <w:pPr>
              <w:rPr>
                <w:rFonts w:eastAsia="宋体"/>
                <w:sz w:val="21"/>
                <w:szCs w:val="21"/>
                <w:lang w:val="en-US" w:eastAsia="zh-CN"/>
              </w:rPr>
            </w:pPr>
            <w:r w:rsidRPr="00FD5F6F">
              <w:rPr>
                <w:rFonts w:eastAsia="宋体"/>
                <w:sz w:val="21"/>
                <w:szCs w:val="21"/>
                <w:lang w:val="en-US" w:eastAsia="zh-CN"/>
              </w:rPr>
              <w:t>GB50253-2014</w:t>
            </w:r>
            <w:r w:rsidRPr="00FD5F6F">
              <w:rPr>
                <w:rFonts w:eastAsia="宋体" w:hAnsi="宋体"/>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z w:val="21"/>
                  <w:szCs w:val="21"/>
                  <w:lang w:val="en-US" w:eastAsia="zh-CN"/>
                </w:rPr>
                <w:t>4.4.1</w:t>
              </w:r>
            </w:smartTag>
            <w:r w:rsidRPr="00FD5F6F">
              <w:rPr>
                <w:rFonts w:eastAsia="宋体" w:hAnsi="宋体"/>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原油、成品油管道线路截断阀的间距不宜超过</w:t>
            </w:r>
            <w:smartTag w:uri="urn:schemas-microsoft-com:office:smarttags" w:element="chmetcnv">
              <w:smartTagPr>
                <w:attr w:name="HasSpace" w:val="False"/>
                <w:attr w:name="Negative" w:val="False"/>
                <w:attr w:name="NumberType" w:val="1"/>
                <w:attr w:name="SourceValue" w:val="32"/>
                <w:attr w:name="TCSC" w:val="0"/>
                <w:attr w:name="UnitName" w:val="km"/>
              </w:smartTagPr>
              <w:r w:rsidRPr="00FD5F6F">
                <w:rPr>
                  <w:rFonts w:eastAsia="宋体" w:hint="eastAsia"/>
                  <w:snapToGrid/>
                  <w:kern w:val="21"/>
                  <w:sz w:val="21"/>
                  <w:szCs w:val="21"/>
                  <w:lang w:val="en-US" w:eastAsia="zh-CN"/>
                </w:rPr>
                <w:t>32km</w:t>
              </w:r>
            </w:smartTag>
            <w:r w:rsidRPr="00FD5F6F">
              <w:rPr>
                <w:rFonts w:eastAsia="宋体" w:hint="eastAsia"/>
                <w:snapToGrid/>
                <w:kern w:val="21"/>
                <w:sz w:val="21"/>
                <w:szCs w:val="21"/>
                <w:lang w:val="en-US" w:eastAsia="zh-CN"/>
              </w:rPr>
              <w:t>，人烟稀少地区可适当加大间距。</w:t>
            </w:r>
          </w:p>
        </w:tc>
        <w:tc>
          <w:tcPr>
            <w:tcW w:w="1134" w:type="dxa"/>
            <w:shd w:val="clear" w:color="auto" w:fill="auto"/>
            <w:vAlign w:val="center"/>
          </w:tcPr>
          <w:p w:rsidR="00B9661E"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-2014第4.4.</w:t>
            </w:r>
            <w:r w:rsidRPr="00FD5F6F" w:rsidR="005574A2">
              <w:rPr>
                <w:rFonts w:eastAsia="宋体" w:hint="eastAsia"/>
                <w:snapToGrid/>
                <w:kern w:val="21"/>
                <w:sz w:val="21"/>
                <w:szCs w:val="21"/>
                <w:lang w:val="en-US" w:eastAsia="zh-CN"/>
              </w:rPr>
              <w:t>2</w:t>
            </w:r>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埋地输油管道沿线在河流的大型穿跨越及饮用水水源保护区两端应设置线路截断阀。在人口密集区管段或根据地形条件认为需要截断的，宜设置线路截断阀。需防止油品倒流的部位应安装能通过清管器的止回阀。</w:t>
            </w:r>
          </w:p>
        </w:tc>
        <w:tc>
          <w:tcPr>
            <w:tcW w:w="1134" w:type="dxa"/>
            <w:shd w:val="clear" w:color="auto" w:fill="auto"/>
            <w:vAlign w:val="center"/>
          </w:tcPr>
          <w:p w:rsidR="00B9661E"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-2014第4.4.</w:t>
            </w:r>
            <w:r w:rsidRPr="00FD5F6F" w:rsidR="005574A2">
              <w:rPr>
                <w:rFonts w:eastAsia="宋体" w:hint="eastAsia"/>
                <w:snapToGrid/>
                <w:kern w:val="21"/>
                <w:sz w:val="21"/>
                <w:szCs w:val="21"/>
                <w:lang w:val="en-US" w:eastAsia="zh-CN"/>
              </w:rPr>
              <w:t>4</w:t>
            </w:r>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0A7E32">
            <w:pPr>
              <w:rPr>
                <w:rFonts w:eastAsia="宋体"/>
                <w:sz w:val="21"/>
                <w:szCs w:val="21"/>
                <w:lang w:val="en-US" w:eastAsia="zh-CN"/>
              </w:rPr>
            </w:pPr>
            <w:r w:rsidRPr="00FD5F6F">
              <w:rPr>
                <w:rFonts w:eastAsia="宋体" w:hAnsi="宋体"/>
                <w:sz w:val="21"/>
                <w:szCs w:val="21"/>
                <w:lang w:val="en-US" w:eastAsia="zh-CN"/>
              </w:rPr>
              <w:t>截断阀应设置在交通便利、地形开阔、地势较高、检修方便，且不易受地质灾害及洪水影响的地方。</w:t>
            </w:r>
          </w:p>
        </w:tc>
        <w:tc>
          <w:tcPr>
            <w:tcW w:w="1134" w:type="dxa"/>
            <w:shd w:val="clear" w:color="auto" w:fill="auto"/>
            <w:vAlign w:val="center"/>
          </w:tcPr>
          <w:p w:rsidR="005574A2" w:rsidRPr="00FD5F6F" w:rsidP="000A7E32">
            <w:pPr>
              <w:rPr>
                <w:rFonts w:eastAsia="宋体"/>
                <w:sz w:val="21"/>
                <w:szCs w:val="21"/>
                <w:lang w:val="en-US" w:eastAsia="zh-CN"/>
              </w:rPr>
            </w:pPr>
            <w:r w:rsidRPr="00FD5F6F">
              <w:rPr>
                <w:rFonts w:eastAsia="宋体"/>
                <w:sz w:val="21"/>
                <w:szCs w:val="21"/>
                <w:lang w:val="en-US" w:eastAsia="zh-CN"/>
              </w:rPr>
              <w:t>GB50253-2014</w:t>
            </w:r>
            <w:r w:rsidRPr="00FD5F6F">
              <w:rPr>
                <w:rFonts w:eastAsia="宋体" w:hAnsi="宋体"/>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z w:val="21"/>
                  <w:szCs w:val="21"/>
                  <w:lang w:val="en-US" w:eastAsia="zh-CN"/>
                </w:rPr>
                <w:t>4.4.5</w:t>
              </w:r>
            </w:smartTag>
            <w:r w:rsidRPr="00FD5F6F">
              <w:rPr>
                <w:rFonts w:eastAsia="宋体" w:hAnsi="宋体"/>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线路截断阀应能通过清管器和管道内检测仪。</w:t>
            </w:r>
          </w:p>
        </w:tc>
        <w:tc>
          <w:tcPr>
            <w:tcW w:w="1134"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rsidR="00B9661E" w:rsidRPr="00FD5F6F" w:rsidP="00EA3E27">
            <w:pPr>
              <w:rPr>
                <w:rFonts w:eastAsia="宋体"/>
                <w:snapToGrid/>
                <w:kern w:val="21"/>
                <w:sz w:val="21"/>
                <w:szCs w:val="21"/>
                <w:lang w:val="en-US" w:eastAsia="zh-CN"/>
              </w:rPr>
            </w:pPr>
            <w:r w:rsidRPr="00FD5F6F" w:rsidR="005574A2">
              <w:rPr>
                <w:rFonts w:eastAsia="宋体" w:hint="eastAsia"/>
                <w:snapToGrid/>
                <w:kern w:val="21"/>
                <w:sz w:val="21"/>
                <w:szCs w:val="21"/>
                <w:lang w:val="en-US" w:eastAsia="zh-CN"/>
              </w:rPr>
              <w:t>六</w:t>
            </w:r>
          </w:p>
        </w:tc>
        <w:tc>
          <w:tcPr>
            <w:tcW w:w="8082" w:type="dxa"/>
            <w:gridSpan w:val="4"/>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管道的锚固</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当管道的设计温度同安装温度存在温差时，在管道出入土端、热煨弯管、管径改变处以及管道同清管器收发设施连接处，宜根据计算设置锚固设施或采取其它能够保证管道稳定的措施。</w:t>
            </w:r>
          </w:p>
        </w:tc>
        <w:tc>
          <w:tcPr>
            <w:tcW w:w="1134"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4.5.1</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当管道翻越高差较大的长陡坡时，应校核管道的稳定性。</w:t>
            </w:r>
          </w:p>
        </w:tc>
        <w:tc>
          <w:tcPr>
            <w:tcW w:w="1134" w:type="dxa"/>
            <w:shd w:val="clear" w:color="auto" w:fill="auto"/>
            <w:vAlign w:val="center"/>
          </w:tcPr>
          <w:p w:rsidR="005574A2" w:rsidRPr="00FD5F6F" w:rsidP="005574A2">
            <w:pPr>
              <w:rPr>
                <w:rFonts w:eastAsia="宋体"/>
                <w:snapToGrid/>
                <w:kern w:val="21"/>
                <w:sz w:val="21"/>
                <w:szCs w:val="21"/>
                <w:lang w:val="en-US" w:eastAsia="zh-CN"/>
              </w:rPr>
            </w:pPr>
            <w:r w:rsidRPr="00FD5F6F">
              <w:rPr>
                <w:rFonts w:eastAsia="宋体"/>
                <w:snapToGrid/>
                <w:kern w:val="21"/>
                <w:sz w:val="21"/>
                <w:szCs w:val="21"/>
                <w:lang w:val="en-US" w:eastAsia="zh-CN"/>
              </w:rPr>
              <w:t>GB50253</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当管道采取锚固墩（件）锚固时，管道同锚固墩（件）之间应有良好的电绝缘。</w:t>
            </w:r>
          </w:p>
        </w:tc>
        <w:tc>
          <w:tcPr>
            <w:tcW w:w="1134" w:type="dxa"/>
            <w:shd w:val="clear" w:color="auto" w:fill="auto"/>
            <w:vAlign w:val="center"/>
          </w:tcP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rsidR="00B9661E" w:rsidRPr="00FD5F6F" w:rsidP="00EA3E27">
            <w:pPr>
              <w:rPr>
                <w:rFonts w:eastAsia="宋体"/>
                <w:snapToGrid/>
                <w:kern w:val="21"/>
                <w:sz w:val="21"/>
                <w:szCs w:val="21"/>
                <w:lang w:val="en-US" w:eastAsia="zh-CN"/>
              </w:rPr>
            </w:pPr>
            <w:r w:rsidRPr="00FD5F6F" w:rsidR="005574A2">
              <w:rPr>
                <w:rFonts w:eastAsia="宋体" w:hint="eastAsia"/>
                <w:snapToGrid/>
                <w:kern w:val="21"/>
                <w:sz w:val="21"/>
                <w:szCs w:val="21"/>
                <w:lang w:val="en-US" w:eastAsia="zh-CN"/>
              </w:rPr>
              <w:t>七</w:t>
            </w:r>
          </w:p>
        </w:tc>
        <w:tc>
          <w:tcPr>
            <w:tcW w:w="8082" w:type="dxa"/>
            <w:gridSpan w:val="4"/>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管道标志</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管道沿线应设置里程桩、标志桩、转角桩、阴极保护测试桩和警示牌等永久性标志</w:t>
            </w:r>
            <w:r w:rsidRPr="00FD5F6F">
              <w:rPr>
                <w:rFonts w:eastAsia="宋体" w:hint="eastAsia"/>
                <w:snapToGrid/>
                <w:kern w:val="21"/>
                <w:sz w:val="21"/>
                <w:szCs w:val="21"/>
                <w:lang w:val="en-US" w:eastAsia="zh-CN"/>
              </w:rPr>
              <w:t>，管道标志的标识、制作和安装应符合现行行业标准《管道干线标记设置技术规范》SY/T 6064的有关规定</w:t>
            </w:r>
            <w:r w:rsidRPr="00FD5F6F">
              <w:rPr>
                <w:rFonts w:eastAsia="宋体"/>
                <w:snapToGrid/>
                <w:kern w:val="21"/>
                <w:sz w:val="21"/>
                <w:szCs w:val="21"/>
                <w:lang w:val="en-US" w:eastAsia="zh-CN"/>
              </w:rPr>
              <w:t>。</w:t>
            </w:r>
          </w:p>
        </w:tc>
        <w:tc>
          <w:tcPr>
            <w:tcW w:w="1134"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4.6.1</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里程桩应沿管道从起点至终点，每隔</w:t>
            </w:r>
            <w:smartTag w:uri="urn:schemas-microsoft-com:office:smarttags" w:element="chmetcnv">
              <w:smartTagPr>
                <w:attr w:name="HasSpace" w:val="False"/>
                <w:attr w:name="Negative" w:val="False"/>
                <w:attr w:name="NumberType" w:val="1"/>
                <w:attr w:name="SourceValue" w:val="1"/>
                <w:attr w:name="TCSC" w:val="0"/>
                <w:attr w:name="UnitName" w:val="km"/>
              </w:smartTagPr>
              <w:r w:rsidRPr="00FD5F6F">
                <w:rPr>
                  <w:rFonts w:eastAsia="宋体"/>
                  <w:snapToGrid/>
                  <w:kern w:val="21"/>
                  <w:sz w:val="21"/>
                  <w:szCs w:val="21"/>
                  <w:lang w:val="en-US" w:eastAsia="zh-CN"/>
                </w:rPr>
                <w:t>1km</w:t>
              </w:r>
            </w:smartTag>
            <w:r w:rsidRPr="00FD5F6F">
              <w:rPr>
                <w:rFonts w:eastAsia="宋体"/>
                <w:snapToGrid/>
                <w:kern w:val="21"/>
                <w:sz w:val="21"/>
                <w:szCs w:val="21"/>
                <w:lang w:val="en-US" w:eastAsia="zh-CN"/>
              </w:rPr>
              <w:t>至少设置1个。阴极保护测试桩可同里程桩</w:t>
            </w:r>
            <w:r w:rsidRPr="00FD5F6F">
              <w:rPr>
                <w:rFonts w:eastAsia="宋体" w:hint="eastAsia"/>
                <w:snapToGrid/>
                <w:kern w:val="21"/>
                <w:sz w:val="21"/>
                <w:szCs w:val="21"/>
                <w:lang w:val="en-US" w:eastAsia="zh-CN"/>
              </w:rPr>
              <w:t>合并</w:t>
            </w:r>
            <w:r w:rsidRPr="00FD5F6F">
              <w:rPr>
                <w:rFonts w:eastAsia="宋体"/>
                <w:snapToGrid/>
                <w:kern w:val="21"/>
                <w:sz w:val="21"/>
                <w:szCs w:val="21"/>
                <w:lang w:val="en-US" w:eastAsia="zh-CN"/>
              </w:rPr>
              <w:t>设置。</w:t>
            </w:r>
          </w:p>
        </w:tc>
        <w:tc>
          <w:tcPr>
            <w:tcW w:w="1134"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4.6.2</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vAlign w:val="center"/>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在管道</w:t>
            </w:r>
            <w:r w:rsidRPr="00FD5F6F">
              <w:rPr>
                <w:rFonts w:eastAsia="宋体" w:hint="eastAsia"/>
                <w:snapToGrid/>
                <w:kern w:val="21"/>
                <w:sz w:val="21"/>
                <w:szCs w:val="21"/>
                <w:lang w:val="en-US" w:eastAsia="zh-CN"/>
              </w:rPr>
              <w:t>平面</w:t>
            </w:r>
            <w:r w:rsidRPr="00FD5F6F">
              <w:rPr>
                <w:rFonts w:eastAsia="宋体"/>
                <w:snapToGrid/>
                <w:kern w:val="21"/>
                <w:sz w:val="21"/>
                <w:szCs w:val="21"/>
                <w:lang w:val="en-US" w:eastAsia="zh-CN"/>
              </w:rPr>
              <w:t>改变方向</w:t>
            </w:r>
            <w:r w:rsidRPr="00FD5F6F">
              <w:rPr>
                <w:rFonts w:eastAsia="宋体" w:hint="eastAsia"/>
                <w:snapToGrid/>
                <w:kern w:val="21"/>
                <w:sz w:val="21"/>
                <w:szCs w:val="21"/>
                <w:lang w:val="en-US" w:eastAsia="zh-CN"/>
              </w:rPr>
              <w:t>时</w:t>
            </w:r>
            <w:r w:rsidRPr="00FD5F6F">
              <w:rPr>
                <w:rFonts w:eastAsia="宋体"/>
                <w:snapToGrid/>
                <w:kern w:val="21"/>
                <w:sz w:val="21"/>
                <w:szCs w:val="21"/>
                <w:lang w:val="en-US" w:eastAsia="zh-CN"/>
              </w:rPr>
              <w:t>应设置水平转角桩。转角桩宜设置在折转管</w:t>
            </w:r>
            <w:r w:rsidRPr="00FD5F6F">
              <w:rPr>
                <w:rFonts w:eastAsia="宋体" w:hint="eastAsia"/>
                <w:snapToGrid/>
                <w:kern w:val="21"/>
                <w:sz w:val="21"/>
                <w:szCs w:val="21"/>
                <w:lang w:val="en-US" w:eastAsia="zh-CN"/>
              </w:rPr>
              <w:t>道</w:t>
            </w:r>
            <w:r w:rsidRPr="00FD5F6F">
              <w:rPr>
                <w:rFonts w:eastAsia="宋体"/>
                <w:snapToGrid/>
                <w:kern w:val="21"/>
                <w:sz w:val="21"/>
                <w:szCs w:val="21"/>
                <w:lang w:val="en-US" w:eastAsia="zh-CN"/>
              </w:rPr>
              <w:t>中心线上方。</w:t>
            </w:r>
          </w:p>
        </w:tc>
        <w:tc>
          <w:tcPr>
            <w:tcW w:w="1134"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4.6.3</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管道穿跨越人工或天然障碍物时，应在穿跨越处两侧及地下建（构）筑物附近设</w:t>
            </w:r>
            <w:r w:rsidRPr="00FD5F6F">
              <w:rPr>
                <w:rFonts w:eastAsia="宋体" w:hint="eastAsia"/>
                <w:snapToGrid/>
                <w:kern w:val="21"/>
                <w:sz w:val="21"/>
                <w:szCs w:val="21"/>
                <w:lang w:val="en-US" w:eastAsia="zh-CN"/>
              </w:rPr>
              <w:t>置</w:t>
            </w:r>
            <w:r w:rsidRPr="00FD5F6F">
              <w:rPr>
                <w:rFonts w:eastAsia="宋体"/>
                <w:snapToGrid/>
                <w:kern w:val="21"/>
                <w:sz w:val="21"/>
                <w:szCs w:val="21"/>
                <w:lang w:val="en-US" w:eastAsia="zh-CN"/>
              </w:rPr>
              <w:t>标志桩。通航河流上的穿跨越工程，</w:t>
            </w:r>
            <w:r w:rsidRPr="00FD5F6F">
              <w:rPr>
                <w:rFonts w:eastAsia="宋体" w:hint="eastAsia"/>
                <w:snapToGrid/>
                <w:kern w:val="21"/>
                <w:sz w:val="21"/>
                <w:szCs w:val="21"/>
                <w:lang w:val="en-US" w:eastAsia="zh-CN"/>
              </w:rPr>
              <w:t>应在最高通航水位和常水位两岸岸边明显位置</w:t>
            </w:r>
            <w:r w:rsidRPr="00FD5F6F">
              <w:rPr>
                <w:rFonts w:eastAsia="宋体"/>
                <w:snapToGrid/>
                <w:kern w:val="21"/>
                <w:sz w:val="21"/>
                <w:szCs w:val="21"/>
                <w:lang w:val="en-US" w:eastAsia="zh-CN"/>
              </w:rPr>
              <w:t>设置警示牌。</w:t>
            </w:r>
          </w:p>
        </w:tc>
        <w:tc>
          <w:tcPr>
            <w:tcW w:w="1134" w:type="dxa"/>
            <w:shd w:val="clear" w:color="auto" w:fill="auto"/>
            <w:vAlign w:val="center"/>
          </w:tcPr>
          <w:p w:rsidR="00B9661E"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4.6.</w:t>
              </w:r>
              <w:r w:rsidRPr="00FD5F6F">
                <w:rPr>
                  <w:rFonts w:eastAsia="宋体" w:hint="eastAsia"/>
                  <w:snapToGrid/>
                  <w:kern w:val="21"/>
                  <w:sz w:val="21"/>
                  <w:szCs w:val="21"/>
                  <w:lang w:val="en-US" w:eastAsia="zh-CN"/>
                </w:rPr>
                <w:t>4</w:t>
              </w:r>
            </w:smartTag>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0A7E32">
            <w:pPr>
              <w:rPr>
                <w:rFonts w:eastAsia="宋体" w:hAnsi="宋体"/>
                <w:sz w:val="21"/>
                <w:szCs w:val="21"/>
                <w:lang w:val="en-US" w:eastAsia="zh-CN"/>
              </w:rPr>
            </w:pPr>
            <w:r w:rsidRPr="00FD5F6F">
              <w:rPr>
                <w:rFonts w:eastAsia="宋体" w:hAnsi="宋体" w:hint="eastAsia"/>
                <w:sz w:val="21"/>
                <w:szCs w:val="21"/>
                <w:lang w:val="en-US" w:eastAsia="zh-CN"/>
              </w:rPr>
              <w:t>当管道采用地上敷设时，应在行人较多和易遭车辆碰撞的地方，设置标志并采取保护措施。标志应采用具有反光功能的涂料涂刷。</w:t>
            </w:r>
          </w:p>
        </w:tc>
        <w:tc>
          <w:tcPr>
            <w:tcW w:w="1134" w:type="dxa"/>
            <w:shd w:val="clear" w:color="auto" w:fill="auto"/>
            <w:vAlign w:val="center"/>
          </w:tcPr>
          <w:p w:rsidR="005574A2"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4.6.</w:t>
            </w:r>
            <w:r w:rsidRPr="00FD5F6F">
              <w:rPr>
                <w:rFonts w:eastAsia="宋体" w:hAnsi="宋体" w:hint="eastAsia"/>
                <w:sz w:val="21"/>
                <w:szCs w:val="21"/>
                <w:lang w:val="en-US" w:eastAsia="zh-CN"/>
              </w:rPr>
              <w:t>5条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5574A2" w:rsidRPr="00FD5F6F" w:rsidP="000A7E32">
            <w:pPr>
              <w:rPr>
                <w:rFonts w:eastAsia="宋体" w:hAnsi="宋体"/>
                <w:sz w:val="21"/>
                <w:szCs w:val="21"/>
                <w:lang w:val="en-US" w:eastAsia="zh-CN"/>
              </w:rPr>
            </w:pPr>
            <w:r w:rsidRPr="00FD5F6F">
              <w:rPr>
                <w:rFonts w:eastAsia="宋体" w:hAnsi="宋体" w:hint="eastAsia"/>
                <w:sz w:val="21"/>
                <w:szCs w:val="21"/>
                <w:lang w:val="en-US" w:eastAsia="zh-CN"/>
              </w:rPr>
              <w:t>埋地管道通过人口密集区、有工程建设活动可能和易遭受挖掘等第三方破坏的地段应设置警示牌，并宜在埋地管道上方埋设管道警示带。</w:t>
            </w:r>
          </w:p>
        </w:tc>
        <w:tc>
          <w:tcPr>
            <w:tcW w:w="1134" w:type="dxa"/>
            <w:shd w:val="clear" w:color="auto" w:fill="auto"/>
            <w:vAlign w:val="center"/>
          </w:tcPr>
          <w:p w:rsidR="005574A2"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4.6.</w:t>
            </w:r>
            <w:r w:rsidRPr="00FD5F6F">
              <w:rPr>
                <w:rFonts w:eastAsia="宋体" w:hAnsi="宋体" w:hint="eastAsia"/>
                <w:sz w:val="21"/>
                <w:szCs w:val="21"/>
                <w:lang w:val="en-US" w:eastAsia="zh-CN"/>
              </w:rPr>
              <w:t>6条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rsidR="00A749C0"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八</w:t>
            </w:r>
          </w:p>
        </w:tc>
        <w:tc>
          <w:tcPr>
            <w:tcW w:w="8082" w:type="dxa"/>
            <w:gridSpan w:val="4"/>
            <w:shd w:val="clear" w:color="auto" w:fill="auto"/>
            <w:vAlign w:val="center"/>
          </w:tcPr>
          <w:p w:rsidR="00A749C0"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管道水工保护</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管道通过以下地段时应设置水工保护设施：</w:t>
            </w:r>
          </w:p>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1 采用开挖方式穿越河流、沟渠段；</w:t>
            </w:r>
          </w:p>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2 顺坡敷设和沿横坡敷设段；</w:t>
            </w:r>
          </w:p>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3 通过田坎、地坎段；</w:t>
            </w:r>
          </w:p>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4 通过不稳定边坡和危岩段。</w:t>
            </w:r>
          </w:p>
        </w:tc>
        <w:tc>
          <w:tcPr>
            <w:tcW w:w="1134"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w:t>
            </w:r>
            <w:r w:rsidRPr="00FD5F6F">
              <w:rPr>
                <w:rFonts w:eastAsia="宋体" w:hAnsi="宋体" w:hint="eastAsia"/>
                <w:sz w:val="21"/>
                <w:szCs w:val="21"/>
                <w:lang w:val="en-US" w:eastAsia="zh-CN"/>
              </w:rPr>
              <w:t>7.1条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管道的水工保护设计应依据当地气候、水文、地形、地质条件及施工材料分布情况，采取工程措施和植物措施相结合的综合防治措施。</w:t>
            </w:r>
          </w:p>
        </w:tc>
        <w:tc>
          <w:tcPr>
            <w:tcW w:w="1134"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w:t>
            </w:r>
            <w:r w:rsidRPr="00FD5F6F">
              <w:rPr>
                <w:rFonts w:eastAsia="宋体" w:hAnsi="宋体" w:hint="eastAsia"/>
                <w:sz w:val="21"/>
                <w:szCs w:val="21"/>
                <w:lang w:val="en-US" w:eastAsia="zh-CN"/>
              </w:rPr>
              <w:t>7.2条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河流、沟渠穿越地段的水工保护设计应符合现行国家标准《油气输送管道穿越工程设计规范》GB 50423 的有关规定。</w:t>
            </w:r>
          </w:p>
        </w:tc>
        <w:tc>
          <w:tcPr>
            <w:tcW w:w="1134"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w:t>
            </w:r>
            <w:r w:rsidRPr="00FD5F6F">
              <w:rPr>
                <w:rFonts w:eastAsia="宋体" w:hAnsi="宋体" w:hint="eastAsia"/>
                <w:sz w:val="21"/>
                <w:szCs w:val="21"/>
                <w:lang w:val="en-US" w:eastAsia="zh-CN"/>
              </w:rPr>
              <w:t>7.3条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顺坡敷设地段水工保护设计应符合下列规定：</w:t>
            </w:r>
          </w:p>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1 应依据管道纵坡坡度和管沟地质条件，设置管沟沟内截水墙，截水墙的间距宜为10m～20m；</w:t>
            </w:r>
          </w:p>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2 应依据边坡坡度，在坡角处设置护坡或挡土墙防护措施；</w:t>
            </w:r>
          </w:p>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3 宜依据边坡坡顶汇流流量，在坡顶设置地表截、排水沟。截水沟距坡顶边缘不宜小于5m ，排水沟应利用原始坡面沟道，出水口设置位置不应对管道、耕地或临近建（构）筑物形成冲刷。</w:t>
            </w:r>
          </w:p>
        </w:tc>
        <w:tc>
          <w:tcPr>
            <w:tcW w:w="1134"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w:t>
            </w:r>
            <w:r w:rsidRPr="00FD5F6F">
              <w:rPr>
                <w:rFonts w:eastAsia="宋体" w:hAnsi="宋体" w:hint="eastAsia"/>
                <w:sz w:val="21"/>
                <w:szCs w:val="21"/>
                <w:lang w:val="en-US" w:eastAsia="zh-CN"/>
              </w:rPr>
              <w:t>7.4条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横坡敷设地段管沟和作业带切坡面应保持稳定，水工保护设计应根据地形、地质条件，综合布置坡面截、排水系统和支挡防护措施。</w:t>
            </w:r>
          </w:p>
        </w:tc>
        <w:tc>
          <w:tcPr>
            <w:tcW w:w="1134"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w:t>
            </w:r>
            <w:r w:rsidRPr="00FD5F6F">
              <w:rPr>
                <w:rFonts w:eastAsia="宋体" w:hAnsi="宋体" w:hint="eastAsia"/>
                <w:sz w:val="21"/>
                <w:szCs w:val="21"/>
                <w:lang w:val="en-US" w:eastAsia="zh-CN"/>
              </w:rPr>
              <w:t>7.5条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管道通过田坎、地坎段时，可采取浆砌石堡坎、干砌石堡坎、加筋土堡坎或袋装土堡坎结构形式进行防护，堡坎宽度不应小于施工作业带宽度。</w:t>
            </w:r>
          </w:p>
        </w:tc>
        <w:tc>
          <w:tcPr>
            <w:tcW w:w="1134"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w:t>
            </w:r>
            <w:r w:rsidRPr="00FD5F6F">
              <w:rPr>
                <w:rFonts w:eastAsia="宋体" w:hAnsi="宋体" w:hint="eastAsia"/>
                <w:sz w:val="21"/>
                <w:szCs w:val="21"/>
                <w:lang w:val="en-US" w:eastAsia="zh-CN"/>
              </w:rPr>
              <w:t>7.6条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管道通过不稳定边坡或危岩地段时，应根据不稳定边坡的下滑力和危岩坠落的冲击力，采取边坡支挡、加大管道埋深或采取覆盖物等措施对管道进行防护。</w:t>
            </w:r>
          </w:p>
        </w:tc>
        <w:tc>
          <w:tcPr>
            <w:tcW w:w="1134"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sz w:val="21"/>
                <w:szCs w:val="21"/>
                <w:lang w:val="en-US" w:eastAsia="zh-CN"/>
              </w:rPr>
              <w:t>GB50253-2014</w:t>
            </w:r>
            <w:r w:rsidRPr="00FD5F6F">
              <w:rPr>
                <w:rFonts w:eastAsia="宋体" w:hAnsi="宋体" w:hint="eastAsia"/>
                <w:sz w:val="21"/>
                <w:szCs w:val="21"/>
                <w:lang w:val="en-US" w:eastAsia="zh-CN"/>
              </w:rPr>
              <w:t>第</w:t>
            </w:r>
            <w:r w:rsidRPr="00FD5F6F">
              <w:rPr>
                <w:rFonts w:eastAsia="宋体" w:hAnsi="宋体"/>
                <w:sz w:val="21"/>
                <w:szCs w:val="21"/>
                <w:lang w:val="en-US" w:eastAsia="zh-CN"/>
              </w:rPr>
              <w:t>4.</w:t>
            </w:r>
            <w:r w:rsidRPr="00FD5F6F">
              <w:rPr>
                <w:rFonts w:eastAsia="宋体" w:hAnsi="宋体" w:hint="eastAsia"/>
                <w:sz w:val="21"/>
                <w:szCs w:val="21"/>
                <w:lang w:val="en-US" w:eastAsia="zh-CN"/>
              </w:rPr>
              <w:t>7.7条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rsidR="00A749C0" w:rsidRPr="00FD5F6F" w:rsidP="00A749C0">
            <w:pPr>
              <w:rPr>
                <w:rFonts w:eastAsia="宋体"/>
                <w:snapToGrid/>
                <w:kern w:val="21"/>
                <w:sz w:val="21"/>
                <w:szCs w:val="21"/>
                <w:lang w:val="en-US" w:eastAsia="zh-CN"/>
              </w:rPr>
            </w:pPr>
            <w:r w:rsidRPr="00FD5F6F">
              <w:rPr>
                <w:rFonts w:eastAsia="宋体" w:hint="eastAsia"/>
                <w:snapToGrid/>
                <w:kern w:val="21"/>
                <w:sz w:val="21"/>
                <w:szCs w:val="21"/>
                <w:lang w:val="en-US" w:eastAsia="zh-CN"/>
              </w:rPr>
              <w:t>九</w:t>
            </w:r>
          </w:p>
        </w:tc>
        <w:tc>
          <w:tcPr>
            <w:tcW w:w="3402" w:type="dxa"/>
            <w:shd w:val="clear" w:color="auto" w:fill="auto"/>
            <w:vAlign w:val="center"/>
          </w:tcPr>
          <w:p w:rsidR="00A749C0" w:rsidRPr="00FD5F6F" w:rsidP="000A7E32">
            <w:pPr>
              <w:rPr>
                <w:rFonts w:eastAsia="宋体" w:hAnsi="宋体"/>
                <w:sz w:val="21"/>
                <w:szCs w:val="21"/>
                <w:lang w:val="en-US" w:eastAsia="zh-CN"/>
              </w:rPr>
            </w:pPr>
            <w:r w:rsidRPr="00FD5F6F">
              <w:rPr>
                <w:rFonts w:eastAsia="宋体" w:hAnsi="宋体" w:hint="eastAsia"/>
                <w:sz w:val="21"/>
                <w:szCs w:val="21"/>
                <w:lang w:val="en-US" w:eastAsia="zh-CN"/>
              </w:rPr>
              <w:t>管道材料</w:t>
            </w:r>
          </w:p>
        </w:tc>
        <w:tc>
          <w:tcPr>
            <w:tcW w:w="1134" w:type="dxa"/>
            <w:shd w:val="clear" w:color="auto" w:fill="auto"/>
            <w:vAlign w:val="center"/>
          </w:tcP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输油管道所采用的钢管、管道附件的材质选择应根据设计压力、温度和所输液体的物理性质，经技术经济比较后确定。采用的钢管和钢材应具有良好的韧性和可焊性。</w:t>
            </w:r>
          </w:p>
        </w:tc>
        <w:tc>
          <w:tcPr>
            <w:tcW w:w="1134" w:type="dxa"/>
            <w:shd w:val="clear" w:color="auto" w:fill="auto"/>
            <w:vAlign w:val="center"/>
          </w:tcPr>
          <w:p w:rsidR="00A749C0"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w:t>
            </w:r>
          </w:p>
          <w:p w:rsidR="00A749C0"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5.3.1</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749C0"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输油管道线路用钢管应采用管线钢，钢管应符合现行国家标准《石油天然气工业管线输送系统用钢管》GB/T 9711的有关规定；输油站内的工艺管道应优先采用管线钢，也可采用符合现行国家标准《输送流体用无缝钢管》GB/T 8163规定的钢管。</w:t>
            </w:r>
          </w:p>
        </w:tc>
        <w:tc>
          <w:tcPr>
            <w:tcW w:w="1134" w:type="dxa"/>
            <w:shd w:val="clear" w:color="auto" w:fill="auto"/>
            <w:vAlign w:val="center"/>
          </w:tcPr>
          <w:p w:rsidR="00A749C0"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5.3.2</w:t>
              </w:r>
            </w:smartTag>
            <w:r w:rsidRPr="00FD5F6F">
              <w:rPr>
                <w:rFonts w:eastAsia="宋体" w:hint="eastAsia"/>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9D2DDA" w:rsidRPr="00FD5F6F" w:rsidP="000A7E32">
            <w:pPr>
              <w:rPr>
                <w:rFonts w:eastAsia="宋体" w:hAnsi="宋体"/>
                <w:sz w:val="21"/>
                <w:szCs w:val="21"/>
                <w:lang w:val="en-US" w:eastAsia="zh-CN"/>
              </w:rPr>
            </w:pPr>
            <w:r w:rsidRPr="00FD5F6F">
              <w:rPr>
                <w:rFonts w:eastAsia="宋体" w:hAnsi="宋体" w:hint="eastAsia"/>
                <w:sz w:val="21"/>
                <w:szCs w:val="21"/>
                <w:lang w:val="en-US" w:eastAsia="zh-CN"/>
              </w:rPr>
              <w:t>管道附件和其他钢管材料应采用镇静钢。</w:t>
            </w:r>
          </w:p>
        </w:tc>
        <w:tc>
          <w:tcPr>
            <w:tcW w:w="1134" w:type="dxa"/>
            <w:shd w:val="clear" w:color="auto" w:fill="auto"/>
            <w:vAlign w:val="center"/>
          </w:tcPr>
          <w:p w:rsidR="009D2DDA" w:rsidRPr="00FD5F6F" w:rsidP="009D2DDA">
            <w:pPr>
              <w:rPr>
                <w:rFonts w:eastAsia="宋体"/>
                <w:snapToGrid/>
                <w:kern w:val="21"/>
                <w:sz w:val="21"/>
                <w:szCs w:val="21"/>
                <w:lang w:val="en-US" w:eastAsia="zh-CN"/>
              </w:rPr>
            </w:pPr>
            <w:r w:rsidRPr="00FD5F6F">
              <w:rPr>
                <w:rFonts w:eastAsia="宋体"/>
                <w:snapToGrid/>
                <w:kern w:val="21"/>
                <w:sz w:val="21"/>
                <w:szCs w:val="21"/>
                <w:lang w:val="en-US" w:eastAsia="zh-CN"/>
              </w:rPr>
              <w:t>GB50253</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9D2DDA" w:rsidRPr="00FD5F6F" w:rsidP="009D2DDA">
            <w:pPr>
              <w:rPr>
                <w:rFonts w:eastAsia="宋体" w:hAnsi="宋体"/>
                <w:sz w:val="21"/>
                <w:szCs w:val="21"/>
                <w:lang w:val="en-US" w:eastAsia="zh-CN"/>
              </w:rPr>
            </w:pPr>
            <w:r w:rsidRPr="00FD5F6F">
              <w:rPr>
                <w:rFonts w:eastAsia="宋体" w:hAnsi="宋体" w:hint="eastAsia"/>
                <w:sz w:val="21"/>
                <w:szCs w:val="21"/>
                <w:lang w:val="en-US" w:eastAsia="zh-CN"/>
              </w:rPr>
              <w:t>当钢管储存、运输、施工的环境温度或运行温度低于0</w:t>
            </w:r>
            <w:r w:rsidRPr="00FD5F6F">
              <w:rPr>
                <w:rFonts w:eastAsia="宋体" w:hAnsi="宋体" w:hint="eastAsia"/>
                <w:sz w:val="21"/>
                <w:szCs w:val="21"/>
                <w:lang w:val="en-US" w:eastAsia="zh-CN"/>
              </w:rPr>
              <w:t>℃</w:t>
            </w:r>
            <w:r w:rsidRPr="00FD5F6F">
              <w:rPr>
                <w:rFonts w:eastAsia="宋体" w:hAnsi="宋体" w:hint="eastAsia"/>
                <w:sz w:val="21"/>
                <w:szCs w:val="21"/>
                <w:lang w:val="en-US" w:eastAsia="zh-CN"/>
              </w:rPr>
              <w:t>时，应对钢管和管道附件材料提出韧性要求。</w:t>
            </w:r>
          </w:p>
        </w:tc>
        <w:tc>
          <w:tcPr>
            <w:tcW w:w="1134" w:type="dxa"/>
            <w:shd w:val="clear" w:color="auto" w:fill="auto"/>
            <w:vAlign w:val="center"/>
          </w:tcPr>
          <w:p w:rsidR="009D2DDA" w:rsidRPr="00FD5F6F" w:rsidP="009D2DDA">
            <w:pPr>
              <w:rPr>
                <w:rFonts w:eastAsia="宋体"/>
                <w:snapToGrid/>
                <w:kern w:val="21"/>
                <w:sz w:val="21"/>
                <w:szCs w:val="21"/>
                <w:lang w:val="en-US" w:eastAsia="zh-CN"/>
              </w:rPr>
            </w:pPr>
            <w:r w:rsidRPr="00FD5F6F">
              <w:rPr>
                <w:rFonts w:eastAsia="宋体"/>
                <w:snapToGrid/>
                <w:kern w:val="21"/>
                <w:sz w:val="21"/>
                <w:szCs w:val="21"/>
                <w:lang w:val="en-US" w:eastAsia="zh-CN"/>
              </w:rPr>
              <w:t>GB50253</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9D2DDA" w:rsidRPr="00FD5F6F" w:rsidP="009D2DDA">
            <w:pPr>
              <w:rPr>
                <w:rFonts w:eastAsia="宋体" w:hAnsi="宋体"/>
                <w:sz w:val="21"/>
                <w:szCs w:val="21"/>
                <w:lang w:val="en-US" w:eastAsia="zh-CN"/>
              </w:rPr>
            </w:pPr>
            <w:r w:rsidRPr="00FD5F6F">
              <w:rPr>
                <w:rFonts w:eastAsia="宋体" w:hAnsi="宋体" w:hint="eastAsia"/>
                <w:sz w:val="21"/>
                <w:szCs w:val="21"/>
                <w:lang w:val="en-US" w:eastAsia="zh-CN"/>
              </w:rPr>
              <w:t>钢制锻造法兰及其他锻件，应符合国家现行标准《承压设备用碳素钢和合金钢锻件》NB/T 47008 、《低温承压设备用碳素钢和合金钢锻件》NB/T 47009 和《承压设备用不锈钢和耐热钢锻件》NB/T 47010 的有关规定。</w:t>
            </w:r>
          </w:p>
        </w:tc>
        <w:tc>
          <w:tcPr>
            <w:tcW w:w="1134" w:type="dxa"/>
            <w:shd w:val="clear" w:color="auto" w:fill="auto"/>
            <w:vAlign w:val="center"/>
          </w:tcPr>
          <w:p w:rsidR="009D2DDA" w:rsidRPr="00FD5F6F" w:rsidP="009D2DDA">
            <w:pPr>
              <w:rPr>
                <w:rFonts w:eastAsia="宋体"/>
                <w:snapToGrid/>
                <w:kern w:val="21"/>
                <w:sz w:val="21"/>
                <w:szCs w:val="21"/>
                <w:lang w:val="en-US" w:eastAsia="zh-CN"/>
              </w:rPr>
            </w:pPr>
            <w:r w:rsidRPr="00FD5F6F">
              <w:rPr>
                <w:rFonts w:eastAsia="宋体"/>
                <w:snapToGrid/>
                <w:kern w:val="21"/>
                <w:sz w:val="21"/>
                <w:szCs w:val="21"/>
                <w:lang w:val="en-US" w:eastAsia="zh-CN"/>
              </w:rPr>
              <w:t>GB50253</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rsidR="009D2DDA"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十</w:t>
            </w:r>
          </w:p>
        </w:tc>
        <w:tc>
          <w:tcPr>
            <w:tcW w:w="8082" w:type="dxa"/>
            <w:gridSpan w:val="4"/>
            <w:shd w:val="clear" w:color="auto" w:fill="auto"/>
            <w:vAlign w:val="center"/>
          </w:tcPr>
          <w:p w:rsidR="009D2DDA"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管道和管道附件的结构</w:t>
            </w: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9D2DDA"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钢制管件应符合下列规定：</w:t>
            </w:r>
          </w:p>
          <w:p w:rsidR="009D2DDA"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冷弯弯管、热煨弯管宜采用与直管段相同的钢级材料制作；</w:t>
            </w:r>
          </w:p>
          <w:p w:rsidR="009D2DDA"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制作冷弯弯管的钢管管型宜与两侧连接的直管段相同；热煨弯管不宜采用螺旋焊缝钢管制作；</w:t>
            </w:r>
          </w:p>
          <w:p w:rsidR="009D2DDA"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  用为了达到规定的最低屈服强度而进行过冷加工（控轧、冷扩）的母管制作的热煨弯管，其许用应力应按本规范第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5.2.1</w:t>
              </w:r>
            </w:smartTag>
            <w:r w:rsidRPr="00FD5F6F">
              <w:rPr>
                <w:rFonts w:eastAsia="宋体" w:hint="eastAsia"/>
                <w:snapToGrid/>
                <w:kern w:val="21"/>
                <w:sz w:val="21"/>
                <w:szCs w:val="21"/>
                <w:lang w:val="en-US" w:eastAsia="zh-CN"/>
              </w:rPr>
              <w:t>条第4款的规定取值。</w:t>
            </w:r>
          </w:p>
          <w:p w:rsidR="009D2DDA"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 钢制管件的制造、检验、试验、标志和验收应符合国家现行标准《钢制对焊无缝管件》GB 12459、《优质钢制对焊管件规范》SY/T 0609、《钢制对焊管件》SY/T 0510和《油气输送用钢制弯管》SY/T 5257的有关规定。管件与直管段不等壁厚的焊接应符合本规范附录G的规定。</w:t>
            </w:r>
          </w:p>
        </w:tc>
        <w:tc>
          <w:tcPr>
            <w:tcW w:w="1134" w:type="dxa"/>
            <w:shd w:val="clear" w:color="auto" w:fill="auto"/>
            <w:vAlign w:val="center"/>
          </w:tcPr>
          <w:p w:rsidR="009D2DDA"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5.4.5</w:t>
              </w:r>
            </w:smartTag>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E22A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管道附件设计应符合下列规定：</w:t>
            </w:r>
          </w:p>
          <w:p w:rsidR="00AE22A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1 管道附件应按设计内压力、设计温度和最低环境温度选择和设计，并应按本规范第5. 1. 2 条第2 款规定进行核算；</w:t>
            </w:r>
          </w:p>
          <w:p w:rsidR="00AE22A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2 管道附件的非金属镶装件、填料、密封件，应选择耐油、耐温的材料。</w:t>
            </w:r>
          </w:p>
        </w:tc>
        <w:tc>
          <w:tcPr>
            <w:tcW w:w="1134" w:type="dxa"/>
            <w:shd w:val="clear" w:color="auto" w:fill="auto"/>
            <w:vAlign w:val="center"/>
          </w:tcPr>
          <w:p w:rsidR="00AE22A3" w:rsidRPr="00FD5F6F" w:rsidP="00AE22A3">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5.4.7</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E22A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钢制异径接头的设计应符合现行国家标准《压力容器》</w:t>
            </w:r>
          </w:p>
          <w:p w:rsidR="00AE22A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GB 150 的有关规定。无折边异径接头的半锥角应小于或等于15</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，异径接头的材质宜与所连接钢管的材质相同或相近。</w:t>
            </w:r>
          </w:p>
        </w:tc>
        <w:tc>
          <w:tcPr>
            <w:tcW w:w="1134" w:type="dxa"/>
            <w:shd w:val="clear" w:color="auto" w:fill="auto"/>
            <w:vAlign w:val="center"/>
          </w:tcPr>
          <w:p w:rsidR="00AE22A3" w:rsidRPr="00FD5F6F" w:rsidP="00AE22A3">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5.4.8</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E22A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钢制平封头或凸封头的设计应符合现行国家标准《压力容器》GB 150 的有关规定。</w:t>
            </w:r>
          </w:p>
        </w:tc>
        <w:tc>
          <w:tcPr>
            <w:tcW w:w="1134" w:type="dxa"/>
            <w:shd w:val="clear" w:color="auto" w:fill="auto"/>
            <w:vAlign w:val="center"/>
          </w:tcPr>
          <w:p w:rsidR="00AE22A3" w:rsidRPr="00FD5F6F" w:rsidP="00AE22A3">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hint="eastAsia"/>
                <w:snapToGrid/>
                <w:kern w:val="21"/>
                <w:sz w:val="21"/>
                <w:szCs w:val="21"/>
                <w:lang w:val="en-US" w:eastAsia="zh-CN"/>
              </w:rPr>
              <w:t>5.4.9</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AE22A3"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绝缘接头、绝缘法兰的设计应符合现行行业标准《绝缘接头与绝缘法兰技术规范》SY/T 0516的有关规定。公称压力大于5MPa，直径大于</w:t>
            </w:r>
            <w:smartTag w:uri="urn:schemas-microsoft-com:office:smarttags" w:element="chmetcnv">
              <w:smartTagPr>
                <w:attr w:name="HasSpace" w:val="False"/>
                <w:attr w:name="Negative" w:val="False"/>
                <w:attr w:name="NumberType" w:val="1"/>
                <w:attr w:name="SourceValue" w:val="300"/>
                <w:attr w:name="TCSC" w:val="0"/>
                <w:attr w:name="UnitName" w:val="mm"/>
              </w:smartTagPr>
              <w:r w:rsidRPr="00FD5F6F">
                <w:rPr>
                  <w:rFonts w:eastAsia="宋体" w:hint="eastAsia"/>
                  <w:snapToGrid/>
                  <w:kern w:val="21"/>
                  <w:sz w:val="21"/>
                  <w:szCs w:val="21"/>
                  <w:lang w:val="en-US" w:eastAsia="zh-CN"/>
                </w:rPr>
                <w:t>300mm</w:t>
              </w:r>
            </w:smartTag>
            <w:r w:rsidRPr="00FD5F6F">
              <w:rPr>
                <w:rFonts w:eastAsia="宋体" w:hint="eastAsia"/>
                <w:snapToGrid/>
                <w:kern w:val="21"/>
                <w:sz w:val="21"/>
                <w:szCs w:val="21"/>
                <w:lang w:val="en-US" w:eastAsia="zh-CN"/>
              </w:rPr>
              <w:t>的输油管道宜采用绝缘接头。</w:t>
            </w:r>
          </w:p>
        </w:tc>
        <w:tc>
          <w:tcPr>
            <w:tcW w:w="1134" w:type="dxa"/>
            <w:shd w:val="clear" w:color="auto" w:fill="auto"/>
            <w:vAlign w:val="center"/>
          </w:tcPr>
          <w:p w:rsidR="00AE22A3"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管道和管道附件的开孔补强应符合下列规定：</w:t>
            </w:r>
          </w:p>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1 在主管上直接开孔焊接支管，当支管外径小于0.5倍主管外径时，可采用补强圈进行局部补强，也可增加主管和支管管壁厚度进行整体补强。支管和补强固的材料，宜与主管材料相同或相近。</w:t>
            </w:r>
          </w:p>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2 当相邻两支管中心线的间距小于两支管开孔直径之和，但大于或等于两支管开孔直径之和的2/3时，应进行联合补强或加大主管管壁厚度。当进行联合补强时，支管两中心线之间的补强面积不得小于两开孔所需总补强面积的1/2。当相邻两支管中心线的间距小于两支管开孔直径之和的2/3时，不得开孔。</w:t>
            </w:r>
          </w:p>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3 当开孔直径小于或等于50mm 时，可不补强。</w:t>
            </w:r>
          </w:p>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4 当支管外径大于或等于0.5倍主管外径时，应采用三通或采用全包型补强。</w:t>
            </w:r>
          </w:p>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5 三通和主管开孔宜采用等面积补强。</w:t>
            </w:r>
          </w:p>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6 开孔边缘距主管焊缝宜大于主管管璧厚的5倍。</w:t>
            </w:r>
          </w:p>
        </w:tc>
        <w:tc>
          <w:tcPr>
            <w:tcW w:w="1134" w:type="dxa"/>
            <w:shd w:val="clear" w:color="auto" w:fill="auto"/>
            <w:vAlign w:val="center"/>
          </w:tcPr>
          <w:p w:rsidR="00C02583" w:rsidRPr="00FD5F6F" w:rsidP="00C02583">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02583" w:rsidRPr="00FD5F6F" w:rsidP="00C02583">
            <w:pPr>
              <w:rPr>
                <w:rFonts w:eastAsia="宋体"/>
                <w:snapToGrid/>
                <w:kern w:val="21"/>
                <w:sz w:val="21"/>
                <w:szCs w:val="21"/>
                <w:lang w:val="en-US" w:eastAsia="zh-CN"/>
              </w:rPr>
            </w:pPr>
            <w:r w:rsidRPr="00FD5F6F">
              <w:rPr>
                <w:rFonts w:eastAsia="宋体" w:hint="eastAsia"/>
                <w:snapToGrid/>
                <w:kern w:val="21"/>
                <w:sz w:val="21"/>
                <w:szCs w:val="21"/>
                <w:lang w:val="en-US" w:eastAsia="zh-CN"/>
              </w:rPr>
              <w:t>当输油管道采用弯头或弯管时，其所能承受的温度和内压力，应不低于相邻直管段所承受的温度和内压力。</w:t>
            </w:r>
          </w:p>
        </w:tc>
        <w:tc>
          <w:tcPr>
            <w:tcW w:w="1134" w:type="dxa"/>
            <w:shd w:val="clear" w:color="auto" w:fill="auto"/>
            <w:vAlign w:val="center"/>
          </w:tcPr>
          <w:p w:rsidR="00C02583" w:rsidRPr="00FD5F6F" w:rsidP="00C02583">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02583"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冷弯管的任何部位不得出现明显褶皱、裂纹及其它机械损伤，弯管两端的圆度不得大于</w:t>
            </w:r>
            <w:r w:rsidRPr="00FD5F6F">
              <w:rPr>
                <w:rFonts w:eastAsia="宋体"/>
                <w:snapToGrid/>
                <w:kern w:val="21"/>
                <w:sz w:val="21"/>
                <w:szCs w:val="21"/>
                <w:lang w:val="en-US" w:eastAsia="zh-CN"/>
              </w:rPr>
              <w:t>2%</w:t>
            </w:r>
            <w:r w:rsidRPr="00FD5F6F">
              <w:rPr>
                <w:rFonts w:eastAsia="宋体" w:hint="eastAsia"/>
                <w:snapToGrid/>
                <w:kern w:val="21"/>
                <w:sz w:val="21"/>
                <w:szCs w:val="21"/>
                <w:lang w:val="en-US" w:eastAsia="zh-CN"/>
              </w:rPr>
              <w:t>，其它部位不得大于</w:t>
            </w:r>
            <w:r w:rsidRPr="00FD5F6F">
              <w:rPr>
                <w:rFonts w:eastAsia="宋体"/>
                <w:snapToGrid/>
                <w:kern w:val="21"/>
                <w:sz w:val="21"/>
                <w:szCs w:val="21"/>
                <w:lang w:val="en-US" w:eastAsia="zh-CN"/>
              </w:rPr>
              <w:t>2.5%</w:t>
            </w:r>
            <w:r w:rsidRPr="00FD5F6F">
              <w:rPr>
                <w:rFonts w:eastAsia="宋体" w:hint="eastAsia"/>
                <w:snapToGrid/>
                <w:kern w:val="21"/>
                <w:sz w:val="21"/>
                <w:szCs w:val="21"/>
                <w:lang w:val="en-US" w:eastAsia="zh-CN"/>
              </w:rPr>
              <w:t>。</w:t>
            </w:r>
          </w:p>
        </w:tc>
        <w:tc>
          <w:tcPr>
            <w:tcW w:w="1134" w:type="dxa"/>
            <w:shd w:val="clear" w:color="auto" w:fill="auto"/>
            <w:vAlign w:val="center"/>
          </w:tcPr>
          <w:p w:rsidR="00C02583"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r w:rsidTr="00BF6F74">
        <w:tblPrEx>
          <w:tblW w:w="0" w:type="auto"/>
          <w:jc w:val="center"/>
          <w:tblLayout w:type="fixed"/>
          <w:tblLook w:val="01E0"/>
        </w:tblPrEx>
        <w:trPr>
          <w:trHeight w:val="75"/>
          <w:jc w:val="center"/>
        </w:trPr>
        <w:tc>
          <w:tcPr>
            <w:tcW w:w="487" w:type="dxa"/>
            <w:shd w:val="clear" w:color="auto" w:fill="auto"/>
            <w:vAlign w:val="center"/>
          </w:tcPr>
          <w:p/>
        </w:tc>
        <w:tc>
          <w:tcPr>
            <w:tcW w:w="3402" w:type="dxa"/>
            <w:shd w:val="clear" w:color="auto" w:fill="auto"/>
            <w:vAlign w:val="center"/>
          </w:tcPr>
          <w:p w:rsidR="00C0258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地面管道的管架、支承件和锚固件的设计应符合下列规</w:t>
            </w:r>
          </w:p>
          <w:p w:rsidR="00C0258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定：</w:t>
            </w:r>
          </w:p>
          <w:p w:rsidR="00C0258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1 被支承的钢管不应产生过大的局部应力、轴向和侧向摩擦力；</w:t>
            </w:r>
          </w:p>
          <w:p w:rsidR="00C0258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2 管道运行时可能发生振动处，可采用支柱或防振装置，但不应改变设计的管道约束形式；</w:t>
            </w:r>
          </w:p>
          <w:p w:rsidR="00C0258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3 钢管上的支承件，可采用不与钢管焊接成一体的部件的管夹或</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U</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形管卡；</w:t>
            </w:r>
          </w:p>
          <w:p w:rsidR="00C02583" w:rsidRPr="00FD5F6F" w:rsidP="00AE22A3">
            <w:pPr>
              <w:rPr>
                <w:rFonts w:eastAsia="宋体"/>
                <w:snapToGrid/>
                <w:kern w:val="21"/>
                <w:sz w:val="21"/>
                <w:szCs w:val="21"/>
                <w:lang w:val="en-US" w:eastAsia="zh-CN"/>
              </w:rPr>
            </w:pPr>
            <w:r w:rsidRPr="00FD5F6F">
              <w:rPr>
                <w:rFonts w:eastAsia="宋体" w:hint="eastAsia"/>
                <w:snapToGrid/>
                <w:kern w:val="21"/>
                <w:sz w:val="21"/>
                <w:szCs w:val="21"/>
                <w:lang w:val="en-US" w:eastAsia="zh-CN"/>
              </w:rPr>
              <w:t>4 当设计的管道是在其许用应力或接近其许用应力的情况下运行时，焊接在铜管上的连接件应是一个环抱整个钢管的单独的圆筒形加强件。加强件与钢管的焊接应采用连续焊。</w:t>
            </w:r>
          </w:p>
        </w:tc>
        <w:tc>
          <w:tcPr>
            <w:tcW w:w="1134" w:type="dxa"/>
            <w:shd w:val="clear" w:color="auto" w:fill="auto"/>
            <w:vAlign w:val="center"/>
          </w:tcPr>
          <w:p w:rsidR="00C02583" w:rsidRPr="00FD5F6F" w:rsidP="00F738E3">
            <w:pPr>
              <w:rPr>
                <w:rFonts w:eastAsia="宋体"/>
                <w:snapToGrid/>
                <w:kern w:val="21"/>
                <w:sz w:val="21"/>
                <w:szCs w:val="21"/>
                <w:lang w:val="en-US" w:eastAsia="zh-CN"/>
              </w:rPr>
            </w:pPr>
            <w:r w:rsidRPr="00FD5F6F">
              <w:rPr>
                <w:rFonts w:eastAsia="宋体"/>
                <w:snapToGrid/>
                <w:kern w:val="21"/>
                <w:sz w:val="21"/>
                <w:szCs w:val="21"/>
                <w:lang w:val="en-US" w:eastAsia="zh-CN"/>
              </w:rPr>
              <w:t>GB5025</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r w:rsidRPr="00FD5F6F">
              <w:rPr>
                <w:rFonts w:eastAsia="宋体"/>
                <w:snapToGrid/>
                <w:kern w:val="21"/>
                <w:sz w:val="21"/>
                <w:szCs w:val="21"/>
                <w:lang w:val="en-US" w:eastAsia="zh-CN"/>
              </w:rPr>
              <w:t>条</w:t>
            </w:r>
          </w:p>
        </w:tc>
        <w:tc>
          <w:tcPr>
            <w:tcW w:w="2851" w:type="dxa"/>
            <w:shd w:val="clear" w:color="auto" w:fill="auto"/>
            <w:vAlign w:val="center"/>
          </w:tcPr>
          <w:p/>
        </w:tc>
        <w:tc>
          <w:tcPr>
            <w:tcW w:w="695" w:type="dxa"/>
            <w:shd w:val="clear" w:color="auto" w:fill="auto"/>
          </w:tcPr>
          <w:p/>
        </w:tc>
      </w:tr>
    </w:tbl>
    <w:p w:rsidR="00CC18D8" w:rsidRPr="0064063C" w:rsidP="00BF6F74">
      <w:r w:rsidRPr="0064063C">
        <w:br w:type="page"/>
      </w:r>
      <w:r w:rsidRPr="0064063C">
        <w:rPr>
          <w:rFonts w:hint="eastAsia"/>
        </w:rPr>
        <w:t>表2</w:t>
      </w:r>
      <w:r w:rsidR="00924FF4">
        <w:rPr>
          <w:rFonts w:hint="eastAsia"/>
        </w:rPr>
        <w:t xml:space="preserve"> </w:t>
      </w:r>
      <w:r w:rsidRPr="0064063C">
        <w:rPr>
          <w:rFonts w:hint="eastAsia"/>
        </w:rPr>
        <w:t>输油站场安全检查表</w:t>
      </w:r>
      <w:r w:rsidR="00924FF4">
        <w:rPr>
          <w:rFonts w:hint="eastAsia"/>
        </w:rPr>
        <w:t>（GB50253-2014）</w:t>
      </w:r>
    </w:p>
    <w:tbl>
      <w:tblPr>
        <w:tblStyle w:val="TableNormal"/>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tblPr>
      <w:tblGrid>
        <w:gridCol w:w="472"/>
        <w:gridCol w:w="3487"/>
        <w:gridCol w:w="1049"/>
        <w:gridCol w:w="2835"/>
        <w:gridCol w:w="697"/>
      </w:tblGrid>
      <w:tr w:rsidTr="00BF6F74">
        <w:tblPrEx>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tblPrEx>
        <w:trPr>
          <w:tblHeader/>
          <w:jc w:val="center"/>
        </w:trPr>
        <w:tc>
          <w:tcPr>
            <w:tcW w:w="47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序号</w:t>
            </w:r>
          </w:p>
        </w:tc>
        <w:tc>
          <w:tcPr>
            <w:tcW w:w="3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检查项目</w:t>
            </w:r>
          </w:p>
        </w:tc>
        <w:tc>
          <w:tcPr>
            <w:tcW w:w="1049"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依据</w:t>
            </w:r>
          </w:p>
        </w:tc>
        <w:tc>
          <w:tcPr>
            <w:tcW w:w="2835"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实际情况</w:t>
            </w:r>
          </w:p>
        </w:tc>
        <w:tc>
          <w:tcPr>
            <w:tcW w:w="69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检查结果</w:t>
            </w:r>
          </w:p>
        </w:tc>
      </w:tr>
      <w:tr w:rsidTr="002675E0">
        <w:tblPrEx>
          <w:tblW w:w="0" w:type="auto"/>
          <w:jc w:val="center"/>
          <w:tblLayout w:type="fixed"/>
          <w:tblLook w:val="01E0"/>
        </w:tblPrEx>
        <w:trPr>
          <w:jc w:val="center"/>
        </w:trPr>
        <w:tc>
          <w:tcPr>
            <w:tcW w:w="47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一</w:t>
            </w:r>
          </w:p>
        </w:tc>
        <w:tc>
          <w:tcPr>
            <w:tcW w:w="8068" w:type="dxa"/>
            <w:gridSpan w:val="4"/>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区域布置及总平面布置</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站场选址应符合下列规定：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站场选址应合理利用土地，并应结合当地城乡建设规划；</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站址宜选定在地势平缓、开阔、具有较好的工程、气象、水文、地质条件，且交通、供电、供水、排水及职工生活社会依托均较方便的地方；应保持与附近城镇居民点、工矿企业、铁路、公路等的安全间距要求；</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  站场位置选定应结合管道线路走向，满足工艺设计的要求；站场内应有足够的生产及施工操作场地；并行敷设的管道站场宜合建；</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  站址宜远离海、江、河、湖泊。当确需邻近建设时，应采取防止事故状态下事故液对周边水体污染的相应防护措施；</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5  站场位置选定应避开下列场所：1）存在崩塌、活动断层、滑坡、沼泽、流沙、泥石流、矿山采空区等不良地质的地段。2）蓄（滞）洪区及有内涝威胁的地段；3）山区易受山洪及泥石流影响的地段，窝风地段；4）在山地、丘陵地区采用开山填沟营造人工场地时，应避开山洪流经过的沟谷；5）水源保护区、自然保护区、风景名胜区和地下文物遗址。</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6  首、末站站址的选定宜与上下游企业联合选址，并应保证管道的进出线方便；</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7  各类站场的站址选择应符合现行行业标准《石油天然气工程总图设计规范》SY/T 0048中的相关规定。独立建设或与炼厂、油库、油品码头等石油化工企业毗邻建设的输油站场与相邻的居民点、企业的安全间距应符合现行国家标准《石油天然气工程设计防火规范》GB 50183的相关规定；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8  站场与油田的集中处理站、炼厂、油库等石油化工企业合并建设时，各设施与相邻石油化工企业相关设施的安全间距应按照现行国家标准《石油天然气工程设计防火规范》GB 50183和相关规范中企业内部各设施之间的安全间距要求较大者确定。</w:t>
            </w:r>
          </w:p>
        </w:tc>
        <w:tc>
          <w:tcPr>
            <w:tcW w:w="1049" w:type="dxa"/>
            <w:shd w:val="clear" w:color="auto" w:fill="auto"/>
            <w:vAlign w:val="center"/>
          </w:tcPr>
          <w:p w:rsidR="00CC18D8" w:rsidRPr="00FD5F6F" w:rsidP="00BF6F74">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6.1</w:t>
            </w:r>
            <w:r w:rsidRPr="00FD5F6F">
              <w:rPr>
                <w:rFonts w:eastAsia="宋体" w:hint="eastAsia"/>
                <w:snapToGrid/>
                <w:kern w:val="21"/>
                <w:sz w:val="21"/>
                <w:szCs w:val="21"/>
                <w:lang w:val="en-US" w:eastAsia="zh-CN"/>
              </w:rPr>
              <w:t>.1条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各类站场的总平面布置应符合下列规定：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防火间距及防火措施应符合现行国家标准《石油天然气工程设计防火规范》GB 50183的相关规定；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总平面布置的防爆要求应符合现行行业标准《石油设施电气设备安装区域一级、0区、1区和2区区域划分推荐做法》SY/T 6671的相关规定；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  站场总平面和竖向布置应符合现行行业标准《石油天然气工程总图设计规范》SY/T 0048的相关规定；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  各类站场内部设施的总平面布置应根据各类设施的火灾危险性，并结合地形、风向等条件，按功能进行分区布置；</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5  各类站场内使用性质相近的建（构）筑物，在符合生产使用和安全防火的要求下，宜合并布置；</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6  各类站场应结合当地情况，选取合理的雨水排放和收集方案，避免由于雨水排放造成的水土流失、环境污染等情况的发生；</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7  输油站场生产区周围宜设置防止事故状态下事故液漫流的导流和收集设施。</w:t>
            </w:r>
          </w:p>
        </w:tc>
        <w:tc>
          <w:tcPr>
            <w:tcW w:w="1049" w:type="dxa"/>
            <w:shd w:val="clear" w:color="auto" w:fill="auto"/>
            <w:vAlign w:val="center"/>
          </w:tcPr>
          <w:p w:rsidR="00CC18D8" w:rsidRPr="00FD5F6F" w:rsidP="00BF6F74">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6.1</w:t>
            </w:r>
            <w:r w:rsidRPr="00FD5F6F">
              <w:rPr>
                <w:rFonts w:eastAsia="宋体" w:hint="eastAsia"/>
                <w:snapToGrid/>
                <w:kern w:val="21"/>
                <w:sz w:val="21"/>
                <w:szCs w:val="21"/>
                <w:lang w:val="en-US" w:eastAsia="zh-CN"/>
              </w:rPr>
              <w:t>.2条</w:t>
            </w:r>
          </w:p>
        </w:tc>
        <w:tc>
          <w:tcPr>
            <w:tcW w:w="2835" w:type="dxa"/>
            <w:shd w:val="clear" w:color="auto" w:fill="auto"/>
            <w:vAlign w:val="center"/>
          </w:tcPr>
          <w:p/>
        </w:tc>
        <w:tc>
          <w:tcPr>
            <w:tcW w:w="697" w:type="dxa"/>
            <w:shd w:val="clear" w:color="auto" w:fill="auto"/>
            <w:vAlign w:val="center"/>
          </w:tcPr>
          <w:p/>
        </w:tc>
      </w:tr>
      <w:tr w:rsidTr="002675E0">
        <w:tblPrEx>
          <w:tblW w:w="0" w:type="auto"/>
          <w:jc w:val="center"/>
          <w:tblLayout w:type="fixed"/>
          <w:tblLook w:val="01E0"/>
        </w:tblPrEx>
        <w:trPr>
          <w:jc w:val="center"/>
        </w:trPr>
        <w:tc>
          <w:tcPr>
            <w:tcW w:w="472"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二</w:t>
            </w:r>
          </w:p>
        </w:tc>
        <w:tc>
          <w:tcPr>
            <w:tcW w:w="8068" w:type="dxa"/>
            <w:gridSpan w:val="4"/>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站场工艺流程</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输油首站工艺流程宜具有收油、储存、增压正输（加热）、发送清管器、站内循环、计量的功能。</w:t>
            </w:r>
          </w:p>
        </w:tc>
        <w:tc>
          <w:tcPr>
            <w:tcW w:w="1049"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6.2.1</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中间（热）泵站工艺流程应符合下列规定：</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1中间泵站工艺流程宜具有增压正输、压力越站、全越站、接收和发送清管器或清管器越站的功能；</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2中间热泵站工艺流程宜具有增压正输、加热正输、压力越站、热力越站、全越站、接收和发送清管器或清管器越站的功能；</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3中间热站工艺流程宜具有加热正输、热力越站、全越站、接收和发送清管器或清管器越站的功能；</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4设有分输功能的中间（热）泵站工艺流程尚应具有油品分输、调节及计量功能；</w:t>
            </w:r>
          </w:p>
          <w:p w:rsidR="00CC18D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5设有注入功能的中间（热）泵站工艺流程尚应具有收油、调节、计量、注入的功能。</w:t>
            </w:r>
          </w:p>
        </w:tc>
        <w:tc>
          <w:tcPr>
            <w:tcW w:w="1049" w:type="dxa"/>
            <w:shd w:val="clear" w:color="auto" w:fill="auto"/>
            <w:vAlign w:val="center"/>
          </w:tcPr>
          <w:p w:rsidR="00CC18D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6.2.</w:t>
              </w:r>
              <w:r w:rsidRPr="00FD5F6F">
                <w:rPr>
                  <w:rFonts w:eastAsia="宋体" w:hint="eastAsia"/>
                  <w:snapToGrid/>
                  <w:kern w:val="21"/>
                  <w:sz w:val="21"/>
                  <w:szCs w:val="21"/>
                  <w:lang w:val="en-US" w:eastAsia="zh-CN"/>
                </w:rPr>
                <w:t>2</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2675E0"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清管站工艺流程应具有接收和发送清管器的功能。</w:t>
            </w:r>
          </w:p>
        </w:tc>
        <w:tc>
          <w:tcPr>
            <w:tcW w:w="1049"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6.2.</w:t>
            </w:r>
            <w:r w:rsidRPr="00FD5F6F">
              <w:rPr>
                <w:rFonts w:eastAsia="宋体" w:hint="eastAsia"/>
                <w:snapToGrid/>
                <w:kern w:val="21"/>
                <w:sz w:val="21"/>
                <w:szCs w:val="21"/>
                <w:lang w:val="en-US" w:eastAsia="zh-CN"/>
              </w:rPr>
              <w:t>3条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hint="eastAsia"/>
                <w:snapToGrid/>
                <w:kern w:val="21"/>
                <w:sz w:val="21"/>
                <w:szCs w:val="21"/>
                <w:lang w:val="en-US" w:eastAsia="zh-CN"/>
              </w:rPr>
              <w:t>减压站工艺流程应具有减压、接收和发送清管器的功能。设有分输或加热功能的减压站尚应分别具有分输站、热站的功能。</w:t>
            </w:r>
          </w:p>
        </w:tc>
        <w:tc>
          <w:tcPr>
            <w:tcW w:w="1049"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6.2.</w:t>
            </w:r>
            <w:r w:rsidRPr="00FD5F6F">
              <w:rPr>
                <w:rFonts w:eastAsia="宋体" w:hint="eastAsia"/>
                <w:snapToGrid/>
                <w:kern w:val="21"/>
                <w:sz w:val="21"/>
                <w:szCs w:val="21"/>
                <w:lang w:val="en-US" w:eastAsia="zh-CN"/>
              </w:rPr>
              <w:t>4条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hint="eastAsia"/>
                <w:snapToGrid/>
                <w:kern w:val="21"/>
                <w:sz w:val="21"/>
                <w:szCs w:val="21"/>
                <w:lang w:val="en-US" w:eastAsia="zh-CN"/>
              </w:rPr>
              <w:t>分输站工艺流程宜具有油品分输、调节及计量功能。与清管站合建的分输站尚应具有接收和发送清管器的功能。</w:t>
            </w:r>
          </w:p>
        </w:tc>
        <w:tc>
          <w:tcPr>
            <w:tcW w:w="1049"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6.2.</w:t>
            </w:r>
            <w:r w:rsidRPr="00FD5F6F">
              <w:rPr>
                <w:rFonts w:eastAsia="宋体" w:hint="eastAsia"/>
                <w:snapToGrid/>
                <w:kern w:val="21"/>
                <w:sz w:val="21"/>
                <w:szCs w:val="21"/>
                <w:lang w:val="en-US" w:eastAsia="zh-CN"/>
              </w:rPr>
              <w:t>5条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hint="eastAsia"/>
                <w:snapToGrid/>
                <w:kern w:val="21"/>
                <w:sz w:val="21"/>
                <w:szCs w:val="21"/>
                <w:lang w:val="en-US" w:eastAsia="zh-CN"/>
              </w:rPr>
              <w:t>注入站工艺流程宜具有收油、调节、计量、注入的功能。与清管站合建的分输站尚应具有接收和发送清管器的功能。</w:t>
            </w:r>
          </w:p>
        </w:tc>
        <w:tc>
          <w:tcPr>
            <w:tcW w:w="1049"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6.2.</w:t>
            </w:r>
            <w:r w:rsidRPr="00FD5F6F">
              <w:rPr>
                <w:rFonts w:eastAsia="宋体" w:hint="eastAsia"/>
                <w:snapToGrid/>
                <w:kern w:val="21"/>
                <w:sz w:val="21"/>
                <w:szCs w:val="21"/>
                <w:lang w:val="en-US" w:eastAsia="zh-CN"/>
              </w:rPr>
              <w:t>6条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2675E0"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末站工艺流程宜具有收油、储存或不进罐直接计量后去用户、站内循环、接收清管器的功能。</w:t>
            </w:r>
          </w:p>
        </w:tc>
        <w:tc>
          <w:tcPr>
            <w:tcW w:w="1049" w:type="dxa"/>
            <w:shd w:val="clear" w:color="auto" w:fill="auto"/>
            <w:vAlign w:val="center"/>
          </w:tcPr>
          <w:p w:rsidR="002675E0"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6.2.</w:t>
            </w:r>
            <w:r w:rsidRPr="00FD5F6F">
              <w:rPr>
                <w:rFonts w:eastAsia="宋体" w:hint="eastAsia"/>
                <w:snapToGrid/>
                <w:kern w:val="21"/>
                <w:sz w:val="21"/>
                <w:szCs w:val="21"/>
                <w:lang w:val="en-US" w:eastAsia="zh-CN"/>
              </w:rPr>
              <w:t>7条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2675E0"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采用反输工艺的输油管道各站场还应具有反输功能。</w:t>
            </w:r>
          </w:p>
        </w:tc>
        <w:tc>
          <w:tcPr>
            <w:tcW w:w="1049"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6.2.</w:t>
            </w:r>
            <w:r w:rsidRPr="00FD5F6F">
              <w:rPr>
                <w:rFonts w:eastAsia="宋体" w:hint="eastAsia"/>
                <w:snapToGrid/>
                <w:kern w:val="21"/>
                <w:sz w:val="21"/>
                <w:szCs w:val="21"/>
                <w:lang w:val="en-US" w:eastAsia="zh-CN"/>
              </w:rPr>
              <w:t>8条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hint="eastAsia"/>
                <w:snapToGrid/>
                <w:kern w:val="21"/>
                <w:sz w:val="21"/>
                <w:szCs w:val="21"/>
                <w:lang w:val="en-US" w:eastAsia="zh-CN"/>
              </w:rPr>
              <w:t>设有压力泄放系统的各类站场，应具有油品泄压进罐及油品回注或处理功能。</w:t>
            </w:r>
          </w:p>
        </w:tc>
        <w:tc>
          <w:tcPr>
            <w:tcW w:w="1049" w:type="dxa"/>
            <w:shd w:val="clear" w:color="auto" w:fill="auto"/>
            <w:vAlign w:val="center"/>
          </w:tcPr>
          <w:p w:rsidR="002675E0" w:rsidRPr="00FD5F6F" w:rsidP="002675E0">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2.9条</w:t>
            </w:r>
          </w:p>
        </w:tc>
        <w:tc>
          <w:tcPr>
            <w:tcW w:w="2835" w:type="dxa"/>
            <w:shd w:val="clear" w:color="auto" w:fill="auto"/>
            <w:vAlign w:val="center"/>
          </w:tcPr>
          <w:p/>
        </w:tc>
        <w:tc>
          <w:tcPr>
            <w:tcW w:w="697" w:type="dxa"/>
            <w:shd w:val="clear" w:color="auto" w:fill="auto"/>
            <w:vAlign w:val="center"/>
          </w:tcPr>
          <w:p/>
        </w:tc>
      </w:tr>
      <w:tr w:rsidTr="002675E0">
        <w:tblPrEx>
          <w:tblW w:w="0" w:type="auto"/>
          <w:jc w:val="center"/>
          <w:tblLayout w:type="fixed"/>
          <w:tblLook w:val="01E0"/>
        </w:tblPrEx>
        <w:trPr>
          <w:jc w:val="center"/>
        </w:trPr>
        <w:tc>
          <w:tcPr>
            <w:tcW w:w="472" w:type="dxa"/>
            <w:shd w:val="clear" w:color="auto" w:fill="auto"/>
            <w:vAlign w:val="center"/>
          </w:tcPr>
          <w:p w:rsidR="002675E0"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三</w:t>
            </w:r>
          </w:p>
        </w:tc>
        <w:tc>
          <w:tcPr>
            <w:tcW w:w="8068" w:type="dxa"/>
            <w:gridSpan w:val="4"/>
            <w:shd w:val="clear" w:color="auto" w:fill="auto"/>
            <w:vAlign w:val="center"/>
          </w:tcPr>
          <w:p w:rsidR="002675E0"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站场生产设施</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C91A51"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原油储罐宜选用浮顶油罐。</w:t>
            </w:r>
          </w:p>
        </w:tc>
        <w:tc>
          <w:tcPr>
            <w:tcW w:w="1049" w:type="dxa"/>
            <w:shd w:val="clear" w:color="auto" w:fill="auto"/>
            <w:vAlign w:val="center"/>
          </w:tcPr>
          <w:p w:rsidR="00C91A51" w:rsidRPr="00FD5F6F" w:rsidP="00C91A51">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3.1条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站场地压罐设置及容量应根据瞬态水力分析确定，泄压罐宜采用固定顶储罐。</w:t>
            </w:r>
          </w:p>
        </w:tc>
        <w:tc>
          <w:tcPr>
            <w:tcW w:w="1049" w:type="dxa"/>
            <w:shd w:val="clear" w:color="auto" w:fill="auto"/>
            <w:vAlign w:val="center"/>
          </w:tcPr>
          <w:p w:rsidR="00C91A51" w:rsidRPr="00FD5F6F" w:rsidP="00C91A51">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3.3条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输油站油品储备天数宜符合下列规定：</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1 首站、注入站：</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1 ）油源来自油田、管道时，其储备天数宜为3天～5天；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2 ）油源来自铁路卸油时，其储备天数宜为4天～5天；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3 ）油源来自内河运输时，其储备天数宜为3天～4天；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4 ）油源来自近海运输时，其储备天数宜为5天～7天；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5 ）油源来自远洋运输时，其储备天数按委托设计合同确定；油罐总容量应大于油轮一次卸油量。</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2 具有储存、转运功能的分输站、末站：</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1 ）通过铁路发送油品给用户时，油品储备天数宜为4天～5天；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2 ）通过内河发送给用户时，油品储备天数宜为3天～4天；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3 ）通过近海发送给用户时，油品的储备天数宜为5天～7天；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4 ）通过远洋油轮运送给用户时，油品储备天数按委托设计合同确定；油罐总容量应大于油轮一次装油量；</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5 ）末站为向用户供油的管道转输站时，油品储备天数宜为3 天。</w:t>
            </w:r>
          </w:p>
          <w:p w:rsidR="00C91A51" w:rsidRPr="00FD5F6F" w:rsidP="00C91A51">
            <w:pPr>
              <w:rPr>
                <w:rFonts w:eastAsia="宋体"/>
                <w:snapToGrid/>
                <w:kern w:val="21"/>
                <w:sz w:val="21"/>
                <w:szCs w:val="21"/>
                <w:lang w:val="en-US" w:eastAsia="zh-CN"/>
              </w:rPr>
            </w:pPr>
            <w:r w:rsidRPr="00FD5F6F">
              <w:rPr>
                <w:rFonts w:eastAsia="宋体" w:hint="eastAsia"/>
                <w:snapToGrid/>
                <w:kern w:val="21"/>
                <w:sz w:val="21"/>
                <w:szCs w:val="21"/>
                <w:lang w:val="en-US" w:eastAsia="zh-CN"/>
              </w:rPr>
              <w:t>3 中间（热）泵站采用旁接油罐输油工艺时，其旁接油罐容量宜按2h 的最大管输量计算。</w:t>
            </w:r>
          </w:p>
        </w:tc>
        <w:tc>
          <w:tcPr>
            <w:tcW w:w="1049" w:type="dxa"/>
            <w:shd w:val="clear" w:color="auto" w:fill="auto"/>
            <w:vAlign w:val="center"/>
          </w:tcPr>
          <w:p w:rsidR="00C91A51" w:rsidRPr="00FD5F6F" w:rsidP="00C91A51">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3.4条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油罐的加热和保温方式应根据储存原油的物理性质和环境条件，通过技术经济比较后确定。原油储存温度宜高于原油凝点3</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～5</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w:t>
            </w:r>
          </w:p>
        </w:tc>
        <w:tc>
          <w:tcPr>
            <w:tcW w:w="1049" w:type="dxa"/>
            <w:shd w:val="clear" w:color="auto" w:fill="auto"/>
            <w:vAlign w:val="center"/>
          </w:tcPr>
          <w:p w:rsidR="001A4DED" w:rsidRPr="00FD5F6F" w:rsidP="007D6E34">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w:t>
            </w:r>
            <w:r w:rsidRPr="00FD5F6F">
              <w:rPr>
                <w:rFonts w:eastAsia="宋体" w:hint="eastAsia"/>
                <w:snapToGrid/>
                <w:kern w:val="21"/>
                <w:sz w:val="21"/>
                <w:szCs w:val="21"/>
                <w:lang w:val="en-US" w:eastAsia="zh-CN"/>
              </w:rPr>
              <w:t>5</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1A4DED">
            <w:pPr>
              <w:rPr>
                <w:rFonts w:eastAsia="宋体"/>
                <w:snapToGrid/>
                <w:kern w:val="21"/>
                <w:sz w:val="21"/>
                <w:szCs w:val="21"/>
                <w:lang w:val="en-US" w:eastAsia="zh-CN"/>
              </w:rPr>
            </w:pPr>
            <w:r w:rsidRPr="00FD5F6F">
              <w:rPr>
                <w:rFonts w:eastAsia="宋体" w:hint="eastAsia"/>
                <w:snapToGrid/>
                <w:kern w:val="21"/>
                <w:sz w:val="21"/>
                <w:szCs w:val="21"/>
                <w:lang w:val="en-US" w:eastAsia="zh-CN"/>
              </w:rPr>
              <w:t>铁路装卸设施应符合现行行业标准《石油化工液体物料铁路装卸车设施设计规范》SH/T 3107的相关规定。</w:t>
            </w:r>
          </w:p>
        </w:tc>
        <w:tc>
          <w:tcPr>
            <w:tcW w:w="1049" w:type="dxa"/>
            <w:shd w:val="clear" w:color="auto" w:fill="auto"/>
            <w:vAlign w:val="center"/>
          </w:tcPr>
          <w:p w:rsidR="001A4DED" w:rsidRPr="00FD5F6F" w:rsidP="001A4DED">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w:t>
            </w:r>
            <w:r w:rsidRPr="00FD5F6F">
              <w:rPr>
                <w:rFonts w:eastAsia="宋体" w:hint="eastAsia"/>
                <w:snapToGrid/>
                <w:kern w:val="21"/>
                <w:sz w:val="21"/>
                <w:szCs w:val="21"/>
                <w:lang w:val="en-US" w:eastAsia="zh-CN"/>
              </w:rPr>
              <w:t>6</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1A4DED">
            <w:pPr>
              <w:rPr>
                <w:rFonts w:eastAsia="宋体"/>
                <w:snapToGrid/>
                <w:kern w:val="21"/>
                <w:sz w:val="21"/>
                <w:szCs w:val="21"/>
                <w:lang w:val="en-US" w:eastAsia="zh-CN"/>
              </w:rPr>
            </w:pPr>
            <w:r w:rsidRPr="00FD5F6F">
              <w:rPr>
                <w:rFonts w:eastAsia="宋体" w:hint="eastAsia"/>
                <w:snapToGrid/>
                <w:kern w:val="21"/>
                <w:sz w:val="21"/>
                <w:szCs w:val="21"/>
                <w:lang w:val="en-US" w:eastAsia="zh-CN"/>
              </w:rPr>
              <w:t>码头装卸设施应符合现行行业标准《海港总体设计规范》]TS 165的相关规定。</w:t>
            </w:r>
          </w:p>
        </w:tc>
        <w:tc>
          <w:tcPr>
            <w:tcW w:w="1049" w:type="dxa"/>
            <w:shd w:val="clear" w:color="auto" w:fill="auto"/>
            <w:vAlign w:val="center"/>
          </w:tcPr>
          <w:p w:rsidR="001A4DED" w:rsidRPr="00FD5F6F" w:rsidP="001A4DED">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w:t>
            </w:r>
            <w:r w:rsidRPr="00FD5F6F">
              <w:rPr>
                <w:rFonts w:eastAsia="宋体" w:hint="eastAsia"/>
                <w:snapToGrid/>
                <w:kern w:val="21"/>
                <w:sz w:val="21"/>
                <w:szCs w:val="21"/>
                <w:lang w:val="en-US" w:eastAsia="zh-CN"/>
              </w:rPr>
              <w:t>7</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输油泵的选择应符合下列规定：</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1  输油泵泵型应根据所输油品性质合理选择。当在输送温度下油品的动力黏度在100mPa.s以下时，宜选用离心泵。</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2  泵机组不应少于2台，但不宜多于5台，并应至少备用1台。</w:t>
            </w:r>
          </w:p>
        </w:tc>
        <w:tc>
          <w:tcPr>
            <w:tcW w:w="1049"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w:t>
            </w:r>
            <w:r w:rsidRPr="00FD5F6F">
              <w:rPr>
                <w:rFonts w:eastAsia="宋体" w:hint="eastAsia"/>
                <w:snapToGrid/>
                <w:kern w:val="21"/>
                <w:sz w:val="21"/>
                <w:szCs w:val="21"/>
                <w:lang w:val="en-US" w:eastAsia="zh-CN"/>
              </w:rPr>
              <w:t>8</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减压站内减压系统的设置应符合下列规定：</w:t>
            </w:r>
          </w:p>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1 减压系统应能保证油品通过上游高点时不出现汽化现象，并应控制下游管道压力不超压；</w:t>
            </w:r>
          </w:p>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2 减压系统应设置备用减压阀，减压阀应选择故障关闭型；</w:t>
            </w:r>
          </w:p>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3 减压站不应设置越站管线；</w:t>
            </w:r>
          </w:p>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4 减压阀上、下游应设置远控截断阀，阀门的压力等级应和减压阀压力等级保持一致，应能保证在管道停输时完全隔断静压力；</w:t>
            </w:r>
          </w:p>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5 减压阀组上游应设置过滤器，过滤网孔径尺寸应根据减压阀结构形式确定；</w:t>
            </w:r>
          </w:p>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6 设置伴热保温的减压阀组，每路减压阀组应设置单独的伴热回路；</w:t>
            </w:r>
          </w:p>
          <w:p w:rsidR="001A4DED" w:rsidRPr="00FD5F6F" w:rsidP="00A22CF9">
            <w:pPr>
              <w:rPr>
                <w:rFonts w:eastAsia="宋体"/>
                <w:snapToGrid/>
                <w:kern w:val="21"/>
                <w:sz w:val="21"/>
                <w:szCs w:val="21"/>
                <w:lang w:val="en-US" w:eastAsia="zh-CN"/>
              </w:rPr>
            </w:pPr>
            <w:r w:rsidRPr="00FD5F6F">
              <w:rPr>
                <w:rFonts w:eastAsia="宋体" w:hint="eastAsia"/>
                <w:snapToGrid/>
                <w:kern w:val="21"/>
                <w:sz w:val="21"/>
                <w:szCs w:val="21"/>
                <w:lang w:val="en-US" w:eastAsia="zh-CN"/>
              </w:rPr>
              <w:t>7 减压站内的进、出站管线上应设超压保护泄放阀。</w:t>
            </w:r>
          </w:p>
        </w:tc>
        <w:tc>
          <w:tcPr>
            <w:tcW w:w="1049" w:type="dxa"/>
            <w:shd w:val="clear" w:color="auto" w:fill="auto"/>
            <w:vAlign w:val="center"/>
          </w:tcPr>
          <w:p w:rsidR="001A4DED" w:rsidRPr="00FD5F6F" w:rsidP="00A22CF9">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w:t>
            </w:r>
            <w:r w:rsidRPr="00FD5F6F">
              <w:rPr>
                <w:rFonts w:eastAsia="宋体" w:hint="eastAsia"/>
                <w:snapToGrid/>
                <w:kern w:val="21"/>
                <w:sz w:val="21"/>
                <w:szCs w:val="21"/>
                <w:lang w:val="en-US" w:eastAsia="zh-CN"/>
              </w:rPr>
              <w:t>11</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清管设施的设置应符合下列规定：</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输油管道应设置清管设施；</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清管器出站端及进站端管线上应设置清管器通过指示器。设置清管器转发设施的站场，应在清管器转发设施的上游和下游管线上设置清管器通过指示器；</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  清管器接收、发送筒的结构、筒径及长度应能满足通过清管器或检测器的要求；</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  当输油管道直径大于DN500，且清管器总重超过45kg时，宜配备清管器提升设施；</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5  清管器接收、发送操作场地应根据一次清管作业中使用的清管器（包括检测器）数量及长度确定；</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6  清管作业清出的污物应进行集中收集处理。</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第6.3.1</w:t>
            </w:r>
            <w:r w:rsidRPr="00FD5F6F">
              <w:rPr>
                <w:rFonts w:eastAsia="宋体" w:hint="eastAsia"/>
                <w:snapToGrid/>
                <w:kern w:val="21"/>
                <w:sz w:val="21"/>
                <w:szCs w:val="21"/>
                <w:lang w:val="en-US" w:eastAsia="zh-CN"/>
              </w:rPr>
              <w:t>2</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输油管道用阀门的选择应符合下列规定：</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安装于通过清管器管道上的阀门应选择全通径型（阀门通道直径与相连接管道的内径相同）；不通清管器的阀门可选用普通型或缩径型；</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埋地安装的阀门宜采用全焊接阀体结构，并采用焊接连接；</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  当阀门与管道焊接连接时，阀体材料的焊接性能应与所连接的钢管的焊接性能相适应；</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  输油管道不得使用铸铁阀门。</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第6.3.1</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油品交接计量的设置应符合下列规定：</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1 输油管道应在油品交接处设置交接计量系统；</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2 流量计宜选用容积式、速度式或质量式流量计，准确度不应低于0.2级；</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3 计量系统应设置备用计量管路，不应设置旁通管路；计量管路多于4 路时，应设置2 路备用；</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4 流量计下游应设置具有截止和检漏双功能阀门或严密性好的无泄漏阀门；</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5 流量计出口应保持足够的背压；</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6 计量系统宜设置在线检定装置及配套设施，检定装置应设置清洗流程；</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7 流量计前后的排污设施应分别设置，宜设置密闭流程；</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8 流量计、体积管可露天安装，水标系统宜室内安装；</w:t>
            </w:r>
          </w:p>
          <w:p w:rsidR="001A4DED" w:rsidRPr="00FD5F6F" w:rsidP="007526BD">
            <w:pPr>
              <w:rPr>
                <w:rFonts w:eastAsia="宋体"/>
                <w:snapToGrid/>
                <w:kern w:val="21"/>
                <w:sz w:val="21"/>
                <w:szCs w:val="21"/>
                <w:lang w:val="en-US" w:eastAsia="zh-CN"/>
              </w:rPr>
            </w:pPr>
            <w:r w:rsidRPr="00FD5F6F">
              <w:rPr>
                <w:rFonts w:eastAsia="宋体" w:hint="eastAsia"/>
                <w:snapToGrid/>
                <w:kern w:val="21"/>
                <w:sz w:val="21"/>
                <w:szCs w:val="21"/>
                <w:lang w:val="en-US" w:eastAsia="zh-CN"/>
              </w:rPr>
              <w:t>9 计量处宜设置取样系统和油品物性化验设施；</w:t>
            </w:r>
          </w:p>
          <w:p w:rsidR="001A4DED" w:rsidRPr="00FD5F6F" w:rsidP="001A4DED">
            <w:pPr>
              <w:rPr>
                <w:rFonts w:eastAsia="宋体"/>
                <w:snapToGrid/>
                <w:kern w:val="21"/>
                <w:sz w:val="21"/>
                <w:szCs w:val="21"/>
                <w:lang w:val="en-US" w:eastAsia="zh-CN"/>
              </w:rPr>
            </w:pPr>
            <w:r w:rsidRPr="00FD5F6F">
              <w:rPr>
                <w:rFonts w:eastAsia="宋体" w:hint="eastAsia"/>
                <w:snapToGrid/>
                <w:kern w:val="21"/>
                <w:sz w:val="21"/>
                <w:szCs w:val="21"/>
                <w:lang w:val="en-US" w:eastAsia="zh-CN"/>
              </w:rPr>
              <w:t>10 计量系统及辅助设备的设置，应满足国家现行标准《原油动态计量 一般原则》GB/T 9109.1、《液态烃动态测量 体积计量流量计检定系统》GB/T 17286、《液态烃动态测量 体积计量系统的统计控制》GB/T 17287、《液态烃体积测量 容积式流量计计量系统》GB/T 17288、《液态烃体积测量 涡轮流量计计量系统》GB/T 17289及《科里奥利质量流量计检定规程》JJG 1038的有关规定。</w:t>
            </w:r>
          </w:p>
        </w:tc>
        <w:tc>
          <w:tcPr>
            <w:tcW w:w="1049" w:type="dxa"/>
            <w:shd w:val="clear" w:color="auto" w:fill="auto"/>
            <w:vAlign w:val="center"/>
          </w:tcPr>
          <w:p w:rsidR="001A4DED" w:rsidRPr="00FD5F6F" w:rsidP="0032715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第6.3.1</w:t>
            </w:r>
            <w:r w:rsidRPr="00FD5F6F">
              <w:rPr>
                <w:rFonts w:eastAsia="宋体" w:hint="eastAsia"/>
                <w:snapToGrid/>
                <w:kern w:val="21"/>
                <w:sz w:val="21"/>
                <w:szCs w:val="21"/>
                <w:lang w:val="en-US" w:eastAsia="zh-CN"/>
              </w:rPr>
              <w:t>4</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tcPr>
          <w:p/>
        </w:tc>
      </w:tr>
      <w:tr w:rsidTr="002675E0">
        <w:tblPrEx>
          <w:tblW w:w="0" w:type="auto"/>
          <w:jc w:val="center"/>
          <w:tblLayout w:type="fixed"/>
          <w:tblLook w:val="01E0"/>
        </w:tblPrEx>
        <w:trPr>
          <w:jc w:val="center"/>
        </w:trPr>
        <w:tc>
          <w:tcPr>
            <w:tcW w:w="472"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四</w:t>
            </w:r>
          </w:p>
        </w:tc>
        <w:tc>
          <w:tcPr>
            <w:tcW w:w="8068" w:type="dxa"/>
            <w:gridSpan w:val="4"/>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站内管道及设备的腐蚀控制与保温</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站内地面钢质管道和金属设施应采用防腐层进行腐蚀防护。</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6.6.1</w:t>
              </w: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D72627">
            <w:pPr>
              <w:rPr>
                <w:rFonts w:eastAsia="宋体"/>
                <w:snapToGrid/>
                <w:kern w:val="21"/>
                <w:sz w:val="21"/>
                <w:szCs w:val="21"/>
                <w:lang w:val="en-US" w:eastAsia="zh-CN"/>
              </w:rPr>
            </w:pPr>
            <w:r w:rsidRPr="00FD5F6F">
              <w:rPr>
                <w:rFonts w:eastAsia="宋体" w:hint="eastAsia"/>
                <w:snapToGrid/>
                <w:kern w:val="21"/>
                <w:sz w:val="21"/>
                <w:szCs w:val="21"/>
                <w:lang w:val="en-US" w:eastAsia="zh-CN"/>
              </w:rPr>
              <w:t>站内地下钢质管道的防腐层应为加强级或特加强级，也可采取外防腐层和阴极保护联合防护方式。</w:t>
            </w:r>
          </w:p>
        </w:tc>
        <w:tc>
          <w:tcPr>
            <w:tcW w:w="1049" w:type="dxa"/>
            <w:shd w:val="clear" w:color="auto" w:fill="auto"/>
            <w:vAlign w:val="center"/>
          </w:tcPr>
          <w:p w:rsidR="001A4DED" w:rsidRPr="00FD5F6F" w:rsidP="00D726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第6.6.</w:t>
            </w:r>
            <w:r w:rsidRPr="00FD5F6F">
              <w:rPr>
                <w:rFonts w:eastAsia="宋体" w:hint="eastAsia"/>
                <w:snapToGrid/>
                <w:kern w:val="21"/>
                <w:sz w:val="21"/>
                <w:szCs w:val="21"/>
                <w:lang w:val="en-US" w:eastAsia="zh-CN"/>
              </w:rPr>
              <w:t>2</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D72627">
            <w:pPr>
              <w:rPr>
                <w:rFonts w:eastAsia="宋体"/>
                <w:snapToGrid/>
                <w:kern w:val="21"/>
                <w:sz w:val="21"/>
                <w:szCs w:val="21"/>
                <w:lang w:val="en-US" w:eastAsia="zh-CN"/>
              </w:rPr>
            </w:pPr>
            <w:r w:rsidRPr="00FD5F6F">
              <w:rPr>
                <w:rFonts w:eastAsia="宋体" w:hint="eastAsia"/>
                <w:snapToGrid/>
                <w:kern w:val="21"/>
                <w:sz w:val="21"/>
                <w:szCs w:val="21"/>
                <w:lang w:val="en-US" w:eastAsia="zh-CN"/>
              </w:rPr>
              <w:t>地面储罐的防腐设计应符合现行国家标准《钢质石油储罐防腐蚀工程技术规范》GB/T 50393 的有关规定。</w:t>
            </w:r>
          </w:p>
        </w:tc>
        <w:tc>
          <w:tcPr>
            <w:tcW w:w="1049" w:type="dxa"/>
            <w:shd w:val="clear" w:color="auto" w:fill="auto"/>
            <w:vAlign w:val="center"/>
          </w:tcPr>
          <w:p w:rsidR="001A4DED" w:rsidRPr="00FD5F6F" w:rsidP="00D726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第6.6.</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保温管道的钢管外壁及钢制设备外壁均应进行防腐，保温层外应设防护层。埋地管道及钢制设备的保温设计应符合现行国家标准《埋地钢质管道防腐保温层技术标准》GB/T 50538的有关规定。地面钢质管道和设备的保温设计应符合现行国家标准《工业设备及管道绝热工程设计规范》GB 50264的有关规定</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6.6.</w:t>
              </w:r>
              <w:r w:rsidRPr="00FD5F6F">
                <w:rPr>
                  <w:rFonts w:eastAsia="宋体" w:hint="eastAsia"/>
                  <w:snapToGrid/>
                  <w:kern w:val="21"/>
                  <w:sz w:val="21"/>
                  <w:szCs w:val="21"/>
                  <w:lang w:val="en-US" w:eastAsia="zh-CN"/>
                </w:rPr>
                <w:t>4</w:t>
              </w: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0A7E32">
        <w:tblPrEx>
          <w:tblW w:w="0" w:type="auto"/>
          <w:jc w:val="center"/>
          <w:tblLayout w:type="fixed"/>
          <w:tblLook w:val="01E0"/>
        </w:tblPrEx>
        <w:trPr>
          <w:jc w:val="center"/>
        </w:trPr>
        <w:tc>
          <w:tcPr>
            <w:tcW w:w="472" w:type="dxa"/>
            <w:shd w:val="clear" w:color="auto" w:fill="auto"/>
            <w:vAlign w:val="center"/>
          </w:tcPr>
          <w:p w:rsidR="001A4DED" w:rsidRPr="00FD5F6F" w:rsidP="00B737E4">
            <w:pPr>
              <w:rPr>
                <w:rFonts w:eastAsia="宋体"/>
                <w:snapToGrid/>
                <w:kern w:val="21"/>
                <w:sz w:val="21"/>
                <w:szCs w:val="21"/>
                <w:lang w:val="en-US" w:eastAsia="zh-CN"/>
              </w:rPr>
            </w:pPr>
            <w:r w:rsidRPr="00FD5F6F">
              <w:rPr>
                <w:rFonts w:eastAsia="宋体" w:hint="eastAsia"/>
                <w:snapToGrid/>
                <w:kern w:val="21"/>
                <w:sz w:val="21"/>
                <w:szCs w:val="21"/>
                <w:lang w:val="en-US" w:eastAsia="zh-CN"/>
              </w:rPr>
              <w:t>五</w:t>
            </w:r>
          </w:p>
        </w:tc>
        <w:tc>
          <w:tcPr>
            <w:tcW w:w="8068" w:type="dxa"/>
            <w:gridSpan w:val="4"/>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站场供配电</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B737E4">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输油站的电力负荷分级应根据输油管道工艺系统的运行要求来确定，并应符合下列规定：</w:t>
            </w:r>
          </w:p>
          <w:p w:rsidR="001A4DED" w:rsidRPr="00FD5F6F" w:rsidP="00B737E4">
            <w:pPr>
              <w:rPr>
                <w:rFonts w:eastAsia="宋体"/>
                <w:snapToGrid/>
                <w:kern w:val="21"/>
                <w:sz w:val="21"/>
                <w:szCs w:val="21"/>
                <w:lang w:val="en-US" w:eastAsia="zh-CN"/>
              </w:rPr>
            </w:pPr>
            <w:r w:rsidRPr="00FD5F6F">
              <w:rPr>
                <w:rFonts w:eastAsia="宋体" w:hint="eastAsia"/>
                <w:snapToGrid/>
                <w:kern w:val="21"/>
                <w:sz w:val="21"/>
                <w:szCs w:val="21"/>
                <w:lang w:val="en-US" w:eastAsia="zh-CN"/>
              </w:rPr>
              <w:t>1 加热输送原油管道的首站、设有反输功能的末站、压力或热力不可越站的中间站应为一级负荷；</w:t>
            </w:r>
          </w:p>
          <w:p w:rsidR="001A4DED" w:rsidRPr="00FD5F6F" w:rsidP="00B737E4">
            <w:pPr>
              <w:rPr>
                <w:rFonts w:eastAsia="宋体"/>
                <w:snapToGrid/>
                <w:kern w:val="21"/>
                <w:sz w:val="21"/>
                <w:szCs w:val="21"/>
                <w:lang w:val="en-US" w:eastAsia="zh-CN"/>
              </w:rPr>
            </w:pPr>
            <w:r w:rsidRPr="00FD5F6F">
              <w:rPr>
                <w:rFonts w:eastAsia="宋体" w:hint="eastAsia"/>
                <w:snapToGrid/>
                <w:kern w:val="21"/>
                <w:sz w:val="21"/>
                <w:szCs w:val="21"/>
                <w:lang w:val="en-US" w:eastAsia="zh-CN"/>
              </w:rPr>
              <w:t>2 常温输送管道的首站、压力不可越站的泵站宜为一级负荷；</w:t>
            </w:r>
          </w:p>
          <w:p w:rsidR="001A4DED" w:rsidRPr="00FD5F6F" w:rsidP="00B737E4">
            <w:pPr>
              <w:rPr>
                <w:rFonts w:eastAsia="宋体"/>
                <w:snapToGrid/>
                <w:kern w:val="21"/>
                <w:sz w:val="21"/>
                <w:szCs w:val="21"/>
                <w:lang w:val="en-US" w:eastAsia="zh-CN"/>
              </w:rPr>
            </w:pPr>
            <w:r w:rsidRPr="00FD5F6F">
              <w:rPr>
                <w:rFonts w:eastAsia="宋体" w:hint="eastAsia"/>
                <w:snapToGrid/>
                <w:kern w:val="21"/>
                <w:sz w:val="21"/>
                <w:szCs w:val="21"/>
                <w:lang w:val="en-US" w:eastAsia="zh-CN"/>
              </w:rPr>
              <w:t>3 减压站宜为一级负荷；</w:t>
            </w:r>
          </w:p>
          <w:p w:rsidR="001A4DED" w:rsidRPr="00FD5F6F" w:rsidP="00B737E4">
            <w:pPr>
              <w:rPr>
                <w:rFonts w:eastAsia="宋体"/>
                <w:snapToGrid/>
                <w:kern w:val="21"/>
                <w:sz w:val="21"/>
                <w:szCs w:val="21"/>
                <w:lang w:val="en-US" w:eastAsia="zh-CN"/>
              </w:rPr>
            </w:pPr>
            <w:r w:rsidRPr="00FD5F6F">
              <w:rPr>
                <w:rFonts w:eastAsia="宋体" w:hint="eastAsia"/>
                <w:snapToGrid/>
                <w:kern w:val="21"/>
                <w:sz w:val="21"/>
                <w:szCs w:val="21"/>
                <w:lang w:val="en-US" w:eastAsia="zh-CN"/>
              </w:rPr>
              <w:t>4 其他各类输油站场应为二级负荷；</w:t>
            </w:r>
          </w:p>
          <w:p w:rsidR="001A4DED" w:rsidRPr="00FD5F6F" w:rsidP="00B737E4">
            <w:pPr>
              <w:rPr>
                <w:rFonts w:eastAsia="宋体"/>
                <w:snapToGrid/>
                <w:kern w:val="21"/>
                <w:sz w:val="21"/>
                <w:szCs w:val="21"/>
                <w:lang w:val="en-US" w:eastAsia="zh-CN"/>
              </w:rPr>
            </w:pPr>
            <w:r w:rsidRPr="00FD5F6F">
              <w:rPr>
                <w:rFonts w:eastAsia="宋体" w:hint="eastAsia"/>
                <w:snapToGrid/>
                <w:kern w:val="21"/>
                <w:sz w:val="21"/>
                <w:szCs w:val="21"/>
                <w:lang w:val="en-US" w:eastAsia="zh-CN"/>
              </w:rPr>
              <w:t>5 线路监控阀室、独立阴极保护站可为三级负荷。</w:t>
            </w:r>
          </w:p>
        </w:tc>
        <w:tc>
          <w:tcPr>
            <w:tcW w:w="1049" w:type="dxa"/>
            <w:shd w:val="clear" w:color="auto" w:fill="auto"/>
            <w:vAlign w:val="center"/>
          </w:tcPr>
          <w:p w:rsidR="001A4DED" w:rsidRPr="00FD5F6F" w:rsidP="00796858">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7.1</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一级负荷输油站场应有双重电源供电；当条件受限制时，可由当地公共电网同一变电站电气联系相对较弱的两个不同母线段分别引出一个回路供电，供电电源变电站应具备至少两路电源进线和至少两台主变压器。输油站场每一个电源（回路）的容量应满足输油站的全部计算负荷，非受限制区域两路架空供电线路不应同杆架设。</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7.2</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二级负荷输油站场宜有两回线路供电，两回线路可同杆架设；在负荷较小或地区供电条件困难时，可由一回线路供电，但应设应急电源。</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7.3</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输油站场中站控制系统、通信系统、紧急截断阀应采用不间断电源（UPS）供电，蓄电池组的后备时间应满足站控制系统、通信系统及紧急截断阀的后备时间要求，且不宜少于2h。</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7.4</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在无电或缺电地区，站内低压负荷可采用燃油发电机组供电，发电机组的选择应符合下列规定：</w:t>
            </w:r>
          </w:p>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1 发电机组运行总容量应按全站低压计算负荷的1.25倍～1.3倍选择，并应满足低压电动机的启动条件；备用机组容量可按运行机组容量的50%～100%选择；</w:t>
            </w:r>
          </w:p>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2 发电机组的台数应为2台及以上，同一输油站宜选择同型号、同容量的机组；应根据机组的检修周期、是否设值班人员及机组运行台数，合理确定备用机组台数；</w:t>
            </w:r>
          </w:p>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3 发电机组应满足井联运行、具有自动</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手动并车功能。</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7.5</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在无电或电源不可靠地区，输油管道线路监控阀室、通信站、阴极保护站宜选择太阳能发电、风能发电或小型燃油发电装置供电，应根据负荷容量、气象、地理环境、燃料供应条件</w:t>
            </w:r>
          </w:p>
          <w:p w:rsidR="001A4DED" w:rsidRPr="00FD5F6F" w:rsidP="00796858">
            <w:pPr>
              <w:rPr>
                <w:rFonts w:eastAsia="宋体"/>
                <w:snapToGrid/>
                <w:kern w:val="21"/>
                <w:sz w:val="21"/>
                <w:szCs w:val="21"/>
                <w:lang w:val="en-US" w:eastAsia="zh-CN"/>
              </w:rPr>
            </w:pPr>
            <w:r w:rsidRPr="00FD5F6F">
              <w:rPr>
                <w:rFonts w:eastAsia="宋体" w:hint="eastAsia"/>
                <w:snapToGrid/>
                <w:kern w:val="21"/>
                <w:sz w:val="21"/>
                <w:szCs w:val="21"/>
                <w:lang w:val="en-US" w:eastAsia="zh-CN"/>
              </w:rPr>
              <w:t>合理选择。</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7.6</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变（配）电所的供电电压应符合下列规定：</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1 变（配）电所的供电电压应根据用电容量、供电距离、当地公共电网现状合理确定，宜为l0(6)kV～110kV；</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2 输油泵、消防泵电动机额定电压应与一级配电电压相匹配。低压配电电压应采用380V/220V 。</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7.7</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变（配）电所的主接线和变压器选择应符合下列规定：</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1 具有一路电源进线和1台变压器的变电所，可采用线路</w:t>
            </w:r>
            <w:r w:rsidRPr="00FD5F6F">
              <w:rPr>
                <w:rFonts w:eastAsia="宋体" w:hint="eastAsia"/>
                <w:snapToGrid/>
                <w:kern w:val="21"/>
                <w:sz w:val="21"/>
                <w:szCs w:val="21"/>
                <w:lang w:val="en-US" w:eastAsia="zh-CN"/>
              </w:rPr>
              <w:t>—</w:t>
            </w:r>
            <w:r w:rsidRPr="00FD5F6F">
              <w:rPr>
                <w:rFonts w:eastAsia="宋体" w:hint="eastAsia"/>
                <w:snapToGrid/>
                <w:kern w:val="21"/>
                <w:sz w:val="21"/>
                <w:szCs w:val="21"/>
                <w:lang w:val="en-US" w:eastAsia="zh-CN"/>
              </w:rPr>
              <w:t>变压器组接线；其主变压器的容量宜按全站计算负荷的1.25倍～1.33倍选择，且应满足输油主泵电动机的启动条件。</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2 当有两路电源进线时，主变压器应为2台。变电所主接线宜采用单母线分段或桥形接线、二次侧宜采用单母线分段接线。每台主变压器容量应满足全站计算负荷，并应满足输油主泵电动机的启动条件。</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3 配电变压器的台数及容量选择宜按主变压器选择原则进行。</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7.8</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变（配）电所的无功补偿应符合下列规定：</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1 输油泵配10(6)kV异步电动机台数在5台以下时，宜采用单机无功补偿方式；台数在5台及以上时宜采用集中补偿方式；</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2 低压配电侧宜采用集中无功自动补偿方式；</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3 当工艺条件适当时，可采用高压同步电动机驱动输油泵。</w:t>
            </w:r>
          </w:p>
        </w:tc>
        <w:tc>
          <w:tcPr>
            <w:tcW w:w="1049"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7.9</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6kV～110kV 变电所应采用变电站综合自动化系统，实现对变配电系统的保护、数据采集与监控，并应同时备有手动操作功能。</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7.10</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变电所的电力调度通信应符合下列规定：</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1 应设置输油管道内部通信电话；</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2 应设置与地方供电部门电力调度中心的外部电力调度通信，主、备电力调度通信方式应符合当地电网的要求；</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3 无人值班变电所，除在变电所装设电力调度电话外，还应在站控制室装设并机电力调度电话。</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7.11</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输油管道输油站场和阀室危险区域的划分应符合现行行业标准《石油设施电气设备安装区域一级、0区、1区和2区区域划分推荐作法》SY/T 6671的相关规定；危险区域内电气装置的选择应符合现行国家标准《爆炸危险环境电力装置设计规范》GB 50058的相关规定。</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7.12</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输油站场和阀室的防雷、防雷击电磁脉冲、防静电设计应符合下列规定：</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1 输油站场内的建（构）筑物的防雷设计应符合现行国家标准《建筑物防雷设计规范》GB 50057的相关规定；信息系统设备所在建筑物，应按不低于第三类防雷建筑物进行防直击雷设计；</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2 阀室应按照第二类防雷建筑物进行防直击雷设计；</w:t>
            </w:r>
          </w:p>
          <w:p w:rsidR="001A4DED" w:rsidRPr="00FD5F6F" w:rsidP="000A7E32">
            <w:pPr>
              <w:rPr>
                <w:rFonts w:eastAsia="宋体"/>
                <w:snapToGrid/>
                <w:kern w:val="21"/>
                <w:sz w:val="21"/>
                <w:szCs w:val="21"/>
                <w:lang w:val="en-US" w:eastAsia="zh-CN"/>
              </w:rPr>
            </w:pPr>
            <w:r w:rsidRPr="00FD5F6F">
              <w:rPr>
                <w:rFonts w:eastAsia="宋体" w:hint="eastAsia"/>
                <w:snapToGrid/>
                <w:kern w:val="21"/>
                <w:sz w:val="21"/>
                <w:szCs w:val="21"/>
                <w:lang w:val="en-US" w:eastAsia="zh-CN"/>
              </w:rPr>
              <w:t>3 输油管道的防雷、防静电设计应符合现行国家标准《石油天然气工程设计防火规范》GB 50183的相关规定；</w:t>
            </w:r>
          </w:p>
          <w:p w:rsidR="001A4DED" w:rsidRPr="00FD5F6F" w:rsidP="00DA2CCA">
            <w:pPr>
              <w:rPr>
                <w:rFonts w:eastAsia="宋体"/>
                <w:snapToGrid/>
                <w:kern w:val="21"/>
                <w:sz w:val="21"/>
                <w:szCs w:val="21"/>
                <w:lang w:val="en-US" w:eastAsia="zh-CN"/>
              </w:rPr>
            </w:pPr>
            <w:r w:rsidRPr="00FD5F6F">
              <w:rPr>
                <w:rFonts w:eastAsia="宋体" w:hint="eastAsia"/>
                <w:snapToGrid/>
                <w:kern w:val="21"/>
                <w:sz w:val="21"/>
                <w:szCs w:val="21"/>
                <w:lang w:val="en-US" w:eastAsia="zh-CN"/>
              </w:rPr>
              <w:t>4 供配电系统和电子信息系统的防雷、防雷击电磁脉冲设计应符合国家现行标准《交流电气装置的过电压保护和绝缘配合》GB/T 50064、《建筑物防雷设计规范》GB 50057和《建筑物电子信息系统防雷技术规范》GB 50343的相关规定。</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7.13</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DA2CCA">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输油站场的接地设计应符合下列规定：</w:t>
            </w:r>
          </w:p>
          <w:p w:rsidR="001A4DED" w:rsidRPr="00FD5F6F" w:rsidP="00DA2CCA">
            <w:pPr>
              <w:rPr>
                <w:rFonts w:eastAsia="宋体"/>
                <w:snapToGrid/>
                <w:kern w:val="21"/>
                <w:sz w:val="21"/>
                <w:szCs w:val="21"/>
                <w:lang w:val="en-US" w:eastAsia="zh-CN"/>
              </w:rPr>
            </w:pPr>
            <w:r w:rsidRPr="00FD5F6F">
              <w:rPr>
                <w:rFonts w:eastAsia="宋体" w:hint="eastAsia"/>
                <w:snapToGrid/>
                <w:kern w:val="21"/>
                <w:sz w:val="21"/>
                <w:szCs w:val="21"/>
                <w:lang w:val="en-US" w:eastAsia="zh-CN"/>
              </w:rPr>
              <w:t>1 站场内的建（构）筑物的接地系统设计应符合现行国家标准《建筑物防雷设计规范》GB 50057的相关规定；</w:t>
            </w:r>
          </w:p>
          <w:p w:rsidR="001A4DED" w:rsidRPr="00FD5F6F" w:rsidP="00DA2CCA">
            <w:pPr>
              <w:rPr>
                <w:rFonts w:eastAsia="宋体"/>
                <w:snapToGrid/>
                <w:kern w:val="21"/>
                <w:sz w:val="21"/>
                <w:szCs w:val="21"/>
                <w:lang w:val="en-US" w:eastAsia="zh-CN"/>
              </w:rPr>
            </w:pPr>
            <w:r w:rsidRPr="00FD5F6F">
              <w:rPr>
                <w:rFonts w:eastAsia="宋体" w:hint="eastAsia"/>
                <w:snapToGrid/>
                <w:kern w:val="21"/>
                <w:sz w:val="21"/>
                <w:szCs w:val="21"/>
                <w:lang w:val="en-US" w:eastAsia="zh-CN"/>
              </w:rPr>
              <w:t>2 站场中的电气装置或设备，除另有规定外应使用一个总的接地网；</w:t>
            </w:r>
          </w:p>
          <w:p w:rsidR="001A4DED" w:rsidRPr="00FD5F6F" w:rsidP="00DA2CCA">
            <w:pPr>
              <w:rPr>
                <w:rFonts w:eastAsia="宋体"/>
                <w:snapToGrid/>
                <w:kern w:val="21"/>
                <w:sz w:val="21"/>
                <w:szCs w:val="21"/>
                <w:lang w:val="en-US" w:eastAsia="zh-CN"/>
              </w:rPr>
            </w:pPr>
            <w:r w:rsidRPr="00FD5F6F">
              <w:rPr>
                <w:rFonts w:eastAsia="宋体" w:hint="eastAsia"/>
                <w:snapToGrid/>
                <w:kern w:val="21"/>
                <w:sz w:val="21"/>
                <w:szCs w:val="21"/>
                <w:lang w:val="en-US" w:eastAsia="zh-CN"/>
              </w:rPr>
              <w:t>3 同一建筑物或区域内，防雷接地、电气设备接地和信息系统设备接地宜采用共用接地系统，其接地电阻取最小值。</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7.14</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D16B7E">
        <w:tblPrEx>
          <w:tblW w:w="0" w:type="auto"/>
          <w:jc w:val="center"/>
          <w:tblLayout w:type="fixed"/>
          <w:tblLook w:val="01E0"/>
        </w:tblPrEx>
        <w:trPr>
          <w:jc w:val="center"/>
        </w:trPr>
        <w:tc>
          <w:tcPr>
            <w:tcW w:w="472" w:type="dxa"/>
            <w:shd w:val="clear" w:color="auto" w:fill="auto"/>
            <w:vAlign w:val="center"/>
          </w:tcPr>
          <w:p w:rsidR="001A4DED" w:rsidRPr="00FD5F6F" w:rsidP="00AA0517">
            <w:pPr>
              <w:rPr>
                <w:rFonts w:eastAsia="宋体"/>
                <w:snapToGrid/>
                <w:kern w:val="21"/>
                <w:sz w:val="21"/>
                <w:szCs w:val="21"/>
                <w:lang w:val="en-US" w:eastAsia="zh-CN"/>
              </w:rPr>
            </w:pPr>
            <w:r w:rsidRPr="00FD5F6F">
              <w:rPr>
                <w:rFonts w:eastAsia="宋体" w:hint="eastAsia"/>
                <w:snapToGrid/>
                <w:kern w:val="21"/>
                <w:sz w:val="21"/>
                <w:szCs w:val="21"/>
                <w:lang w:val="en-US" w:eastAsia="zh-CN"/>
              </w:rPr>
              <w:t>六</w:t>
            </w:r>
          </w:p>
        </w:tc>
        <w:tc>
          <w:tcPr>
            <w:tcW w:w="8068" w:type="dxa"/>
            <w:gridSpan w:val="4"/>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站场供排水及消防</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站场水源的选择应符合下列规定：</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1  水源应根据站场规模、用水要求、水源条件和水文地质条件等因素综合分析确定，并宜就近选择水源；</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2  生产、生活及消防用水宜采用同一水源。当油罐区、液化石油气罐区、生产区和生活区分散布置，或有其他特殊情况时，经技术经济比较后可分别设置水源；</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3  生活用水的水质应符合现行国家标准《生活饮用水卫生标准》GB 5749的相关规定；生产和消防用水的水质标准，应满足生产和消防工艺要求。</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8.1</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站场及油码头的污水排放应符合下列规定：</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1  含油污水应与生活污水和雨水分流排放；</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2  生活污水应经处理达标后排放；</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3  含油污水应进行处理，宜采用小型装置化处理设备，处理深度应符合现行国家标准《污水综合排放标准》GB 8978的相关规定和当地环保部门的要求；</w:t>
            </w:r>
          </w:p>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4  雨水宜采用地面有组织排水的方式排放；油罐区的雨水排水管道穿越防火堤处，在堤内宜设置截油装置，在堤外应设置截流装置。</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6.8.2</w:t>
              </w: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573846">
            <w:pPr>
              <w:rPr>
                <w:rFonts w:eastAsia="宋体"/>
                <w:snapToGrid/>
                <w:kern w:val="21"/>
                <w:sz w:val="21"/>
                <w:szCs w:val="21"/>
                <w:lang w:val="en-US" w:eastAsia="zh-CN"/>
              </w:rPr>
            </w:pPr>
            <w:r w:rsidRPr="00FD5F6F">
              <w:rPr>
                <w:rFonts w:eastAsia="宋体" w:hint="eastAsia"/>
                <w:snapToGrid/>
                <w:kern w:val="21"/>
                <w:sz w:val="21"/>
                <w:szCs w:val="21"/>
                <w:lang w:val="en-US" w:eastAsia="zh-CN"/>
              </w:rPr>
              <w:t>站场及油码头的消防设计应符合下列规定：</w:t>
            </w:r>
          </w:p>
          <w:p w:rsidR="001A4DED" w:rsidRPr="00FD5F6F" w:rsidP="00573846">
            <w:pPr>
              <w:rPr>
                <w:rFonts w:eastAsia="宋体"/>
                <w:snapToGrid/>
                <w:kern w:val="21"/>
                <w:sz w:val="21"/>
                <w:szCs w:val="21"/>
                <w:lang w:val="en-US" w:eastAsia="zh-CN"/>
              </w:rPr>
            </w:pPr>
            <w:r w:rsidRPr="00FD5F6F">
              <w:rPr>
                <w:rFonts w:eastAsia="宋体" w:hint="eastAsia"/>
                <w:snapToGrid/>
                <w:kern w:val="21"/>
                <w:sz w:val="21"/>
                <w:szCs w:val="21"/>
                <w:lang w:val="en-US" w:eastAsia="zh-CN"/>
              </w:rPr>
              <w:t>1 原油、成品油储罐区的消防设计，应符合现行国家标准《石油天然气工程设计防火规范》GB 50183 和《泡沫灭火系统设计规范》GB 50151 的相关规定；</w:t>
            </w:r>
          </w:p>
          <w:p w:rsidR="001A4DED" w:rsidRPr="00FD5F6F" w:rsidP="00573846">
            <w:pPr>
              <w:rPr>
                <w:rFonts w:eastAsia="宋体"/>
                <w:snapToGrid/>
                <w:kern w:val="21"/>
                <w:sz w:val="21"/>
                <w:szCs w:val="21"/>
                <w:lang w:val="en-US" w:eastAsia="zh-CN"/>
              </w:rPr>
            </w:pPr>
            <w:r w:rsidRPr="00FD5F6F">
              <w:rPr>
                <w:rFonts w:eastAsia="宋体" w:hint="eastAsia"/>
                <w:snapToGrid/>
                <w:kern w:val="21"/>
                <w:sz w:val="21"/>
                <w:szCs w:val="21"/>
                <w:lang w:val="en-US" w:eastAsia="zh-CN"/>
              </w:rPr>
              <w:t>2 液化石油气储罐区的消防设计，应符合现行国家标准《石油天然气工程设计防火规范》GB 50183和《建筑设计防火规范》GB 50016的相关规定；</w:t>
            </w:r>
          </w:p>
          <w:p w:rsidR="001A4DED" w:rsidRPr="00FD5F6F" w:rsidP="00573846">
            <w:pPr>
              <w:rPr>
                <w:rFonts w:eastAsia="宋体"/>
                <w:snapToGrid/>
                <w:kern w:val="21"/>
                <w:sz w:val="21"/>
                <w:szCs w:val="21"/>
                <w:lang w:val="en-US" w:eastAsia="zh-CN"/>
              </w:rPr>
            </w:pPr>
            <w:r w:rsidRPr="00FD5F6F">
              <w:rPr>
                <w:rFonts w:eastAsia="宋体" w:hint="eastAsia"/>
                <w:snapToGrid/>
                <w:kern w:val="21"/>
                <w:sz w:val="21"/>
                <w:szCs w:val="21"/>
                <w:lang w:val="en-US" w:eastAsia="zh-CN"/>
              </w:rPr>
              <w:t>3 装卸原油、成品油码头的消防设计，应符合国家现行标准《固定消防炮灭火系统设计规植》GB 50338和《装卸油品码头防火设计规范》JTJ 237的相关规定；</w:t>
            </w:r>
          </w:p>
          <w:p w:rsidR="001A4DED" w:rsidRPr="00FD5F6F" w:rsidP="00573846">
            <w:pPr>
              <w:rPr>
                <w:rFonts w:eastAsia="宋体"/>
                <w:snapToGrid/>
                <w:kern w:val="21"/>
                <w:sz w:val="21"/>
                <w:szCs w:val="21"/>
                <w:lang w:val="en-US" w:eastAsia="zh-CN"/>
              </w:rPr>
            </w:pPr>
            <w:r w:rsidRPr="00FD5F6F">
              <w:rPr>
                <w:rFonts w:eastAsia="宋体" w:hint="eastAsia"/>
                <w:snapToGrid/>
                <w:kern w:val="21"/>
                <w:sz w:val="21"/>
                <w:szCs w:val="21"/>
                <w:lang w:val="en-US" w:eastAsia="zh-CN"/>
              </w:rPr>
              <w:t>4 站场及油码头的建筑消防设计，应符合现行国家标准《建筑设计防火规范》GB 50016和《建筑灭火器配置设计规范》GB 50140的相关规定。</w:t>
            </w:r>
          </w:p>
        </w:tc>
        <w:tc>
          <w:tcPr>
            <w:tcW w:w="1049" w:type="dxa"/>
            <w:shd w:val="clear" w:color="auto" w:fill="auto"/>
            <w:vAlign w:val="center"/>
          </w:tcPr>
          <w:p w:rsidR="001A4DED" w:rsidRPr="00FD5F6F" w:rsidP="00573846">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第6.8.</w:t>
            </w:r>
            <w:r w:rsidRPr="00FD5F6F">
              <w:rPr>
                <w:rFonts w:eastAsia="宋体" w:hint="eastAsia"/>
                <w:snapToGrid/>
                <w:kern w:val="21"/>
                <w:sz w:val="21"/>
                <w:szCs w:val="21"/>
                <w:lang w:val="en-US" w:eastAsia="zh-CN"/>
              </w:rPr>
              <w:t>3</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D16B7E">
        <w:tblPrEx>
          <w:tblW w:w="0" w:type="auto"/>
          <w:jc w:val="center"/>
          <w:tblLayout w:type="fixed"/>
          <w:tblLook w:val="01E0"/>
        </w:tblPrEx>
        <w:trPr>
          <w:jc w:val="center"/>
        </w:trPr>
        <w:tc>
          <w:tcPr>
            <w:tcW w:w="472" w:type="dxa"/>
            <w:shd w:val="clear" w:color="auto" w:fill="auto"/>
            <w:vAlign w:val="center"/>
          </w:tcPr>
          <w:p w:rsidR="001A4DED" w:rsidRPr="00FD5F6F" w:rsidP="00573846">
            <w:pPr>
              <w:rPr>
                <w:rFonts w:eastAsia="宋体"/>
                <w:snapToGrid/>
                <w:kern w:val="21"/>
                <w:sz w:val="21"/>
                <w:szCs w:val="21"/>
                <w:lang w:val="en-US" w:eastAsia="zh-CN"/>
              </w:rPr>
            </w:pPr>
            <w:r w:rsidRPr="00FD5F6F">
              <w:rPr>
                <w:rFonts w:eastAsia="宋体" w:hint="eastAsia"/>
                <w:snapToGrid/>
                <w:kern w:val="21"/>
                <w:sz w:val="21"/>
                <w:szCs w:val="21"/>
                <w:lang w:val="en-US" w:eastAsia="zh-CN"/>
              </w:rPr>
              <w:t>七</w:t>
            </w:r>
          </w:p>
        </w:tc>
        <w:tc>
          <w:tcPr>
            <w:tcW w:w="8068" w:type="dxa"/>
            <w:gridSpan w:val="4"/>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供热、通风及空气调节</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560001">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输油站的采暖宜优先利用城镇或临近单位的热源。当无依托热源时，可自建锅炉房。</w:t>
            </w:r>
          </w:p>
        </w:tc>
        <w:tc>
          <w:tcPr>
            <w:tcW w:w="1049" w:type="dxa"/>
            <w:shd w:val="clear" w:color="auto" w:fill="auto"/>
            <w:vAlign w:val="center"/>
          </w:tcPr>
          <w:p w:rsidR="001A4DED" w:rsidRPr="00FD5F6F" w:rsidP="00560001">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9.1</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560001">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输油站内各建筑物的采暖通风和空气调节设计应符合国家现行标准《采暖通风与空气调节设计规范》GB 50019和《石油化工采暖通风与空气调节设计规范》SH/T 3004的相关规定。</w:t>
            </w:r>
          </w:p>
        </w:tc>
        <w:tc>
          <w:tcPr>
            <w:tcW w:w="1049" w:type="dxa"/>
            <w:shd w:val="clear" w:color="auto" w:fill="auto"/>
            <w:vAlign w:val="center"/>
          </w:tcPr>
          <w:p w:rsidR="001A4DED" w:rsidRPr="00FD5F6F" w:rsidP="00560001">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w:t>
            </w:r>
            <w:r w:rsidRPr="00FD5F6F">
              <w:rPr>
                <w:rFonts w:eastAsia="宋体" w:hint="eastAsia"/>
                <w:snapToGrid/>
                <w:kern w:val="21"/>
                <w:sz w:val="21"/>
                <w:szCs w:val="21"/>
                <w:lang w:val="en-US" w:eastAsia="zh-CN"/>
              </w:rPr>
              <w:t>9.2</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560001" w:rsidP="00D16B7E">
            <w:pPr>
              <w:spacing w:line="400" w:lineRule="exact"/>
              <w:rPr>
                <w:rFonts w:ascii="Times New Roman" w:hAnsi="Times New Roman"/>
                <w:kern w:val="21"/>
                <w:szCs w:val="21"/>
              </w:rPr>
            </w:pPr>
            <w:r w:rsidRPr="00560001">
              <w:rPr>
                <w:rFonts w:ascii="Times New Roman" w:hAnsi="Times New Roman" w:hint="eastAsia"/>
                <w:kern w:val="21"/>
                <w:szCs w:val="21"/>
              </w:rPr>
              <w:t>化验室的通风宜采用局部通风；当采用全部换气时，通风换气次数不宜小于5次/h。排风设备应采用防爆型。</w:t>
            </w:r>
          </w:p>
        </w:tc>
        <w:tc>
          <w:tcPr>
            <w:tcW w:w="1049" w:type="dxa"/>
            <w:shd w:val="clear" w:color="auto" w:fill="auto"/>
            <w:vAlign w:val="center"/>
          </w:tcPr>
          <w:p w:rsidR="001A4DED" w:rsidRPr="00560001" w:rsidP="00D16B7E">
            <w:pPr>
              <w:spacing w:line="400" w:lineRule="exact"/>
              <w:rPr>
                <w:rFonts w:ascii="Times New Roman" w:hAnsi="Times New Roman"/>
                <w:kern w:val="21"/>
                <w:szCs w:val="21"/>
              </w:rPr>
            </w:pPr>
            <w:r w:rsidRPr="00560001">
              <w:rPr>
                <w:rFonts w:ascii="Times New Roman" w:hAnsi="Times New Roman" w:hint="eastAsia"/>
                <w:kern w:val="21"/>
                <w:szCs w:val="21"/>
              </w:rPr>
              <w:t>GB50253-2014第</w:t>
            </w:r>
            <w:smartTag w:uri="urn:schemas-microsoft-com:office:smarttags" w:element="chsdate">
              <w:smartTagPr>
                <w:attr w:name="Day" w:val="30"/>
                <w:attr w:name="IsLunarDate" w:val="False"/>
                <w:attr w:name="IsROCDate" w:val="False"/>
                <w:attr w:name="Month" w:val="12"/>
                <w:attr w:name="Year" w:val="1899"/>
              </w:smartTagPr>
              <w:r w:rsidRPr="00560001">
                <w:rPr>
                  <w:rFonts w:ascii="Times New Roman" w:hAnsi="Times New Roman" w:hint="eastAsia"/>
                  <w:kern w:val="21"/>
                  <w:szCs w:val="21"/>
                </w:rPr>
                <w:t>6.9.4</w:t>
              </w:r>
            </w:smartTag>
            <w:r w:rsidRPr="00560001">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输油泵房、计量间、阀组间等放散可燃气体的工作场所，应设置事故通风装置，其通风换气次数不宜小于12次/小时。</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6.9.6</w:t>
              </w: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hint="eastAsia"/>
                <w:snapToGrid/>
                <w:kern w:val="21"/>
                <w:sz w:val="21"/>
                <w:szCs w:val="21"/>
                <w:lang w:val="en-US" w:eastAsia="zh-CN"/>
              </w:rPr>
              <w:t>积聚容重大于空气、并具有爆炸危险气体的建（构）筑物，应设置机械排风设施。其排风口的位置应能有效排除室内地坪最低处积聚的可燃或有害气体，其排风量应根据各类建筑物要求的换气次数或根据产生气体的性质和数量经计算确定。</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6.9.</w:t>
              </w:r>
              <w:r w:rsidRPr="00FD5F6F">
                <w:rPr>
                  <w:rFonts w:eastAsia="宋体" w:hint="eastAsia"/>
                  <w:snapToGrid/>
                  <w:kern w:val="21"/>
                  <w:sz w:val="21"/>
                  <w:szCs w:val="21"/>
                  <w:lang w:val="en-US" w:eastAsia="zh-CN"/>
                </w:rPr>
                <w:t>7</w:t>
              </w: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560001">
            <w:pPr>
              <w:rPr>
                <w:rFonts w:eastAsia="宋体"/>
                <w:snapToGrid/>
                <w:kern w:val="21"/>
                <w:sz w:val="21"/>
                <w:szCs w:val="21"/>
                <w:lang w:val="en-US" w:eastAsia="zh-CN"/>
              </w:rPr>
            </w:pPr>
            <w:r w:rsidRPr="00FD5F6F">
              <w:rPr>
                <w:rFonts w:eastAsia="宋体" w:hint="eastAsia"/>
                <w:snapToGrid/>
                <w:kern w:val="21"/>
                <w:sz w:val="21"/>
                <w:szCs w:val="21"/>
                <w:lang w:val="en-US" w:eastAsia="zh-CN"/>
              </w:rPr>
              <w:t>采用热风采暖、空气调节和机械通风装置的场所，其进风口应设置在室外空气清洁区，对有防火防爆要求的通风系统，其进风口应设在不可能有火花溅落的安全地点，排风口应设在室外安全处。</w:t>
            </w:r>
          </w:p>
        </w:tc>
        <w:tc>
          <w:tcPr>
            <w:tcW w:w="1049"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第6.9.</w:t>
            </w:r>
            <w:r w:rsidRPr="00FD5F6F">
              <w:rPr>
                <w:rFonts w:eastAsia="宋体" w:hint="eastAsia"/>
                <w:snapToGrid/>
                <w:kern w:val="21"/>
                <w:sz w:val="21"/>
                <w:szCs w:val="21"/>
                <w:lang w:val="en-US" w:eastAsia="zh-CN"/>
              </w:rPr>
              <w:t>8</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560001">
            <w:pPr>
              <w:rPr>
                <w:rFonts w:eastAsia="宋体"/>
                <w:snapToGrid/>
                <w:kern w:val="21"/>
                <w:sz w:val="21"/>
                <w:szCs w:val="21"/>
                <w:lang w:val="en-US" w:eastAsia="zh-CN"/>
              </w:rPr>
            </w:pPr>
            <w:r w:rsidRPr="00FD5F6F">
              <w:rPr>
                <w:rFonts w:eastAsia="宋体" w:hint="eastAsia"/>
                <w:snapToGrid/>
                <w:kern w:val="21"/>
                <w:sz w:val="21"/>
                <w:szCs w:val="21"/>
                <w:lang w:val="en-US" w:eastAsia="zh-CN"/>
              </w:rPr>
              <w:t>当设置较大型集中式空调系统时，应考虑选用风冷式冷却系统。当采用水冷式冷却系统时，应采用循环水式水冷却系统。</w:t>
            </w:r>
          </w:p>
        </w:tc>
        <w:tc>
          <w:tcPr>
            <w:tcW w:w="1049"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第6.9.</w:t>
            </w:r>
            <w:r w:rsidRPr="00FD5F6F">
              <w:rPr>
                <w:rFonts w:eastAsia="宋体" w:hint="eastAsia"/>
                <w:snapToGrid/>
                <w:kern w:val="21"/>
                <w:sz w:val="21"/>
                <w:szCs w:val="21"/>
                <w:lang w:val="en-US" w:eastAsia="zh-CN"/>
              </w:rPr>
              <w:t>11</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输油站内的锅炉房及热力管网设计，应符合现行国家标准《锅炉房设计规范》GB 50041的相关规定。</w:t>
            </w:r>
          </w:p>
        </w:tc>
        <w:tc>
          <w:tcPr>
            <w:tcW w:w="1049"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第6.9.</w:t>
            </w:r>
            <w:r w:rsidRPr="00FD5F6F">
              <w:rPr>
                <w:rFonts w:eastAsia="宋体" w:hint="eastAsia"/>
                <w:snapToGrid/>
                <w:kern w:val="21"/>
                <w:sz w:val="21"/>
                <w:szCs w:val="21"/>
                <w:lang w:val="en-US" w:eastAsia="zh-CN"/>
              </w:rPr>
              <w:t>12</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通信机房的采暖通风及空气调节设计，应符合现行行业标准《电信专用房屋设计规范》YD/T 5003的相关规定。</w:t>
            </w:r>
          </w:p>
        </w:tc>
        <w:tc>
          <w:tcPr>
            <w:tcW w:w="1049"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第6.9.</w:t>
            </w:r>
            <w:r w:rsidRPr="00FD5F6F">
              <w:rPr>
                <w:rFonts w:eastAsia="宋体" w:hint="eastAsia"/>
                <w:snapToGrid/>
                <w:kern w:val="21"/>
                <w:sz w:val="21"/>
                <w:szCs w:val="21"/>
                <w:lang w:val="en-US" w:eastAsia="zh-CN"/>
              </w:rPr>
              <w:t>13</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建筑物的采暖通风与空气调节设计的节能措施应符合下列规定：</w:t>
            </w:r>
          </w:p>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1 输油站内产生的余热，宜回收利用；</w:t>
            </w:r>
          </w:p>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2 晴天日数多、日照时间长的地区，宜优先采用太阳能作热源。</w:t>
            </w:r>
          </w:p>
        </w:tc>
        <w:tc>
          <w:tcPr>
            <w:tcW w:w="1049" w:type="dxa"/>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第6.9.</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2675E0">
        <w:tblPrEx>
          <w:tblW w:w="0" w:type="auto"/>
          <w:jc w:val="center"/>
          <w:tblLayout w:type="fixed"/>
          <w:tblLook w:val="01E0"/>
        </w:tblPrEx>
        <w:trPr>
          <w:jc w:val="center"/>
        </w:trPr>
        <w:tc>
          <w:tcPr>
            <w:tcW w:w="472"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八</w:t>
            </w:r>
          </w:p>
        </w:tc>
        <w:tc>
          <w:tcPr>
            <w:tcW w:w="8068" w:type="dxa"/>
            <w:gridSpan w:val="4"/>
            <w:shd w:val="clear" w:color="auto" w:fill="auto"/>
            <w:vAlign w:val="center"/>
          </w:tcPr>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仪表及控制系统</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工艺设备、动力设备及其它辅助设备应满足自动控制系统的功能要求。</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GB50253-2014</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6.10.1</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输油工艺过程平稳运行及确保安全生产的重要参数，应进行连续监测或记录。</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GB50253-2014第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6.10.2</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仪表选型应符合下列规定：</w:t>
            </w:r>
          </w:p>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1 应选用安全、可靠、技术先进的标准系列产品；</w:t>
            </w:r>
          </w:p>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2 检测和控制仪表宜采用电动仪表；</w:t>
            </w:r>
          </w:p>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3 仪表输入、输出信号应采用标准信号；</w:t>
            </w:r>
          </w:p>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4 直接与介质接触的仪表，应满足管道及设备的设计压力、温度及介质的物性要求；</w:t>
            </w:r>
          </w:p>
          <w:p w:rsidR="001A4DED" w:rsidRPr="00FD5F6F" w:rsidP="000B146F">
            <w:pPr>
              <w:rPr>
                <w:rFonts w:eastAsia="宋体"/>
                <w:snapToGrid/>
                <w:kern w:val="21"/>
                <w:sz w:val="21"/>
                <w:szCs w:val="21"/>
                <w:lang w:val="en-US" w:eastAsia="zh-CN"/>
              </w:rPr>
            </w:pPr>
            <w:r w:rsidRPr="00FD5F6F">
              <w:rPr>
                <w:rFonts w:eastAsia="宋体" w:hint="eastAsia"/>
                <w:snapToGrid/>
                <w:kern w:val="21"/>
                <w:sz w:val="21"/>
                <w:szCs w:val="21"/>
                <w:lang w:val="en-US" w:eastAsia="zh-CN"/>
              </w:rPr>
              <w:t>5 现场应安装供运行人员巡回检查和就地操作的就地显示仪表。</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GB50253-2014第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hint="eastAsia"/>
                  <w:snapToGrid/>
                  <w:kern w:val="21"/>
                  <w:sz w:val="21"/>
                  <w:szCs w:val="21"/>
                  <w:lang w:val="en-US" w:eastAsia="zh-CN"/>
                </w:rPr>
                <w:t>6.10.3</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：0区为本质安全型ia；1区为本质安全型ia</w:t>
            </w:r>
            <w:r w:rsidRPr="00FD5F6F">
              <w:rPr>
                <w:rFonts w:eastAsia="宋体" w:hint="eastAsia"/>
                <w:snapToGrid/>
                <w:kern w:val="21"/>
                <w:sz w:val="21"/>
                <w:szCs w:val="21"/>
                <w:lang w:val="en-US" w:eastAsia="zh-CN"/>
              </w:rPr>
              <w:t>、</w:t>
            </w:r>
            <w:r w:rsidRPr="00FD5F6F">
              <w:rPr>
                <w:rFonts w:eastAsia="宋体"/>
                <w:snapToGrid/>
                <w:kern w:val="21"/>
                <w:sz w:val="21"/>
                <w:szCs w:val="21"/>
                <w:lang w:val="en-US" w:eastAsia="zh-CN"/>
              </w:rPr>
              <w:t>ib</w:t>
            </w:r>
            <w:r w:rsidRPr="00FD5F6F">
              <w:rPr>
                <w:rFonts w:eastAsia="宋体" w:hint="eastAsia"/>
                <w:snapToGrid/>
                <w:kern w:val="21"/>
                <w:sz w:val="21"/>
                <w:szCs w:val="21"/>
                <w:lang w:val="en-US" w:eastAsia="zh-CN"/>
              </w:rPr>
              <w:t>，</w:t>
            </w:r>
            <w:r w:rsidRPr="00FD5F6F">
              <w:rPr>
                <w:rFonts w:eastAsia="宋体"/>
                <w:snapToGrid/>
                <w:kern w:val="21"/>
                <w:sz w:val="21"/>
                <w:szCs w:val="21"/>
                <w:lang w:val="en-US" w:eastAsia="zh-CN"/>
              </w:rPr>
              <w:t>隔爆型</w:t>
            </w:r>
            <w:r w:rsidRPr="00FD5F6F">
              <w:rPr>
                <w:rFonts w:eastAsia="宋体" w:hint="eastAsia"/>
                <w:snapToGrid/>
                <w:kern w:val="21"/>
                <w:sz w:val="21"/>
                <w:szCs w:val="21"/>
                <w:lang w:val="en-US" w:eastAsia="zh-CN"/>
              </w:rPr>
              <w:t>d</w:t>
            </w:r>
            <w:r w:rsidRPr="00FD5F6F">
              <w:rPr>
                <w:rFonts w:eastAsia="宋体"/>
                <w:snapToGrid/>
                <w:kern w:val="21"/>
                <w:sz w:val="21"/>
                <w:szCs w:val="21"/>
                <w:lang w:val="en-US" w:eastAsia="zh-CN"/>
              </w:rPr>
              <w:t>；2区为本质安全型ia</w:t>
            </w:r>
            <w:r w:rsidRPr="00FD5F6F">
              <w:rPr>
                <w:rFonts w:eastAsia="宋体" w:hint="eastAsia"/>
                <w:snapToGrid/>
                <w:kern w:val="21"/>
                <w:sz w:val="21"/>
                <w:szCs w:val="21"/>
                <w:lang w:val="en-US" w:eastAsia="zh-CN"/>
              </w:rPr>
              <w:t>、</w:t>
            </w:r>
            <w:r w:rsidRPr="00FD5F6F">
              <w:rPr>
                <w:rFonts w:eastAsia="宋体"/>
                <w:snapToGrid/>
                <w:kern w:val="21"/>
                <w:sz w:val="21"/>
                <w:szCs w:val="21"/>
                <w:lang w:val="en-US" w:eastAsia="zh-CN"/>
              </w:rPr>
              <w:t>ib</w:t>
            </w:r>
            <w:r w:rsidRPr="00FD5F6F">
              <w:rPr>
                <w:rFonts w:eastAsia="宋体" w:hint="eastAsia"/>
                <w:snapToGrid/>
                <w:kern w:val="21"/>
                <w:sz w:val="21"/>
                <w:szCs w:val="21"/>
                <w:lang w:val="en-US" w:eastAsia="zh-CN"/>
              </w:rPr>
              <w:t>，</w:t>
            </w:r>
            <w:r w:rsidRPr="00FD5F6F">
              <w:rPr>
                <w:rFonts w:eastAsia="宋体"/>
                <w:snapToGrid/>
                <w:kern w:val="21"/>
                <w:sz w:val="21"/>
                <w:szCs w:val="21"/>
                <w:lang w:val="en-US" w:eastAsia="zh-CN"/>
              </w:rPr>
              <w:t>隔爆型</w:t>
            </w:r>
            <w:r w:rsidRPr="00FD5F6F">
              <w:rPr>
                <w:rFonts w:eastAsia="宋体" w:hint="eastAsia"/>
                <w:snapToGrid/>
                <w:kern w:val="21"/>
                <w:sz w:val="21"/>
                <w:szCs w:val="21"/>
                <w:lang w:val="en-US" w:eastAsia="zh-CN"/>
              </w:rPr>
              <w:t>d，增安型e</w:t>
            </w:r>
            <w:r w:rsidRPr="00FD5F6F">
              <w:rPr>
                <w:rFonts w:eastAsia="宋体"/>
                <w:snapToGrid/>
                <w:kern w:val="21"/>
                <w:sz w:val="21"/>
                <w:szCs w:val="21"/>
                <w:lang w:val="en-US" w:eastAsia="zh-CN"/>
              </w:rPr>
              <w:t>。</w:t>
            </w:r>
          </w:p>
        </w:tc>
        <w:tc>
          <w:tcPr>
            <w:tcW w:w="1049" w:type="dxa"/>
            <w:shd w:val="clear" w:color="auto" w:fill="auto"/>
            <w:vAlign w:val="center"/>
          </w:tcPr>
          <w:p w:rsidR="001A4DED" w:rsidRPr="00FD5F6F" w:rsidP="00C22F06">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10.4</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输油站内应设站控制室。</w:t>
            </w:r>
          </w:p>
        </w:tc>
        <w:tc>
          <w:tcPr>
            <w:tcW w:w="1049" w:type="dxa"/>
            <w:shd w:val="clear" w:color="auto" w:fill="auto"/>
            <w:vAlign w:val="center"/>
          </w:tcPr>
          <w:p w:rsidR="001A4DED" w:rsidRPr="00FD5F6F" w:rsidP="00C22F06">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10.</w:t>
              </w:r>
              <w:r w:rsidRPr="00FD5F6F">
                <w:rPr>
                  <w:rFonts w:eastAsia="宋体"/>
                  <w:snapToGrid/>
                  <w:kern w:val="21"/>
                  <w:sz w:val="21"/>
                  <w:szCs w:val="21"/>
                  <w:lang w:val="en-US" w:eastAsia="zh-CN"/>
                </w:rPr>
                <w:t>5</w:t>
              </w:r>
            </w:smartTag>
            <w:r w:rsidRPr="00FD5F6F">
              <w:rPr>
                <w:rFonts w:eastAsia="宋体" w:hint="eastAsia"/>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tcPr>
          <w:p w:rsidR="001A4DED" w:rsidRPr="00FD5F6F" w:rsidP="00C22F06">
            <w:pPr>
              <w:rPr>
                <w:rFonts w:eastAsia="宋体"/>
                <w:snapToGrid/>
                <w:kern w:val="21"/>
                <w:sz w:val="21"/>
                <w:szCs w:val="21"/>
                <w:lang w:val="en-US" w:eastAsia="zh-CN"/>
              </w:rPr>
            </w:pPr>
            <w:r w:rsidRPr="00FD5F6F">
              <w:rPr>
                <w:rFonts w:eastAsia="宋体" w:hint="eastAsia"/>
                <w:snapToGrid/>
                <w:kern w:val="21"/>
                <w:sz w:val="21"/>
                <w:szCs w:val="21"/>
                <w:lang w:val="en-US" w:eastAsia="zh-CN"/>
              </w:rPr>
              <w:t>进出站控制回路设计应符合下列规定：</w:t>
            </w:r>
          </w:p>
          <w:p w:rsidR="001A4DED" w:rsidRPr="00FD5F6F" w:rsidP="00C22F06">
            <w:pPr>
              <w:rPr>
                <w:rFonts w:eastAsia="宋体"/>
                <w:snapToGrid/>
                <w:kern w:val="21"/>
                <w:sz w:val="21"/>
                <w:szCs w:val="21"/>
                <w:lang w:val="en-US" w:eastAsia="zh-CN"/>
              </w:rPr>
            </w:pPr>
            <w:r w:rsidRPr="00FD5F6F">
              <w:rPr>
                <w:rFonts w:eastAsia="宋体" w:hint="eastAsia"/>
                <w:snapToGrid/>
                <w:kern w:val="21"/>
                <w:sz w:val="21"/>
                <w:szCs w:val="21"/>
                <w:lang w:val="en-US" w:eastAsia="zh-CN"/>
              </w:rPr>
              <w:t>1 控制方式宜采用节流调节或泵转速调节；</w:t>
            </w:r>
          </w:p>
          <w:p w:rsidR="001A4DED" w:rsidRPr="00FD5F6F" w:rsidP="00C22F06">
            <w:pPr>
              <w:rPr>
                <w:rFonts w:eastAsia="宋体"/>
                <w:snapToGrid/>
                <w:kern w:val="21"/>
                <w:sz w:val="21"/>
                <w:szCs w:val="21"/>
                <w:lang w:val="en-US" w:eastAsia="zh-CN"/>
              </w:rPr>
            </w:pPr>
            <w:r w:rsidRPr="00FD5F6F">
              <w:rPr>
                <w:rFonts w:eastAsia="宋体" w:hint="eastAsia"/>
                <w:snapToGrid/>
                <w:kern w:val="21"/>
                <w:sz w:val="21"/>
                <w:szCs w:val="21"/>
                <w:lang w:val="en-US" w:eastAsia="zh-CN"/>
              </w:rPr>
              <w:t>2 调节间流量特性应选择等百分比或近似等百分比。</w:t>
            </w:r>
          </w:p>
        </w:tc>
        <w:tc>
          <w:tcPr>
            <w:tcW w:w="1049" w:type="dxa"/>
            <w:shd w:val="clear" w:color="auto" w:fill="auto"/>
            <w:vAlign w:val="center"/>
          </w:tcPr>
          <w:p w:rsidR="001A4DED" w:rsidRPr="00FD5F6F" w:rsidP="00D16B7E">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10.6条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站控制系统的监控内容应符合下列规定：</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应监视、调节正常运行工况下的输油温度、压力；</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宜对管道输油量进行监控；</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3 可对站场能耗进行计量；</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4 应能完成报警事件和应急工况的处理；</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5 应对混油段进行监视；</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6 对需要远程控制的工艺设备、动力设备及其它辅助设备进行远程控制。</w:t>
            </w:r>
          </w:p>
        </w:tc>
        <w:tc>
          <w:tcPr>
            <w:tcW w:w="1049" w:type="dxa"/>
            <w:shd w:val="clear" w:color="auto" w:fill="auto"/>
            <w:vAlign w:val="center"/>
          </w:tcPr>
          <w:p w:rsidR="001A4DED" w:rsidRPr="00FD5F6F" w:rsidP="00C22F06">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10.7条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仪表及站控制系统的供电设计除应符合本规范第6.7节的规定外，还应符合下列规定：</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1  仪表及站控制系统的交流电源应与动力、照明用电分开设置；</w:t>
            </w:r>
          </w:p>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2  站控制系统应采用不间断电源供电。</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w:t>
            </w:r>
            <w:r w:rsidRPr="00FD5F6F">
              <w:rPr>
                <w:rFonts w:eastAsia="宋体" w:hint="eastAsia"/>
                <w:snapToGrid/>
                <w:kern w:val="21"/>
                <w:sz w:val="21"/>
                <w:szCs w:val="21"/>
                <w:lang w:val="en-US" w:eastAsia="zh-CN"/>
              </w:rPr>
              <w:t>-2014第</w:t>
            </w:r>
            <w:r w:rsidRPr="00FD5F6F">
              <w:rPr>
                <w:rFonts w:eastAsia="宋体"/>
                <w:snapToGrid/>
                <w:kern w:val="21"/>
                <w:sz w:val="21"/>
                <w:szCs w:val="21"/>
                <w:lang w:val="en-US" w:eastAsia="zh-CN"/>
              </w:rPr>
              <w:t>6.</w:t>
            </w:r>
            <w:r w:rsidRPr="00FD5F6F">
              <w:rPr>
                <w:rFonts w:eastAsia="宋体" w:hint="eastAsia"/>
                <w:snapToGrid/>
                <w:kern w:val="21"/>
                <w:sz w:val="21"/>
                <w:szCs w:val="21"/>
                <w:lang w:val="en-US" w:eastAsia="zh-CN"/>
              </w:rPr>
              <w:t>10.8条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仪表系统的接地宜采用共用接地装置。接地连接电阻应不大于1</w:t>
            </w:r>
            <w:r w:rsidRPr="00FD5F6F">
              <w:rPr>
                <w:rFonts w:eastAsia="宋体" w:hint="eastAsia"/>
                <w:snapToGrid/>
                <w:kern w:val="21"/>
                <w:sz w:val="21"/>
                <w:szCs w:val="21"/>
                <w:lang w:val="en-US" w:eastAsia="zh-CN"/>
              </w:rPr>
              <w:t>Ω</w:t>
            </w:r>
            <w:r w:rsidRPr="00FD5F6F">
              <w:rPr>
                <w:rFonts w:eastAsia="宋体" w:hint="eastAsia"/>
                <w:snapToGrid/>
                <w:kern w:val="21"/>
                <w:sz w:val="21"/>
                <w:szCs w:val="21"/>
                <w:lang w:val="en-US" w:eastAsia="zh-CN"/>
              </w:rPr>
              <w:t>。</w:t>
            </w:r>
          </w:p>
        </w:tc>
        <w:tc>
          <w:tcPr>
            <w:tcW w:w="1049" w:type="dxa"/>
            <w:shd w:val="clear" w:color="auto" w:fill="auto"/>
            <w:vAlign w:val="center"/>
          </w:tcPr>
          <w:p w:rsidR="001A4DED"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w:t>
            </w:r>
            <w:r w:rsidRPr="00FD5F6F">
              <w:rPr>
                <w:rFonts w:eastAsia="宋体" w:hint="eastAsia"/>
                <w:snapToGrid/>
                <w:kern w:val="21"/>
                <w:sz w:val="21"/>
                <w:szCs w:val="21"/>
                <w:lang w:val="en-US" w:eastAsia="zh-CN"/>
              </w:rPr>
              <w:t>25</w:t>
            </w:r>
            <w:r w:rsidRPr="00FD5F6F">
              <w:rPr>
                <w:rFonts w:eastAsia="宋体"/>
                <w:snapToGrid/>
                <w:kern w:val="21"/>
                <w:sz w:val="21"/>
                <w:szCs w:val="21"/>
                <w:lang w:val="en-US" w:eastAsia="zh-CN"/>
              </w:rPr>
              <w:t>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第6.10.</w:t>
            </w:r>
            <w:r w:rsidRPr="00FD5F6F">
              <w:rPr>
                <w:rFonts w:eastAsia="宋体" w:hint="eastAsia"/>
                <w:snapToGrid/>
                <w:kern w:val="21"/>
                <w:sz w:val="21"/>
                <w:szCs w:val="21"/>
                <w:lang w:val="en-US" w:eastAsia="zh-CN"/>
              </w:rPr>
              <w:t>9</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C22F06">
            <w:pPr>
              <w:rPr>
                <w:rFonts w:eastAsia="宋体"/>
                <w:snapToGrid/>
                <w:kern w:val="21"/>
                <w:sz w:val="21"/>
                <w:szCs w:val="21"/>
                <w:lang w:val="en-US" w:eastAsia="zh-CN"/>
              </w:rPr>
            </w:pPr>
            <w:r w:rsidRPr="00FD5F6F">
              <w:rPr>
                <w:rFonts w:eastAsia="宋体" w:hint="eastAsia"/>
                <w:snapToGrid/>
                <w:kern w:val="21"/>
                <w:sz w:val="21"/>
                <w:szCs w:val="21"/>
                <w:lang w:val="en-US" w:eastAsia="zh-CN"/>
              </w:rPr>
              <w:t>电缆选型及敷设应符合下列规定：</w:t>
            </w:r>
          </w:p>
          <w:p w:rsidR="001A4DED" w:rsidRPr="00FD5F6F" w:rsidP="00C22F06">
            <w:pPr>
              <w:rPr>
                <w:rFonts w:eastAsia="宋体"/>
                <w:snapToGrid/>
                <w:kern w:val="21"/>
                <w:sz w:val="21"/>
                <w:szCs w:val="21"/>
                <w:lang w:val="en-US" w:eastAsia="zh-CN"/>
              </w:rPr>
            </w:pPr>
            <w:r w:rsidRPr="00FD5F6F">
              <w:rPr>
                <w:rFonts w:eastAsia="宋体" w:hint="eastAsia"/>
                <w:snapToGrid/>
                <w:kern w:val="21"/>
                <w:sz w:val="21"/>
                <w:szCs w:val="21"/>
                <w:lang w:val="en-US" w:eastAsia="zh-CN"/>
              </w:rPr>
              <w:t>1 仪表信号电缆宜选用屏蔽电缆，电缆直埋敷设时应选用铠装电缆；</w:t>
            </w:r>
          </w:p>
          <w:p w:rsidR="001A4DED" w:rsidRPr="00FD5F6F" w:rsidP="00C22F06">
            <w:pPr>
              <w:rPr>
                <w:rFonts w:eastAsia="宋体"/>
                <w:snapToGrid/>
                <w:kern w:val="21"/>
                <w:sz w:val="21"/>
                <w:szCs w:val="21"/>
                <w:lang w:val="en-US" w:eastAsia="zh-CN"/>
              </w:rPr>
            </w:pPr>
            <w:r w:rsidRPr="00FD5F6F">
              <w:rPr>
                <w:rFonts w:eastAsia="宋体" w:hint="eastAsia"/>
                <w:snapToGrid/>
                <w:kern w:val="21"/>
                <w:sz w:val="21"/>
                <w:szCs w:val="21"/>
                <w:lang w:val="en-US" w:eastAsia="zh-CN"/>
              </w:rPr>
              <w:t>2 电缆宜采用电缆沟、直埋、电缆桥架方式敷设。</w:t>
            </w:r>
          </w:p>
        </w:tc>
        <w:tc>
          <w:tcPr>
            <w:tcW w:w="1049" w:type="dxa"/>
            <w:shd w:val="clear" w:color="auto" w:fill="auto"/>
            <w:vAlign w:val="center"/>
          </w:tcPr>
          <w:p w:rsidR="001A4DED" w:rsidRPr="00FD5F6F" w:rsidP="00C22F06">
            <w:pPr>
              <w:rPr>
                <w:rFonts w:eastAsia="宋体"/>
                <w:snapToGrid/>
                <w:kern w:val="21"/>
                <w:sz w:val="21"/>
                <w:szCs w:val="21"/>
                <w:lang w:val="en-US" w:eastAsia="zh-CN"/>
              </w:rPr>
            </w:pPr>
            <w:r w:rsidRPr="00FD5F6F">
              <w:rPr>
                <w:rFonts w:eastAsia="宋体"/>
                <w:snapToGrid/>
                <w:kern w:val="21"/>
                <w:sz w:val="21"/>
                <w:szCs w:val="21"/>
                <w:lang w:val="en-US" w:eastAsia="zh-CN"/>
              </w:rPr>
              <w:t>GB50</w:t>
            </w:r>
            <w:r w:rsidRPr="00FD5F6F">
              <w:rPr>
                <w:rFonts w:eastAsia="宋体" w:hint="eastAsia"/>
                <w:snapToGrid/>
                <w:kern w:val="21"/>
                <w:sz w:val="21"/>
                <w:szCs w:val="21"/>
                <w:lang w:val="en-US" w:eastAsia="zh-CN"/>
              </w:rPr>
              <w:t>25</w:t>
            </w:r>
            <w:r w:rsidRPr="00FD5F6F">
              <w:rPr>
                <w:rFonts w:eastAsia="宋体"/>
                <w:snapToGrid/>
                <w:kern w:val="21"/>
                <w:sz w:val="21"/>
                <w:szCs w:val="21"/>
                <w:lang w:val="en-US" w:eastAsia="zh-CN"/>
              </w:rPr>
              <w:t>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第6.10.</w:t>
            </w:r>
            <w:r w:rsidRPr="00FD5F6F">
              <w:rPr>
                <w:rFonts w:eastAsia="宋体" w:hint="eastAsia"/>
                <w:snapToGrid/>
                <w:kern w:val="21"/>
                <w:sz w:val="21"/>
                <w:szCs w:val="21"/>
                <w:lang w:val="en-US" w:eastAsia="zh-CN"/>
              </w:rPr>
              <w:t>10</w:t>
            </w:r>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8C6DA0" w:rsidP="00D16B7E">
            <w:pPr>
              <w:spacing w:line="400" w:lineRule="exact"/>
              <w:rPr>
                <w:rFonts w:ascii="Times New Roman" w:hAnsi="Times New Roman"/>
                <w:kern w:val="21"/>
                <w:szCs w:val="21"/>
              </w:rPr>
            </w:pPr>
            <w:r w:rsidRPr="008C6DA0">
              <w:rPr>
                <w:rFonts w:ascii="Times New Roman" w:hAnsi="Times New Roman" w:hint="eastAsia"/>
                <w:kern w:val="21"/>
                <w:szCs w:val="21"/>
              </w:rPr>
              <w:t>输油管道应设置监视、控制和调度管理系统，宜采用监控与数据采集（SCADA）系统。</w:t>
            </w:r>
          </w:p>
          <w:p w:rsidR="001A4DED" w:rsidRPr="008C6DA0" w:rsidP="00D16B7E">
            <w:pPr>
              <w:spacing w:line="400" w:lineRule="exact"/>
              <w:rPr>
                <w:rFonts w:ascii="Times New Roman" w:hAnsi="Times New Roman"/>
                <w:kern w:val="21"/>
                <w:szCs w:val="21"/>
              </w:rPr>
            </w:pPr>
            <w:r w:rsidRPr="008C6DA0">
              <w:rPr>
                <w:rFonts w:ascii="Times New Roman" w:hAnsi="Times New Roman" w:hint="eastAsia"/>
                <w:kern w:val="21"/>
                <w:szCs w:val="21"/>
              </w:rPr>
              <w:t>管道系统的控制水平与控制方式应满足输油工艺过程的安全、操作和运行要求。</w:t>
            </w:r>
          </w:p>
        </w:tc>
        <w:tc>
          <w:tcPr>
            <w:tcW w:w="1049" w:type="dxa"/>
            <w:shd w:val="clear" w:color="auto" w:fill="auto"/>
            <w:vAlign w:val="center"/>
          </w:tcPr>
          <w:p w:rsidR="001A4DED" w:rsidRPr="008C6DA0" w:rsidP="00D16B7E">
            <w:pPr>
              <w:spacing w:line="400" w:lineRule="exact"/>
              <w:rPr>
                <w:rFonts w:ascii="Times New Roman" w:hAnsi="Times New Roman"/>
                <w:kern w:val="21"/>
                <w:szCs w:val="21"/>
              </w:rPr>
            </w:pPr>
            <w:r w:rsidRPr="008C6DA0">
              <w:rPr>
                <w:rFonts w:ascii="Times New Roman" w:hAnsi="Times New Roman" w:hint="eastAsia"/>
                <w:kern w:val="21"/>
                <w:szCs w:val="21"/>
              </w:rPr>
              <w:t>GB50253-2014第</w:t>
            </w:r>
            <w:smartTag w:uri="urn:schemas-microsoft-com:office:smarttags" w:element="chsdate">
              <w:smartTagPr>
                <w:attr w:name="Day" w:val="30"/>
                <w:attr w:name="IsLunarDate" w:val="False"/>
                <w:attr w:name="IsROCDate" w:val="False"/>
                <w:attr w:name="Month" w:val="12"/>
                <w:attr w:name="Year" w:val="1899"/>
              </w:smartTagPr>
              <w:r w:rsidRPr="008C6DA0">
                <w:rPr>
                  <w:rFonts w:ascii="Times New Roman" w:hAnsi="Times New Roman" w:hint="eastAsia"/>
                  <w:kern w:val="21"/>
                  <w:szCs w:val="21"/>
                </w:rPr>
                <w:t>7.1.1</w:t>
              </w:r>
            </w:smartTag>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8C6DA0" w:rsidP="00D16B7E">
            <w:pPr>
              <w:spacing w:line="400" w:lineRule="exact"/>
              <w:rPr>
                <w:rFonts w:ascii="Times New Roman" w:hAnsi="Times New Roman"/>
                <w:kern w:val="21"/>
                <w:szCs w:val="21"/>
              </w:rPr>
            </w:pPr>
            <w:r w:rsidRPr="008C6DA0">
              <w:rPr>
                <w:rFonts w:ascii="Times New Roman" w:hAnsi="Times New Roman" w:hint="eastAsia"/>
                <w:kern w:val="21"/>
                <w:szCs w:val="21"/>
              </w:rPr>
              <w:t>输油管道的监控与数据采集（SCADA）系统应包括控制中心的计算机系统、输油站站控制系统、远控截断阀的控制系统及数据传输系统。</w:t>
            </w:r>
          </w:p>
        </w:tc>
        <w:tc>
          <w:tcPr>
            <w:tcW w:w="1049" w:type="dxa"/>
            <w:shd w:val="clear" w:color="auto" w:fill="auto"/>
            <w:vAlign w:val="center"/>
          </w:tcPr>
          <w:p w:rsidR="001A4DED" w:rsidRPr="008C6DA0" w:rsidP="00D16B7E">
            <w:pPr>
              <w:spacing w:line="400" w:lineRule="exact"/>
              <w:rPr>
                <w:rFonts w:ascii="Times New Roman" w:hAnsi="Times New Roman"/>
                <w:kern w:val="21"/>
                <w:szCs w:val="21"/>
              </w:rPr>
            </w:pPr>
            <w:r w:rsidRPr="008C6DA0">
              <w:rPr>
                <w:rFonts w:ascii="Times New Roman" w:hAnsi="Times New Roman" w:hint="eastAsia"/>
                <w:kern w:val="21"/>
                <w:szCs w:val="21"/>
              </w:rPr>
              <w:t>GB50253-2014第</w:t>
            </w:r>
            <w:smartTag w:uri="urn:schemas-microsoft-com:office:smarttags" w:element="chsdate">
              <w:smartTagPr>
                <w:attr w:name="Day" w:val="30"/>
                <w:attr w:name="IsLunarDate" w:val="False"/>
                <w:attr w:name="IsROCDate" w:val="False"/>
                <w:attr w:name="Month" w:val="12"/>
                <w:attr w:name="Year" w:val="1899"/>
              </w:smartTagPr>
              <w:r w:rsidRPr="008C6DA0">
                <w:rPr>
                  <w:rFonts w:ascii="Times New Roman" w:hAnsi="Times New Roman" w:hint="eastAsia"/>
                  <w:kern w:val="21"/>
                  <w:szCs w:val="21"/>
                </w:rPr>
                <w:t>7.1.3</w:t>
              </w:r>
            </w:smartTag>
            <w:r w:rsidRPr="008C6DA0">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1A4DED">
            <w:pPr>
              <w:rPr>
                <w:rFonts w:eastAsia="宋体"/>
                <w:snapToGrid/>
                <w:kern w:val="21"/>
                <w:sz w:val="21"/>
                <w:szCs w:val="21"/>
                <w:lang w:val="en-US" w:eastAsia="zh-CN"/>
              </w:rPr>
            </w:pPr>
            <w:r w:rsidRPr="00FD5F6F">
              <w:rPr>
                <w:rFonts w:eastAsia="宋体" w:hint="eastAsia"/>
                <w:snapToGrid/>
                <w:kern w:val="21"/>
                <w:sz w:val="21"/>
                <w:szCs w:val="21"/>
                <w:lang w:val="en-US" w:eastAsia="zh-CN"/>
              </w:rPr>
              <w:t>控制中心控制室的设计应满足运行操作条件的要求，除应符合现行国家标准《电子信息系统机房设计规定》GB50174的规定外，尚应满足计算机设备的安装要求。</w:t>
            </w:r>
          </w:p>
        </w:tc>
        <w:tc>
          <w:tcPr>
            <w:tcW w:w="1049" w:type="dxa"/>
            <w:shd w:val="clear" w:color="auto" w:fill="auto"/>
            <w:vAlign w:val="center"/>
          </w:tcPr>
          <w:p w:rsidR="001A4DED" w:rsidRPr="008C6DA0" w:rsidP="001A4DED">
            <w:pPr>
              <w:spacing w:line="400" w:lineRule="exact"/>
              <w:rPr>
                <w:rFonts w:ascii="Times New Roman" w:hAnsi="Times New Roman"/>
                <w:kern w:val="21"/>
                <w:szCs w:val="21"/>
              </w:rPr>
            </w:pPr>
            <w:r w:rsidRPr="008C6DA0">
              <w:rPr>
                <w:rFonts w:ascii="Times New Roman" w:hAnsi="Times New Roman" w:hint="eastAsia"/>
                <w:kern w:val="21"/>
                <w:szCs w:val="21"/>
              </w:rPr>
              <w:t>GB50253-2014第7.</w:t>
            </w:r>
            <w:r>
              <w:rPr>
                <w:rFonts w:ascii="Times New Roman" w:hAnsi="Times New Roman" w:hint="eastAsia"/>
                <w:kern w:val="21"/>
                <w:szCs w:val="21"/>
              </w:rPr>
              <w:t>2.3</w:t>
            </w:r>
            <w:r w:rsidRPr="008C6DA0">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1A4DED">
            <w:pPr>
              <w:rPr>
                <w:rFonts w:eastAsia="宋体"/>
                <w:snapToGrid/>
                <w:kern w:val="21"/>
                <w:sz w:val="21"/>
                <w:szCs w:val="21"/>
                <w:lang w:val="en-US" w:eastAsia="zh-CN"/>
              </w:rPr>
            </w:pPr>
            <w:r w:rsidRPr="00FD5F6F">
              <w:rPr>
                <w:rFonts w:eastAsia="宋体" w:hint="eastAsia"/>
                <w:snapToGrid/>
                <w:kern w:val="21"/>
                <w:sz w:val="21"/>
                <w:szCs w:val="21"/>
                <w:lang w:val="en-US" w:eastAsia="zh-CN"/>
              </w:rPr>
              <w:t>计算机系统应采用双机热备配置，系统应具备故障自动切换功能。</w:t>
            </w:r>
          </w:p>
        </w:tc>
        <w:tc>
          <w:tcPr>
            <w:tcW w:w="1049" w:type="dxa"/>
            <w:shd w:val="clear" w:color="auto" w:fill="auto"/>
            <w:vAlign w:val="center"/>
          </w:tcPr>
          <w:p w:rsidR="001A4DED" w:rsidRPr="008C6DA0" w:rsidP="001A4DED">
            <w:pPr>
              <w:spacing w:line="400" w:lineRule="exact"/>
              <w:rPr>
                <w:rFonts w:ascii="Times New Roman" w:hAnsi="Times New Roman"/>
                <w:kern w:val="21"/>
                <w:szCs w:val="21"/>
              </w:rPr>
            </w:pPr>
            <w:r w:rsidRPr="008C6DA0">
              <w:rPr>
                <w:rFonts w:ascii="Times New Roman" w:hAnsi="Times New Roman" w:hint="eastAsia"/>
                <w:kern w:val="21"/>
                <w:szCs w:val="21"/>
              </w:rPr>
              <w:t>GB50253-2014第7.</w:t>
            </w:r>
            <w:r>
              <w:rPr>
                <w:rFonts w:ascii="Times New Roman" w:hAnsi="Times New Roman" w:hint="eastAsia"/>
                <w:kern w:val="21"/>
                <w:szCs w:val="21"/>
              </w:rPr>
              <w:t>2.4</w:t>
            </w:r>
            <w:r w:rsidRPr="008C6DA0">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1A4DED" w:rsidRPr="00FD5F6F" w:rsidP="001A4DED">
            <w:pPr>
              <w:rPr>
                <w:rFonts w:eastAsia="宋体"/>
                <w:snapToGrid/>
                <w:kern w:val="21"/>
                <w:sz w:val="21"/>
                <w:szCs w:val="21"/>
                <w:lang w:val="en-US" w:eastAsia="zh-CN"/>
              </w:rPr>
            </w:pPr>
            <w:r w:rsidRPr="00FD5F6F">
              <w:rPr>
                <w:rFonts w:eastAsia="宋体" w:hint="eastAsia"/>
                <w:snapToGrid/>
                <w:kern w:val="21"/>
                <w:sz w:val="21"/>
                <w:szCs w:val="21"/>
                <w:lang w:val="en-US" w:eastAsia="zh-CN"/>
              </w:rPr>
              <w:t>当设置备用控制中心时，主、备控制中心之间应具备控制权限切换功能。</w:t>
            </w:r>
          </w:p>
        </w:tc>
        <w:tc>
          <w:tcPr>
            <w:tcW w:w="1049" w:type="dxa"/>
            <w:shd w:val="clear" w:color="auto" w:fill="auto"/>
            <w:vAlign w:val="center"/>
          </w:tcPr>
          <w:p w:rsidR="001A4DED" w:rsidRPr="008C6DA0" w:rsidP="001A4DED">
            <w:pPr>
              <w:spacing w:line="400" w:lineRule="exact"/>
              <w:rPr>
                <w:rFonts w:ascii="Times New Roman" w:hAnsi="Times New Roman"/>
                <w:kern w:val="21"/>
                <w:szCs w:val="21"/>
              </w:rPr>
            </w:pPr>
            <w:r w:rsidRPr="008C6DA0">
              <w:rPr>
                <w:rFonts w:ascii="Times New Roman" w:hAnsi="Times New Roman" w:hint="eastAsia"/>
                <w:kern w:val="21"/>
                <w:szCs w:val="21"/>
              </w:rPr>
              <w:t>GB50253-2014第7.</w:t>
            </w:r>
            <w:r>
              <w:rPr>
                <w:rFonts w:ascii="Times New Roman" w:hAnsi="Times New Roman" w:hint="eastAsia"/>
                <w:kern w:val="21"/>
                <w:szCs w:val="21"/>
              </w:rPr>
              <w:t>2.5</w:t>
            </w:r>
            <w:r w:rsidRPr="008C6DA0">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AC45A2" w:rsidRPr="00FD5F6F" w:rsidP="008145C0">
            <w:pPr>
              <w:rPr>
                <w:rFonts w:eastAsia="宋体"/>
                <w:snapToGrid/>
                <w:kern w:val="21"/>
                <w:sz w:val="21"/>
                <w:szCs w:val="21"/>
                <w:lang w:val="en-US" w:eastAsia="zh-CN"/>
              </w:rPr>
            </w:pPr>
            <w:r w:rsidRPr="00FD5F6F">
              <w:rPr>
                <w:rFonts w:eastAsia="宋体" w:hint="eastAsia"/>
                <w:snapToGrid/>
                <w:kern w:val="21"/>
                <w:sz w:val="21"/>
                <w:szCs w:val="21"/>
                <w:lang w:val="en-US" w:eastAsia="zh-CN"/>
              </w:rPr>
              <w:t>站控制系统配置宜符合下列要求：</w:t>
            </w:r>
          </w:p>
          <w:p w:rsidR="00AC45A2" w:rsidRPr="00FD5F6F" w:rsidP="008145C0">
            <w:pPr>
              <w:rPr>
                <w:rFonts w:eastAsia="宋体"/>
                <w:snapToGrid/>
                <w:kern w:val="21"/>
                <w:sz w:val="21"/>
                <w:szCs w:val="21"/>
                <w:lang w:val="en-US" w:eastAsia="zh-CN"/>
              </w:rPr>
            </w:pPr>
            <w:r w:rsidRPr="00FD5F6F">
              <w:rPr>
                <w:rFonts w:eastAsia="宋体" w:hint="eastAsia"/>
                <w:snapToGrid/>
                <w:kern w:val="21"/>
                <w:sz w:val="21"/>
                <w:szCs w:val="21"/>
                <w:lang w:val="en-US" w:eastAsia="zh-CN"/>
              </w:rPr>
              <w:t>1 站控制系统宜由基本过程控制系统、安全仪表系统和消防控制系统组成；</w:t>
            </w:r>
          </w:p>
          <w:p w:rsidR="00AC45A2" w:rsidRPr="00FD5F6F" w:rsidP="008145C0">
            <w:pPr>
              <w:rPr>
                <w:rFonts w:eastAsia="宋体"/>
                <w:snapToGrid/>
                <w:kern w:val="21"/>
                <w:sz w:val="21"/>
                <w:szCs w:val="21"/>
                <w:lang w:val="en-US" w:eastAsia="zh-CN"/>
              </w:rPr>
            </w:pPr>
            <w:r w:rsidRPr="00FD5F6F">
              <w:rPr>
                <w:rFonts w:eastAsia="宋体" w:hint="eastAsia"/>
                <w:snapToGrid/>
                <w:kern w:val="21"/>
                <w:sz w:val="21"/>
                <w:szCs w:val="21"/>
                <w:lang w:val="en-US" w:eastAsia="zh-CN"/>
              </w:rPr>
              <w:t>2 站控制系统应选用开放式结构；</w:t>
            </w:r>
          </w:p>
          <w:p w:rsidR="00AC45A2" w:rsidRPr="00FD5F6F" w:rsidP="008145C0">
            <w:pPr>
              <w:rPr>
                <w:rFonts w:eastAsia="宋体"/>
                <w:snapToGrid/>
                <w:kern w:val="21"/>
                <w:sz w:val="21"/>
                <w:szCs w:val="21"/>
                <w:lang w:val="en-US" w:eastAsia="zh-CN"/>
              </w:rPr>
            </w:pPr>
            <w:r w:rsidRPr="00FD5F6F">
              <w:rPr>
                <w:rFonts w:eastAsia="宋体" w:hint="eastAsia"/>
                <w:snapToGrid/>
                <w:kern w:val="21"/>
                <w:sz w:val="21"/>
                <w:szCs w:val="21"/>
                <w:lang w:val="en-US" w:eastAsia="zh-CN"/>
              </w:rPr>
              <w:t>3 基本过程控制系统应由过程控制单元、操作员工作站、网络设备和辅助设备组成；</w:t>
            </w:r>
          </w:p>
          <w:p w:rsidR="00AC45A2" w:rsidRPr="00FD5F6F" w:rsidP="00AC45A2">
            <w:pPr>
              <w:rPr>
                <w:rFonts w:eastAsia="宋体"/>
                <w:snapToGrid/>
                <w:kern w:val="21"/>
                <w:sz w:val="21"/>
                <w:szCs w:val="21"/>
                <w:lang w:val="en-US" w:eastAsia="zh-CN"/>
              </w:rPr>
            </w:pPr>
            <w:r w:rsidRPr="00FD5F6F">
              <w:rPr>
                <w:rFonts w:eastAsia="宋体" w:hint="eastAsia"/>
                <w:snapToGrid/>
                <w:kern w:val="21"/>
                <w:sz w:val="21"/>
                <w:szCs w:val="21"/>
                <w:lang w:val="en-US" w:eastAsia="zh-CN"/>
              </w:rPr>
              <w:t>4 基本过程控制单元和消防控制系统的处理器、I/O网络、局域网、通信接口、电源等应按冗余配置；</w:t>
            </w:r>
          </w:p>
          <w:p w:rsidR="00AC45A2" w:rsidRPr="00FD5F6F" w:rsidP="00AC45A2">
            <w:pPr>
              <w:rPr>
                <w:rFonts w:eastAsia="宋体"/>
                <w:snapToGrid/>
                <w:kern w:val="21"/>
                <w:sz w:val="21"/>
                <w:szCs w:val="21"/>
                <w:lang w:val="en-US" w:eastAsia="zh-CN"/>
              </w:rPr>
            </w:pPr>
            <w:r w:rsidRPr="00FD5F6F">
              <w:rPr>
                <w:rFonts w:eastAsia="宋体" w:hint="eastAsia"/>
                <w:snapToGrid/>
                <w:kern w:val="21"/>
                <w:sz w:val="21"/>
                <w:szCs w:val="21"/>
                <w:lang w:val="en-US" w:eastAsia="zh-CN"/>
              </w:rPr>
              <w:t>5 安全仪表系统应由处理器、I/O卡件、网络设备和辅助设备组成，各部分应符合安全完整性等级要求；</w:t>
            </w:r>
          </w:p>
          <w:p w:rsidR="00AC45A2" w:rsidRPr="00FD5F6F" w:rsidP="00AC45A2">
            <w:pPr>
              <w:rPr>
                <w:rFonts w:eastAsia="宋体"/>
                <w:snapToGrid/>
                <w:kern w:val="21"/>
                <w:sz w:val="21"/>
                <w:szCs w:val="21"/>
                <w:lang w:val="en-US" w:eastAsia="zh-CN"/>
              </w:rPr>
            </w:pPr>
            <w:r w:rsidRPr="00FD5F6F">
              <w:rPr>
                <w:rFonts w:eastAsia="宋体" w:hint="eastAsia"/>
                <w:snapToGrid/>
                <w:kern w:val="21"/>
                <w:sz w:val="21"/>
                <w:szCs w:val="21"/>
                <w:lang w:val="en-US" w:eastAsia="zh-CN"/>
              </w:rPr>
              <w:t>6 第三方智能仪表或设备与站控制系统之间宜采用通信接口连接；</w:t>
            </w:r>
          </w:p>
          <w:p w:rsidR="00AC45A2" w:rsidRPr="00FD5F6F" w:rsidP="00AC45A2">
            <w:pPr>
              <w:rPr>
                <w:rFonts w:eastAsia="宋体"/>
                <w:snapToGrid/>
                <w:kern w:val="21"/>
                <w:sz w:val="21"/>
                <w:szCs w:val="21"/>
                <w:lang w:val="en-US" w:eastAsia="zh-CN"/>
              </w:rPr>
            </w:pPr>
            <w:r w:rsidRPr="00FD5F6F">
              <w:rPr>
                <w:rFonts w:eastAsia="宋体" w:hint="eastAsia"/>
                <w:snapToGrid/>
                <w:kern w:val="21"/>
                <w:sz w:val="21"/>
                <w:szCs w:val="21"/>
                <w:lang w:val="en-US" w:eastAsia="zh-CN"/>
              </w:rPr>
              <w:t>7 安全仪表系统的控制信号应采用硬线连接；</w:t>
            </w:r>
          </w:p>
          <w:p w:rsidR="00AC45A2" w:rsidRPr="00FD5F6F" w:rsidP="00AC45A2">
            <w:pPr>
              <w:rPr>
                <w:rFonts w:eastAsia="宋体"/>
                <w:snapToGrid/>
                <w:kern w:val="21"/>
                <w:sz w:val="21"/>
                <w:szCs w:val="21"/>
                <w:lang w:val="en-US" w:eastAsia="zh-CN"/>
              </w:rPr>
            </w:pPr>
            <w:r w:rsidRPr="00FD5F6F">
              <w:rPr>
                <w:rFonts w:eastAsia="宋体" w:hint="eastAsia"/>
                <w:snapToGrid/>
                <w:kern w:val="21"/>
                <w:sz w:val="21"/>
                <w:szCs w:val="21"/>
                <w:lang w:val="en-US" w:eastAsia="zh-CN"/>
              </w:rPr>
              <w:t>8 监控阀室的控制设备应满足所处环境条件。</w:t>
            </w:r>
          </w:p>
        </w:tc>
        <w:tc>
          <w:tcPr>
            <w:tcW w:w="1049" w:type="dxa"/>
            <w:shd w:val="clear" w:color="auto" w:fill="auto"/>
            <w:vAlign w:val="center"/>
          </w:tcPr>
          <w:p w:rsidR="00AC45A2" w:rsidRPr="008C6DA0" w:rsidP="00AC45A2">
            <w:pPr>
              <w:spacing w:line="400" w:lineRule="exact"/>
              <w:rPr>
                <w:rFonts w:ascii="Times New Roman" w:hAnsi="Times New Roman"/>
                <w:kern w:val="21"/>
                <w:szCs w:val="21"/>
              </w:rPr>
            </w:pPr>
            <w:r w:rsidRPr="008C6DA0">
              <w:rPr>
                <w:rFonts w:ascii="Times New Roman" w:hAnsi="Times New Roman" w:hint="eastAsia"/>
                <w:kern w:val="21"/>
                <w:szCs w:val="21"/>
              </w:rPr>
              <w:t>GB50253-2014第7.</w:t>
            </w:r>
            <w:r w:rsidR="00692E84">
              <w:rPr>
                <w:rFonts w:ascii="Times New Roman" w:hAnsi="Times New Roman" w:hint="eastAsia"/>
                <w:kern w:val="21"/>
                <w:szCs w:val="21"/>
              </w:rPr>
              <w:t>3.2</w:t>
            </w:r>
            <w:r w:rsidRPr="008C6DA0">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安全仪表系统设计应符合下列规定：</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1 输油站的安全仪表系统可独立配置，其控制应分为紧急停车和安全保护两个部分，并应进行分级设计。输油站紧急停车系统应设计为故障安全型。</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2 输油站紧急停车系统应符合下列规定：</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1）应具有就地、站控制室操作的功能。</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2）输油站发生火灾时，应能够切断除消防系统和应急电源以外的供电电源或动力；</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3）应具有使设备或全站安全停运并与管道隔离的功能；</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4）系统应根据故障的性质和输油工艺要求进行分级，高级别的关断应自动触发低级别的关断；</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5）应具有触发全线联锁动作的输出信号。</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3 输油站的安全保护应根据管道全线及输油站的工艺过程的安全、操作和运行要求设计，在联锁动作前应设置预报警信号。其安全保护应符合下列规定：</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1）输油泵站进、出泵应设置超压保护调节功能；</w:t>
            </w:r>
          </w:p>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2）出现水击工况，应设置与出站压力控制回路联锁调节功能及输油泵机组顺序停运联锁功能。</w:t>
            </w:r>
          </w:p>
        </w:tc>
        <w:tc>
          <w:tcPr>
            <w:tcW w:w="1049" w:type="dxa"/>
            <w:shd w:val="clear" w:color="auto" w:fill="auto"/>
            <w:vAlign w:val="center"/>
          </w:tcPr>
          <w:p w:rsidR="00AC45A2" w:rsidRPr="00AC45A2" w:rsidP="007D6E34">
            <w:pPr>
              <w:spacing w:line="400" w:lineRule="exact"/>
              <w:rPr>
                <w:rFonts w:ascii="Times New Roman" w:hAnsi="Times New Roman"/>
                <w:kern w:val="21"/>
                <w:szCs w:val="21"/>
              </w:rPr>
            </w:pPr>
            <w:r w:rsidRPr="00AC45A2">
              <w:rPr>
                <w:rFonts w:ascii="Times New Roman" w:hAnsi="Times New Roman" w:hint="eastAsia"/>
                <w:kern w:val="21"/>
                <w:szCs w:val="21"/>
              </w:rPr>
              <w:t>GB50253-2014第</w:t>
            </w:r>
            <w:smartTag w:uri="urn:schemas-microsoft-com:office:smarttags" w:element="chsdate">
              <w:smartTagPr>
                <w:attr w:name="Day" w:val="30"/>
                <w:attr w:name="IsLunarDate" w:val="False"/>
                <w:attr w:name="IsROCDate" w:val="False"/>
                <w:attr w:name="Month" w:val="12"/>
                <w:attr w:name="Year" w:val="1899"/>
              </w:smartTagPr>
              <w:r w:rsidRPr="00AC45A2">
                <w:rPr>
                  <w:rFonts w:ascii="Times New Roman" w:hAnsi="Times New Roman" w:hint="eastAsia"/>
                  <w:kern w:val="21"/>
                  <w:szCs w:val="21"/>
                </w:rPr>
                <w:t>7.3.4</w:t>
              </w:r>
            </w:smartTag>
            <w:r w:rsidRPr="00AC45A2">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692E84" w:rsidRPr="00AC45A2" w:rsidP="00AC45A2">
            <w:pPr>
              <w:spacing w:line="400" w:lineRule="exact"/>
              <w:rPr>
                <w:rFonts w:ascii="Times New Roman" w:hAnsi="Times New Roman"/>
                <w:kern w:val="21"/>
                <w:szCs w:val="21"/>
              </w:rPr>
            </w:pPr>
            <w:r w:rsidRPr="00AC45A2">
              <w:rPr>
                <w:rFonts w:ascii="Times New Roman" w:hAnsi="Times New Roman" w:hint="eastAsia"/>
                <w:kern w:val="21"/>
                <w:szCs w:val="21"/>
              </w:rPr>
              <w:t>消防控制系统设计应符合下列规定：</w:t>
            </w:r>
          </w:p>
          <w:p w:rsidR="00692E84" w:rsidRPr="00AC45A2" w:rsidP="00AC45A2">
            <w:pPr>
              <w:spacing w:line="400" w:lineRule="exact"/>
              <w:rPr>
                <w:rFonts w:ascii="Times New Roman" w:hAnsi="Times New Roman"/>
                <w:kern w:val="21"/>
                <w:szCs w:val="21"/>
              </w:rPr>
            </w:pPr>
            <w:r w:rsidRPr="00AC45A2">
              <w:rPr>
                <w:rFonts w:ascii="Times New Roman" w:hAnsi="Times New Roman" w:hint="eastAsia"/>
                <w:kern w:val="21"/>
                <w:szCs w:val="21"/>
              </w:rPr>
              <w:t>1 消防控制系统宜由控制单元、可燃（有毒）气体检测系统、火灾自动报警系统和消防泵及相关</w:t>
            </w:r>
            <w:r>
              <w:rPr>
                <w:rFonts w:ascii="Times New Roman" w:hAnsi="Times New Roman" w:hint="eastAsia"/>
                <w:kern w:val="21"/>
                <w:szCs w:val="21"/>
              </w:rPr>
              <w:t>阀</w:t>
            </w:r>
            <w:r w:rsidRPr="00AC45A2">
              <w:rPr>
                <w:rFonts w:ascii="Times New Roman" w:hAnsi="Times New Roman" w:hint="eastAsia"/>
                <w:kern w:val="21"/>
                <w:szCs w:val="21"/>
              </w:rPr>
              <w:t>门组成；</w:t>
            </w:r>
          </w:p>
          <w:p w:rsidR="00692E84" w:rsidRPr="00AC45A2" w:rsidP="00AC45A2">
            <w:pPr>
              <w:spacing w:line="400" w:lineRule="exact"/>
              <w:rPr>
                <w:rFonts w:ascii="Times New Roman" w:hAnsi="Times New Roman"/>
                <w:kern w:val="21"/>
                <w:szCs w:val="21"/>
              </w:rPr>
            </w:pPr>
            <w:r w:rsidRPr="00AC45A2">
              <w:rPr>
                <w:rFonts w:ascii="Times New Roman" w:hAnsi="Times New Roman" w:hint="eastAsia"/>
                <w:kern w:val="21"/>
                <w:szCs w:val="21"/>
              </w:rPr>
              <w:t xml:space="preserve">2 </w:t>
            </w:r>
            <w:r>
              <w:rPr>
                <w:rFonts w:ascii="Times New Roman" w:hAnsi="Times New Roman" w:hint="eastAsia"/>
                <w:kern w:val="21"/>
                <w:szCs w:val="21"/>
              </w:rPr>
              <w:t>在有储油罐的站场宜</w:t>
            </w:r>
            <w:r w:rsidRPr="00AC45A2">
              <w:rPr>
                <w:rFonts w:ascii="Times New Roman" w:hAnsi="Times New Roman" w:hint="eastAsia"/>
                <w:kern w:val="21"/>
                <w:szCs w:val="21"/>
              </w:rPr>
              <w:t>设置独立的消防控制系统；其他的站场宜设置可燃（有毒）气体检测系统和火灾自动报警系统，其报警</w:t>
            </w:r>
            <w:r>
              <w:rPr>
                <w:rFonts w:ascii="Times New Roman" w:hAnsi="Times New Roman" w:hint="eastAsia"/>
                <w:kern w:val="21"/>
                <w:szCs w:val="21"/>
              </w:rPr>
              <w:t>信号应引入</w:t>
            </w:r>
            <w:r w:rsidRPr="00AC45A2">
              <w:rPr>
                <w:rFonts w:ascii="Times New Roman" w:hAnsi="Times New Roman" w:hint="eastAsia"/>
                <w:kern w:val="21"/>
                <w:szCs w:val="21"/>
              </w:rPr>
              <w:t>安全仪表系统；</w:t>
            </w:r>
          </w:p>
          <w:p w:rsidR="00692E84" w:rsidRPr="00AC45A2" w:rsidP="00AC45A2">
            <w:pPr>
              <w:spacing w:line="400" w:lineRule="exact"/>
              <w:rPr>
                <w:rFonts w:ascii="Times New Roman" w:hAnsi="Times New Roman"/>
                <w:kern w:val="21"/>
                <w:szCs w:val="21"/>
              </w:rPr>
            </w:pPr>
            <w:r w:rsidRPr="00AC45A2">
              <w:rPr>
                <w:rFonts w:ascii="Times New Roman" w:hAnsi="Times New Roman" w:hint="eastAsia"/>
                <w:kern w:val="21"/>
                <w:szCs w:val="21"/>
              </w:rPr>
              <w:t>3 在进出站阀组区、泵区、计量区和储罐区宜设置可燃气体检测仪表，泵区和储罐区宜设置火焰检测仪表；</w:t>
            </w:r>
          </w:p>
          <w:p w:rsidR="00692E84" w:rsidRPr="00AC45A2" w:rsidP="00AC45A2">
            <w:pPr>
              <w:spacing w:line="400" w:lineRule="exact"/>
              <w:rPr>
                <w:rFonts w:ascii="Times New Roman" w:hAnsi="Times New Roman"/>
                <w:kern w:val="21"/>
                <w:szCs w:val="21"/>
              </w:rPr>
            </w:pPr>
            <w:r w:rsidRPr="00AC45A2">
              <w:rPr>
                <w:rFonts w:ascii="Times New Roman" w:hAnsi="Times New Roman" w:hint="eastAsia"/>
                <w:kern w:val="21"/>
                <w:szCs w:val="21"/>
              </w:rPr>
              <w:t>4 在站场的控制室、配电间区域内，宜设置火灾自动报警系统；</w:t>
            </w:r>
          </w:p>
          <w:p w:rsidR="00692E84" w:rsidRPr="00AC45A2" w:rsidP="00692E84">
            <w:pPr>
              <w:spacing w:line="400" w:lineRule="exact"/>
              <w:rPr>
                <w:rFonts w:ascii="Times New Roman" w:hAnsi="Times New Roman"/>
                <w:kern w:val="21"/>
                <w:szCs w:val="21"/>
              </w:rPr>
            </w:pPr>
            <w:r w:rsidRPr="00AC45A2">
              <w:rPr>
                <w:rFonts w:ascii="Times New Roman" w:hAnsi="Times New Roman" w:hint="eastAsia"/>
                <w:kern w:val="21"/>
                <w:szCs w:val="21"/>
              </w:rPr>
              <w:t>5 储罐区消</w:t>
            </w:r>
            <w:r>
              <w:rPr>
                <w:rFonts w:ascii="Times New Roman" w:hAnsi="Times New Roman" w:hint="eastAsia"/>
                <w:kern w:val="21"/>
                <w:szCs w:val="21"/>
              </w:rPr>
              <w:t>防</w:t>
            </w:r>
            <w:r w:rsidRPr="00AC45A2">
              <w:rPr>
                <w:rFonts w:ascii="Times New Roman" w:hAnsi="Times New Roman" w:hint="eastAsia"/>
                <w:kern w:val="21"/>
                <w:szCs w:val="21"/>
              </w:rPr>
              <w:t>控制系统启动报警信号应传送至站控制系统。</w:t>
            </w:r>
          </w:p>
        </w:tc>
        <w:tc>
          <w:tcPr>
            <w:tcW w:w="1049" w:type="dxa"/>
            <w:shd w:val="clear" w:color="auto" w:fill="auto"/>
            <w:vAlign w:val="center"/>
          </w:tcPr>
          <w:p w:rsidR="00692E84" w:rsidRPr="00AC45A2" w:rsidP="00692E84">
            <w:pPr>
              <w:spacing w:line="400" w:lineRule="exact"/>
              <w:rPr>
                <w:rFonts w:ascii="Times New Roman" w:hAnsi="Times New Roman"/>
                <w:kern w:val="21"/>
                <w:szCs w:val="21"/>
              </w:rPr>
            </w:pPr>
            <w:r w:rsidRPr="00AC45A2">
              <w:rPr>
                <w:rFonts w:ascii="Times New Roman" w:hAnsi="Times New Roman" w:hint="eastAsia"/>
                <w:kern w:val="21"/>
                <w:szCs w:val="21"/>
              </w:rPr>
              <w:t>GB50253-2014第7.3.</w:t>
            </w:r>
            <w:r>
              <w:rPr>
                <w:rFonts w:ascii="Times New Roman" w:hAnsi="Times New Roman" w:hint="eastAsia"/>
                <w:kern w:val="21"/>
                <w:szCs w:val="21"/>
              </w:rPr>
              <w:t>5</w:t>
            </w:r>
            <w:r w:rsidRPr="00AC45A2">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2675E0">
        <w:tblPrEx>
          <w:tblW w:w="0" w:type="auto"/>
          <w:jc w:val="center"/>
          <w:tblLayout w:type="fixed"/>
          <w:tblLook w:val="01E0"/>
        </w:tblPrEx>
        <w:trPr>
          <w:jc w:val="center"/>
        </w:trPr>
        <w:tc>
          <w:tcPr>
            <w:tcW w:w="472" w:type="dxa"/>
            <w:shd w:val="clear" w:color="auto" w:fill="auto"/>
            <w:vAlign w:val="center"/>
          </w:tcPr>
          <w:p w:rsidR="00692E84"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九</w:t>
            </w:r>
          </w:p>
        </w:tc>
        <w:tc>
          <w:tcPr>
            <w:tcW w:w="8068" w:type="dxa"/>
            <w:gridSpan w:val="4"/>
            <w:shd w:val="clear" w:color="auto" w:fill="auto"/>
            <w:vAlign w:val="center"/>
          </w:tcPr>
          <w:p w:rsidR="00692E84"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通信系统</w:t>
            </w: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692E84" w:rsidRPr="00FD5F6F" w:rsidP="00692E84">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通信传输方式，可根据通信网现状、通信网规划、管道管理运营对通信的业务需求量、对数据传输质量、可靠性、时延等因素的要求，以及所经地区通信公网的条件，经技术经济比较后确定，可选用光纤通信、卫星通信、租用公网等手段。</w:t>
            </w:r>
          </w:p>
          <w:p w:rsidR="00692E84" w:rsidRPr="00FD5F6F" w:rsidP="00692E84">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通信传输方式选用光纤通信时，其光缆宜与输油管道同沟敷设。光纤容量除应满足实际工程需求外，还应考虑同路由其他油气管道工程的需求以及今后业务发展的需要，应预留适当的容量。光缆的安装敷设应符合现行行业标准《输油（气）管道同沟敷设光缆（硅芯管）设计及施工规范》SY/T 4108的相关规定。</w:t>
            </w:r>
          </w:p>
        </w:tc>
        <w:tc>
          <w:tcPr>
            <w:tcW w:w="1049" w:type="dxa"/>
            <w:shd w:val="clear" w:color="auto" w:fill="auto"/>
            <w:vAlign w:val="center"/>
          </w:tcPr>
          <w:p w:rsidR="00692E84"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8.0.2</w:t>
              </w: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D84BE4" w:rsidRPr="00FD5F6F" w:rsidP="00D84BE4">
            <w:pPr>
              <w:rPr>
                <w:rFonts w:eastAsia="宋体"/>
                <w:snapToGrid/>
                <w:kern w:val="21"/>
                <w:sz w:val="21"/>
                <w:szCs w:val="21"/>
                <w:lang w:val="en-US" w:eastAsia="zh-CN"/>
              </w:rPr>
            </w:pPr>
            <w:r w:rsidRPr="00FD5F6F">
              <w:rPr>
                <w:rFonts w:eastAsia="宋体" w:hint="eastAsia"/>
                <w:snapToGrid/>
                <w:kern w:val="21"/>
                <w:sz w:val="21"/>
                <w:szCs w:val="21"/>
                <w:lang w:val="en-US" w:eastAsia="zh-CN"/>
              </w:rPr>
              <w:t>根据生产需求，通信站点的位置宜设在管道各级生产部门、输油站及其他沿管道的站点。</w:t>
            </w:r>
          </w:p>
        </w:tc>
        <w:tc>
          <w:tcPr>
            <w:tcW w:w="1049" w:type="dxa"/>
            <w:shd w:val="clear" w:color="auto" w:fill="auto"/>
            <w:vAlign w:val="center"/>
          </w:tcPr>
          <w:p w:rsidR="00D84BE4" w:rsidRPr="00D84BE4" w:rsidP="00D84BE4">
            <w:pPr>
              <w:spacing w:line="400" w:lineRule="exact"/>
              <w:rPr>
                <w:rFonts w:ascii="Times New Roman" w:hAnsi="Times New Roman"/>
                <w:kern w:val="21"/>
                <w:szCs w:val="21"/>
              </w:rPr>
            </w:pPr>
            <w:r w:rsidRPr="00D84BE4">
              <w:rPr>
                <w:rFonts w:ascii="Times New Roman" w:hAnsi="Times New Roman" w:hint="eastAsia"/>
                <w:kern w:val="21"/>
                <w:szCs w:val="21"/>
              </w:rPr>
              <w:t>GB50253-2014第8.0.</w:t>
            </w:r>
            <w:r>
              <w:rPr>
                <w:rFonts w:ascii="Times New Roman" w:hAnsi="Times New Roman" w:hint="eastAsia"/>
                <w:kern w:val="21"/>
                <w:szCs w:val="21"/>
              </w:rPr>
              <w:t>3</w:t>
            </w:r>
            <w:r w:rsidRPr="00D84BE4">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D84BE4" w:rsidRPr="00FD5F6F" w:rsidP="00D84BE4">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输油管道管理部门宜设具有自交换功能的电话交换设备。输油站可采用电话接入网关或远端用户电话方式。监控阀室宜设置电话单机。</w:t>
            </w:r>
          </w:p>
        </w:tc>
        <w:tc>
          <w:tcPr>
            <w:tcW w:w="1049" w:type="dxa"/>
            <w:shd w:val="clear" w:color="auto" w:fill="auto"/>
            <w:vAlign w:val="center"/>
          </w:tcPr>
          <w:p w:rsidR="00D84BE4" w:rsidRPr="00D84BE4" w:rsidP="00D84BE4">
            <w:pPr>
              <w:spacing w:line="400" w:lineRule="exact"/>
              <w:rPr>
                <w:rFonts w:ascii="Times New Roman" w:hAnsi="Times New Roman"/>
                <w:kern w:val="21"/>
                <w:szCs w:val="21"/>
              </w:rPr>
            </w:pPr>
            <w:r w:rsidRPr="00D84BE4">
              <w:rPr>
                <w:rFonts w:ascii="Times New Roman" w:hAnsi="Times New Roman" w:hint="eastAsia"/>
                <w:kern w:val="21"/>
                <w:szCs w:val="21"/>
              </w:rPr>
              <w:t>GB50253-2014第8.0.</w:t>
            </w:r>
            <w:r>
              <w:rPr>
                <w:rFonts w:ascii="Times New Roman" w:hAnsi="Times New Roman" w:hint="eastAsia"/>
                <w:kern w:val="21"/>
                <w:szCs w:val="21"/>
              </w:rPr>
              <w:t>4</w:t>
            </w:r>
            <w:r w:rsidRPr="00D84BE4">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D84BE4" w:rsidRPr="00D84BE4" w:rsidP="007D6E34">
            <w:pPr>
              <w:spacing w:line="400" w:lineRule="exact"/>
              <w:rPr>
                <w:rFonts w:ascii="Times New Roman" w:hAnsi="Times New Roman"/>
                <w:kern w:val="21"/>
                <w:szCs w:val="21"/>
              </w:rPr>
            </w:pPr>
            <w:r w:rsidRPr="00D84BE4">
              <w:rPr>
                <w:rFonts w:ascii="Times New Roman" w:hAnsi="Times New Roman" w:hint="eastAsia"/>
                <w:kern w:val="21"/>
                <w:szCs w:val="21"/>
              </w:rPr>
              <w:t>管道通信业务可根据输油工艺、站控制系统与SCADA系统数据传输和生产管理运行需要，设置会议电视、行政电话、工业电视、周界防范、巡线和应急通信、企业办公网络通信等。</w:t>
            </w:r>
          </w:p>
        </w:tc>
        <w:tc>
          <w:tcPr>
            <w:tcW w:w="1049" w:type="dxa"/>
            <w:shd w:val="clear" w:color="auto" w:fill="auto"/>
            <w:vAlign w:val="center"/>
          </w:tcPr>
          <w:p w:rsidR="00D84BE4" w:rsidRPr="00D84BE4" w:rsidP="007D6E34">
            <w:pPr>
              <w:spacing w:line="400" w:lineRule="exact"/>
              <w:rPr>
                <w:rFonts w:ascii="Times New Roman" w:hAnsi="Times New Roman"/>
                <w:kern w:val="21"/>
                <w:szCs w:val="21"/>
              </w:rPr>
            </w:pPr>
            <w:r w:rsidRPr="00D84BE4">
              <w:rPr>
                <w:rFonts w:ascii="Times New Roman" w:hAnsi="Times New Roman" w:hint="eastAsia"/>
                <w:kern w:val="21"/>
                <w:szCs w:val="21"/>
              </w:rPr>
              <w:t>GB50253-2014第</w:t>
            </w:r>
            <w:smartTag w:uri="urn:schemas-microsoft-com:office:smarttags" w:element="chsdate">
              <w:smartTagPr>
                <w:attr w:name="Day" w:val="30"/>
                <w:attr w:name="IsLunarDate" w:val="False"/>
                <w:attr w:name="IsROCDate" w:val="False"/>
                <w:attr w:name="Month" w:val="12"/>
                <w:attr w:name="Year" w:val="1899"/>
              </w:smartTagPr>
              <w:r w:rsidRPr="00D84BE4">
                <w:rPr>
                  <w:rFonts w:ascii="Times New Roman" w:hAnsi="Times New Roman" w:hint="eastAsia"/>
                  <w:kern w:val="21"/>
                  <w:szCs w:val="21"/>
                </w:rPr>
                <w:t>8.0.5</w:t>
              </w:r>
            </w:smartTag>
            <w:r w:rsidRPr="00D84BE4">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D84BE4"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输油管道应设调度电话系统。调度电话系统可与行政电话系统、会议电话系统共用一套电话交换系统，也可独立设置。</w:t>
            </w:r>
          </w:p>
        </w:tc>
        <w:tc>
          <w:tcPr>
            <w:tcW w:w="1049" w:type="dxa"/>
            <w:shd w:val="clear" w:color="auto" w:fill="auto"/>
            <w:vAlign w:val="center"/>
          </w:tcPr>
          <w:p w:rsidR="00D84BE4"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r w:rsidRPr="00FD5F6F">
                <w:rPr>
                  <w:rFonts w:eastAsia="宋体"/>
                  <w:snapToGrid/>
                  <w:kern w:val="21"/>
                  <w:sz w:val="21"/>
                  <w:szCs w:val="21"/>
                  <w:lang w:val="en-US" w:eastAsia="zh-CN"/>
                </w:rPr>
                <w:t>8.0.6</w:t>
              </w: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FC6978" w:rsidRPr="00FD5F6F" w:rsidP="00D84BE4">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输油站消防值班室应设火警电话，火警电话宜为公网直拨电话或消防部门专用火警系统电话。</w:t>
            </w:r>
          </w:p>
        </w:tc>
        <w:tc>
          <w:tcPr>
            <w:tcW w:w="1049" w:type="dxa"/>
            <w:shd w:val="clear" w:color="auto" w:fill="auto"/>
            <w:vAlign w:val="center"/>
          </w:tcPr>
          <w:p w:rsidR="00FC6978" w:rsidRPr="00D84BE4" w:rsidP="00FC6978">
            <w:pPr>
              <w:spacing w:line="400" w:lineRule="exact"/>
              <w:rPr>
                <w:rFonts w:ascii="Times New Roman" w:hAnsi="Times New Roman"/>
                <w:kern w:val="21"/>
                <w:szCs w:val="21"/>
              </w:rPr>
            </w:pPr>
            <w:r w:rsidRPr="00D84BE4">
              <w:rPr>
                <w:rFonts w:ascii="Times New Roman" w:hAnsi="Times New Roman" w:hint="eastAsia"/>
                <w:kern w:val="21"/>
                <w:szCs w:val="21"/>
              </w:rPr>
              <w:t>GB50253-2014第8.0.</w:t>
            </w:r>
            <w:r>
              <w:rPr>
                <w:rFonts w:ascii="Times New Roman" w:hAnsi="Times New Roman" w:hint="eastAsia"/>
                <w:kern w:val="21"/>
                <w:szCs w:val="21"/>
              </w:rPr>
              <w:t>8</w:t>
            </w:r>
            <w:r w:rsidRPr="00D84BE4">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FC697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输油站变电所应设置可与上级电力部门联系的电力调度电话，无专用变电所值班室时，应将该调度电话并接到站控制室。</w:t>
            </w:r>
          </w:p>
        </w:tc>
        <w:tc>
          <w:tcPr>
            <w:tcW w:w="1049" w:type="dxa"/>
            <w:shd w:val="clear" w:color="auto" w:fill="auto"/>
            <w:vAlign w:val="center"/>
          </w:tcPr>
          <w:p w:rsidR="00FC6978" w:rsidRPr="00D84BE4" w:rsidP="00FC6978">
            <w:pPr>
              <w:spacing w:line="400" w:lineRule="exact"/>
              <w:rPr>
                <w:rFonts w:ascii="Times New Roman" w:hAnsi="Times New Roman"/>
                <w:kern w:val="21"/>
                <w:szCs w:val="21"/>
              </w:rPr>
            </w:pPr>
            <w:r w:rsidRPr="00D84BE4">
              <w:rPr>
                <w:rFonts w:ascii="Times New Roman" w:hAnsi="Times New Roman" w:hint="eastAsia"/>
                <w:kern w:val="21"/>
                <w:szCs w:val="21"/>
              </w:rPr>
              <w:t>GB50253-2014第8.0.</w:t>
            </w:r>
            <w:r>
              <w:rPr>
                <w:rFonts w:ascii="Times New Roman" w:hAnsi="Times New Roman" w:hint="eastAsia"/>
                <w:kern w:val="21"/>
                <w:szCs w:val="21"/>
              </w:rPr>
              <w:t>9</w:t>
            </w:r>
            <w:r w:rsidRPr="00D84BE4">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FC6978" w:rsidRPr="00D84BE4" w:rsidP="007D6E34">
            <w:pPr>
              <w:spacing w:line="400" w:lineRule="exact"/>
              <w:rPr>
                <w:rFonts w:ascii="Times New Roman" w:hAnsi="Times New Roman"/>
                <w:kern w:val="21"/>
                <w:szCs w:val="21"/>
              </w:rPr>
            </w:pPr>
            <w:r w:rsidRPr="00D84BE4">
              <w:rPr>
                <w:rFonts w:ascii="Times New Roman" w:hAnsi="Times New Roman" w:hint="eastAsia"/>
                <w:kern w:val="21"/>
                <w:szCs w:val="21"/>
              </w:rPr>
              <w:t>管道巡线、维修和事故抢修部门宜设无线通信设施。</w:t>
            </w:r>
          </w:p>
        </w:tc>
        <w:tc>
          <w:tcPr>
            <w:tcW w:w="1049" w:type="dxa"/>
            <w:shd w:val="clear" w:color="auto" w:fill="auto"/>
            <w:vAlign w:val="center"/>
          </w:tcPr>
          <w:p w:rsidR="00FC6978" w:rsidRPr="00D84BE4" w:rsidP="007D6E34">
            <w:pPr>
              <w:spacing w:line="400" w:lineRule="exact"/>
              <w:rPr>
                <w:rFonts w:ascii="Times New Roman" w:hAnsi="Times New Roman"/>
                <w:kern w:val="21"/>
                <w:szCs w:val="21"/>
              </w:rPr>
            </w:pPr>
            <w:r w:rsidRPr="00D84BE4">
              <w:rPr>
                <w:rFonts w:ascii="Times New Roman" w:hAnsi="Times New Roman" w:hint="eastAsia"/>
                <w:kern w:val="21"/>
                <w:szCs w:val="21"/>
              </w:rPr>
              <w:t>GB50253-2014第</w:t>
            </w:r>
            <w:smartTag w:uri="urn:schemas-microsoft-com:office:smarttags" w:element="chsdate">
              <w:smartTagPr>
                <w:attr w:name="Day" w:val="30"/>
                <w:attr w:name="IsLunarDate" w:val="False"/>
                <w:attr w:name="IsROCDate" w:val="False"/>
                <w:attr w:name="Month" w:val="12"/>
                <w:attr w:name="Year" w:val="1899"/>
              </w:smartTagPr>
            </w:smartTag>
            <w:r w:rsidRPr="00D84BE4">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FC6978" w:rsidRPr="00D84BE4" w:rsidP="00D84BE4">
            <w:pPr>
              <w:spacing w:line="400" w:lineRule="exact"/>
              <w:rPr>
                <w:rFonts w:ascii="Times New Roman" w:hAnsi="Times New Roman"/>
                <w:kern w:val="21"/>
                <w:szCs w:val="21"/>
              </w:rPr>
            </w:pPr>
            <w:r w:rsidRPr="00D84BE4">
              <w:rPr>
                <w:rFonts w:ascii="Times New Roman" w:hAnsi="Times New Roman" w:hint="eastAsia"/>
                <w:kern w:val="21"/>
                <w:szCs w:val="21"/>
              </w:rPr>
              <w:t>SCADA 数据传输信道应符合下列规定：</w:t>
            </w:r>
          </w:p>
          <w:p w:rsidR="00FC6978" w:rsidRPr="00D84BE4" w:rsidP="00D84BE4">
            <w:pPr>
              <w:spacing w:line="400" w:lineRule="exact"/>
              <w:rPr>
                <w:rFonts w:ascii="Times New Roman" w:hAnsi="Times New Roman"/>
                <w:kern w:val="21"/>
                <w:szCs w:val="21"/>
              </w:rPr>
            </w:pPr>
            <w:r w:rsidRPr="00D84BE4">
              <w:rPr>
                <w:rFonts w:ascii="Times New Roman" w:hAnsi="Times New Roman" w:hint="eastAsia"/>
                <w:kern w:val="21"/>
                <w:szCs w:val="21"/>
              </w:rPr>
              <w:t>1 数据信号速率不宜小于9600bps</w:t>
            </w:r>
            <w:r>
              <w:rPr>
                <w:rFonts w:ascii="Times New Roman" w:hAnsi="Times New Roman" w:hint="eastAsia"/>
                <w:kern w:val="21"/>
                <w:szCs w:val="21"/>
              </w:rPr>
              <w:t>；</w:t>
            </w:r>
          </w:p>
          <w:p w:rsidR="00FC6978" w:rsidRPr="00D84BE4" w:rsidP="00D84BE4">
            <w:pPr>
              <w:spacing w:line="400" w:lineRule="exact"/>
              <w:rPr>
                <w:rFonts w:ascii="Times New Roman" w:hAnsi="Times New Roman"/>
                <w:kern w:val="21"/>
                <w:szCs w:val="21"/>
              </w:rPr>
            </w:pPr>
            <w:r w:rsidRPr="00D84BE4">
              <w:rPr>
                <w:rFonts w:ascii="Times New Roman" w:hAnsi="Times New Roman" w:hint="eastAsia"/>
                <w:kern w:val="21"/>
                <w:szCs w:val="21"/>
              </w:rPr>
              <w:t>2 传输误码率不应大于</w:t>
            </w:r>
            <w:r>
              <w:rPr>
                <w:rFonts w:ascii="Times New Roman" w:hAnsi="Times New Roman" w:hint="eastAsia"/>
                <w:kern w:val="21"/>
                <w:szCs w:val="21"/>
              </w:rPr>
              <w:t>10</w:t>
            </w:r>
            <w:r w:rsidRPr="009E0C36">
              <w:rPr>
                <w:rFonts w:ascii="Times New Roman" w:hAnsi="Times New Roman" w:hint="eastAsia"/>
                <w:kern w:val="21"/>
                <w:szCs w:val="21"/>
                <w:vertAlign w:val="superscript"/>
              </w:rPr>
              <w:t>-6</w:t>
            </w:r>
            <w:r>
              <w:rPr>
                <w:rFonts w:ascii="Times New Roman" w:hAnsi="Times New Roman" w:hint="eastAsia"/>
                <w:kern w:val="21"/>
                <w:szCs w:val="21"/>
              </w:rPr>
              <w:t>；</w:t>
            </w:r>
          </w:p>
          <w:p w:rsidR="00FC6978" w:rsidRPr="00D84BE4" w:rsidP="00D84BE4">
            <w:pPr>
              <w:spacing w:line="400" w:lineRule="exact"/>
              <w:rPr>
                <w:rFonts w:ascii="Times New Roman" w:hAnsi="Times New Roman"/>
                <w:kern w:val="21"/>
                <w:szCs w:val="21"/>
              </w:rPr>
            </w:pPr>
            <w:r w:rsidRPr="00D84BE4">
              <w:rPr>
                <w:rFonts w:ascii="Times New Roman" w:hAnsi="Times New Roman" w:hint="eastAsia"/>
                <w:kern w:val="21"/>
                <w:szCs w:val="21"/>
              </w:rPr>
              <w:t>3 时延率应满足SCADA数据传输要求。</w:t>
            </w:r>
          </w:p>
        </w:tc>
        <w:tc>
          <w:tcPr>
            <w:tcW w:w="1049" w:type="dxa"/>
            <w:shd w:val="clear" w:color="auto" w:fill="auto"/>
            <w:vAlign w:val="center"/>
          </w:tcPr>
          <w:p w:rsidR="00FC6978" w:rsidRPr="00D84BE4" w:rsidP="00D84BE4">
            <w:pPr>
              <w:spacing w:line="400" w:lineRule="exact"/>
              <w:rPr>
                <w:rFonts w:ascii="Times New Roman" w:hAnsi="Times New Roman"/>
                <w:kern w:val="21"/>
                <w:szCs w:val="21"/>
              </w:rPr>
            </w:pPr>
            <w:r w:rsidRPr="00D84BE4">
              <w:rPr>
                <w:rFonts w:ascii="Times New Roman" w:hAnsi="Times New Roman" w:hint="eastAsia"/>
                <w:kern w:val="21"/>
                <w:szCs w:val="21"/>
              </w:rPr>
              <w:t>GB50253-2014第8.0.1</w:t>
            </w:r>
            <w:r>
              <w:rPr>
                <w:rFonts w:ascii="Times New Roman" w:hAnsi="Times New Roman" w:hint="eastAsia"/>
                <w:kern w:val="21"/>
                <w:szCs w:val="21"/>
              </w:rPr>
              <w:t>1</w:t>
            </w:r>
            <w:r w:rsidRPr="00D84BE4">
              <w:rPr>
                <w:rFonts w:ascii="Times New Roman" w:hAnsi="Times New Roman" w:hint="eastAsia"/>
                <w:kern w:val="21"/>
                <w:szCs w:val="21"/>
              </w:rPr>
              <w:t>条</w:t>
            </w:r>
          </w:p>
        </w:tc>
        <w:tc>
          <w:tcPr>
            <w:tcW w:w="2835" w:type="dxa"/>
            <w:shd w:val="clear" w:color="auto" w:fill="auto"/>
            <w:vAlign w:val="center"/>
          </w:tcPr>
          <w:p/>
        </w:tc>
        <w:tc>
          <w:tcPr>
            <w:tcW w:w="697" w:type="dxa"/>
            <w:shd w:val="clear" w:color="auto" w:fill="auto"/>
            <w:vAlign w:val="center"/>
          </w:tcPr>
          <w:p/>
        </w:tc>
      </w:tr>
      <w:tr w:rsidTr="00BF6F74">
        <w:tblPrEx>
          <w:tblW w:w="0" w:type="auto"/>
          <w:jc w:val="center"/>
          <w:tblLayout w:type="fixed"/>
          <w:tblLook w:val="01E0"/>
        </w:tblPrEx>
        <w:trPr>
          <w:jc w:val="center"/>
        </w:trPr>
        <w:tc>
          <w:tcPr>
            <w:tcW w:w="472" w:type="dxa"/>
            <w:shd w:val="clear" w:color="auto" w:fill="auto"/>
            <w:vAlign w:val="center"/>
          </w:tcPr>
          <w:p/>
        </w:tc>
        <w:tc>
          <w:tcPr>
            <w:tcW w:w="3487" w:type="dxa"/>
            <w:shd w:val="clear" w:color="auto" w:fill="auto"/>
            <w:vAlign w:val="center"/>
          </w:tcPr>
          <w:p w:rsidR="00FC6978" w:rsidRPr="00FD5F6F" w:rsidP="00EA3E27">
            <w:pPr>
              <w:rPr>
                <w:rFonts w:eastAsia="宋体"/>
                <w:snapToGrid/>
                <w:kern w:val="21"/>
                <w:sz w:val="21"/>
                <w:szCs w:val="21"/>
                <w:lang w:val="en-US" w:eastAsia="zh-CN"/>
              </w:rPr>
            </w:pPr>
            <w:r w:rsidRPr="00FD5F6F">
              <w:rPr>
                <w:rFonts w:eastAsia="宋体" w:hint="eastAsia"/>
                <w:snapToGrid/>
                <w:kern w:val="21"/>
                <w:sz w:val="21"/>
                <w:szCs w:val="21"/>
                <w:lang w:val="en-US" w:eastAsia="zh-CN"/>
              </w:rPr>
              <w:t>输油站与调控中心之间的数据通信宜设置备用通信信道。</w:t>
            </w:r>
          </w:p>
        </w:tc>
        <w:tc>
          <w:tcPr>
            <w:tcW w:w="1049" w:type="dxa"/>
            <w:shd w:val="clear" w:color="auto" w:fill="auto"/>
            <w:vAlign w:val="center"/>
          </w:tcPr>
          <w:p w:rsidR="00FC6978" w:rsidRPr="00FD5F6F" w:rsidP="00EA3E27">
            <w:pPr>
              <w:rPr>
                <w:rFonts w:eastAsia="宋体"/>
                <w:snapToGrid/>
                <w:kern w:val="21"/>
                <w:sz w:val="21"/>
                <w:szCs w:val="21"/>
                <w:lang w:val="en-US" w:eastAsia="zh-CN"/>
              </w:rPr>
            </w:pPr>
            <w:r w:rsidRPr="00FD5F6F">
              <w:rPr>
                <w:rFonts w:eastAsia="宋体"/>
                <w:snapToGrid/>
                <w:kern w:val="21"/>
                <w:sz w:val="21"/>
                <w:szCs w:val="21"/>
                <w:lang w:val="en-US" w:eastAsia="zh-CN"/>
              </w:rPr>
              <w:t>GB50253-20</w:t>
            </w:r>
            <w:r w:rsidRPr="00FD5F6F">
              <w:rPr>
                <w:rFonts w:eastAsia="宋体" w:hint="eastAsia"/>
                <w:snapToGrid/>
                <w:kern w:val="21"/>
                <w:sz w:val="21"/>
                <w:szCs w:val="21"/>
                <w:lang w:val="en-US" w:eastAsia="zh-CN"/>
              </w:rPr>
              <w:t>14</w:t>
            </w:r>
            <w:r w:rsidRPr="00FD5F6F">
              <w:rPr>
                <w:rFonts w:eastAsia="宋体"/>
                <w:snapToGrid/>
                <w:kern w:val="21"/>
                <w:sz w:val="21"/>
                <w:szCs w:val="21"/>
                <w:lang w:val="en-US" w:eastAsia="zh-CN"/>
              </w:rPr>
              <w:t>第</w:t>
            </w:r>
            <w:smartTag w:uri="urn:schemas-microsoft-com:office:smarttags" w:element="chsdate">
              <w:smartTagPr>
                <w:attr w:name="Day" w:val="30"/>
                <w:attr w:name="IsLunarDate" w:val="False"/>
                <w:attr w:name="IsROCDate" w:val="False"/>
                <w:attr w:name="Month" w:val="12"/>
                <w:attr w:name="Year" w:val="1899"/>
              </w:smartTagPr>
            </w:smartTag>
            <w:r w:rsidRPr="00FD5F6F">
              <w:rPr>
                <w:rFonts w:eastAsia="宋体"/>
                <w:snapToGrid/>
                <w:kern w:val="21"/>
                <w:sz w:val="21"/>
                <w:szCs w:val="21"/>
                <w:lang w:val="en-US" w:eastAsia="zh-CN"/>
              </w:rPr>
              <w:t>条</w:t>
            </w:r>
          </w:p>
        </w:tc>
        <w:tc>
          <w:tcPr>
            <w:tcW w:w="2835" w:type="dxa"/>
            <w:shd w:val="clear" w:color="auto" w:fill="auto"/>
            <w:vAlign w:val="center"/>
          </w:tcPr>
          <w:p/>
        </w:tc>
        <w:tc>
          <w:tcPr>
            <w:tcW w:w="697" w:type="dxa"/>
            <w:shd w:val="clear" w:color="auto" w:fill="auto"/>
            <w:vAlign w:val="center"/>
          </w:tcPr>
          <w:p/>
        </w:tc>
      </w:tr>
    </w:tbl>
    <w:p/>
    <w:sectPr w:rsidSect="009E0C36">
      <w:pgSz w:w="11906" w:h="16838"/>
      <w:pgMar w:top="1247" w:right="1247" w:bottom="1247" w:left="1247" w:header="851" w:footer="992" w:gutter="454"/>
      <w:cols w:space="425"/>
      <w:titlePg w:val="0"/>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Arial Unicode MS"/>
    <w:panose1 w:val="02010609030101010101"/>
    <w:charset w:val="86"/>
    <w:family w:val="modern"/>
    <w:pitch w:val="fixed"/>
    <w:sig w:usb0="00000000"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新宋体">
    <w:panose1 w:val="02010609030101010101"/>
    <w:charset w:val="86"/>
    <w:family w:val="modern"/>
    <w:pitch w:val="fixed"/>
    <w:sig w:usb0="00000003" w:usb1="288F0000" w:usb2="00000016" w:usb3="00000000" w:csb0="00040001" w:csb1="00000000"/>
  </w:font>
  <w:font w:name="方正综艺简体">
    <w:altName w:val="Arial Unicode MS"/>
    <w:panose1 w:val="00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4710A8"/>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
    <w:nsid w:val="03E22433"/>
    <w:multiLevelType w:val="hybridMultilevel"/>
    <w:tmpl w:val="D21AAF7A"/>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
    <w:nsid w:val="06DC44AC"/>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
    <w:nsid w:val="07295F1D"/>
    <w:multiLevelType w:val="hybridMultilevel"/>
    <w:tmpl w:val="415E2552"/>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121024B2"/>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5">
    <w:nsid w:val="15D8215D"/>
    <w:multiLevelType w:val="multilevel"/>
    <w:tmpl w:val="98068F8C"/>
    <w:lvl w:ilvl="0">
      <w:start w:val="1"/>
      <w:numFmt w:val="decimal"/>
      <w:lvlText w:val="%1"/>
      <w:lvlJc w:val="center"/>
      <w:pPr>
        <w:tabs>
          <w:tab w:val="num" w:pos="0"/>
        </w:tabs>
        <w:ind w:left="426" w:hanging="426"/>
      </w:pPr>
      <w:rPr>
        <w:rFonts w:ascii="新宋体" w:eastAsia="新宋体" w:hAnsi="新宋体" w:hint="default"/>
        <w:b/>
        <w:i w:val="0"/>
        <w:sz w:val="28"/>
        <w:szCs w:val="28"/>
      </w:rPr>
    </w:lvl>
    <w:lvl w:ilvl="1">
      <w:start w:val="1"/>
      <w:numFmt w:val="decimal"/>
      <w:lvlText w:val="%1.%2"/>
      <w:lvlJc w:val="left"/>
      <w:pPr>
        <w:tabs>
          <w:tab w:val="num" w:pos="-198"/>
        </w:tabs>
        <w:ind w:left="424" w:hanging="426"/>
      </w:pPr>
      <w:rPr>
        <w:rFonts w:ascii="新宋体" w:eastAsia="新宋体" w:hAnsi="新宋体" w:hint="default"/>
        <w:b/>
        <w:i w:val="0"/>
        <w:sz w:val="24"/>
        <w:szCs w:val="24"/>
      </w:rPr>
    </w:lvl>
    <w:lvl w:ilvl="2">
      <w:start w:val="1"/>
      <w:numFmt w:val="decimal"/>
      <w:pStyle w:val="a18"/>
      <w:lvlText w:val="%1.%2.%3"/>
      <w:lvlJc w:val="left"/>
      <w:pPr>
        <w:tabs>
          <w:tab w:val="num" w:pos="704"/>
        </w:tabs>
        <w:ind w:left="704" w:hanging="420"/>
      </w:pPr>
      <w:rPr>
        <w:rFonts w:ascii="宋体" w:eastAsia="宋体" w:hAnsi="宋体" w:hint="default"/>
        <w:b/>
        <w:i w:val="0"/>
        <w:sz w:val="24"/>
        <w:szCs w:val="24"/>
      </w:rPr>
    </w:lvl>
    <w:lvl w:ilvl="3">
      <w:start w:val="1"/>
      <w:numFmt w:val="decimal"/>
      <w:lvlText w:val="%1.%2.%3.%4"/>
      <w:lvlJc w:val="left"/>
      <w:pPr>
        <w:tabs>
          <w:tab w:val="num" w:pos="0"/>
        </w:tabs>
        <w:ind w:left="624" w:hanging="624"/>
      </w:pPr>
      <w:rPr>
        <w:rFonts w:ascii="新宋体" w:eastAsia="新宋体" w:hAnsi="新宋体" w:hint="default"/>
        <w:b/>
        <w:i w:val="0"/>
        <w:sz w:val="24"/>
        <w:szCs w:val="24"/>
      </w:rPr>
    </w:lvl>
    <w:lvl w:ilvl="4">
      <w:start w:val="1"/>
      <w:numFmt w:val="decimal"/>
      <w:lvlText w:val="%1.%2.%3.%4.%5"/>
      <w:lvlJc w:val="left"/>
      <w:pPr>
        <w:tabs>
          <w:tab w:val="num" w:pos="996"/>
        </w:tabs>
        <w:ind w:left="996" w:hanging="992"/>
      </w:pPr>
      <w:rPr>
        <w:rFonts w:ascii="宋体" w:eastAsia="宋体" w:hAnsi="宋体" w:hint="eastAsia"/>
      </w:rPr>
    </w:lvl>
    <w:lvl w:ilvl="5">
      <w:start w:val="1"/>
      <w:numFmt w:val="decimal"/>
      <w:lvlText w:val="%1.%2.%3.%4.%5.%6."/>
      <w:lvlJc w:val="left"/>
      <w:pPr>
        <w:tabs>
          <w:tab w:val="num" w:pos="1138"/>
        </w:tabs>
        <w:ind w:left="1138" w:hanging="1134"/>
      </w:pPr>
      <w:rPr>
        <w:rFonts w:hint="eastAsia"/>
      </w:rPr>
    </w:lvl>
    <w:lvl w:ilvl="6">
      <w:start w:val="1"/>
      <w:numFmt w:val="decimal"/>
      <w:lvlText w:val="%1.%2.%3.%4.%5.%6.%7."/>
      <w:lvlJc w:val="left"/>
      <w:pPr>
        <w:tabs>
          <w:tab w:val="num" w:pos="1280"/>
        </w:tabs>
        <w:ind w:left="1280" w:hanging="1276"/>
      </w:pPr>
      <w:rPr>
        <w:rFonts w:hint="eastAsia"/>
      </w:rPr>
    </w:lvl>
    <w:lvl w:ilvl="7">
      <w:start w:val="1"/>
      <w:numFmt w:val="decimal"/>
      <w:lvlText w:val="%1.%2.%3.%4.%5.%6.%7.%8."/>
      <w:lvlJc w:val="left"/>
      <w:pPr>
        <w:tabs>
          <w:tab w:val="num" w:pos="1422"/>
        </w:tabs>
        <w:ind w:left="1422" w:hanging="1418"/>
      </w:pPr>
      <w:rPr>
        <w:rFonts w:hint="eastAsia"/>
      </w:rPr>
    </w:lvl>
    <w:lvl w:ilvl="8">
      <w:start w:val="1"/>
      <w:numFmt w:val="decimal"/>
      <w:lvlText w:val="%1.%2.%3.%4.%5.%6.%7.%8.%9."/>
      <w:lvlJc w:val="left"/>
      <w:pPr>
        <w:tabs>
          <w:tab w:val="num" w:pos="1563"/>
        </w:tabs>
        <w:ind w:left="1563" w:hanging="1559"/>
      </w:pPr>
      <w:rPr>
        <w:rFonts w:hint="eastAsia"/>
      </w:rPr>
    </w:lvl>
  </w:abstractNum>
  <w:abstractNum w:abstractNumId="6">
    <w:nsid w:val="1667160F"/>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7">
    <w:nsid w:val="177404D8"/>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8">
    <w:nsid w:val="1B80378E"/>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9">
    <w:nsid w:val="1DB3027D"/>
    <w:multiLevelType w:val="hybridMultilevel"/>
    <w:tmpl w:val="6AC2ECAC"/>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0">
    <w:nsid w:val="249A5545"/>
    <w:multiLevelType w:val="hybridMultilevel"/>
    <w:tmpl w:val="657CBECA"/>
    <w:lvl w:ilvl="0">
      <w:start w:val="1"/>
      <w:numFmt w:val="decimal"/>
      <w:lvlText w:val="图4.2-%1"/>
      <w:lvlJc w:val="left"/>
      <w:pPr>
        <w:tabs>
          <w:tab w:val="num" w:pos="482"/>
        </w:tabs>
        <w:ind w:left="1254" w:hanging="772"/>
      </w:pPr>
      <w:rPr>
        <w:rFonts w:ascii="新宋体" w:eastAsia="新宋体" w:hAnsi="新宋体" w:hint="default"/>
        <w:b/>
        <w:bCs w:val="0"/>
        <w:i w:val="0"/>
        <w:iCs w:val="0"/>
        <w:caps w:val="0"/>
        <w:smallCaps w:val="0"/>
        <w:strike w:val="0"/>
        <w:dstrike w:val="0"/>
        <w:outline w:val="0"/>
        <w:shadow w:val="0"/>
        <w:emboss w:val="0"/>
        <w:imprint w:val="0"/>
        <w:color w:val="auto"/>
        <w:spacing w:val="0"/>
        <w:w w:val="100"/>
        <w:kern w:val="0"/>
        <w:position w:val="0"/>
        <w:sz w:val="21"/>
        <w:szCs w:val="21"/>
        <w:u w:val="none"/>
        <w:effect w:val="none"/>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1">
    <w:nsid w:val="24D77722"/>
    <w:multiLevelType w:val="hybridMultilevel"/>
    <w:tmpl w:val="5178D1E6"/>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2">
    <w:nsid w:val="27855329"/>
    <w:multiLevelType w:val="hybridMultilevel"/>
    <w:tmpl w:val="0722FA5C"/>
    <w:lvl w:ilvl="0">
      <w:start w:val="1"/>
      <w:numFmt w:val="decimal"/>
      <w:lvlText w:val="表4.4-%1"/>
      <w:lvlJc w:val="left"/>
      <w:pPr>
        <w:tabs>
          <w:tab w:val="num" w:pos="0"/>
        </w:tabs>
        <w:ind w:left="772" w:hanging="772"/>
      </w:pPr>
      <w:rPr>
        <w:rFonts w:ascii="新宋体" w:eastAsia="新宋体" w:hAnsi="新宋体" w:hint="default"/>
        <w:b/>
        <w:bCs w:val="0"/>
        <w:i w:val="0"/>
        <w:iCs w:val="0"/>
        <w:caps w:val="0"/>
        <w:smallCaps w:val="0"/>
        <w:strike w:val="0"/>
        <w:dstrike w:val="0"/>
        <w:outline w:val="0"/>
        <w:shadow w:val="0"/>
        <w:emboss w:val="0"/>
        <w:imprint w:val="0"/>
        <w:color w:val="auto"/>
        <w:spacing w:val="0"/>
        <w:w w:val="100"/>
        <w:kern w:val="0"/>
        <w:position w:val="0"/>
        <w:sz w:val="21"/>
        <w:szCs w:val="21"/>
        <w:u w:val="none"/>
        <w:effect w:val="none"/>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3">
    <w:nsid w:val="2B6217AD"/>
    <w:multiLevelType w:val="hybridMultilevel"/>
    <w:tmpl w:val="EC0AD76E"/>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4">
    <w:nsid w:val="2E0C334D"/>
    <w:multiLevelType w:val="hybridMultilevel"/>
    <w:tmpl w:val="A4B67C6C"/>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5">
    <w:nsid w:val="2E1A544D"/>
    <w:multiLevelType w:val="hybridMultilevel"/>
    <w:tmpl w:val="9CE44364"/>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6">
    <w:nsid w:val="2F9F13B6"/>
    <w:multiLevelType w:val="hybridMultilevel"/>
    <w:tmpl w:val="A7C0DC96"/>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7">
    <w:nsid w:val="332E25CD"/>
    <w:multiLevelType w:val="singleLevel"/>
    <w:tmpl w:val="1C34693E"/>
    <w:lvl w:ilvl="0">
      <w:start w:val="1"/>
      <w:numFmt w:val="bullet"/>
      <w:pStyle w:val="Heading6"/>
      <w:lvlText w:val=""/>
      <w:lvlJc w:val="left"/>
      <w:pPr>
        <w:tabs>
          <w:tab w:val="num" w:pos="360"/>
        </w:tabs>
        <w:ind w:left="357" w:hanging="357"/>
      </w:pPr>
      <w:rPr>
        <w:rFonts w:ascii="Wingdings" w:hAnsi="Wingdings" w:hint="default"/>
      </w:rPr>
    </w:lvl>
  </w:abstractNum>
  <w:abstractNum w:abstractNumId="18">
    <w:nsid w:val="356059CA"/>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9">
    <w:nsid w:val="37F3244E"/>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0">
    <w:nsid w:val="38914BD3"/>
    <w:multiLevelType w:val="hybridMultilevel"/>
    <w:tmpl w:val="3C8294F4"/>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1">
    <w:nsid w:val="38E27102"/>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2">
    <w:nsid w:val="39AF268D"/>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3">
    <w:nsid w:val="39FC3DBC"/>
    <w:multiLevelType w:val="hybridMultilevel"/>
    <w:tmpl w:val="4F943802"/>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4">
    <w:nsid w:val="3B725224"/>
    <w:multiLevelType w:val="hybridMultilevel"/>
    <w:tmpl w:val="0100AC5E"/>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5">
    <w:nsid w:val="4B720B98"/>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6">
    <w:nsid w:val="50D679BE"/>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7">
    <w:nsid w:val="52844AEF"/>
    <w:multiLevelType w:val="hybridMultilevel"/>
    <w:tmpl w:val="ACC2077E"/>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1440"/>
        </w:tabs>
        <w:ind w:left="1440" w:hanging="420"/>
      </w:pPr>
    </w:lvl>
    <w:lvl w:ilvl="2" w:tentative="1">
      <w:start w:val="1"/>
      <w:numFmt w:val="lowerRoman"/>
      <w:lvlText w:val="%3."/>
      <w:lvlJc w:val="right"/>
      <w:pPr>
        <w:tabs>
          <w:tab w:val="num" w:pos="1860"/>
        </w:tabs>
        <w:ind w:left="1860" w:hanging="420"/>
      </w:pPr>
    </w:lvl>
    <w:lvl w:ilvl="3" w:tentative="1">
      <w:start w:val="1"/>
      <w:numFmt w:val="decimal"/>
      <w:lvlText w:val="%4."/>
      <w:lvlJc w:val="left"/>
      <w:pPr>
        <w:tabs>
          <w:tab w:val="num" w:pos="2280"/>
        </w:tabs>
        <w:ind w:left="2280" w:hanging="420"/>
      </w:pPr>
    </w:lvl>
    <w:lvl w:ilvl="4" w:tentative="1">
      <w:start w:val="1"/>
      <w:numFmt w:val="lowerLetter"/>
      <w:lvlText w:val="%5)"/>
      <w:lvlJc w:val="left"/>
      <w:pPr>
        <w:tabs>
          <w:tab w:val="num" w:pos="2700"/>
        </w:tabs>
        <w:ind w:left="2700" w:hanging="420"/>
      </w:pPr>
    </w:lvl>
    <w:lvl w:ilvl="5" w:tentative="1">
      <w:start w:val="1"/>
      <w:numFmt w:val="lowerRoman"/>
      <w:lvlText w:val="%6."/>
      <w:lvlJc w:val="right"/>
      <w:pPr>
        <w:tabs>
          <w:tab w:val="num" w:pos="3120"/>
        </w:tabs>
        <w:ind w:left="3120" w:hanging="420"/>
      </w:pPr>
    </w:lvl>
    <w:lvl w:ilvl="6" w:tentative="1">
      <w:start w:val="1"/>
      <w:numFmt w:val="decimal"/>
      <w:lvlText w:val="%7."/>
      <w:lvlJc w:val="left"/>
      <w:pPr>
        <w:tabs>
          <w:tab w:val="num" w:pos="3540"/>
        </w:tabs>
        <w:ind w:left="3540" w:hanging="420"/>
      </w:pPr>
    </w:lvl>
    <w:lvl w:ilvl="7" w:tentative="1">
      <w:start w:val="1"/>
      <w:numFmt w:val="lowerLetter"/>
      <w:lvlText w:val="%8)"/>
      <w:lvlJc w:val="left"/>
      <w:pPr>
        <w:tabs>
          <w:tab w:val="num" w:pos="3960"/>
        </w:tabs>
        <w:ind w:left="3960" w:hanging="420"/>
      </w:pPr>
    </w:lvl>
    <w:lvl w:ilvl="8" w:tentative="1">
      <w:start w:val="1"/>
      <w:numFmt w:val="lowerRoman"/>
      <w:lvlText w:val="%9."/>
      <w:lvlJc w:val="right"/>
      <w:pPr>
        <w:tabs>
          <w:tab w:val="num" w:pos="4380"/>
        </w:tabs>
        <w:ind w:left="4380" w:hanging="420"/>
      </w:pPr>
    </w:lvl>
  </w:abstractNum>
  <w:abstractNum w:abstractNumId="28">
    <w:nsid w:val="53E5455B"/>
    <w:multiLevelType w:val="hybridMultilevel"/>
    <w:tmpl w:val="EC4A5A82"/>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9">
    <w:nsid w:val="5A0E1609"/>
    <w:multiLevelType w:val="multilevel"/>
    <w:tmpl w:val="52D2CDA8"/>
    <w:lvl w:ilvl="0">
      <w:start w:val="1"/>
      <w:numFmt w:val="decimal"/>
      <w:pStyle w:val="lbh"/>
      <w:lvlText w:val="%1"/>
      <w:lvlJc w:val="left"/>
      <w:pPr>
        <w:tabs>
          <w:tab w:val="num" w:pos="425"/>
        </w:tabs>
        <w:ind w:left="425" w:hanging="425"/>
      </w:pPr>
      <w:rPr>
        <w:rFonts w:hint="eastAsia"/>
        <w:b/>
        <w:i w:val="0"/>
        <w:sz w:val="28"/>
        <w:szCs w:val="28"/>
      </w:rPr>
    </w:lvl>
    <w:lvl w:ilvl="1">
      <w:start w:val="1"/>
      <w:numFmt w:val="decimal"/>
      <w:lvlText w:val="%1.%2"/>
      <w:lvlJc w:val="left"/>
      <w:pPr>
        <w:tabs>
          <w:tab w:val="num" w:pos="0"/>
        </w:tabs>
        <w:ind w:left="0" w:firstLine="0"/>
      </w:pPr>
      <w:rPr>
        <w:rFonts w:hint="eastAsia"/>
        <w:b/>
        <w:i w:val="0"/>
        <w:sz w:val="24"/>
        <w:szCs w:val="24"/>
      </w:rPr>
    </w:lvl>
    <w:lvl w:ilvl="2">
      <w:start w:val="1"/>
      <w:numFmt w:val="decimal"/>
      <w:lvlText w:val="%1.%2.%3"/>
      <w:lvlJc w:val="left"/>
      <w:pPr>
        <w:tabs>
          <w:tab w:val="num" w:pos="482"/>
        </w:tabs>
        <w:ind w:left="0" w:firstLine="0"/>
      </w:pPr>
      <w:rPr>
        <w:rFonts w:ascii="宋体" w:eastAsia="宋体" w:hAnsi="宋体" w:hint="eastAsia"/>
        <w:b/>
        <w:i w:val="0"/>
        <w:sz w:val="24"/>
        <w:szCs w:val="24"/>
      </w:rPr>
    </w:lvl>
    <w:lvl w:ilvl="3">
      <w:start w:val="1"/>
      <w:numFmt w:val="decimal"/>
      <w:lvlText w:val="%1.%2.%3.%4"/>
      <w:lvlJc w:val="left"/>
      <w:pPr>
        <w:tabs>
          <w:tab w:val="num" w:pos="482"/>
        </w:tabs>
        <w:ind w:left="0" w:firstLine="0"/>
      </w:pPr>
      <w:rPr>
        <w:rFonts w:hint="eastAsia"/>
        <w:sz w:val="24"/>
        <w:szCs w:val="24"/>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0">
    <w:nsid w:val="5A826D59"/>
    <w:multiLevelType w:val="hybridMultilevel"/>
    <w:tmpl w:val="8318D3EE"/>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1">
    <w:nsid w:val="5C5B4CA7"/>
    <w:multiLevelType w:val="hybridMultilevel"/>
    <w:tmpl w:val="E0D622FC"/>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2">
    <w:nsid w:val="5D0602F3"/>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3">
    <w:nsid w:val="62981B6F"/>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4">
    <w:nsid w:val="62F46FD8"/>
    <w:multiLevelType w:val="hybridMultilevel"/>
    <w:tmpl w:val="09E4B7DA"/>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5">
    <w:nsid w:val="677B1CD4"/>
    <w:multiLevelType w:val="hybridMultilevel"/>
    <w:tmpl w:val="4B8CA6D4"/>
    <w:lvl w:ilvl="0">
      <w:start w:val="1"/>
      <w:numFmt w:val="decimal"/>
      <w:lvlText w:val="表5.4-%1"/>
      <w:lvlJc w:val="left"/>
      <w:pPr>
        <w:tabs>
          <w:tab w:val="num" w:pos="0"/>
        </w:tabs>
        <w:ind w:left="772" w:hanging="772"/>
      </w:pPr>
      <w:rPr>
        <w:rFonts w:ascii="新宋体" w:eastAsia="新宋体" w:hAnsi="新宋体" w:hint="default"/>
        <w:b/>
        <w:bCs w:val="0"/>
        <w:i w:val="0"/>
        <w:iCs w:val="0"/>
        <w:caps w:val="0"/>
        <w:smallCaps w:val="0"/>
        <w:strike w:val="0"/>
        <w:dstrike w:val="0"/>
        <w:outline w:val="0"/>
        <w:shadow w:val="0"/>
        <w:emboss w:val="0"/>
        <w:imprint w:val="0"/>
        <w:color w:val="auto"/>
        <w:spacing w:val="0"/>
        <w:w w:val="100"/>
        <w:kern w:val="0"/>
        <w:position w:val="0"/>
        <w:sz w:val="21"/>
        <w:szCs w:val="21"/>
        <w:u w:val="none"/>
        <w:effect w:val="none"/>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6">
    <w:nsid w:val="6BE1637F"/>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7">
    <w:nsid w:val="6DA342D8"/>
    <w:multiLevelType w:val="hybridMultilevel"/>
    <w:tmpl w:val="3ED83F90"/>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8">
    <w:nsid w:val="72DA6937"/>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39">
    <w:nsid w:val="74176381"/>
    <w:multiLevelType w:val="hybridMultilevel"/>
    <w:tmpl w:val="0A26AF9C"/>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0">
    <w:nsid w:val="75284EE2"/>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1">
    <w:nsid w:val="7683538B"/>
    <w:multiLevelType w:val="hybridMultilevel"/>
    <w:tmpl w:val="57AE25FE"/>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2">
    <w:nsid w:val="78E408DB"/>
    <w:multiLevelType w:val="hybridMultilevel"/>
    <w:tmpl w:val="6FC8E572"/>
    <w:lvl w:ilvl="0">
      <w:start w:val="1"/>
      <w:numFmt w:val="decimal"/>
      <w:lvlText w:val="%1"/>
      <w:lvlJc w:val="left"/>
      <w:pPr>
        <w:tabs>
          <w:tab w:val="num" w:pos="420"/>
        </w:tabs>
        <w:ind w:left="420" w:hanging="420"/>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43">
    <w:nsid w:val="7B3F7837"/>
    <w:multiLevelType w:val="hybridMultilevel"/>
    <w:tmpl w:val="613A88F8"/>
    <w:lvl w:ilvl="0">
      <w:start w:val="1"/>
      <w:numFmt w:val="decimal"/>
      <w:lvlText w:val="%1）"/>
      <w:lvlJc w:val="left"/>
      <w:pPr>
        <w:tabs>
          <w:tab w:val="num" w:pos="0"/>
        </w:tabs>
        <w:ind w:left="0" w:firstLine="45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num w:numId="1">
    <w:abstractNumId w:val="36"/>
  </w:num>
  <w:num w:numId="2">
    <w:abstractNumId w:val="2"/>
  </w:num>
  <w:num w:numId="3">
    <w:abstractNumId w:val="17"/>
  </w:num>
  <w:num w:numId="4">
    <w:abstractNumId w:val="29"/>
  </w:num>
  <w:num w:numId="5">
    <w:abstractNumId w:val="27"/>
  </w:num>
  <w:num w:numId="6">
    <w:abstractNumId w:val="5"/>
  </w:num>
  <w:num w:numId="7">
    <w:abstractNumId w:val="11"/>
  </w:num>
  <w:num w:numId="8">
    <w:abstractNumId w:val="24"/>
  </w:num>
  <w:num w:numId="9">
    <w:abstractNumId w:val="15"/>
  </w:num>
  <w:num w:numId="10">
    <w:abstractNumId w:val="16"/>
  </w:num>
  <w:num w:numId="11">
    <w:abstractNumId w:val="14"/>
  </w:num>
  <w:num w:numId="12">
    <w:abstractNumId w:val="30"/>
  </w:num>
  <w:num w:numId="13">
    <w:abstractNumId w:val="1"/>
  </w:num>
  <w:num w:numId="14">
    <w:abstractNumId w:val="9"/>
  </w:num>
  <w:num w:numId="15">
    <w:abstractNumId w:val="31"/>
  </w:num>
  <w:num w:numId="16">
    <w:abstractNumId w:val="23"/>
  </w:num>
  <w:num w:numId="17">
    <w:abstractNumId w:val="43"/>
  </w:num>
  <w:num w:numId="18">
    <w:abstractNumId w:val="37"/>
  </w:num>
  <w:num w:numId="19">
    <w:abstractNumId w:val="34"/>
  </w:num>
  <w:num w:numId="20">
    <w:abstractNumId w:val="13"/>
  </w:num>
  <w:num w:numId="21">
    <w:abstractNumId w:val="28"/>
  </w:num>
  <w:num w:numId="22">
    <w:abstractNumId w:val="10"/>
  </w:num>
  <w:num w:numId="23">
    <w:abstractNumId w:val="35"/>
  </w:num>
  <w:num w:numId="24">
    <w:abstractNumId w:val="39"/>
  </w:num>
  <w:num w:numId="25">
    <w:abstractNumId w:val="12"/>
  </w:num>
  <w:num w:numId="26">
    <w:abstractNumId w:val="21"/>
  </w:num>
  <w:num w:numId="27">
    <w:abstractNumId w:val="18"/>
  </w:num>
  <w:num w:numId="28">
    <w:abstractNumId w:val="33"/>
  </w:num>
  <w:num w:numId="29">
    <w:abstractNumId w:val="4"/>
  </w:num>
  <w:num w:numId="30">
    <w:abstractNumId w:val="0"/>
  </w:num>
  <w:num w:numId="31">
    <w:abstractNumId w:val="25"/>
  </w:num>
  <w:num w:numId="32">
    <w:abstractNumId w:val="41"/>
  </w:num>
  <w:num w:numId="33">
    <w:abstractNumId w:val="8"/>
  </w:num>
  <w:num w:numId="34">
    <w:abstractNumId w:val="26"/>
  </w:num>
  <w:num w:numId="35">
    <w:abstractNumId w:val="42"/>
  </w:num>
  <w:num w:numId="36">
    <w:abstractNumId w:val="19"/>
  </w:num>
  <w:num w:numId="37">
    <w:abstractNumId w:val="40"/>
  </w:num>
  <w:num w:numId="38">
    <w:abstractNumId w:val="32"/>
  </w:num>
  <w:num w:numId="39">
    <w:abstractNumId w:val="38"/>
  </w:num>
  <w:num w:numId="40">
    <w:abstractNumId w:val="7"/>
  </w:num>
  <w:num w:numId="41">
    <w:abstractNumId w:val="22"/>
  </w:num>
  <w:num w:numId="42">
    <w:abstractNumId w:val="20"/>
  </w:num>
  <w:num w:numId="43">
    <w:abstractNumId w:val="3"/>
  </w:num>
  <w:num w:numId="4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gt;?]}¢¨°·ˇˉ―‖’”…‰′″›℃∶、。〃〉》」』】〕〗〞︶︺︾﹀﹄﹚﹜﹞！＂％＇），．：；？］｀｜｝～￠"/>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41F47"/>
    <w:rsid w:val="00034006"/>
    <w:rsid w:val="00063B6E"/>
    <w:rsid w:val="000934CF"/>
    <w:rsid w:val="000A7E32"/>
    <w:rsid w:val="000B146F"/>
    <w:rsid w:val="00124E80"/>
    <w:rsid w:val="00153841"/>
    <w:rsid w:val="00176F39"/>
    <w:rsid w:val="001A4DED"/>
    <w:rsid w:val="001B2AE8"/>
    <w:rsid w:val="001F1F8E"/>
    <w:rsid w:val="00257D72"/>
    <w:rsid w:val="002675E0"/>
    <w:rsid w:val="002A0EC3"/>
    <w:rsid w:val="002B7757"/>
    <w:rsid w:val="002D0D1A"/>
    <w:rsid w:val="00325D88"/>
    <w:rsid w:val="0032715A"/>
    <w:rsid w:val="0035652E"/>
    <w:rsid w:val="003B195D"/>
    <w:rsid w:val="003D242D"/>
    <w:rsid w:val="003E1BEB"/>
    <w:rsid w:val="0040355B"/>
    <w:rsid w:val="00490920"/>
    <w:rsid w:val="004A3A07"/>
    <w:rsid w:val="004A69E3"/>
    <w:rsid w:val="004D092F"/>
    <w:rsid w:val="005150F2"/>
    <w:rsid w:val="00523590"/>
    <w:rsid w:val="00552E39"/>
    <w:rsid w:val="005574A2"/>
    <w:rsid w:val="00560001"/>
    <w:rsid w:val="00573846"/>
    <w:rsid w:val="005C0314"/>
    <w:rsid w:val="005C036D"/>
    <w:rsid w:val="005C1C7D"/>
    <w:rsid w:val="005E6A2C"/>
    <w:rsid w:val="00610199"/>
    <w:rsid w:val="0061474E"/>
    <w:rsid w:val="006231BA"/>
    <w:rsid w:val="00624E0A"/>
    <w:rsid w:val="0064063C"/>
    <w:rsid w:val="00692E84"/>
    <w:rsid w:val="00694658"/>
    <w:rsid w:val="00710B71"/>
    <w:rsid w:val="00721E3B"/>
    <w:rsid w:val="00741F47"/>
    <w:rsid w:val="00751F65"/>
    <w:rsid w:val="007526BD"/>
    <w:rsid w:val="0077226C"/>
    <w:rsid w:val="007771F8"/>
    <w:rsid w:val="00784D51"/>
    <w:rsid w:val="007868A0"/>
    <w:rsid w:val="007924D3"/>
    <w:rsid w:val="00796858"/>
    <w:rsid w:val="007A1068"/>
    <w:rsid w:val="007B6632"/>
    <w:rsid w:val="007D409E"/>
    <w:rsid w:val="007D6E34"/>
    <w:rsid w:val="007E24CD"/>
    <w:rsid w:val="007F1C5A"/>
    <w:rsid w:val="008145C0"/>
    <w:rsid w:val="008432C3"/>
    <w:rsid w:val="008550AB"/>
    <w:rsid w:val="008C6DA0"/>
    <w:rsid w:val="009140B4"/>
    <w:rsid w:val="00920AC7"/>
    <w:rsid w:val="00924FF4"/>
    <w:rsid w:val="009A004F"/>
    <w:rsid w:val="009D2DDA"/>
    <w:rsid w:val="009E0C36"/>
    <w:rsid w:val="00A22CF9"/>
    <w:rsid w:val="00A749C0"/>
    <w:rsid w:val="00A92A1F"/>
    <w:rsid w:val="00AA0517"/>
    <w:rsid w:val="00AB323A"/>
    <w:rsid w:val="00AC45A2"/>
    <w:rsid w:val="00AD7C8D"/>
    <w:rsid w:val="00AE13FD"/>
    <w:rsid w:val="00AE22A3"/>
    <w:rsid w:val="00B14EBB"/>
    <w:rsid w:val="00B21066"/>
    <w:rsid w:val="00B40959"/>
    <w:rsid w:val="00B56D0A"/>
    <w:rsid w:val="00B71E68"/>
    <w:rsid w:val="00B737E4"/>
    <w:rsid w:val="00B9661E"/>
    <w:rsid w:val="00B96B17"/>
    <w:rsid w:val="00BA1005"/>
    <w:rsid w:val="00BF20F9"/>
    <w:rsid w:val="00BF33AC"/>
    <w:rsid w:val="00BF6F74"/>
    <w:rsid w:val="00BF7A81"/>
    <w:rsid w:val="00C02583"/>
    <w:rsid w:val="00C22F06"/>
    <w:rsid w:val="00C61202"/>
    <w:rsid w:val="00C6550B"/>
    <w:rsid w:val="00C91A51"/>
    <w:rsid w:val="00C925BF"/>
    <w:rsid w:val="00CA2014"/>
    <w:rsid w:val="00CC18D8"/>
    <w:rsid w:val="00CD6F01"/>
    <w:rsid w:val="00CF5E6D"/>
    <w:rsid w:val="00D05D6F"/>
    <w:rsid w:val="00D16B7E"/>
    <w:rsid w:val="00D320B0"/>
    <w:rsid w:val="00D71060"/>
    <w:rsid w:val="00D72627"/>
    <w:rsid w:val="00D84BE4"/>
    <w:rsid w:val="00DA2CCA"/>
    <w:rsid w:val="00DA4F86"/>
    <w:rsid w:val="00DC0376"/>
    <w:rsid w:val="00DE2716"/>
    <w:rsid w:val="00DF3D0F"/>
    <w:rsid w:val="00E23E06"/>
    <w:rsid w:val="00E30C47"/>
    <w:rsid w:val="00E3519C"/>
    <w:rsid w:val="00E6162D"/>
    <w:rsid w:val="00E622C3"/>
    <w:rsid w:val="00E638E1"/>
    <w:rsid w:val="00EA3E27"/>
    <w:rsid w:val="00F738E3"/>
    <w:rsid w:val="00F73BF4"/>
    <w:rsid w:val="00F81753"/>
    <w:rsid w:val="00FC05E5"/>
    <w:rsid w:val="00FC07CF"/>
    <w:rsid w:val="00FC6978"/>
    <w:rsid w:val="00FD5F6F"/>
    <w:rsid w:val="00FE0DAE"/>
  </w:rsid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39"/>
    <w:lsdException w:name="toc 5" w:uiPriority="39"/>
    <w:lsdException w:name="toc 6" w:uiPriority="0"/>
    <w:lsdException w:name="toc 7" w:uiPriority="39"/>
    <w:lsdException w:name="toc 8" w:uiPriority="39"/>
    <w:lsdException w:name="toc 9" w:uiPriority="39"/>
    <w:lsdException w:name="Normal Indent" w:uiPriority="0"/>
    <w:lsdException w:name="annotation text" w:uiPriority="0"/>
    <w:lsdException w:name="header" w:uiPriority="0"/>
    <w:lsdException w:name="footer"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First Indent" w:uiPriority="0"/>
    <w:lsdException w:name="Body Text First Indent 2" w:uiPriority="0"/>
    <w:lsdException w:name="Body Text Indent 2"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next w:val="BodyTextFirstIndent"/>
    <w:link w:val="1Char"/>
    <w:qFormat/>
    <w:rsid w:val="00CC18D8"/>
    <w:pPr>
      <w:keepNext/>
      <w:keepLines/>
      <w:pageBreakBefore/>
      <w:widowControl w:val="0"/>
      <w:snapToGrid w:val="0"/>
      <w:spacing w:before="200" w:after="200" w:line="520" w:lineRule="exact"/>
      <w:jc w:val="center"/>
      <w:outlineLvl w:val="0"/>
    </w:pPr>
    <w:rPr>
      <w:rFonts w:ascii="Arial" w:eastAsia="黑体" w:hAnsi="Arial" w:cs="Times New Roman"/>
      <w:noProof/>
      <w:snapToGrid w:val="0"/>
      <w:spacing w:val="10"/>
      <w:kern w:val="22"/>
      <w:sz w:val="30"/>
      <w:szCs w:val="30"/>
      <w:lang w:val="en-US" w:eastAsia="zh-CN" w:bidi="ar-SA"/>
    </w:rPr>
  </w:style>
  <w:style w:type="paragraph" w:styleId="Heading2">
    <w:name w:val="heading 2"/>
    <w:next w:val="BodyTextFirstIndent"/>
    <w:link w:val="2Char0"/>
    <w:autoRedefine/>
    <w:qFormat/>
    <w:rsid w:val="00CC18D8"/>
    <w:pPr>
      <w:keepNext/>
      <w:keepLines/>
      <w:widowControl w:val="0"/>
      <w:snapToGrid w:val="0"/>
      <w:spacing w:before="160" w:after="160" w:line="520" w:lineRule="exact"/>
      <w:ind w:firstLine="680" w:firstLineChars="200"/>
      <w:jc w:val="both"/>
      <w:outlineLvl w:val="1"/>
    </w:pPr>
    <w:rPr>
      <w:rFonts w:ascii="Arial" w:eastAsia="黑体" w:hAnsi="Arial" w:cs="Times New Roman"/>
      <w:snapToGrid w:val="0"/>
      <w:color w:val="0000FF"/>
      <w:spacing w:val="10"/>
      <w:kern w:val="0"/>
      <w:sz w:val="32"/>
      <w:szCs w:val="32"/>
      <w:lang w:val="en-US" w:eastAsia="zh-CN" w:bidi="ar-SA"/>
    </w:rPr>
  </w:style>
  <w:style w:type="paragraph" w:styleId="Heading3">
    <w:name w:val="heading 3"/>
    <w:next w:val="BodyTextFirstIndent"/>
    <w:link w:val="3Char"/>
    <w:qFormat/>
    <w:rsid w:val="00CC18D8"/>
    <w:pPr>
      <w:keepNext/>
      <w:keepLines/>
      <w:widowControl w:val="0"/>
      <w:snapToGrid w:val="0"/>
      <w:spacing w:before="120" w:after="120" w:line="520" w:lineRule="exact"/>
      <w:ind w:firstLine="200" w:firstLineChars="200"/>
      <w:jc w:val="both"/>
      <w:outlineLvl w:val="2"/>
    </w:pPr>
    <w:rPr>
      <w:rFonts w:ascii="Arial" w:eastAsia="黑体" w:hAnsi="Arial" w:cs="Times New Roman"/>
      <w:snapToGrid w:val="0"/>
      <w:spacing w:val="10"/>
      <w:kern w:val="22"/>
      <w:sz w:val="28"/>
      <w:szCs w:val="22"/>
      <w:lang w:val="en-US" w:eastAsia="zh-CN" w:bidi="ar-SA"/>
    </w:rPr>
  </w:style>
  <w:style w:type="paragraph" w:styleId="Heading4">
    <w:name w:val="heading 4"/>
    <w:next w:val="BodyTextFirstIndent"/>
    <w:link w:val="4Char"/>
    <w:qFormat/>
    <w:rsid w:val="00CC18D8"/>
    <w:pPr>
      <w:keepNext/>
      <w:keepLines/>
      <w:widowControl w:val="0"/>
      <w:snapToGrid w:val="0"/>
      <w:spacing w:before="80" w:after="80" w:line="520" w:lineRule="exact"/>
      <w:ind w:firstLine="200" w:firstLineChars="200"/>
      <w:jc w:val="both"/>
      <w:outlineLvl w:val="3"/>
    </w:pPr>
    <w:rPr>
      <w:rFonts w:ascii="Arial" w:eastAsia="黑体" w:hAnsi="Arial" w:cs="Times New Roman"/>
      <w:snapToGrid w:val="0"/>
      <w:spacing w:val="10"/>
      <w:kern w:val="22"/>
      <w:sz w:val="28"/>
      <w:szCs w:val="22"/>
      <w:lang w:val="en-US" w:eastAsia="zh-CN" w:bidi="ar-SA"/>
    </w:rPr>
  </w:style>
  <w:style w:type="paragraph" w:styleId="Heading5">
    <w:name w:val="heading 5"/>
    <w:next w:val="BodyTextFirstIndent"/>
    <w:link w:val="5Char"/>
    <w:qFormat/>
    <w:rsid w:val="00CC18D8"/>
    <w:pPr>
      <w:keepNext/>
      <w:keepLines/>
      <w:widowControl w:val="0"/>
      <w:snapToGrid w:val="0"/>
      <w:spacing w:before="40" w:after="40" w:line="520" w:lineRule="exact"/>
      <w:ind w:firstLine="200" w:firstLineChars="200"/>
      <w:jc w:val="both"/>
      <w:outlineLvl w:val="4"/>
    </w:pPr>
    <w:rPr>
      <w:rFonts w:ascii="Arial" w:eastAsia="黑体" w:hAnsi="Arial" w:cs="Times New Roman"/>
      <w:snapToGrid w:val="0"/>
      <w:spacing w:val="10"/>
      <w:kern w:val="22"/>
      <w:sz w:val="22"/>
      <w:szCs w:val="22"/>
      <w:lang w:val="en-US" w:eastAsia="zh-CN" w:bidi="ar-SA"/>
    </w:rPr>
  </w:style>
  <w:style w:type="paragraph" w:styleId="Heading6">
    <w:name w:val="heading 6"/>
    <w:aliases w:val="二级项,可研-标题 6,无节,标6,标题 6!,标题6，6级标题，小四中宋粗，无序号,标题6，6级标题，小四中宋粗，无序号 Char,标题8"/>
    <w:link w:val="6Char"/>
    <w:qFormat/>
    <w:rsid w:val="00CC18D8"/>
    <w:pPr>
      <w:keepNext/>
      <w:widowControl w:val="0"/>
      <w:numPr>
        <w:numId w:val="3"/>
      </w:numPr>
      <w:tabs>
        <w:tab w:val="num" w:pos="360"/>
      </w:tabs>
      <w:spacing w:line="400" w:lineRule="atLeast"/>
      <w:ind w:left="357" w:hanging="357"/>
      <w:jc w:val="both"/>
      <w:outlineLvl w:val="5"/>
    </w:pPr>
    <w:rPr>
      <w:rFonts w:ascii="Times New Roman" w:eastAsia="楷体_GB2312" w:hAnsi="Times New Roman" w:cs="Times New Roman"/>
      <w:snapToGrid w:val="0"/>
      <w:spacing w:val="10"/>
      <w:kern w:val="22"/>
      <w:sz w:val="22"/>
      <w:szCs w:val="22"/>
      <w:lang w:val="en-US" w:eastAsia="zh-CN" w:bidi="ar-SA"/>
    </w:rPr>
  </w:style>
  <w:style w:type="paragraph" w:styleId="Heading7">
    <w:name w:val="heading 7"/>
    <w:link w:val="7Char"/>
    <w:qFormat/>
    <w:rsid w:val="00CC18D8"/>
    <w:pPr>
      <w:keepNext/>
      <w:widowControl w:val="0"/>
      <w:spacing w:line="360" w:lineRule="auto"/>
      <w:jc w:val="both"/>
      <w:outlineLvl w:val="6"/>
    </w:pPr>
    <w:rPr>
      <w:rFonts w:ascii="Times New Roman" w:eastAsia="楷体_GB2312" w:hAnsi="Times New Roman" w:cs="Times New Roman"/>
      <w:snapToGrid w:val="0"/>
      <w:color w:val="FFFFFF"/>
      <w:spacing w:val="10"/>
      <w:kern w:val="22"/>
      <w:sz w:val="28"/>
      <w:szCs w:val="22"/>
      <w:lang w:val="en-US" w:eastAsia="zh-CN" w:bidi="ar-SA"/>
    </w:rPr>
  </w:style>
  <w:style w:type="paragraph" w:styleId="Heading8">
    <w:name w:val="heading 8"/>
    <w:link w:val="8Char0"/>
    <w:qFormat/>
    <w:rsid w:val="00CC18D8"/>
    <w:pPr>
      <w:keepNext/>
      <w:widowControl w:val="0"/>
      <w:spacing w:line="520" w:lineRule="exact"/>
      <w:jc w:val="center"/>
      <w:outlineLvl w:val="7"/>
    </w:pPr>
    <w:rPr>
      <w:rFonts w:ascii="Times New Roman" w:eastAsia="楷体_GB2312" w:hAnsi="Times New Roman" w:cs="Times New Roman"/>
      <w:i/>
      <w:iCs/>
      <w:snapToGrid w:val="0"/>
      <w:spacing w:val="10"/>
      <w:kern w:val="22"/>
      <w:sz w:val="21"/>
      <w:szCs w:val="22"/>
      <w:lang w:val="en-US" w:eastAsia="zh-CN" w:bidi="ar-SA"/>
    </w:rPr>
  </w:style>
  <w:style w:type="paragraph" w:styleId="Heading9">
    <w:name w:val="heading 9"/>
    <w:link w:val="9Char"/>
    <w:autoRedefine/>
    <w:qFormat/>
    <w:rsid w:val="00CC18D8"/>
    <w:pPr>
      <w:keepNext/>
      <w:keepLines/>
      <w:widowControl w:val="0"/>
      <w:tabs>
        <w:tab w:val="num" w:pos="1584"/>
        <w:tab w:val="left" w:pos="1727"/>
        <w:tab w:val="left" w:pos="1884"/>
      </w:tabs>
      <w:spacing w:line="300" w:lineRule="auto"/>
      <w:jc w:val="both"/>
      <w:outlineLvl w:val="8"/>
    </w:pPr>
    <w:rPr>
      <w:rFonts w:ascii="Arial" w:eastAsia="黑体" w:hAnsi="Arial" w:cs="Times New Roman"/>
      <w:snapToGrid w:val="0"/>
      <w:kern w:val="2"/>
      <w:sz w:val="22"/>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ITTHEADER,even,even Char,h,带横线,页眉2"/>
    <w:link w:val="Char"/>
    <w:unhideWhenUsed/>
    <w:rsid w:val="00741F47"/>
    <w:pPr>
      <w:widowControl w:val="0"/>
      <w:pBdr>
        <w:bottom w:val="single" w:sz="6" w:space="1" w:color="auto"/>
      </w:pBdr>
      <w:tabs>
        <w:tab w:val="center" w:pos="4153"/>
        <w:tab w:val="right" w:pos="8306"/>
      </w:tabs>
      <w:snapToGrid w:val="0"/>
      <w:jc w:val="center"/>
    </w:pPr>
    <w:rPr>
      <w:kern w:val="2"/>
      <w:sz w:val="18"/>
      <w:szCs w:val="18"/>
      <w:lang w:val="en-US" w:eastAsia="zh-CN" w:bidi="ar-SA"/>
    </w:rPr>
  </w:style>
  <w:style w:type="character" w:customStyle="1" w:styleId="Char">
    <w:name w:val="页眉 Char"/>
    <w:aliases w:val="ITTHEADER Char,even Char Char,even Char1,h Char,带横线 Char,页眉2 Char"/>
    <w:basedOn w:val="DefaultParagraphFont"/>
    <w:link w:val="Header"/>
    <w:rsid w:val="00741F47"/>
    <w:rPr>
      <w:sz w:val="18"/>
      <w:szCs w:val="18"/>
    </w:rPr>
  </w:style>
  <w:style w:type="paragraph" w:styleId="Footer">
    <w:name w:val="footer"/>
    <w:link w:val="Char1"/>
    <w:unhideWhenUsed/>
    <w:rsid w:val="00741F47"/>
    <w:pPr>
      <w:widowControl w:val="0"/>
      <w:tabs>
        <w:tab w:val="center" w:pos="4153"/>
        <w:tab w:val="right" w:pos="8306"/>
      </w:tabs>
      <w:snapToGrid w:val="0"/>
      <w:jc w:val="left"/>
    </w:pPr>
    <w:rPr>
      <w:kern w:val="2"/>
      <w:sz w:val="18"/>
      <w:szCs w:val="18"/>
      <w:lang w:val="en-US" w:eastAsia="zh-CN" w:bidi="ar-SA"/>
    </w:rPr>
  </w:style>
  <w:style w:type="character" w:customStyle="1" w:styleId="Char1">
    <w:name w:val="页脚 Char"/>
    <w:basedOn w:val="DefaultParagraphFont"/>
    <w:link w:val="Footer"/>
    <w:uiPriority w:val="99"/>
    <w:semiHidden/>
    <w:rsid w:val="00741F47"/>
    <w:rPr>
      <w:sz w:val="18"/>
      <w:szCs w:val="18"/>
    </w:rPr>
  </w:style>
  <w:style w:type="paragraph" w:styleId="BodyText">
    <w:name w:val="Body Text"/>
    <w:aliases w:val="表内文字,表标"/>
    <w:link w:val="Char2"/>
    <w:unhideWhenUsed/>
    <w:rsid w:val="00741F47"/>
    <w:pPr>
      <w:widowControl w:val="0"/>
      <w:spacing w:after="120"/>
      <w:jc w:val="both"/>
    </w:pPr>
    <w:rPr>
      <w:kern w:val="2"/>
      <w:sz w:val="21"/>
      <w:szCs w:val="22"/>
      <w:lang w:val="en-US" w:eastAsia="zh-CN" w:bidi="ar-SA"/>
    </w:rPr>
  </w:style>
  <w:style w:type="character" w:customStyle="1" w:styleId="Char2">
    <w:name w:val="正文文本 Char"/>
    <w:aliases w:val="表内文字 Char,表标 Char"/>
    <w:basedOn w:val="DefaultParagraphFont"/>
    <w:link w:val="BodyText"/>
    <w:uiPriority w:val="99"/>
    <w:semiHidden/>
    <w:rsid w:val="00741F47"/>
  </w:style>
  <w:style w:type="paragraph" w:styleId="BodyTextFirstIndent">
    <w:name w:val="Body Text First Indent"/>
    <w:aliases w:val="可研-正文首行缩进,正文首行缩进 Char Char,正文首行缩进 Char Char Char Char,正文首行缩进 Char Char Char Char Char Char,正文首行缩进 Char Char Char Char Char Char Char Char Char,正文首行缩进 Char Char Char Char Char Char Char Char Char Char Char Char Char Char Char Char Char Char Char"/>
    <w:link w:val="Char5"/>
    <w:rsid w:val="00741F47"/>
    <w:pPr>
      <w:widowControl w:val="0"/>
      <w:spacing w:line="520" w:lineRule="exact"/>
      <w:ind w:firstLine="200" w:firstLineChars="200"/>
      <w:jc w:val="both"/>
    </w:pPr>
    <w:rPr>
      <w:rFonts w:ascii="Times New Roman" w:eastAsia="宋体" w:hAnsi="Times New Roman" w:cs="Times New Roman"/>
      <w:snapToGrid w:val="0"/>
      <w:spacing w:val="10"/>
      <w:kern w:val="22"/>
      <w:sz w:val="28"/>
      <w:szCs w:val="22"/>
      <w:lang w:val="en-US" w:eastAsia="zh-CN" w:bidi="ar-SA"/>
    </w:rPr>
  </w:style>
  <w:style w:type="character" w:customStyle="1" w:styleId="Char5">
    <w:name w:val="正文首行缩进 Char"/>
    <w:aliases w:val="可研-正文首行缩进 Char,正文首行缩进 Char Char Char Char Char Char Char Char Char Char1,正文首行缩进 Char Char Char Char Char Char Char1,正文首行缩进 Char Char Char Char Char1,正文首行缩进 Char Char Char1"/>
    <w:basedOn w:val="Char2"/>
    <w:link w:val="BodyTextFirstIndent"/>
    <w:rsid w:val="00741F47"/>
    <w:rPr>
      <w:rFonts w:ascii="Times New Roman" w:eastAsia="宋体" w:hAnsi="Times New Roman" w:cs="Times New Roman"/>
      <w:snapToGrid w:val="0"/>
      <w:spacing w:val="10"/>
      <w:kern w:val="22"/>
      <w:sz w:val="28"/>
    </w:rPr>
  </w:style>
  <w:style w:type="paragraph" w:customStyle="1" w:styleId="CharChar4">
    <w:name w:val="Char Char4"/>
    <w:rsid w:val="00741F47"/>
    <w:pPr>
      <w:widowControl w:val="0"/>
      <w:jc w:val="both"/>
    </w:pPr>
    <w:rPr>
      <w:rFonts w:ascii="Times New Roman" w:eastAsia="宋体" w:hAnsi="Times New Roman" w:cs="Times New Roman"/>
      <w:kern w:val="2"/>
      <w:sz w:val="21"/>
      <w:szCs w:val="24"/>
      <w:lang w:val="en-US" w:eastAsia="zh-CN" w:bidi="ar-SA"/>
    </w:rPr>
  </w:style>
  <w:style w:type="character" w:customStyle="1" w:styleId="1Char">
    <w:name w:val="标题 1 Char"/>
    <w:basedOn w:val="DefaultParagraphFont"/>
    <w:link w:val="Heading1"/>
    <w:rsid w:val="00CC18D8"/>
    <w:rPr>
      <w:rFonts w:ascii="Arial" w:eastAsia="黑体" w:hAnsi="Arial" w:cs="Times New Roman"/>
      <w:noProof/>
      <w:snapToGrid w:val="0"/>
      <w:spacing w:val="10"/>
      <w:kern w:val="22"/>
      <w:sz w:val="30"/>
      <w:szCs w:val="30"/>
    </w:rPr>
  </w:style>
  <w:style w:type="character" w:customStyle="1" w:styleId="2Char0">
    <w:name w:val="标题 2 Char"/>
    <w:basedOn w:val="DefaultParagraphFont"/>
    <w:link w:val="Heading2"/>
    <w:rsid w:val="00CC18D8"/>
    <w:rPr>
      <w:rFonts w:ascii="Arial" w:eastAsia="黑体" w:hAnsi="Arial" w:cs="Times New Roman"/>
      <w:snapToGrid w:val="0"/>
      <w:color w:val="0000FF"/>
      <w:spacing w:val="10"/>
      <w:kern w:val="0"/>
      <w:sz w:val="32"/>
      <w:szCs w:val="32"/>
    </w:rPr>
  </w:style>
  <w:style w:type="character" w:customStyle="1" w:styleId="3Char">
    <w:name w:val="标题 3 Char"/>
    <w:basedOn w:val="DefaultParagraphFont"/>
    <w:link w:val="Heading3"/>
    <w:rsid w:val="00CC18D8"/>
    <w:rPr>
      <w:rFonts w:ascii="Arial" w:eastAsia="黑体" w:hAnsi="Arial" w:cs="Times New Roman"/>
      <w:snapToGrid w:val="0"/>
      <w:spacing w:val="10"/>
      <w:kern w:val="22"/>
      <w:sz w:val="28"/>
    </w:rPr>
  </w:style>
  <w:style w:type="character" w:customStyle="1" w:styleId="4Char">
    <w:name w:val="标题 4 Char"/>
    <w:basedOn w:val="DefaultParagraphFont"/>
    <w:link w:val="Heading4"/>
    <w:rsid w:val="00CC18D8"/>
    <w:rPr>
      <w:rFonts w:ascii="Arial" w:eastAsia="黑体" w:hAnsi="Arial" w:cs="Times New Roman"/>
      <w:snapToGrid w:val="0"/>
      <w:spacing w:val="10"/>
      <w:kern w:val="22"/>
      <w:sz w:val="28"/>
    </w:rPr>
  </w:style>
  <w:style w:type="character" w:customStyle="1" w:styleId="5Char">
    <w:name w:val="标题 5 Char"/>
    <w:basedOn w:val="DefaultParagraphFont"/>
    <w:link w:val="Heading5"/>
    <w:rsid w:val="00CC18D8"/>
    <w:rPr>
      <w:rFonts w:ascii="Arial" w:eastAsia="黑体" w:hAnsi="Arial" w:cs="Times New Roman"/>
      <w:snapToGrid w:val="0"/>
      <w:spacing w:val="10"/>
      <w:kern w:val="22"/>
      <w:sz w:val="22"/>
    </w:rPr>
  </w:style>
  <w:style w:type="character" w:customStyle="1" w:styleId="6Char">
    <w:name w:val="标题 6 Char"/>
    <w:aliases w:val="二级项 Char,可研-标题 6 Char,无节 Char,标6 Char,标题 6! Char,标题6，6级标题，小四中宋粗，无序号 Char Char,标题6，6级标题，小四中宋粗，无序号 Char1,标题8 Char"/>
    <w:basedOn w:val="DefaultParagraphFont"/>
    <w:link w:val="Heading6"/>
    <w:rsid w:val="00CC18D8"/>
    <w:rPr>
      <w:rFonts w:ascii="Times New Roman" w:eastAsia="楷体_GB2312" w:hAnsi="Times New Roman" w:cs="Times New Roman"/>
      <w:snapToGrid w:val="0"/>
      <w:spacing w:val="10"/>
      <w:kern w:val="22"/>
      <w:sz w:val="22"/>
    </w:rPr>
  </w:style>
  <w:style w:type="character" w:customStyle="1" w:styleId="7Char">
    <w:name w:val="标题 7 Char"/>
    <w:basedOn w:val="DefaultParagraphFont"/>
    <w:link w:val="Heading7"/>
    <w:rsid w:val="00CC18D8"/>
    <w:rPr>
      <w:rFonts w:ascii="Times New Roman" w:eastAsia="楷体_GB2312" w:hAnsi="Times New Roman" w:cs="Times New Roman"/>
      <w:snapToGrid w:val="0"/>
      <w:color w:val="FFFFFF"/>
      <w:spacing w:val="10"/>
      <w:kern w:val="22"/>
      <w:sz w:val="28"/>
    </w:rPr>
  </w:style>
  <w:style w:type="character" w:customStyle="1" w:styleId="8Char0">
    <w:name w:val="标题 8 Char"/>
    <w:basedOn w:val="DefaultParagraphFont"/>
    <w:link w:val="Heading8"/>
    <w:rsid w:val="00CC18D8"/>
    <w:rPr>
      <w:rFonts w:ascii="Times New Roman" w:eastAsia="楷体_GB2312" w:hAnsi="Times New Roman" w:cs="Times New Roman"/>
      <w:i/>
      <w:iCs/>
      <w:snapToGrid w:val="0"/>
      <w:spacing w:val="10"/>
      <w:kern w:val="22"/>
    </w:rPr>
  </w:style>
  <w:style w:type="character" w:customStyle="1" w:styleId="9Char">
    <w:name w:val="标题 9 Char"/>
    <w:basedOn w:val="DefaultParagraphFont"/>
    <w:link w:val="Heading9"/>
    <w:rsid w:val="00CC18D8"/>
    <w:rPr>
      <w:rFonts w:ascii="Arial" w:eastAsia="黑体" w:hAnsi="Arial" w:cs="Times New Roman"/>
      <w:snapToGrid w:val="0"/>
      <w:sz w:val="22"/>
    </w:rPr>
  </w:style>
  <w:style w:type="paragraph" w:customStyle="1" w:styleId="a">
    <w:name w:val="文本框文字"/>
    <w:link w:val="Char110"/>
    <w:rsid w:val="00CC18D8"/>
    <w:pPr>
      <w:widowControl w:val="0"/>
      <w:spacing w:line="300" w:lineRule="exact"/>
      <w:jc w:val="center"/>
    </w:pPr>
    <w:rPr>
      <w:rFonts w:ascii="Times New Roman" w:eastAsia="楷体_GB2312" w:hAnsi="Times New Roman" w:cs="Times New Roman"/>
      <w:snapToGrid w:val="0"/>
      <w:kern w:val="21"/>
      <w:sz w:val="20"/>
      <w:szCs w:val="21"/>
      <w:lang w:val="x-none" w:eastAsia="x-none" w:bidi="ar-SA"/>
    </w:rPr>
  </w:style>
  <w:style w:type="paragraph" w:styleId="TOC1">
    <w:name w:val="toc 1"/>
    <w:uiPriority w:val="39"/>
    <w:rsid w:val="00CC18D8"/>
    <w:pPr>
      <w:widowControl w:val="0"/>
      <w:snapToGrid w:val="0"/>
      <w:spacing w:line="520" w:lineRule="exact"/>
      <w:jc w:val="both"/>
    </w:pPr>
    <w:rPr>
      <w:rFonts w:ascii="Arial" w:eastAsia="黑体" w:hAnsi="Arial" w:cs="Times New Roman"/>
      <w:snapToGrid w:val="0"/>
      <w:spacing w:val="6"/>
      <w:kern w:val="22"/>
      <w:sz w:val="22"/>
      <w:szCs w:val="22"/>
      <w:lang w:val="en-US" w:eastAsia="zh-CN" w:bidi="ar-SA"/>
    </w:rPr>
  </w:style>
  <w:style w:type="paragraph" w:styleId="TOC2">
    <w:name w:val="toc 2"/>
    <w:uiPriority w:val="39"/>
    <w:rsid w:val="00CC18D8"/>
    <w:pPr>
      <w:widowControl w:val="0"/>
      <w:snapToGrid w:val="0"/>
      <w:spacing w:line="520" w:lineRule="exact"/>
      <w:ind w:left="200" w:leftChars="200"/>
      <w:jc w:val="both"/>
    </w:pPr>
    <w:rPr>
      <w:rFonts w:ascii="Arial" w:eastAsia="黑体" w:hAnsi="Arial" w:cs="Times New Roman"/>
      <w:snapToGrid w:val="0"/>
      <w:spacing w:val="6"/>
      <w:kern w:val="22"/>
      <w:sz w:val="22"/>
      <w:szCs w:val="22"/>
      <w:lang w:val="en-US" w:eastAsia="zh-CN" w:bidi="ar-SA"/>
    </w:rPr>
  </w:style>
  <w:style w:type="character" w:styleId="Hyperlink">
    <w:name w:val="Hyperlink"/>
    <w:uiPriority w:val="99"/>
    <w:rsid w:val="00CC18D8"/>
    <w:rPr>
      <w:color w:val="0000FF"/>
      <w:u w:val="single"/>
    </w:rPr>
  </w:style>
  <w:style w:type="paragraph" w:styleId="PlainText">
    <w:name w:val="Plain Text"/>
    <w:aliases w:val="图表说明,普通文字,普通文字 Char,普通文字 Char Char Char,普通文字 Char Char Char Char Char,普通文字 Char Char Char Char Char Cha,普通文字 Char Char Char Char Char Char,普通文字 Char Char Char Char Char Char Char Char,纯文本 Char Char,纯文本 Char Char Char"/>
    <w:link w:val="Char10"/>
    <w:rsid w:val="00CC18D8"/>
    <w:pPr>
      <w:widowControl w:val="0"/>
      <w:jc w:val="both"/>
    </w:pPr>
    <w:rPr>
      <w:rFonts w:ascii="宋体" w:eastAsia="楷体_GB2312" w:hAnsi="Courier New" w:cs="Times New Roman"/>
      <w:snapToGrid w:val="0"/>
      <w:spacing w:val="10"/>
      <w:kern w:val="0"/>
      <w:sz w:val="20"/>
      <w:szCs w:val="21"/>
      <w:lang w:val="x-none" w:eastAsia="x-none" w:bidi="ar-SA"/>
    </w:rPr>
  </w:style>
  <w:style w:type="character" w:customStyle="1" w:styleId="Char9">
    <w:name w:val="纯文本 Char"/>
    <w:basedOn w:val="DefaultParagraphFont"/>
    <w:link w:val="PlainText"/>
    <w:uiPriority w:val="99"/>
    <w:semiHidden/>
    <w:rsid w:val="00CC18D8"/>
    <w:rPr>
      <w:rFonts w:ascii="宋体" w:eastAsia="宋体" w:hAnsi="Courier New" w:cs="Courier New"/>
      <w:szCs w:val="21"/>
    </w:rPr>
  </w:style>
  <w:style w:type="character" w:customStyle="1" w:styleId="Char10">
    <w:name w:val="纯文本 Char1"/>
    <w:aliases w:val="图表说明 Char1,普通文字 Char Char Char Char,普通文字 Char Char Char Char Char Char Char,普通文字 Char Char Char Char Char Char Char Char Char,普通文字 Char Char Char Char Char Char1,普通文字 Char Char1,普通文字 Char1,纯文本 Char Char Char Char,纯文本 Char Char Char1"/>
    <w:link w:val="PlainText"/>
    <w:rsid w:val="00CC18D8"/>
    <w:rPr>
      <w:rFonts w:ascii="宋体" w:eastAsia="楷体_GB2312" w:hAnsi="Courier New" w:cs="Courier New"/>
      <w:snapToGrid w:val="0"/>
      <w:spacing w:val="10"/>
      <w:szCs w:val="21"/>
    </w:rPr>
  </w:style>
  <w:style w:type="paragraph" w:styleId="DocumentMap">
    <w:name w:val="Document Map"/>
    <w:link w:val="Char13"/>
    <w:rsid w:val="00CC18D8"/>
    <w:pPr>
      <w:widowControl w:val="0"/>
      <w:shd w:val="clear" w:color="auto" w:fill="000080"/>
      <w:spacing w:line="520" w:lineRule="exact"/>
      <w:jc w:val="both"/>
    </w:pPr>
    <w:rPr>
      <w:rFonts w:ascii="Times New Roman" w:eastAsia="楷体_GB2312" w:hAnsi="Times New Roman" w:cs="Times New Roman"/>
      <w:spacing w:val="10"/>
      <w:kern w:val="28"/>
      <w:sz w:val="21"/>
      <w:szCs w:val="28"/>
      <w:lang w:val="en-US" w:eastAsia="zh-CN" w:bidi="ar-SA"/>
    </w:rPr>
  </w:style>
  <w:style w:type="character" w:customStyle="1" w:styleId="Char13">
    <w:name w:val="文档结构图 Char"/>
    <w:basedOn w:val="DefaultParagraphFont"/>
    <w:link w:val="DocumentMap"/>
    <w:rsid w:val="00CC18D8"/>
    <w:rPr>
      <w:rFonts w:ascii="Times New Roman" w:eastAsia="楷体_GB2312" w:hAnsi="Times New Roman" w:cs="Times New Roman"/>
      <w:spacing w:val="10"/>
      <w:kern w:val="28"/>
      <w:szCs w:val="28"/>
      <w:shd w:val="clear" w:color="auto" w:fill="000080"/>
    </w:rPr>
  </w:style>
  <w:style w:type="paragraph" w:customStyle="1" w:styleId="Char1CharCharChar">
    <w:name w:val="Char1 Char Char Char"/>
    <w:rsid w:val="00CC18D8"/>
    <w:pPr>
      <w:widowControl w:val="0"/>
      <w:jc w:val="both"/>
    </w:pPr>
    <w:rPr>
      <w:rFonts w:ascii="Times New Roman" w:eastAsia="楷体_GB2312" w:hAnsi="Times New Roman" w:cs="Times New Roman"/>
      <w:snapToGrid w:val="0"/>
      <w:spacing w:val="10"/>
      <w:kern w:val="2"/>
      <w:sz w:val="21"/>
      <w:szCs w:val="22"/>
      <w:lang w:val="en-US" w:eastAsia="zh-CN" w:bidi="ar-SA"/>
    </w:rPr>
  </w:style>
  <w:style w:type="paragraph" w:customStyle="1" w:styleId="a0">
    <w:name w:val="表头"/>
    <w:link w:val="Char14"/>
    <w:rsid w:val="00CC18D8"/>
    <w:pPr>
      <w:keepNext/>
      <w:widowControl w:val="0"/>
      <w:snapToGrid w:val="0"/>
      <w:spacing w:before="40" w:after="40" w:line="480" w:lineRule="exact"/>
      <w:jc w:val="center"/>
    </w:pPr>
    <w:rPr>
      <w:rFonts w:ascii="Arial" w:eastAsia="黑体" w:hAnsi="Arial" w:cs="Times New Roman"/>
      <w:snapToGrid w:val="0"/>
      <w:spacing w:val="10"/>
      <w:kern w:val="24"/>
      <w:sz w:val="24"/>
      <w:szCs w:val="24"/>
      <w:lang w:val="x-none" w:eastAsia="x-none" w:bidi="ar-SA"/>
    </w:rPr>
  </w:style>
  <w:style w:type="character" w:customStyle="1" w:styleId="Char14">
    <w:name w:val="表头 Char"/>
    <w:link w:val="a0"/>
    <w:rsid w:val="00CC18D8"/>
    <w:rPr>
      <w:rFonts w:ascii="Arial" w:eastAsia="黑体" w:hAnsi="Arial" w:cs="Times New Roman"/>
      <w:snapToGrid w:val="0"/>
      <w:spacing w:val="10"/>
      <w:kern w:val="24"/>
      <w:sz w:val="24"/>
      <w:szCs w:val="24"/>
    </w:rPr>
  </w:style>
  <w:style w:type="paragraph" w:styleId="Title">
    <w:name w:val="Title"/>
    <w:next w:val="BodyTextFirstIndent"/>
    <w:link w:val="Char15"/>
    <w:qFormat/>
    <w:rsid w:val="00CC18D8"/>
    <w:pPr>
      <w:keepNext/>
      <w:keepLines/>
      <w:pageBreakBefore/>
      <w:widowControl w:val="0"/>
      <w:spacing w:afterLines="50" w:line="520" w:lineRule="exact"/>
      <w:jc w:val="center"/>
      <w:outlineLvl w:val="0"/>
    </w:pPr>
    <w:rPr>
      <w:rFonts w:ascii="Arial" w:eastAsia="黑体" w:hAnsi="Arial" w:cs="Times New Roman"/>
      <w:snapToGrid w:val="0"/>
      <w:spacing w:val="10"/>
      <w:kern w:val="30"/>
      <w:sz w:val="30"/>
      <w:szCs w:val="30"/>
      <w:lang w:val="en-US" w:eastAsia="zh-CN" w:bidi="ar-SA"/>
    </w:rPr>
  </w:style>
  <w:style w:type="character" w:customStyle="1" w:styleId="Char15">
    <w:name w:val="标题 Char"/>
    <w:basedOn w:val="DefaultParagraphFont"/>
    <w:link w:val="Title"/>
    <w:rsid w:val="00CC18D8"/>
    <w:rPr>
      <w:rFonts w:ascii="Arial" w:eastAsia="黑体" w:hAnsi="Arial" w:cs="Times New Roman"/>
      <w:snapToGrid w:val="0"/>
      <w:spacing w:val="10"/>
      <w:kern w:val="30"/>
      <w:sz w:val="30"/>
      <w:szCs w:val="30"/>
    </w:rPr>
  </w:style>
  <w:style w:type="paragraph" w:customStyle="1" w:styleId="a1">
    <w:name w:val="表后注释"/>
    <w:basedOn w:val="BodyTextFirstIndent"/>
    <w:next w:val="BodyTextFirstIndent"/>
    <w:link w:val="Char25"/>
    <w:rsid w:val="00CC18D8"/>
    <w:pPr>
      <w:spacing w:line="400" w:lineRule="exact"/>
    </w:pPr>
    <w:rPr>
      <w:kern w:val="24"/>
      <w:sz w:val="24"/>
      <w:szCs w:val="24"/>
      <w:lang w:val="x-none" w:eastAsia="x-none"/>
    </w:rPr>
  </w:style>
  <w:style w:type="paragraph" w:styleId="TOC3">
    <w:name w:val="toc 3"/>
    <w:semiHidden/>
    <w:rsid w:val="00CC18D8"/>
    <w:pPr>
      <w:widowControl w:val="0"/>
      <w:spacing w:line="520" w:lineRule="exact"/>
      <w:ind w:left="400" w:leftChars="400"/>
      <w:jc w:val="both"/>
    </w:pPr>
    <w:rPr>
      <w:rFonts w:ascii="Arial" w:eastAsia="楷体_GB2312" w:hAnsi="Arial" w:cs="Times New Roman"/>
      <w:snapToGrid w:val="0"/>
      <w:spacing w:val="6"/>
      <w:kern w:val="22"/>
      <w:sz w:val="22"/>
      <w:szCs w:val="22"/>
      <w:lang w:val="en-US" w:eastAsia="zh-CN" w:bidi="ar-SA"/>
    </w:rPr>
  </w:style>
  <w:style w:type="paragraph" w:styleId="BalloonText">
    <w:name w:val="Balloon Text"/>
    <w:link w:val="Char16"/>
    <w:semiHidden/>
    <w:rsid w:val="00CC18D8"/>
    <w:pPr>
      <w:widowControl w:val="0"/>
      <w:spacing w:line="520" w:lineRule="exact"/>
      <w:jc w:val="both"/>
    </w:pPr>
    <w:rPr>
      <w:rFonts w:ascii="Times New Roman" w:eastAsia="楷体_GB2312" w:hAnsi="Times New Roman" w:cs="Times New Roman"/>
      <w:snapToGrid w:val="0"/>
      <w:spacing w:val="10"/>
      <w:kern w:val="22"/>
      <w:sz w:val="18"/>
      <w:szCs w:val="18"/>
      <w:lang w:val="en-US" w:eastAsia="zh-CN" w:bidi="ar-SA"/>
    </w:rPr>
  </w:style>
  <w:style w:type="character" w:customStyle="1" w:styleId="Char16">
    <w:name w:val="批注框文本 Char"/>
    <w:basedOn w:val="DefaultParagraphFont"/>
    <w:link w:val="BalloonText"/>
    <w:semiHidden/>
    <w:rsid w:val="00CC18D8"/>
    <w:rPr>
      <w:rFonts w:ascii="Times New Roman" w:eastAsia="楷体_GB2312" w:hAnsi="Times New Roman" w:cs="Times New Roman"/>
      <w:snapToGrid w:val="0"/>
      <w:spacing w:val="10"/>
      <w:kern w:val="22"/>
      <w:sz w:val="18"/>
      <w:szCs w:val="18"/>
    </w:rPr>
  </w:style>
  <w:style w:type="paragraph" w:customStyle="1" w:styleId="212">
    <w:name w:val="样式 表格文字 + 左侧:  2.12 厘米"/>
    <w:next w:val="BodyTextFirstIndent2"/>
    <w:rsid w:val="00CC18D8"/>
    <w:pPr>
      <w:widowControl w:val="0"/>
      <w:spacing w:line="400" w:lineRule="exact"/>
      <w:jc w:val="both"/>
    </w:pPr>
    <w:rPr>
      <w:rFonts w:ascii="Times New Roman" w:eastAsia="楷体_GB2312" w:hAnsi="Times New Roman" w:cs="宋体"/>
      <w:snapToGrid w:val="0"/>
      <w:kern w:val="24"/>
      <w:sz w:val="24"/>
      <w:szCs w:val="20"/>
      <w:lang w:val="x-none" w:eastAsia="x-none" w:bidi="ar-SA"/>
    </w:rPr>
  </w:style>
  <w:style w:type="paragraph" w:styleId="BodyTextIndent">
    <w:name w:val="Body Text Indent"/>
    <w:next w:val="BodyTextFirstIndent"/>
    <w:link w:val="Char17"/>
    <w:rsid w:val="00CC18D8"/>
    <w:pPr>
      <w:widowControl w:val="0"/>
      <w:snapToGrid w:val="0"/>
      <w:spacing w:line="520" w:lineRule="exact"/>
      <w:ind w:left="200" w:firstLine="200" w:leftChars="200" w:firstLineChars="200"/>
      <w:jc w:val="both"/>
    </w:pPr>
    <w:rPr>
      <w:rFonts w:ascii="Times New Roman" w:eastAsia="楷体_GB2312" w:hAnsi="Times New Roman" w:cs="Times New Roman"/>
      <w:snapToGrid w:val="0"/>
      <w:spacing w:val="10"/>
      <w:kern w:val="22"/>
      <w:sz w:val="22"/>
      <w:szCs w:val="22"/>
      <w:lang w:val="en-US" w:eastAsia="zh-CN" w:bidi="ar-SA"/>
    </w:rPr>
  </w:style>
  <w:style w:type="character" w:customStyle="1" w:styleId="Char17">
    <w:name w:val="正文文本缩进 Char"/>
    <w:basedOn w:val="DefaultParagraphFont"/>
    <w:link w:val="BodyTextIndent"/>
    <w:rsid w:val="00CC18D8"/>
    <w:rPr>
      <w:rFonts w:ascii="Times New Roman" w:eastAsia="楷体_GB2312" w:hAnsi="Times New Roman" w:cs="Times New Roman"/>
      <w:snapToGrid w:val="0"/>
      <w:spacing w:val="10"/>
      <w:kern w:val="22"/>
      <w:sz w:val="22"/>
    </w:rPr>
  </w:style>
  <w:style w:type="paragraph" w:styleId="BodyTextFirstIndent2">
    <w:name w:val="Body Text First Indent 2"/>
    <w:basedOn w:val="BodyTextIndent"/>
    <w:link w:val="2Char1"/>
    <w:rsid w:val="00CC18D8"/>
    <w:pPr>
      <w:snapToGrid/>
      <w:spacing w:after="120"/>
      <w:ind w:left="420" w:firstLine="420"/>
    </w:pPr>
    <w:rPr>
      <w:snapToGrid/>
    </w:rPr>
  </w:style>
  <w:style w:type="character" w:customStyle="1" w:styleId="2Char1">
    <w:name w:val="正文首行缩进 2 Char"/>
    <w:basedOn w:val="Char17"/>
    <w:link w:val="BodyTextFirstIndent2"/>
    <w:rsid w:val="00CC18D8"/>
  </w:style>
  <w:style w:type="character" w:styleId="PageNumber">
    <w:name w:val="page number"/>
    <w:rsid w:val="00CC18D8"/>
    <w:rPr>
      <w:rFonts w:ascii="Arial" w:hAnsi="Arial"/>
      <w:i/>
      <w:spacing w:val="10"/>
      <w:w w:val="100"/>
      <w:kern w:val="21"/>
      <w:position w:val="0"/>
      <w:sz w:val="21"/>
      <w:szCs w:val="21"/>
      <w:bdr w:val="none" w:sz="0" w:space="0" w:color="auto"/>
    </w:rPr>
  </w:style>
  <w:style w:type="paragraph" w:customStyle="1" w:styleId="a2">
    <w:name w:val="自然条件"/>
    <w:basedOn w:val="BodyTextFirstIndent"/>
    <w:rsid w:val="00CC18D8"/>
    <w:pPr>
      <w:tabs>
        <w:tab w:val="left" w:pos="5879"/>
      </w:tabs>
      <w:ind w:firstLine="520"/>
    </w:pPr>
  </w:style>
  <w:style w:type="paragraph" w:customStyle="1" w:styleId="CharCharCharChar2">
    <w:name w:val="Char Char Char Char"/>
    <w:rsid w:val="00CC18D8"/>
    <w:pPr>
      <w:widowControl/>
      <w:jc w:val="left"/>
    </w:pPr>
    <w:rPr>
      <w:rFonts w:ascii="宋体" w:eastAsia="楷体_GB2312" w:hAnsi="宋体" w:cs="宋体"/>
      <w:snapToGrid w:val="0"/>
      <w:kern w:val="0"/>
      <w:sz w:val="22"/>
      <w:szCs w:val="21"/>
      <w:lang w:val="en-US" w:eastAsia="zh-CN" w:bidi="ar-SA"/>
    </w:rPr>
  </w:style>
  <w:style w:type="paragraph" w:customStyle="1" w:styleId="ZL-">
    <w:name w:val="ZL-正文"/>
    <w:basedOn w:val="BodyText"/>
    <w:link w:val="ZL-Char"/>
    <w:rsid w:val="00CC18D8"/>
    <w:pPr>
      <w:spacing w:after="0" w:line="360" w:lineRule="auto"/>
      <w:ind w:firstLine="200" w:firstLineChars="200"/>
    </w:pPr>
    <w:rPr>
      <w:rFonts w:ascii="Times New Roman" w:eastAsia="楷体_GB2312" w:hAnsi="Times New Roman" w:cs="Times New Roman"/>
      <w:snapToGrid w:val="0"/>
      <w:kern w:val="0"/>
      <w:sz w:val="22"/>
      <w:szCs w:val="20"/>
      <w:lang w:val="x-none" w:eastAsia="x-none"/>
    </w:rPr>
  </w:style>
  <w:style w:type="paragraph" w:customStyle="1" w:styleId="1">
    <w:name w:val="封面1"/>
    <w:rsid w:val="00CC18D8"/>
    <w:pPr>
      <w:widowControl w:val="0"/>
      <w:spacing w:line="420" w:lineRule="auto"/>
      <w:jc w:val="center"/>
    </w:pPr>
    <w:rPr>
      <w:rFonts w:ascii="Times New Roman" w:eastAsia="楷体_GB2312" w:hAnsi="Times New Roman" w:cs="Times New Roman"/>
      <w:b/>
      <w:snapToGrid w:val="0"/>
      <w:spacing w:val="10"/>
      <w:kern w:val="22"/>
      <w:sz w:val="44"/>
      <w:szCs w:val="44"/>
      <w:lang w:val="en-US" w:eastAsia="zh-CN" w:bidi="ar-SA"/>
    </w:rPr>
  </w:style>
  <w:style w:type="paragraph" w:customStyle="1" w:styleId="a3">
    <w:name w:val="封面二"/>
    <w:rsid w:val="00CC18D8"/>
    <w:pPr>
      <w:widowControl w:val="0"/>
      <w:spacing w:line="520" w:lineRule="exact"/>
      <w:jc w:val="center"/>
    </w:pPr>
    <w:rPr>
      <w:rFonts w:ascii="黑体" w:eastAsia="黑体" w:hAnsi="Times New Roman" w:cs="Times New Roman"/>
      <w:b/>
      <w:snapToGrid w:val="0"/>
      <w:spacing w:val="10"/>
      <w:kern w:val="22"/>
      <w:sz w:val="52"/>
      <w:szCs w:val="52"/>
      <w:lang w:val="en-US" w:eastAsia="zh-CN" w:bidi="ar-SA"/>
    </w:rPr>
  </w:style>
  <w:style w:type="paragraph" w:customStyle="1" w:styleId="a4">
    <w:name w:val="封面三"/>
    <w:rsid w:val="00CC18D8"/>
    <w:pPr>
      <w:widowControl w:val="0"/>
      <w:spacing w:line="700" w:lineRule="exact"/>
      <w:jc w:val="center"/>
    </w:pPr>
    <w:rPr>
      <w:rFonts w:ascii="宋体" w:eastAsia="楷体_GB2312" w:hAnsi="宋体" w:cs="Times New Roman"/>
      <w:b/>
      <w:snapToGrid w:val="0"/>
      <w:spacing w:val="10"/>
      <w:w w:val="80"/>
      <w:kern w:val="22"/>
      <w:sz w:val="32"/>
      <w:szCs w:val="32"/>
      <w:lang w:val="en-US" w:eastAsia="zh-CN" w:bidi="ar-SA"/>
    </w:rPr>
  </w:style>
  <w:style w:type="paragraph" w:customStyle="1" w:styleId="a5">
    <w:name w:val="机构名称"/>
    <w:rsid w:val="00CC18D8"/>
    <w:pPr>
      <w:widowControl w:val="0"/>
      <w:spacing w:line="700" w:lineRule="exact"/>
      <w:jc w:val="center"/>
    </w:pPr>
    <w:rPr>
      <w:rFonts w:ascii="Times New Roman" w:eastAsia="楷体_GB2312" w:hAnsi="Times New Roman" w:cs="Times New Roman"/>
      <w:b/>
      <w:snapToGrid w:val="0"/>
      <w:spacing w:val="10"/>
      <w:kern w:val="22"/>
      <w:sz w:val="44"/>
      <w:szCs w:val="44"/>
      <w:lang w:val="en-US" w:eastAsia="zh-CN" w:bidi="ar-SA"/>
    </w:rPr>
  </w:style>
  <w:style w:type="table" w:styleId="TableGrid">
    <w:name w:val="Table Grid"/>
    <w:aliases w:val="三线表,网格型!,网格型-中对齐,网格型-无边竖线"/>
    <w:basedOn w:val="TableNormal"/>
    <w:rsid w:val="00CC18D8"/>
    <w:pPr>
      <w:widowControl w:val="0"/>
      <w:spacing w:line="520" w:lineRule="exact"/>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qFormat/>
    <w:rsid w:val="00CC18D8"/>
    <w:pPr>
      <w:widowControl w:val="0"/>
      <w:jc w:val="both"/>
    </w:pPr>
    <w:rPr>
      <w:rFonts w:ascii="Arial" w:eastAsia="黑体" w:hAnsi="Arial" w:cs="Arial"/>
      <w:kern w:val="2"/>
      <w:sz w:val="20"/>
      <w:szCs w:val="20"/>
      <w:lang w:val="en-US" w:eastAsia="zh-CN" w:bidi="ar-SA"/>
    </w:rPr>
  </w:style>
  <w:style w:type="paragraph" w:customStyle="1" w:styleId="Default">
    <w:name w:val="Default"/>
    <w:rsid w:val="00CC18D8"/>
    <w:pPr>
      <w:widowControl w:val="0"/>
      <w:autoSpaceDE w:val="0"/>
      <w:autoSpaceDN w:val="0"/>
      <w:adjustRightInd w:val="0"/>
    </w:pPr>
    <w:rPr>
      <w:rFonts w:ascii="Times" w:eastAsia="宋体" w:hAnsi="Times" w:cs="Times"/>
      <w:color w:val="000000"/>
      <w:sz w:val="24"/>
      <w:szCs w:val="24"/>
      <w:lang w:val="en-US" w:eastAsia="zh-CN" w:bidi="ar-SA"/>
    </w:rPr>
  </w:style>
  <w:style w:type="paragraph" w:styleId="NormalIndent">
    <w:name w:val="Normal Indent"/>
    <w:aliases w:val="标题4,正文缩进 Cha,正文非缩进,正文（首行缩进两字） Char,正文（首行缩进两字） Char Char,正文（首行缩进两字） Char Char Char,正文（首行缩进两字） Char Char Char1,正文（首行缩进两字） Char Char1,正文（首行缩进两字） Char1,正文（首行缩进两字）1,正文（首行缩进两字）1 Char,特点,表格标题 Char,表格标题 Char Char Char,表格标题 Char Char Char Char Char,表正文,首行缩进"/>
    <w:link w:val="Char21"/>
    <w:rsid w:val="00CC18D8"/>
    <w:pPr>
      <w:widowControl w:val="0"/>
      <w:tabs>
        <w:tab w:val="left" w:pos="1727"/>
        <w:tab w:val="left" w:pos="1884"/>
      </w:tabs>
      <w:spacing w:line="300" w:lineRule="auto"/>
      <w:ind w:firstLine="420" w:firstLineChars="200"/>
      <w:jc w:val="both"/>
      <w:outlineLvl w:val="0"/>
    </w:pPr>
    <w:rPr>
      <w:rFonts w:ascii="Times New Roman" w:eastAsia="宋体" w:hAnsi="Times New Roman" w:cs="Times New Roman"/>
      <w:kern w:val="0"/>
      <w:sz w:val="28"/>
      <w:szCs w:val="20"/>
      <w:lang w:val="x-none" w:eastAsia="x-none" w:bidi="ar-SA"/>
    </w:rPr>
  </w:style>
  <w:style w:type="character" w:customStyle="1" w:styleId="Char21">
    <w:name w:val="正文缩进 Char"/>
    <w:aliases w:val="正文非缩进 Char,正文（首行缩进两字） Char Char Char Char,正文（首行缩进两字） Char Char Char1 Char,正文（首行缩进两字） Char Char Char2,正文（首行缩进两字） Char Char2,正文（首行缩进两字） Char1 Char,表格标题 Char Char,表格标题 Char Char Char Char,表格标题 Char Char Char Char Char Char,表正文 Char,首行缩进 Char"/>
    <w:link w:val="NormalIndent"/>
    <w:rsid w:val="00CC18D8"/>
    <w:rPr>
      <w:rFonts w:ascii="Times New Roman" w:eastAsia="宋体" w:hAnsi="Times New Roman" w:cs="Times New Roman"/>
      <w:sz w:val="28"/>
      <w:szCs w:val="20"/>
    </w:rPr>
  </w:style>
  <w:style w:type="character" w:customStyle="1" w:styleId="Char25">
    <w:name w:val="表后注释 Char"/>
    <w:link w:val="a1"/>
    <w:rsid w:val="00CC18D8"/>
    <w:rPr>
      <w:rFonts w:ascii="Times New Roman" w:eastAsia="宋体" w:hAnsi="Times New Roman" w:cs="Times New Roman"/>
      <w:snapToGrid w:val="0"/>
      <w:spacing w:val="10"/>
      <w:kern w:val="24"/>
      <w:sz w:val="24"/>
      <w:szCs w:val="24"/>
    </w:rPr>
  </w:style>
  <w:style w:type="paragraph" w:customStyle="1" w:styleId="Char26">
    <w:name w:val="Char"/>
    <w:rsid w:val="00CC18D8"/>
    <w:pPr>
      <w:widowControl w:val="0"/>
      <w:jc w:val="left"/>
    </w:pPr>
    <w:rPr>
      <w:rFonts w:ascii="Times New Roman" w:eastAsia="宋体" w:hAnsi="Times New Roman" w:cs="Times New Roman"/>
      <w:kern w:val="2"/>
      <w:sz w:val="21"/>
      <w:szCs w:val="24"/>
      <w:lang w:val="en-US" w:eastAsia="zh-CN" w:bidi="ar-SA"/>
    </w:rPr>
  </w:style>
  <w:style w:type="paragraph" w:customStyle="1" w:styleId="3">
    <w:name w:val="表格文字3"/>
    <w:rsid w:val="00CC18D8"/>
    <w:pPr>
      <w:widowControl w:val="0"/>
      <w:adjustRightInd w:val="0"/>
      <w:spacing w:line="340" w:lineRule="exact"/>
      <w:jc w:val="center"/>
    </w:pPr>
    <w:rPr>
      <w:rFonts w:ascii="Times New Roman" w:eastAsia="宋体" w:hAnsi="Times New Roman" w:cs="宋体"/>
      <w:snapToGrid/>
      <w:kern w:val="24"/>
      <w:sz w:val="21"/>
      <w:szCs w:val="20"/>
      <w:lang w:val="x-none" w:eastAsia="x-none" w:bidi="ar-SA"/>
    </w:rPr>
  </w:style>
  <w:style w:type="character" w:customStyle="1" w:styleId="CharChar5">
    <w:name w:val="表格文字 Char Char"/>
    <w:rsid w:val="00CC18D8"/>
    <w:rPr>
      <w:rFonts w:eastAsia="宋体"/>
      <w:kern w:val="24"/>
      <w:sz w:val="24"/>
      <w:szCs w:val="24"/>
      <w:lang w:val="en-US" w:eastAsia="zh-CN" w:bidi="ar-SA"/>
    </w:rPr>
  </w:style>
  <w:style w:type="character" w:styleId="Strong">
    <w:name w:val="Strong"/>
    <w:qFormat/>
    <w:rsid w:val="00CC18D8"/>
    <w:rPr>
      <w:b/>
      <w:bCs/>
    </w:rPr>
  </w:style>
  <w:style w:type="character" w:customStyle="1" w:styleId="font41">
    <w:name w:val="font41"/>
    <w:rsid w:val="00CC18D8"/>
    <w:rPr>
      <w:rFonts w:ascii="Times New Roman" w:hAnsi="Times New Roman" w:hint="default"/>
      <w:b/>
      <w:color w:val="000000"/>
      <w:sz w:val="24"/>
      <w:u w:val="none"/>
    </w:rPr>
  </w:style>
  <w:style w:type="paragraph" w:styleId="BodyTextIndent2">
    <w:name w:val="Body Text Indent 2"/>
    <w:aliases w:val="正文文字缩进小4"/>
    <w:link w:val="2Char2"/>
    <w:rsid w:val="00CC18D8"/>
    <w:pPr>
      <w:widowControl w:val="0"/>
      <w:spacing w:after="120" w:line="480" w:lineRule="auto"/>
      <w:ind w:left="420" w:leftChars="200"/>
      <w:jc w:val="both"/>
    </w:pPr>
    <w:rPr>
      <w:rFonts w:ascii="Times New Roman" w:eastAsia="宋体" w:hAnsi="Times New Roman" w:cs="Times New Roman"/>
      <w:kern w:val="2"/>
      <w:sz w:val="28"/>
      <w:szCs w:val="20"/>
      <w:lang w:val="en-US" w:eastAsia="zh-CN" w:bidi="ar-SA"/>
    </w:rPr>
  </w:style>
  <w:style w:type="character" w:customStyle="1" w:styleId="2Char2">
    <w:name w:val="正文文本缩进 2 Char"/>
    <w:aliases w:val="正文文字缩进小4 Char"/>
    <w:basedOn w:val="DefaultParagraphFont"/>
    <w:link w:val="BodyTextIndent2"/>
    <w:rsid w:val="00CC18D8"/>
    <w:rPr>
      <w:rFonts w:ascii="Times New Roman" w:eastAsia="宋体" w:hAnsi="Times New Roman" w:cs="Times New Roman"/>
      <w:sz w:val="28"/>
      <w:szCs w:val="20"/>
    </w:rPr>
  </w:style>
  <w:style w:type="paragraph" w:customStyle="1" w:styleId="30">
    <w:name w:val="3"/>
    <w:next w:val="PlainText"/>
    <w:rsid w:val="00CC18D8"/>
    <w:pPr>
      <w:widowControl w:val="0"/>
      <w:jc w:val="both"/>
    </w:pPr>
    <w:rPr>
      <w:rFonts w:ascii="宋体" w:eastAsia="宋体" w:hAnsi="Courier New" w:cs="Times New Roman"/>
      <w:kern w:val="2"/>
      <w:sz w:val="28"/>
      <w:szCs w:val="20"/>
      <w:lang w:val="en-US" w:eastAsia="zh-CN" w:bidi="ar-SA"/>
    </w:rPr>
  </w:style>
  <w:style w:type="paragraph" w:styleId="List2">
    <w:name w:val="List 2"/>
    <w:rsid w:val="00CC18D8"/>
    <w:pPr>
      <w:widowControl w:val="0"/>
      <w:ind w:left="100" w:hanging="200" w:leftChars="200" w:hangingChars="200"/>
      <w:jc w:val="both"/>
    </w:pPr>
    <w:rPr>
      <w:rFonts w:ascii="Times New Roman" w:eastAsia="宋体" w:hAnsi="Times New Roman" w:cs="Times New Roman"/>
      <w:kern w:val="2"/>
      <w:sz w:val="28"/>
      <w:szCs w:val="20"/>
      <w:lang w:val="en-US" w:eastAsia="zh-CN" w:bidi="ar-SA"/>
    </w:rPr>
  </w:style>
  <w:style w:type="character" w:customStyle="1" w:styleId="Char27">
    <w:name w:val="正式文字 Char2"/>
    <w:link w:val="a6"/>
    <w:rsid w:val="00CC18D8"/>
    <w:rPr>
      <w:rFonts w:ascii="宋体" w:eastAsia="宋体" w:hAnsi="宋体"/>
      <w:b/>
      <w:color w:val="000000"/>
      <w:sz w:val="24"/>
    </w:rPr>
  </w:style>
  <w:style w:type="paragraph" w:customStyle="1" w:styleId="a6">
    <w:name w:val="正式文字"/>
    <w:link w:val="Char27"/>
    <w:rsid w:val="00CC18D8"/>
    <w:pPr>
      <w:widowControl w:val="0"/>
      <w:adjustRightInd w:val="0"/>
      <w:snapToGrid w:val="0"/>
      <w:jc w:val="both"/>
    </w:pPr>
    <w:rPr>
      <w:rFonts w:ascii="宋体" w:eastAsia="宋体" w:hAnsi="宋体" w:cs="Times New Roman"/>
      <w:b/>
      <w:color w:val="000000"/>
      <w:kern w:val="0"/>
      <w:sz w:val="24"/>
      <w:szCs w:val="20"/>
      <w:lang w:val="x-none" w:eastAsia="x-none" w:bidi="ar-SA"/>
    </w:rPr>
  </w:style>
  <w:style w:type="character" w:customStyle="1" w:styleId="CharCharChar4">
    <w:name w:val="Char Char Char"/>
    <w:rsid w:val="00CC18D8"/>
    <w:rPr>
      <w:rFonts w:ascii="宋体" w:eastAsia="宋体" w:hAnsi="Courier New"/>
      <w:snapToGrid w:val="0"/>
      <w:sz w:val="24"/>
      <w:lang w:val="en-US" w:eastAsia="zh-CN"/>
    </w:rPr>
  </w:style>
  <w:style w:type="paragraph" w:customStyle="1" w:styleId="font7">
    <w:name w:val="font7"/>
    <w:rsid w:val="00CC18D8"/>
    <w:pPr>
      <w:widowControl/>
      <w:spacing w:before="100" w:beforeAutospacing="1" w:after="100" w:afterAutospacing="1"/>
      <w:jc w:val="left"/>
    </w:pPr>
    <w:rPr>
      <w:rFonts w:ascii="Times New Roman" w:eastAsia="宋体" w:hAnsi="Times New Roman" w:cs="Times New Roman"/>
      <w:kern w:val="0"/>
      <w:sz w:val="18"/>
      <w:szCs w:val="20"/>
      <w:lang w:val="en-US" w:eastAsia="zh-CN" w:bidi="ar-SA"/>
    </w:rPr>
  </w:style>
  <w:style w:type="paragraph" w:customStyle="1" w:styleId="a7">
    <w:name w:val="表格文字居中"/>
    <w:link w:val="Char28"/>
    <w:autoRedefine/>
    <w:rsid w:val="00CC18D8"/>
    <w:pPr>
      <w:widowControl w:val="0"/>
      <w:adjustRightInd w:val="0"/>
      <w:spacing w:line="360" w:lineRule="exact"/>
      <w:jc w:val="center"/>
    </w:pPr>
    <w:rPr>
      <w:rFonts w:ascii="Times New Roman" w:eastAsia="宋体" w:hAnsi="宋体" w:cs="Times New Roman"/>
      <w:noProof/>
      <w:color w:val="000000"/>
      <w:kern w:val="0"/>
      <w:sz w:val="20"/>
      <w:szCs w:val="21"/>
      <w:lang w:val="x-none" w:eastAsia="x-none" w:bidi="ar-SA"/>
    </w:rPr>
  </w:style>
  <w:style w:type="character" w:customStyle="1" w:styleId="Char28">
    <w:name w:val="表格文字居中 Char"/>
    <w:link w:val="a7"/>
    <w:rsid w:val="00CC18D8"/>
    <w:rPr>
      <w:rFonts w:ascii="Times New Roman" w:eastAsia="宋体" w:hAnsi="宋体" w:cs="Times New Roman"/>
      <w:noProof/>
      <w:color w:val="000000"/>
      <w:szCs w:val="21"/>
    </w:rPr>
  </w:style>
  <w:style w:type="paragraph" w:customStyle="1" w:styleId="CharCharCharCharCharCharChar0">
    <w:name w:val="Char Char Char Char Char Char Char"/>
    <w:rsid w:val="00CC18D8"/>
    <w:pPr>
      <w:widowControl/>
      <w:spacing w:after="160" w:line="240" w:lineRule="exact"/>
      <w:jc w:val="left"/>
    </w:pPr>
    <w:rPr>
      <w:rFonts w:ascii="Times New Roman" w:eastAsia="宋体" w:hAnsi="Times New Roman" w:cs="Times New Roman"/>
      <w:kern w:val="0"/>
      <w:sz w:val="20"/>
      <w:szCs w:val="20"/>
      <w:lang w:val="en-US" w:eastAsia="en-US" w:bidi="ar-SA"/>
    </w:rPr>
  </w:style>
  <w:style w:type="character" w:customStyle="1" w:styleId="CharCharChar5">
    <w:name w:val="正文首行缩进 Char Char Char"/>
    <w:aliases w:val="正文首行缩进 Char Char Char Char Char,正文首行缩进 Char Char Char Char Char Char Char,正文首行缩进 Char Char Char Char Char Char Char Char Char Char"/>
    <w:rsid w:val="00CC18D8"/>
    <w:rPr>
      <w:rFonts w:eastAsia="宋体"/>
      <w:spacing w:val="10"/>
      <w:kern w:val="28"/>
      <w:sz w:val="28"/>
      <w:szCs w:val="28"/>
      <w:lang w:val="en-US" w:eastAsia="zh-CN" w:bidi="ar-SA"/>
    </w:rPr>
  </w:style>
  <w:style w:type="paragraph" w:customStyle="1" w:styleId="Char00">
    <w:name w:val="Char_0"/>
    <w:rsid w:val="00CC18D8"/>
    <w:pPr>
      <w:widowControl w:val="0"/>
      <w:jc w:val="both"/>
    </w:pPr>
    <w:rPr>
      <w:rFonts w:ascii="Times New Roman" w:eastAsia="宋体" w:hAnsi="Times New Roman" w:cs="Times New Roman"/>
      <w:kern w:val="2"/>
      <w:sz w:val="21"/>
      <w:szCs w:val="21"/>
      <w:lang w:val="en-US" w:eastAsia="zh-CN" w:bidi="ar-SA"/>
    </w:rPr>
  </w:style>
  <w:style w:type="character" w:customStyle="1" w:styleId="font11">
    <w:name w:val="font11"/>
    <w:rsid w:val="00CC18D8"/>
    <w:rPr>
      <w:rFonts w:ascii="Times New Roman" w:hAnsi="Times New Roman" w:hint="default"/>
      <w:color w:val="000000"/>
      <w:sz w:val="24"/>
      <w:u w:val="none"/>
    </w:rPr>
  </w:style>
  <w:style w:type="character" w:customStyle="1" w:styleId="CharChar6">
    <w:name w:val="普通文字 Char Char"/>
    <w:rsid w:val="00CC18D8"/>
    <w:rPr>
      <w:rFonts w:ascii="宋体" w:eastAsia="宋体" w:hAnsi="Courier New"/>
      <w:kern w:val="2"/>
      <w:sz w:val="28"/>
      <w:lang w:val="en-US" w:eastAsia="zh-CN" w:bidi="ar-SA"/>
    </w:rPr>
  </w:style>
  <w:style w:type="character" w:styleId="CommentReference">
    <w:name w:val="annotation reference"/>
    <w:semiHidden/>
    <w:rsid w:val="00CC18D8"/>
    <w:rPr>
      <w:sz w:val="21"/>
      <w:szCs w:val="21"/>
    </w:rPr>
  </w:style>
  <w:style w:type="paragraph" w:customStyle="1" w:styleId="Char29">
    <w:name w:val="Char2"/>
    <w:autoRedefine/>
    <w:rsid w:val="00CC18D8"/>
    <w:pPr>
      <w:widowControl w:val="0"/>
      <w:jc w:val="both"/>
    </w:pPr>
    <w:rPr>
      <w:rFonts w:ascii="宋体" w:eastAsia="宋体" w:hAnsi="宋体" w:cs="Times New Roman"/>
      <w:b/>
      <w:kern w:val="2"/>
      <w:sz w:val="24"/>
      <w:szCs w:val="24"/>
      <w:lang w:val="en-US" w:eastAsia="zh-CN" w:bidi="ar-SA"/>
    </w:rPr>
  </w:style>
  <w:style w:type="character" w:customStyle="1" w:styleId="Char110">
    <w:name w:val="文本框文字 Char1"/>
    <w:link w:val="a"/>
    <w:rsid w:val="00CC18D8"/>
    <w:rPr>
      <w:rFonts w:ascii="Times New Roman" w:eastAsia="楷体_GB2312" w:hAnsi="Times New Roman" w:cs="Times New Roman"/>
      <w:snapToGrid w:val="0"/>
      <w:kern w:val="21"/>
      <w:szCs w:val="21"/>
    </w:rPr>
  </w:style>
  <w:style w:type="paragraph" w:customStyle="1" w:styleId="CharChar11">
    <w:name w:val="Char Char1"/>
    <w:rsid w:val="00CC18D8"/>
    <w:pPr>
      <w:widowControl w:val="0"/>
      <w:spacing w:line="360" w:lineRule="auto"/>
      <w:ind w:firstLine="200" w:firstLineChars="200"/>
      <w:jc w:val="both"/>
    </w:pPr>
    <w:rPr>
      <w:rFonts w:ascii="宋体" w:eastAsia="宋体" w:hAnsi="宋体" w:cs="宋体"/>
      <w:kern w:val="2"/>
      <w:sz w:val="24"/>
      <w:szCs w:val="24"/>
      <w:lang w:val="en-US" w:eastAsia="zh-CN" w:bidi="ar-SA"/>
    </w:rPr>
  </w:style>
  <w:style w:type="paragraph" w:styleId="Date">
    <w:name w:val="Date"/>
    <w:link w:val="Char30"/>
    <w:rsid w:val="00CC18D8"/>
    <w:pPr>
      <w:widowControl w:val="0"/>
      <w:spacing w:line="520" w:lineRule="exact"/>
      <w:ind w:left="100" w:leftChars="2500"/>
      <w:jc w:val="both"/>
    </w:pPr>
    <w:rPr>
      <w:rFonts w:ascii="Times New Roman" w:eastAsia="楷体_GB2312" w:hAnsi="Times New Roman" w:cs="Times New Roman"/>
      <w:snapToGrid w:val="0"/>
      <w:spacing w:val="10"/>
      <w:kern w:val="22"/>
      <w:sz w:val="22"/>
      <w:szCs w:val="22"/>
      <w:lang w:val="en-US" w:eastAsia="zh-CN" w:bidi="ar-SA"/>
    </w:rPr>
  </w:style>
  <w:style w:type="character" w:customStyle="1" w:styleId="Char30">
    <w:name w:val="日期 Char"/>
    <w:basedOn w:val="DefaultParagraphFont"/>
    <w:link w:val="Date"/>
    <w:rsid w:val="00CC18D8"/>
    <w:rPr>
      <w:rFonts w:ascii="Times New Roman" w:eastAsia="楷体_GB2312" w:hAnsi="Times New Roman" w:cs="Times New Roman"/>
      <w:snapToGrid w:val="0"/>
      <w:spacing w:val="10"/>
      <w:kern w:val="22"/>
      <w:sz w:val="22"/>
    </w:rPr>
  </w:style>
  <w:style w:type="paragraph" w:customStyle="1" w:styleId="Char111">
    <w:name w:val="Char1"/>
    <w:rsid w:val="00CC18D8"/>
    <w:pPr>
      <w:widowControl w:val="0"/>
      <w:jc w:val="both"/>
    </w:pPr>
    <w:rPr>
      <w:rFonts w:ascii="Times New Roman" w:eastAsia="宋体" w:hAnsi="Times New Roman" w:cs="Times New Roman"/>
      <w:kern w:val="2"/>
      <w:sz w:val="24"/>
      <w:szCs w:val="24"/>
      <w:lang w:val="en-US" w:eastAsia="zh-CN" w:bidi="ar-SA"/>
    </w:rPr>
  </w:style>
  <w:style w:type="paragraph" w:customStyle="1" w:styleId="CharCharCharCharCharCharCharChar0">
    <w:name w:val="Char Char Char Char Char Char Char Char"/>
    <w:rsid w:val="00CC18D8"/>
    <w:pPr>
      <w:widowControl/>
      <w:spacing w:after="160" w:line="240" w:lineRule="exact"/>
      <w:jc w:val="left"/>
    </w:pPr>
    <w:rPr>
      <w:rFonts w:ascii="Verdana" w:eastAsia="宋体" w:hAnsi="Verdana" w:cs="Times New Roman"/>
      <w:kern w:val="0"/>
      <w:sz w:val="20"/>
      <w:szCs w:val="20"/>
      <w:lang w:val="en-US" w:eastAsia="en-US" w:bidi="ar-SA"/>
    </w:rPr>
  </w:style>
  <w:style w:type="character" w:customStyle="1" w:styleId="Char112">
    <w:name w:val="表格文字 Char1"/>
    <w:rsid w:val="00CC18D8"/>
    <w:rPr>
      <w:rFonts w:eastAsia="宋体"/>
      <w:kern w:val="24"/>
      <w:sz w:val="24"/>
      <w:szCs w:val="24"/>
      <w:lang w:val="en-US" w:eastAsia="zh-CN" w:bidi="ar-SA"/>
    </w:rPr>
  </w:style>
  <w:style w:type="paragraph" w:customStyle="1" w:styleId="a8">
    <w:name w:val="表文"/>
    <w:qFormat/>
    <w:rsid w:val="00CC18D8"/>
    <w:pPr>
      <w:widowControl w:val="0"/>
      <w:jc w:val="both"/>
    </w:pPr>
    <w:rPr>
      <w:rFonts w:ascii="Times New Roman" w:eastAsia="宋体" w:hAnsi="Times New Roman" w:cs="Times New Roman"/>
      <w:kern w:val="2"/>
      <w:sz w:val="21"/>
      <w:szCs w:val="24"/>
      <w:lang w:val="en-US" w:eastAsia="zh-CN" w:bidi="ar-SA"/>
    </w:rPr>
  </w:style>
  <w:style w:type="paragraph" w:customStyle="1" w:styleId="20505">
    <w:name w:val="样式 正文 + 首行缩进:  2 字符 段前: 0.5 行 段后: 0.5 行"/>
    <w:rsid w:val="00CC18D8"/>
    <w:pPr>
      <w:widowControl w:val="0"/>
      <w:spacing w:line="360" w:lineRule="auto"/>
      <w:ind w:firstLine="200" w:firstLineChars="200"/>
      <w:jc w:val="left"/>
    </w:pPr>
    <w:rPr>
      <w:rFonts w:ascii="Times New Roman" w:eastAsia="宋体" w:hAnsi="Times New Roman" w:cs="宋体"/>
      <w:kern w:val="2"/>
      <w:sz w:val="24"/>
      <w:szCs w:val="20"/>
      <w:lang w:val="en-US" w:eastAsia="zh-CN" w:bidi="ar-SA"/>
    </w:rPr>
  </w:style>
  <w:style w:type="character" w:customStyle="1" w:styleId="CharChar30">
    <w:name w:val="Char Char3"/>
    <w:rsid w:val="00CC18D8"/>
    <w:rPr>
      <w:rFonts w:ascii="Arial" w:eastAsia="黑体" w:hAnsi="Arial"/>
      <w:snapToGrid w:val="0"/>
      <w:spacing w:val="10"/>
      <w:kern w:val="28"/>
      <w:sz w:val="28"/>
      <w:szCs w:val="28"/>
      <w:lang w:val="en-US" w:eastAsia="zh-CN" w:bidi="ar-SA"/>
    </w:rPr>
  </w:style>
  <w:style w:type="paragraph" w:customStyle="1" w:styleId="a9">
    <w:name w:val="小表中"/>
    <w:autoRedefine/>
    <w:rsid w:val="00CC18D8"/>
    <w:pPr>
      <w:widowControl w:val="0"/>
      <w:jc w:val="center"/>
    </w:pPr>
    <w:rPr>
      <w:rFonts w:ascii="宋体" w:eastAsia="宋体" w:hAnsi="宋体" w:cs="Times New Roman"/>
      <w:b/>
      <w:kern w:val="2"/>
      <w:sz w:val="21"/>
      <w:szCs w:val="24"/>
      <w:lang w:val="en-US" w:eastAsia="zh-CN" w:bidi="ar-SA"/>
    </w:rPr>
  </w:style>
  <w:style w:type="paragraph" w:customStyle="1" w:styleId="a10">
    <w:name w:val="内容"/>
    <w:link w:val="Char31"/>
    <w:autoRedefine/>
    <w:rsid w:val="00CC18D8"/>
    <w:pPr>
      <w:widowControl w:val="0"/>
      <w:tabs>
        <w:tab w:val="num" w:pos="1410"/>
      </w:tabs>
      <w:spacing w:line="360" w:lineRule="auto"/>
      <w:ind w:left="-2" w:right="210" w:leftChars="-1"/>
      <w:jc w:val="center"/>
    </w:pPr>
    <w:rPr>
      <w:rFonts w:ascii="宋体" w:eastAsia="新宋体" w:hAnsi="宋体" w:cs="Times New Roman"/>
      <w:b/>
      <w:kern w:val="0"/>
      <w:sz w:val="20"/>
      <w:szCs w:val="21"/>
      <w:lang w:val="zh-CN" w:eastAsia="x-none" w:bidi="ar-SA"/>
    </w:rPr>
  </w:style>
  <w:style w:type="paragraph" w:customStyle="1" w:styleId="a11">
    <w:name w:val="报告正文"/>
    <w:link w:val="Char32"/>
    <w:rsid w:val="00CC18D8"/>
    <w:pPr>
      <w:widowControl w:val="0"/>
      <w:adjustRightInd w:val="0"/>
      <w:snapToGrid w:val="0"/>
      <w:spacing w:line="300" w:lineRule="auto"/>
      <w:jc w:val="both"/>
    </w:pPr>
    <w:rPr>
      <w:rFonts w:ascii="宋体" w:eastAsia="宋体" w:hAnsi="Times New Roman" w:cs="Times New Roman"/>
      <w:kern w:val="0"/>
      <w:sz w:val="28"/>
      <w:szCs w:val="20"/>
      <w:lang w:val="x-none" w:eastAsia="x-none" w:bidi="ar-SA"/>
    </w:rPr>
  </w:style>
  <w:style w:type="character" w:customStyle="1" w:styleId="Char31">
    <w:name w:val="内容 Char"/>
    <w:link w:val="a10"/>
    <w:rsid w:val="00CC18D8"/>
    <w:rPr>
      <w:rFonts w:ascii="宋体" w:eastAsia="新宋体" w:hAnsi="宋体" w:cs="Times New Roman"/>
      <w:b/>
      <w:kern w:val="0"/>
      <w:szCs w:val="21"/>
      <w:lang w:val="zh-CN"/>
    </w:rPr>
  </w:style>
  <w:style w:type="character" w:customStyle="1" w:styleId="Char32">
    <w:name w:val="报告正文 Char"/>
    <w:link w:val="a11"/>
    <w:rsid w:val="00CC18D8"/>
    <w:rPr>
      <w:rFonts w:ascii="宋体" w:eastAsia="宋体" w:hAnsi="Times New Roman" w:cs="Times New Roman"/>
      <w:sz w:val="28"/>
      <w:szCs w:val="20"/>
    </w:rPr>
  </w:style>
  <w:style w:type="paragraph" w:customStyle="1" w:styleId="lbh">
    <w:name w:val="lbh"/>
    <w:rsid w:val="00CC18D8"/>
    <w:pPr>
      <w:widowControl w:val="0"/>
      <w:numPr>
        <w:numId w:val="4"/>
      </w:numPr>
      <w:tabs>
        <w:tab w:val="num" w:pos="425"/>
      </w:tabs>
      <w:spacing w:beforeLines="50" w:afterLines="50" w:line="360" w:lineRule="auto"/>
      <w:ind w:left="425" w:hanging="425"/>
      <w:jc w:val="center"/>
      <w:outlineLvl w:val="0"/>
    </w:pPr>
    <w:rPr>
      <w:rFonts w:ascii="宋体" w:eastAsia="宋体" w:hAnsi="Times New Roman" w:cs="Times New Roman"/>
      <w:b/>
      <w:kern w:val="2"/>
      <w:sz w:val="28"/>
      <w:szCs w:val="28"/>
      <w:lang w:val="en-US" w:eastAsia="zh-CN" w:bidi="ar-SA"/>
    </w:rPr>
  </w:style>
  <w:style w:type="paragraph" w:customStyle="1" w:styleId="a12">
    <w:name w:val="设料表居中"/>
    <w:autoRedefine/>
    <w:rsid w:val="00CC18D8"/>
    <w:pPr>
      <w:widowControl w:val="0"/>
      <w:adjustRightInd w:val="0"/>
      <w:spacing w:line="312" w:lineRule="atLeast"/>
      <w:jc w:val="center"/>
    </w:pPr>
    <w:rPr>
      <w:rFonts w:ascii="Times New Roman" w:eastAsia="方正综艺简体" w:hAnsi="Times New Roman" w:cs="Times New Roman"/>
      <w:w w:val="98"/>
      <w:kern w:val="0"/>
      <w:sz w:val="24"/>
      <w:szCs w:val="20"/>
      <w:lang w:val="en-US" w:eastAsia="zh-CN" w:bidi="ar-SA"/>
    </w:rPr>
  </w:style>
  <w:style w:type="paragraph" w:customStyle="1" w:styleId="BTWZ001">
    <w:name w:val="BTWZ001"/>
    <w:semiHidden/>
    <w:rsid w:val="00CC18D8"/>
    <w:pPr>
      <w:widowControl w:val="0"/>
      <w:adjustRightInd w:val="0"/>
      <w:snapToGrid w:val="0"/>
      <w:spacing w:before="120" w:line="300" w:lineRule="auto"/>
      <w:ind w:firstLine="200" w:firstLineChars="200"/>
      <w:jc w:val="both"/>
    </w:pPr>
    <w:rPr>
      <w:rFonts w:ascii="Times New Roman" w:eastAsia="黑体" w:hAnsi="Times New Roman" w:cs="Times New Roman"/>
      <w:snapToGrid w:val="0"/>
      <w:kern w:val="0"/>
      <w:sz w:val="24"/>
      <w:szCs w:val="24"/>
      <w:lang w:val="en-US" w:eastAsia="zh-CN" w:bidi="ar-SA"/>
    </w:rPr>
  </w:style>
  <w:style w:type="paragraph" w:customStyle="1" w:styleId="a13">
    <w:name w:val="样式正文"/>
    <w:rsid w:val="00CC18D8"/>
    <w:pPr>
      <w:widowControl w:val="0"/>
      <w:overflowPunct w:val="0"/>
      <w:spacing w:line="360" w:lineRule="auto"/>
      <w:ind w:left="100" w:right="100" w:firstLine="200" w:leftChars="100" w:rightChars="100" w:firstLineChars="200"/>
      <w:jc w:val="left"/>
    </w:pPr>
    <w:rPr>
      <w:rFonts w:ascii="Times New Roman" w:eastAsia="宋体" w:hAnsi="Times New Roman" w:cs="Times New Roman"/>
      <w:kern w:val="2"/>
      <w:sz w:val="24"/>
      <w:szCs w:val="24"/>
      <w:lang w:val="en-US" w:eastAsia="zh-CN" w:bidi="ar-SA"/>
    </w:rPr>
  </w:style>
  <w:style w:type="paragraph" w:customStyle="1" w:styleId="a14">
    <w:name w:val="插图内文字"/>
    <w:qFormat/>
    <w:rsid w:val="00CC18D8"/>
    <w:pPr>
      <w:widowControl w:val="0"/>
      <w:jc w:val="both"/>
    </w:pPr>
    <w:rPr>
      <w:rFonts w:ascii="Times New Roman" w:eastAsia="宋体" w:hAnsi="Times New Roman" w:cs="Times New Roman"/>
      <w:kern w:val="2"/>
      <w:sz w:val="21"/>
      <w:szCs w:val="24"/>
      <w:lang w:val="en-US" w:eastAsia="zh-CN" w:bidi="ar-SA"/>
    </w:rPr>
  </w:style>
  <w:style w:type="paragraph" w:customStyle="1" w:styleId="a15">
    <w:name w:val="编号及表名"/>
    <w:qFormat/>
    <w:rsid w:val="00CC18D8"/>
    <w:pPr>
      <w:widowControl w:val="0"/>
      <w:spacing w:beforeLines="50" w:line="360" w:lineRule="auto"/>
      <w:ind w:left="100" w:right="100" w:firstLine="200" w:leftChars="100" w:rightChars="100" w:firstLineChars="200"/>
      <w:jc w:val="center"/>
    </w:pPr>
    <w:rPr>
      <w:rFonts w:ascii="宋体" w:eastAsia="宋体" w:hAnsi="宋体" w:cs="Times New Roman"/>
      <w:b/>
      <w:kern w:val="2"/>
      <w:sz w:val="21"/>
      <w:szCs w:val="24"/>
      <w:lang w:val="en-US" w:eastAsia="zh-CN" w:bidi="ar-SA"/>
    </w:rPr>
  </w:style>
  <w:style w:type="paragraph" w:customStyle="1" w:styleId="zzzzzzzzzzzzzzzzzzzzzzzzzz">
    <w:name w:val="zzzzzzzzzzzzzzzzzzzzzzzzzz"/>
    <w:link w:val="zzzzzzzzzzzzzzzzzzzzzzzzzzChar"/>
    <w:qFormat/>
    <w:rsid w:val="00CC18D8"/>
    <w:pPr>
      <w:widowControl w:val="0"/>
      <w:tabs>
        <w:tab w:val="left" w:pos="1727"/>
        <w:tab w:val="left" w:pos="1884"/>
      </w:tabs>
      <w:adjustRightInd w:val="0"/>
      <w:snapToGrid w:val="0"/>
      <w:jc w:val="center"/>
    </w:pPr>
    <w:rPr>
      <w:rFonts w:ascii="Times New Roman" w:eastAsia="宋体" w:hAnsi="Times New Roman" w:cs="Times New Roman"/>
      <w:kern w:val="0"/>
      <w:sz w:val="20"/>
      <w:szCs w:val="21"/>
      <w:lang w:val="x-none" w:eastAsia="x-none" w:bidi="ar-SA"/>
    </w:rPr>
  </w:style>
  <w:style w:type="character" w:customStyle="1" w:styleId="zzzzzzzzzzzzzzzzzzzzzzzzzzChar">
    <w:name w:val="zzzzzzzzzzzzzzzzzzzzzzzzzz Char"/>
    <w:link w:val="zzzzzzzzzzzzzzzzzzzzzzzzzz"/>
    <w:rsid w:val="00CC18D8"/>
    <w:rPr>
      <w:rFonts w:ascii="Times New Roman" w:eastAsia="宋体" w:hAnsi="Times New Roman" w:cs="Times New Roman"/>
      <w:szCs w:val="21"/>
    </w:rPr>
  </w:style>
  <w:style w:type="paragraph" w:customStyle="1" w:styleId="MY">
    <w:name w:val="MY表格后的文字"/>
    <w:link w:val="MYChar"/>
    <w:rsid w:val="00CC18D8"/>
    <w:pPr>
      <w:adjustRightInd w:val="0"/>
      <w:snapToGrid w:val="0"/>
      <w:spacing w:beforeLines="50" w:line="300" w:lineRule="auto"/>
      <w:ind w:firstLine="200" w:firstLineChars="200"/>
    </w:pPr>
    <w:rPr>
      <w:rFonts w:ascii="宋体" w:eastAsia="宋体" w:hAnsi="Calibri" w:cs="Times New Roman"/>
      <w:sz w:val="28"/>
      <w:szCs w:val="28"/>
      <w:lang w:bidi="ar-SA"/>
    </w:rPr>
  </w:style>
  <w:style w:type="character" w:customStyle="1" w:styleId="MYChar">
    <w:name w:val="MY表格后的文字 Char"/>
    <w:link w:val="MY"/>
    <w:rsid w:val="00CC18D8"/>
    <w:rPr>
      <w:rFonts w:ascii="宋体" w:eastAsia="宋体" w:hAnsi="Calibri" w:cs="Times New Roman"/>
      <w:sz w:val="28"/>
      <w:szCs w:val="28"/>
      <w:lang w:bidi="ar-SA"/>
    </w:rPr>
  </w:style>
  <w:style w:type="paragraph" w:customStyle="1" w:styleId="a16">
    <w:name w:val="段落无表"/>
    <w:qFormat/>
    <w:rsid w:val="00CC18D8"/>
    <w:pPr>
      <w:widowControl w:val="0"/>
      <w:adjustRightInd w:val="0"/>
      <w:snapToGrid w:val="0"/>
      <w:spacing w:line="360" w:lineRule="auto"/>
      <w:ind w:firstLine="480" w:firstLineChars="200"/>
      <w:jc w:val="both"/>
    </w:pPr>
    <w:rPr>
      <w:rFonts w:ascii="宋体" w:eastAsia="宋体" w:hAnsi="Times New Roman" w:cs="Times New Roman"/>
      <w:kern w:val="2"/>
      <w:sz w:val="24"/>
      <w:szCs w:val="20"/>
      <w:lang w:val="en-US" w:eastAsia="zh-CN" w:bidi="ar-SA"/>
    </w:rPr>
  </w:style>
  <w:style w:type="paragraph" w:customStyle="1" w:styleId="a17">
    <w:name w:val="说明书正文"/>
    <w:link w:val="Char33"/>
    <w:autoRedefine/>
    <w:qFormat/>
    <w:rsid w:val="00CC18D8"/>
    <w:pPr>
      <w:widowControl w:val="0"/>
      <w:spacing w:line="360" w:lineRule="auto"/>
      <w:ind w:firstLine="480" w:firstLineChars="200"/>
      <w:jc w:val="both"/>
    </w:pPr>
    <w:rPr>
      <w:rFonts w:ascii="宋体" w:eastAsia="宋体" w:hAnsi="宋体" w:cs="Times New Roman"/>
      <w:kern w:val="0"/>
      <w:sz w:val="24"/>
      <w:szCs w:val="24"/>
      <w:lang w:val="x-none" w:eastAsia="x-none" w:bidi="ar-SA"/>
    </w:rPr>
  </w:style>
  <w:style w:type="character" w:customStyle="1" w:styleId="Char33">
    <w:name w:val="说明书正文 Char"/>
    <w:link w:val="a17"/>
    <w:rsid w:val="00CC18D8"/>
    <w:rPr>
      <w:rFonts w:ascii="宋体" w:eastAsia="宋体" w:hAnsi="宋体" w:cs="Times New Roman"/>
      <w:kern w:val="0"/>
      <w:sz w:val="24"/>
      <w:szCs w:val="24"/>
    </w:rPr>
  </w:style>
  <w:style w:type="character" w:customStyle="1" w:styleId="Char34">
    <w:name w:val="图表说明 Char"/>
    <w:aliases w:val="普通文字 Char Char Char Char1,纯文本 Char Char Char Char Char Char Char Char Char Char Char Char Char,纯文本 Char Char Char Char Char Char Char Char Char Char Char Char Char Char Char Char Char Char,纯文本 Char Char Char Char1,纯文本 Char Char Char2"/>
    <w:rsid w:val="00CC18D8"/>
    <w:rPr>
      <w:rFonts w:ascii="宋体" w:hAnsi="Courier New" w:cs="Courier New"/>
      <w:kern w:val="2"/>
      <w:sz w:val="21"/>
      <w:szCs w:val="21"/>
    </w:rPr>
  </w:style>
  <w:style w:type="character" w:customStyle="1" w:styleId="CharChar7">
    <w:name w:val="Char Char"/>
    <w:aliases w:val="1.1.1 Char,3 Cha,3rd level Char,CT Char,H3 Char,Heading 3 - old Char,h3 Char,h3 sub heading Char,l3 Char,一 Ch,三级标题 Char,三级标题，黑粗，四号，序号 Char,小标题 Char,条 Char,条标题1.1.1 Char,标题 3 Char Char Char,标题 3 Char Char1,标题03 Char,正文缩进 Char1 Char,白鹤滩标题 3 Char"/>
    <w:semiHidden/>
    <w:rsid w:val="00CC18D8"/>
    <w:rPr>
      <w:rFonts w:eastAsia="宋体"/>
      <w:kern w:val="2"/>
      <w:sz w:val="21"/>
      <w:lang w:val="en-US" w:eastAsia="zh-CN" w:bidi="ar-SA"/>
    </w:rPr>
  </w:style>
  <w:style w:type="paragraph" w:customStyle="1" w:styleId="11">
    <w:name w:val="Знак Знак11"/>
    <w:semiHidden/>
    <w:rsid w:val="00CC18D8"/>
    <w:pPr>
      <w:widowControl w:val="0"/>
      <w:ind w:left="-48"/>
      <w:jc w:val="both"/>
    </w:pPr>
    <w:rPr>
      <w:rFonts w:ascii="Times New Roman" w:eastAsia="宋体" w:hAnsi="Times New Roman" w:cs="Times New Roman"/>
      <w:kern w:val="2"/>
      <w:sz w:val="21"/>
      <w:szCs w:val="24"/>
      <w:lang w:val="en-US" w:eastAsia="zh-CN" w:bidi="ar-SA"/>
    </w:rPr>
  </w:style>
  <w:style w:type="paragraph" w:customStyle="1" w:styleId="ST4">
    <w:name w:val="正文－ST4"/>
    <w:link w:val="ST4Char"/>
    <w:autoRedefine/>
    <w:rsid w:val="00CC18D8"/>
    <w:pPr>
      <w:widowControl w:val="0"/>
      <w:spacing w:line="360" w:lineRule="auto"/>
      <w:ind w:firstLine="482"/>
      <w:jc w:val="both"/>
    </w:pPr>
    <w:rPr>
      <w:rFonts w:ascii="宋体" w:eastAsia="宋体" w:hAnsi="宋体" w:cs="Times New Roman"/>
      <w:b/>
      <w:kern w:val="0"/>
      <w:position w:val="-6"/>
      <w:sz w:val="24"/>
      <w:szCs w:val="21"/>
      <w:lang w:val="x-none" w:eastAsia="x-none" w:bidi="ar-SA"/>
    </w:rPr>
  </w:style>
  <w:style w:type="character" w:customStyle="1" w:styleId="ST4Char">
    <w:name w:val="正文－ST4 Char"/>
    <w:link w:val="ST4"/>
    <w:rsid w:val="00CC18D8"/>
    <w:rPr>
      <w:rFonts w:ascii="宋体" w:eastAsia="宋体" w:hAnsi="宋体" w:cs="宋体"/>
      <w:b/>
      <w:kern w:val="0"/>
      <w:position w:val="-6"/>
      <w:sz w:val="24"/>
      <w:szCs w:val="21"/>
    </w:rPr>
  </w:style>
  <w:style w:type="paragraph" w:customStyle="1" w:styleId="1-4">
    <w:name w:val="表格文字1-小4居中"/>
    <w:autoRedefine/>
    <w:rsid w:val="00CC18D8"/>
    <w:pPr>
      <w:widowControl w:val="0"/>
      <w:snapToGrid w:val="0"/>
      <w:jc w:val="center"/>
    </w:pPr>
    <w:rPr>
      <w:rFonts w:ascii="宋体" w:eastAsia="宋体" w:hAnsi="宋体" w:cs="Times New Roman"/>
      <w:kern w:val="2"/>
      <w:sz w:val="21"/>
      <w:szCs w:val="21"/>
      <w:lang w:val="en-US" w:eastAsia="zh-CN" w:bidi="ar-SA"/>
    </w:rPr>
  </w:style>
  <w:style w:type="paragraph" w:customStyle="1" w:styleId="12">
    <w:name w:val="样式1"/>
    <w:link w:val="1Char1"/>
    <w:rsid w:val="00CC18D8"/>
    <w:pPr>
      <w:widowControl w:val="0"/>
      <w:adjustRightInd w:val="0"/>
      <w:spacing w:line="360" w:lineRule="atLeast"/>
      <w:jc w:val="left"/>
    </w:pPr>
    <w:rPr>
      <w:rFonts w:ascii="Times New Roman" w:eastAsia="宋体" w:hAnsi="Times New Roman" w:cs="Times New Roman"/>
      <w:kern w:val="0"/>
      <w:sz w:val="24"/>
      <w:szCs w:val="20"/>
      <w:lang w:val="x-none" w:eastAsia="x-none" w:bidi="ar-SA"/>
    </w:rPr>
  </w:style>
  <w:style w:type="character" w:customStyle="1" w:styleId="1Char1">
    <w:name w:val="样式1 Char"/>
    <w:link w:val="12"/>
    <w:rsid w:val="00CC18D8"/>
    <w:rPr>
      <w:rFonts w:ascii="Times New Roman" w:eastAsia="宋体" w:hAnsi="Times New Roman" w:cs="Times New Roman"/>
      <w:kern w:val="0"/>
      <w:sz w:val="24"/>
      <w:szCs w:val="20"/>
    </w:rPr>
  </w:style>
  <w:style w:type="character" w:customStyle="1" w:styleId="ZL-Char">
    <w:name w:val="ZL-正文 Char"/>
    <w:link w:val="ZL-"/>
    <w:rsid w:val="00CC18D8"/>
    <w:rPr>
      <w:rFonts w:ascii="Times New Roman" w:eastAsia="楷体_GB2312" w:hAnsi="Times New Roman" w:cs="Times New Roman"/>
      <w:snapToGrid w:val="0"/>
      <w:sz w:val="22"/>
    </w:rPr>
  </w:style>
  <w:style w:type="character" w:customStyle="1" w:styleId="CharChar8">
    <w:name w:val="表头 Char Char"/>
    <w:rsid w:val="00CC18D8"/>
    <w:rPr>
      <w:rFonts w:ascii="Arial" w:eastAsia="黑体" w:hAnsi="Arial"/>
      <w:snapToGrid w:val="0"/>
      <w:spacing w:val="10"/>
      <w:kern w:val="24"/>
      <w:sz w:val="24"/>
      <w:szCs w:val="24"/>
      <w:lang w:val="en-US" w:eastAsia="zh-CN" w:bidi="ar-SA"/>
    </w:rPr>
  </w:style>
  <w:style w:type="character" w:customStyle="1" w:styleId="CharChar9">
    <w:name w:val="表后注释 Char Char"/>
    <w:rsid w:val="00CC18D8"/>
    <w:rPr>
      <w:rFonts w:eastAsia="宋体"/>
      <w:snapToGrid w:val="0"/>
      <w:spacing w:val="10"/>
      <w:kern w:val="24"/>
      <w:sz w:val="24"/>
      <w:szCs w:val="24"/>
      <w:lang w:val="en-US" w:eastAsia="zh-CN" w:bidi="ar-SA"/>
    </w:rPr>
  </w:style>
  <w:style w:type="character" w:customStyle="1" w:styleId="Char39">
    <w:name w:val="批注文字 Char"/>
    <w:link w:val="CommentText"/>
    <w:rsid w:val="00CC18D8"/>
    <w:rPr>
      <w:rFonts w:eastAsia="宋体"/>
      <w:szCs w:val="24"/>
    </w:rPr>
  </w:style>
  <w:style w:type="paragraph" w:styleId="CommentText">
    <w:name w:val="annotation text"/>
    <w:link w:val="Char39"/>
    <w:rsid w:val="00CC18D8"/>
    <w:pPr>
      <w:widowControl w:val="0"/>
      <w:jc w:val="left"/>
    </w:pPr>
    <w:rPr>
      <w:rFonts w:eastAsia="宋体" w:cs="Times New Roman"/>
      <w:kern w:val="0"/>
      <w:sz w:val="20"/>
      <w:szCs w:val="24"/>
      <w:lang w:val="x-none" w:eastAsia="x-none" w:bidi="ar-SA"/>
    </w:rPr>
  </w:style>
  <w:style w:type="character" w:customStyle="1" w:styleId="Char113">
    <w:name w:val="批注文字 Char1"/>
    <w:basedOn w:val="DefaultParagraphFont"/>
    <w:link w:val="CommentText"/>
    <w:uiPriority w:val="99"/>
    <w:semiHidden/>
    <w:rsid w:val="00CC18D8"/>
  </w:style>
  <w:style w:type="character" w:customStyle="1" w:styleId="Char114">
    <w:name w:val="表头 Char1"/>
    <w:rsid w:val="00CC18D8"/>
    <w:rPr>
      <w:rFonts w:ascii="Arial" w:eastAsia="黑体" w:hAnsi="Arial"/>
      <w:snapToGrid w:val="0"/>
      <w:spacing w:val="10"/>
      <w:kern w:val="24"/>
      <w:sz w:val="24"/>
      <w:szCs w:val="24"/>
      <w:lang w:val="en-US" w:eastAsia="zh-CN" w:bidi="ar-SA"/>
    </w:rPr>
  </w:style>
  <w:style w:type="paragraph" w:customStyle="1" w:styleId="a18">
    <w:name w:val="林宝辉"/>
    <w:autoRedefine/>
    <w:rsid w:val="00CC18D8"/>
    <w:pPr>
      <w:widowControl w:val="0"/>
      <w:numPr>
        <w:ilvl w:val="2"/>
        <w:numId w:val="6"/>
      </w:numPr>
      <w:tabs>
        <w:tab w:val="num" w:pos="704"/>
      </w:tabs>
      <w:spacing w:beforeLines="50" w:afterLines="50" w:line="360" w:lineRule="auto"/>
      <w:ind w:left="704" w:hanging="420"/>
      <w:jc w:val="both"/>
      <w:outlineLvl w:val="2"/>
    </w:pPr>
    <w:rPr>
      <w:rFonts w:ascii="Times New Roman" w:eastAsia="宋体" w:hAnsi="Times New Roman" w:cs="Times New Roman"/>
      <w:b/>
      <w:kern w:val="2"/>
      <w:sz w:val="24"/>
      <w:szCs w:val="24"/>
      <w:lang w:val="en-US" w:eastAsia="zh-CN" w:bidi="ar-SA"/>
    </w:rPr>
  </w:style>
  <w:style w:type="paragraph" w:customStyle="1" w:styleId="a19">
    <w:name w:val="马学海内容"/>
    <w:link w:val="Char40"/>
    <w:semiHidden/>
    <w:rsid w:val="00CC18D8"/>
    <w:pPr>
      <w:widowControl w:val="0"/>
      <w:tabs>
        <w:tab w:val="left" w:pos="5725"/>
        <w:tab w:val="left" w:pos="5880"/>
      </w:tabs>
      <w:spacing w:line="360" w:lineRule="auto"/>
      <w:ind w:firstLine="200" w:firstLineChars="200"/>
      <w:jc w:val="both"/>
    </w:pPr>
    <w:rPr>
      <w:rFonts w:ascii="新宋体" w:eastAsia="宋体" w:hAnsi="新宋体" w:cs="Times New Roman"/>
      <w:kern w:val="44"/>
      <w:sz w:val="24"/>
      <w:szCs w:val="24"/>
      <w:lang w:val="x-none" w:eastAsia="x-none" w:bidi="ar-SA"/>
    </w:rPr>
  </w:style>
  <w:style w:type="character" w:customStyle="1" w:styleId="Char40">
    <w:name w:val="马学海内容 Char"/>
    <w:link w:val="a19"/>
    <w:semiHidden/>
    <w:rsid w:val="00CC18D8"/>
    <w:rPr>
      <w:rFonts w:ascii="新宋体" w:eastAsia="宋体" w:hAnsi="新宋体" w:cs="Times New Roman"/>
      <w:kern w:val="44"/>
      <w:sz w:val="24"/>
      <w:szCs w:val="24"/>
    </w:rPr>
  </w:style>
  <w:style w:type="paragraph" w:customStyle="1" w:styleId="-2">
    <w:name w:val="能力-正文"/>
    <w:qFormat/>
    <w:rsid w:val="00CC18D8"/>
    <w:pPr>
      <w:widowControl w:val="0"/>
      <w:spacing w:line="360" w:lineRule="auto"/>
      <w:ind w:firstLine="200" w:firstLineChars="200"/>
      <w:jc w:val="both"/>
    </w:pPr>
    <w:rPr>
      <w:rFonts w:ascii="Times New Roman" w:eastAsia="宋体" w:hAnsi="Times New Roman" w:cs="Times New Roman"/>
      <w:kern w:val="2"/>
      <w:sz w:val="24"/>
      <w:szCs w:val="22"/>
      <w:lang w:val="en-US" w:eastAsia="zh-CN" w:bidi="ar-SA"/>
    </w:rPr>
  </w:style>
  <w:style w:type="paragraph" w:customStyle="1" w:styleId="CharCharCharCharCharCharCharCharCharCharCharCharCharCharCharChar">
    <w:name w:val="Char Char Char Char Char Char Char Char Char Char Char Char Char Char Char Char"/>
    <w:rsid w:val="00CC18D8"/>
    <w:pPr>
      <w:widowControl w:val="0"/>
      <w:jc w:val="both"/>
    </w:pPr>
    <w:rPr>
      <w:rFonts w:ascii="Times New Roman" w:eastAsia="宋体" w:hAnsi="Times New Roman" w:cs="Times New Roman"/>
      <w:kern w:val="2"/>
      <w:sz w:val="21"/>
      <w:szCs w:val="24"/>
      <w:lang w:val="en-US" w:eastAsia="zh-CN" w:bidi="ar-SA"/>
    </w:rPr>
  </w:style>
  <w:style w:type="paragraph" w:styleId="TOC6">
    <w:name w:val="toc 6"/>
    <w:autoRedefine/>
    <w:semiHidden/>
    <w:rsid w:val="00CC18D8"/>
    <w:pPr>
      <w:widowControl w:val="0"/>
      <w:spacing w:line="520" w:lineRule="exact"/>
      <w:ind w:left="2100" w:leftChars="1000"/>
      <w:jc w:val="both"/>
    </w:pPr>
    <w:rPr>
      <w:rFonts w:ascii="Times New Roman" w:eastAsia="楷体_GB2312" w:hAnsi="Times New Roman" w:cs="Times New Roman"/>
      <w:snapToGrid w:val="0"/>
      <w:spacing w:val="10"/>
      <w:kern w:val="22"/>
      <w:sz w:val="22"/>
      <w:szCs w:val="22"/>
      <w:lang w:val="en-US" w:eastAsia="zh-CN" w:bidi="ar-SA"/>
    </w:rPr>
  </w:style>
  <w:style w:type="paragraph" w:customStyle="1" w:styleId="CharChar40">
    <w:name w:val="Char Char4_0"/>
    <w:rsid w:val="00CC18D8"/>
    <w:pPr>
      <w:widowControl w:val="0"/>
      <w:jc w:val="both"/>
    </w:pPr>
    <w:rPr>
      <w:rFonts w:ascii="Times New Roman" w:eastAsia="宋体" w:hAnsi="Times New Roman" w:cs="Times New Roman"/>
      <w:kern w:val="2"/>
      <w:sz w:val="21"/>
      <w:szCs w:val="24"/>
      <w:lang w:val="en-US" w:eastAsia="zh-CN" w:bidi="ar-SA"/>
    </w:rPr>
  </w:style>
  <w:style w:type="character" w:customStyle="1" w:styleId="h1Char">
    <w:name w:val="h1 Char"/>
    <w:aliases w:val="1 Char,1st level Char,H1 Char,H11 Char,H111 Char,H112 Char,H12 Char1,H121 Char,H13 Char,H14 Char,OG Heading 1 Char,Part Char,Section Head Char,l1 Char,my标题1 Char,一、 Char,一、1 Char,一、2 Char,一级标题，黑粗，三号，序号 Char,河石1 Char,河石11 Char,河石12 Char,章标题1 Char"/>
    <w:rsid w:val="00CC18D8"/>
    <w:rPr>
      <w:rFonts w:eastAsia="黑体"/>
      <w:b/>
      <w:bCs/>
      <w:spacing w:val="-4"/>
      <w:kern w:val="2"/>
      <w:sz w:val="13"/>
      <w:szCs w:val="24"/>
      <w:lang w:val="en-US" w:eastAsia="zh-CN" w:bidi="ar-SA"/>
    </w:rPr>
  </w:style>
  <w:style w:type="paragraph" w:customStyle="1" w:styleId="CharChar41">
    <w:name w:val="Char Char4_1"/>
    <w:rsid w:val="00AA0517"/>
    <w:pPr>
      <w:widowControl w:val="0"/>
      <w:jc w:val="both"/>
    </w:pPr>
    <w:rPr>
      <w:rFonts w:ascii="Times New Roman" w:eastAsia="宋体" w:hAnsi="Times New Roman" w:cs="Times New Roman"/>
      <w:kern w:val="2"/>
      <w:sz w:val="21"/>
      <w:szCs w:val="24"/>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37</Pages>
  <Words>2999</Words>
  <Characters>17095</Characters>
  <Application>Microsoft Office Word</Application>
  <DocSecurity>0</DocSecurity>
  <Lines>142</Lines>
  <Paragraphs>40</Paragraphs>
  <ScaleCrop>false</ScaleCrop>
  <Manager>TEAM WORK</Manager>
  <Company>TEAM WORK</Company>
  <LinksUpToDate>false</LinksUpToDate>
  <CharactersWithSpaces>20054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TEAM WORK</dc:subject>
  <dc:creator>TEAM WORK</dc:creator>
  <cp:keywords>TEAM WORK</cp:keywords>
  <dc:description>TEAM WORK</dc:description>
  <cp:lastModifiedBy>lenovo</cp:lastModifiedBy>
  <cp:revision>2</cp:revision>
  <dcterms:created xsi:type="dcterms:W3CDTF">2015-11-06T07:15:00Z</dcterms:created>
  <dcterms:modified xsi:type="dcterms:W3CDTF">2015-11-06T07:15:00Z</dcterms:modified>
  <cp:category>TEAM WORK</cp:category>
</cp:coreProperties>
</file>