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249" w:lineRule="auto"/>
      </w:pPr>
      <w:r>
        <w:rPr>
          <w:rFonts w:ascii="宋体" w:hAnsi="宋体" w:eastAsia="宋体" w:cs="宋体"/>
          <w:spacing w:val="-6"/>
          <w:sz w:val="21"/>
          <w:szCs w:val="21"/>
        </w:rPr>
        <w:t>报告编号： TN-03-YY2023-0004</w:t>
      </w:r>
    </w:p>
    <w:p>
      <w:pPr>
        <w:pStyle w:val="2"/>
        <w:spacing w:line="249" w:lineRule="auto"/>
      </w:pPr>
    </w:p>
    <w:p>
      <w:pPr>
        <w:spacing w:before="91" w:line="218" w:lineRule="auto"/>
        <w:ind w:left="315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"/>
          <w:sz w:val="28"/>
          <w:szCs w:val="28"/>
        </w:rPr>
        <w:t>报告编号：(TN-03-YY2023-0004)  号</w:t>
      </w:r>
    </w:p>
    <w:p>
      <w:pPr>
        <w:spacing w:before="140" w:line="1750" w:lineRule="exact"/>
      </w:pPr>
      <w:r>
        <w:rPr>
          <w:position w:val="-35"/>
        </w:rPr>
        <w:drawing>
          <wp:inline distT="0" distB="0" distL="0" distR="0">
            <wp:extent cx="1555115" cy="111125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55697" cy="1111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1" w:line="223" w:lineRule="auto"/>
        <w:ind w:left="2820"/>
        <w:outlineLvl w:val="0"/>
        <w:rPr>
          <w:rFonts w:ascii="黑体" w:hAnsi="黑体" w:eastAsia="黑体" w:cs="黑体"/>
          <w:sz w:val="72"/>
          <w:szCs w:val="72"/>
        </w:rPr>
      </w:pPr>
      <w:r>
        <w:rPr>
          <w:rFonts w:ascii="黑体" w:hAnsi="黑体" w:eastAsia="黑体" w:cs="黑体"/>
          <w:b/>
          <w:bCs/>
          <w:spacing w:val="-14"/>
          <w:sz w:val="72"/>
          <w:szCs w:val="72"/>
        </w:rPr>
        <w:t>检</w:t>
      </w:r>
      <w:r>
        <w:rPr>
          <w:rFonts w:hint="eastAsia" w:ascii="黑体" w:hAnsi="黑体" w:eastAsia="黑体" w:cs="黑体"/>
          <w:b/>
          <w:bCs/>
          <w:spacing w:val="-14"/>
          <w:sz w:val="72"/>
          <w:szCs w:val="72"/>
          <w:lang w:val="en-US" w:eastAsia="zh-CN"/>
        </w:rPr>
        <w:t xml:space="preserve">  </w:t>
      </w:r>
      <w:r>
        <w:rPr>
          <w:rFonts w:ascii="黑体" w:hAnsi="黑体" w:eastAsia="黑体" w:cs="黑体"/>
          <w:b/>
          <w:bCs/>
          <w:spacing w:val="-14"/>
          <w:sz w:val="72"/>
          <w:szCs w:val="72"/>
        </w:rPr>
        <w:t>测</w:t>
      </w:r>
      <w:r>
        <w:rPr>
          <w:rFonts w:ascii="黑体" w:hAnsi="黑体" w:eastAsia="黑体" w:cs="黑体"/>
          <w:spacing w:val="-14"/>
          <w:sz w:val="72"/>
          <w:szCs w:val="72"/>
        </w:rPr>
        <w:t xml:space="preserve">  </w:t>
      </w:r>
      <w:r>
        <w:rPr>
          <w:rFonts w:ascii="黑体" w:hAnsi="黑体" w:eastAsia="黑体" w:cs="黑体"/>
          <w:b/>
          <w:bCs/>
          <w:spacing w:val="-14"/>
          <w:sz w:val="72"/>
          <w:szCs w:val="72"/>
        </w:rPr>
        <w:t>报</w:t>
      </w:r>
      <w:r>
        <w:rPr>
          <w:rFonts w:ascii="黑体" w:hAnsi="黑体" w:eastAsia="黑体" w:cs="黑体"/>
          <w:spacing w:val="11"/>
          <w:sz w:val="72"/>
          <w:szCs w:val="72"/>
        </w:rPr>
        <w:t xml:space="preserve">  </w:t>
      </w:r>
      <w:r>
        <w:rPr>
          <w:rFonts w:ascii="黑体" w:hAnsi="黑体" w:eastAsia="黑体" w:cs="黑体"/>
          <w:b/>
          <w:bCs/>
          <w:spacing w:val="-14"/>
          <w:sz w:val="72"/>
          <w:szCs w:val="72"/>
        </w:rPr>
        <w:t>告</w:t>
      </w:r>
    </w:p>
    <w:p>
      <w:pPr>
        <w:pStyle w:val="2"/>
        <w:spacing w:line="265" w:lineRule="auto"/>
      </w:pPr>
    </w:p>
    <w:p>
      <w:pPr>
        <w:pStyle w:val="2"/>
        <w:spacing w:line="265" w:lineRule="auto"/>
      </w:pPr>
    </w:p>
    <w:p>
      <w:pPr>
        <w:pStyle w:val="2"/>
        <w:spacing w:line="265" w:lineRule="auto"/>
      </w:pPr>
    </w:p>
    <w:p>
      <w:pPr>
        <w:pStyle w:val="2"/>
        <w:spacing w:line="265" w:lineRule="auto"/>
      </w:pPr>
    </w:p>
    <w:p>
      <w:pPr>
        <w:pStyle w:val="2"/>
        <w:spacing w:line="265" w:lineRule="auto"/>
      </w:pPr>
    </w:p>
    <w:p>
      <w:pPr>
        <w:pStyle w:val="2"/>
        <w:spacing w:line="265" w:lineRule="auto"/>
      </w:pPr>
    </w:p>
    <w:p>
      <w:pPr>
        <w:pStyle w:val="2"/>
        <w:spacing w:line="265" w:lineRule="auto"/>
      </w:pPr>
    </w:p>
    <w:p>
      <w:pPr>
        <w:pStyle w:val="2"/>
        <w:spacing w:line="265" w:lineRule="auto"/>
      </w:pPr>
    </w:p>
    <w:p>
      <w:pPr>
        <w:pStyle w:val="2"/>
        <w:spacing w:line="265" w:lineRule="auto"/>
      </w:pPr>
    </w:p>
    <w:p>
      <w:pPr>
        <w:spacing w:before="104" w:line="221" w:lineRule="auto"/>
        <w:ind w:left="241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2"/>
          <w:sz w:val="32"/>
          <w:szCs w:val="32"/>
        </w:rPr>
        <w:t>设备名称：</w:t>
      </w:r>
      <w:r>
        <w:rPr>
          <w:rFonts w:ascii="宋体" w:hAnsi="宋体" w:eastAsia="宋体" w:cs="宋体"/>
          <w:spacing w:val="-26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2"/>
          <w:sz w:val="32"/>
          <w:szCs w:val="32"/>
          <w:u w:val="single" w:color="auto"/>
        </w:rPr>
        <w:t>绝缘油</w:t>
      </w:r>
    </w:p>
    <w:p>
      <w:pPr>
        <w:pStyle w:val="2"/>
        <w:spacing w:line="268" w:lineRule="auto"/>
      </w:pPr>
    </w:p>
    <w:p>
      <w:pPr>
        <w:pStyle w:val="2"/>
        <w:spacing w:line="268" w:lineRule="auto"/>
      </w:pPr>
    </w:p>
    <w:p>
      <w:pPr>
        <w:pStyle w:val="2"/>
        <w:spacing w:line="268" w:lineRule="auto"/>
      </w:pPr>
    </w:p>
    <w:p>
      <w:pPr>
        <w:spacing w:before="104" w:line="219" w:lineRule="auto"/>
        <w:ind w:left="241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0"/>
          <w:sz w:val="32"/>
          <w:szCs w:val="32"/>
        </w:rPr>
        <w:t>委托单位：</w:t>
      </w:r>
      <w:r>
        <w:rPr>
          <w:rFonts w:ascii="宋体" w:hAnsi="宋体" w:eastAsia="宋体" w:cs="宋体"/>
          <w:spacing w:val="-59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19"/>
          <w:sz w:val="32"/>
          <w:szCs w:val="32"/>
          <w:u w:val="single" w:color="auto"/>
        </w:rPr>
        <w:t xml:space="preserve"> </w:t>
      </w:r>
      <w:r>
        <w:rPr>
          <w:rFonts w:ascii="宋体" w:hAnsi="宋体" w:eastAsia="宋体" w:cs="宋体"/>
          <w:spacing w:val="-10"/>
          <w:sz w:val="32"/>
          <w:szCs w:val="32"/>
          <w:u w:val="single" w:color="auto"/>
        </w:rPr>
        <w:t>山东华隆能源科技有限公司</w:t>
      </w:r>
    </w:p>
    <w:p>
      <w:pPr>
        <w:pStyle w:val="2"/>
        <w:spacing w:line="287" w:lineRule="auto"/>
      </w:pPr>
    </w:p>
    <w:p>
      <w:pPr>
        <w:pStyle w:val="2"/>
        <w:spacing w:line="288" w:lineRule="auto"/>
      </w:pPr>
    </w:p>
    <w:p>
      <w:pPr>
        <w:pStyle w:val="2"/>
        <w:spacing w:line="288" w:lineRule="auto"/>
      </w:pPr>
    </w:p>
    <w:p>
      <w:pPr>
        <w:spacing w:before="104" w:line="219" w:lineRule="auto"/>
        <w:ind w:left="241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9"/>
          <w:sz w:val="32"/>
          <w:szCs w:val="32"/>
        </w:rPr>
        <w:t>检测类别：</w:t>
      </w:r>
      <w:r>
        <w:rPr>
          <w:rFonts w:ascii="宋体" w:hAnsi="宋体" w:eastAsia="宋体" w:cs="宋体"/>
          <w:spacing w:val="-53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9"/>
          <w:sz w:val="32"/>
          <w:szCs w:val="32"/>
          <w:u w:val="single" w:color="auto"/>
        </w:rPr>
        <w:t>委 托</w:t>
      </w:r>
      <w:r>
        <w:rPr>
          <w:rFonts w:ascii="宋体" w:hAnsi="宋体" w:eastAsia="宋体" w:cs="宋体"/>
          <w:spacing w:val="-25"/>
          <w:sz w:val="32"/>
          <w:szCs w:val="32"/>
          <w:u w:val="single" w:color="auto"/>
        </w:rPr>
        <w:t xml:space="preserve"> </w:t>
      </w:r>
      <w:r>
        <w:rPr>
          <w:rFonts w:ascii="宋体" w:hAnsi="宋体" w:eastAsia="宋体" w:cs="宋体"/>
          <w:spacing w:val="-19"/>
          <w:sz w:val="32"/>
          <w:szCs w:val="32"/>
          <w:u w:val="single" w:color="auto"/>
        </w:rPr>
        <w:t>检</w:t>
      </w:r>
      <w:r>
        <w:rPr>
          <w:rFonts w:ascii="宋体" w:hAnsi="宋体" w:eastAsia="宋体" w:cs="宋体"/>
          <w:spacing w:val="-24"/>
          <w:sz w:val="32"/>
          <w:szCs w:val="32"/>
          <w:u w:val="single" w:color="auto"/>
        </w:rPr>
        <w:t xml:space="preserve"> </w:t>
      </w:r>
      <w:r>
        <w:rPr>
          <w:rFonts w:ascii="宋体" w:hAnsi="宋体" w:eastAsia="宋体" w:cs="宋体"/>
          <w:spacing w:val="-19"/>
          <w:sz w:val="32"/>
          <w:szCs w:val="32"/>
          <w:u w:val="single" w:color="auto"/>
        </w:rPr>
        <w:t>测</w:t>
      </w:r>
    </w:p>
    <w:p>
      <w:pPr>
        <w:pStyle w:val="2"/>
        <w:spacing w:line="262" w:lineRule="auto"/>
      </w:pPr>
    </w:p>
    <w:p>
      <w:pPr>
        <w:pStyle w:val="2"/>
        <w:spacing w:line="262" w:lineRule="auto"/>
      </w:pPr>
    </w:p>
    <w:p>
      <w:pPr>
        <w:pStyle w:val="2"/>
        <w:spacing w:line="262" w:lineRule="auto"/>
      </w:pPr>
    </w:p>
    <w:p>
      <w:pPr>
        <w:pStyle w:val="2"/>
        <w:spacing w:line="262" w:lineRule="auto"/>
      </w:pPr>
    </w:p>
    <w:p>
      <w:pPr>
        <w:pStyle w:val="2"/>
        <w:spacing w:line="262" w:lineRule="auto"/>
      </w:pPr>
    </w:p>
    <w:p>
      <w:pPr>
        <w:pStyle w:val="2"/>
        <w:spacing w:line="262" w:lineRule="auto"/>
      </w:pPr>
    </w:p>
    <w:p>
      <w:pPr>
        <w:pStyle w:val="2"/>
        <w:spacing w:line="263" w:lineRule="auto"/>
      </w:pPr>
    </w:p>
    <w:p>
      <w:pPr>
        <w:pStyle w:val="2"/>
        <w:spacing w:line="263" w:lineRule="auto"/>
      </w:pPr>
    </w:p>
    <w:p>
      <w:pPr>
        <w:spacing w:before="105" w:line="187" w:lineRule="auto"/>
        <w:ind w:left="3194"/>
        <w:rPr>
          <w:rFonts w:ascii="黑体" w:hAnsi="黑体" w:eastAsia="黑体" w:cs="黑体"/>
          <w:b/>
          <w:bCs/>
          <w:spacing w:val="27"/>
          <w:sz w:val="32"/>
          <w:szCs w:val="32"/>
        </w:rPr>
      </w:pPr>
      <w:r>
        <w:rPr>
          <w:rFonts w:ascii="黑体" w:hAnsi="黑体" w:eastAsia="黑体" w:cs="黑体"/>
          <w:b/>
          <w:bCs/>
          <w:spacing w:val="27"/>
          <w:sz w:val="32"/>
          <w:szCs w:val="32"/>
        </w:rPr>
        <w:t>山东拓能核电检测有限公司</w:t>
      </w:r>
    </w:p>
    <w:p>
      <w:pPr>
        <w:rPr>
          <w:rFonts w:ascii="黑体" w:hAnsi="黑体" w:eastAsia="黑体" w:cs="黑体"/>
          <w:b/>
          <w:bCs/>
          <w:spacing w:val="27"/>
          <w:sz w:val="32"/>
          <w:szCs w:val="32"/>
        </w:rPr>
      </w:pPr>
      <w:r>
        <w:rPr>
          <w:rFonts w:ascii="黑体" w:hAnsi="黑体" w:eastAsia="黑体" w:cs="黑体"/>
          <w:b/>
          <w:bCs/>
          <w:spacing w:val="27"/>
          <w:sz w:val="32"/>
          <w:szCs w:val="32"/>
        </w:rPr>
        <w:br w:type="page"/>
      </w:r>
    </w:p>
    <w:tbl>
      <w:tblPr>
        <w:tblW w:w="9499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1"/>
        <w:gridCol w:w="444"/>
        <w:gridCol w:w="209"/>
        <w:gridCol w:w="431"/>
        <w:gridCol w:w="290"/>
        <w:gridCol w:w="839"/>
        <w:gridCol w:w="461"/>
        <w:gridCol w:w="266"/>
        <w:gridCol w:w="812"/>
        <w:gridCol w:w="370"/>
        <w:gridCol w:w="750"/>
        <w:gridCol w:w="389"/>
        <w:gridCol w:w="315"/>
        <w:gridCol w:w="278"/>
        <w:gridCol w:w="93"/>
        <w:gridCol w:w="768"/>
        <w:gridCol w:w="200"/>
        <w:gridCol w:w="127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</w:trPr>
        <w:tc>
          <w:tcPr>
            <w:tcW w:w="8226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snapToGrid w:val="0"/>
                <w:color w:val="000000"/>
                <w:bdr w:val="none" w:color="auto" w:sz="0" w:space="0"/>
                <w:lang w:val="en-US" w:eastAsia="zh-CN" w:bidi="ar"/>
              </w:rPr>
              <w:t>报告编号： TN-03-YY2023-0004</w:t>
            </w:r>
            <w:r>
              <w:rPr>
                <w:rStyle w:val="7"/>
                <w:snapToGrid w:val="0"/>
                <w:color w:val="000000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7"/>
                <w:snapToGrid w:val="0"/>
                <w:color w:val="000000"/>
                <w:bdr w:val="none" w:color="auto" w:sz="0" w:space="0"/>
                <w:lang w:val="en-US" w:eastAsia="zh-CN" w:bidi="ar"/>
              </w:rPr>
              <w:t>BG-03-017</w:t>
            </w: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jc w:val="right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398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14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8"/>
                <w:snapToGrid w:val="0"/>
                <w:color w:val="000000"/>
                <w:bdr w:val="none" w:color="auto" w:sz="0" w:space="0"/>
                <w:lang w:val="en-US" w:eastAsia="zh-CN" w:bidi="ar"/>
              </w:rPr>
              <w:t>绝缘油检测报告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9499" w:type="dxa"/>
            <w:gridSpan w:val="1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1.参数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196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委托单位</w:t>
            </w:r>
          </w:p>
        </w:tc>
        <w:tc>
          <w:tcPr>
            <w:tcW w:w="3099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山东华隆能源科技有限公司</w:t>
            </w:r>
          </w:p>
        </w:tc>
        <w:tc>
          <w:tcPr>
            <w:tcW w:w="210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安装位置</w:t>
            </w:r>
          </w:p>
        </w:tc>
        <w:tc>
          <w:tcPr>
            <w:tcW w:w="233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/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196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设备名称</w:t>
            </w:r>
          </w:p>
        </w:tc>
        <w:tc>
          <w:tcPr>
            <w:tcW w:w="3099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华能山盐150MW光伏发电项目2#主变</w:t>
            </w:r>
          </w:p>
        </w:tc>
        <w:tc>
          <w:tcPr>
            <w:tcW w:w="210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生产日期</w:t>
            </w:r>
          </w:p>
        </w:tc>
        <w:tc>
          <w:tcPr>
            <w:tcW w:w="233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/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196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电压等级</w:t>
            </w:r>
          </w:p>
        </w:tc>
        <w:tc>
          <w:tcPr>
            <w:tcW w:w="3099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220kV</w:t>
            </w:r>
          </w:p>
        </w:tc>
        <w:tc>
          <w:tcPr>
            <w:tcW w:w="210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油量</w:t>
            </w:r>
          </w:p>
        </w:tc>
        <w:tc>
          <w:tcPr>
            <w:tcW w:w="233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/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196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取样日期</w:t>
            </w:r>
          </w:p>
        </w:tc>
        <w:tc>
          <w:tcPr>
            <w:tcW w:w="3099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2023年02月20日</w:t>
            </w:r>
          </w:p>
        </w:tc>
        <w:tc>
          <w:tcPr>
            <w:tcW w:w="210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取样人员</w:t>
            </w:r>
          </w:p>
        </w:tc>
        <w:tc>
          <w:tcPr>
            <w:tcW w:w="233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邹涛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196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试验日期</w:t>
            </w:r>
          </w:p>
        </w:tc>
        <w:tc>
          <w:tcPr>
            <w:tcW w:w="3099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2023年02月20日</w:t>
            </w:r>
          </w:p>
        </w:tc>
        <w:tc>
          <w:tcPr>
            <w:tcW w:w="210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报告日期</w:t>
            </w:r>
          </w:p>
        </w:tc>
        <w:tc>
          <w:tcPr>
            <w:tcW w:w="233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2023年02月20日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9499" w:type="dxa"/>
            <w:gridSpan w:val="1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2.检测依据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9499" w:type="dxa"/>
            <w:gridSpan w:val="1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0"/>
                <w:snapToGrid w:val="0"/>
                <w:color w:val="000000"/>
                <w:bdr w:val="none" w:color="auto" w:sz="0" w:space="0"/>
                <w:lang w:val="en-US" w:eastAsia="zh-CN" w:bidi="ar"/>
              </w:rPr>
              <w:t>电气装置安装工程电气设备交接试验标准</w:t>
            </w:r>
            <w:r>
              <w:rPr>
                <w:rStyle w:val="11"/>
                <w:rFonts w:eastAsia="宋体"/>
                <w:snapToGrid w:val="0"/>
                <w:color w:val="000000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Style w:val="10"/>
                <w:snapToGrid w:val="0"/>
                <w:color w:val="000000"/>
                <w:bdr w:val="none" w:color="auto" w:sz="0" w:space="0"/>
                <w:lang w:val="en-US" w:eastAsia="zh-CN" w:bidi="ar"/>
              </w:rPr>
              <w:t>GB 50150-2016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9499" w:type="dxa"/>
            <w:gridSpan w:val="1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3.击穿电压测试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3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耐压次数</w:t>
            </w:r>
          </w:p>
        </w:tc>
        <w:tc>
          <w:tcPr>
            <w:tcW w:w="137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3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0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1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98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106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平均值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3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耐压值(kV)</w:t>
            </w:r>
          </w:p>
        </w:tc>
        <w:tc>
          <w:tcPr>
            <w:tcW w:w="137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42.87</w:t>
            </w:r>
          </w:p>
        </w:tc>
        <w:tc>
          <w:tcPr>
            <w:tcW w:w="13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48.95</w:t>
            </w:r>
          </w:p>
        </w:tc>
        <w:tc>
          <w:tcPr>
            <w:tcW w:w="10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62.64</w:t>
            </w:r>
          </w:p>
        </w:tc>
        <w:tc>
          <w:tcPr>
            <w:tcW w:w="11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76.28</w:t>
            </w:r>
          </w:p>
        </w:tc>
        <w:tc>
          <w:tcPr>
            <w:tcW w:w="98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78.51</w:t>
            </w:r>
          </w:p>
        </w:tc>
        <w:tc>
          <w:tcPr>
            <w:tcW w:w="106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68.62</w:t>
            </w: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62.97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239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检测环境</w:t>
            </w:r>
          </w:p>
        </w:tc>
        <w:tc>
          <w:tcPr>
            <w:tcW w:w="7104" w:type="dxa"/>
            <w:gridSpan w:val="1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环境温度：21 ℃,湿度：54 %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239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检测设备</w:t>
            </w:r>
          </w:p>
        </w:tc>
        <w:tc>
          <w:tcPr>
            <w:tcW w:w="7104" w:type="dxa"/>
            <w:gridSpan w:val="1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绝缘油介电强度测定仪No.12009075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239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检测人员</w:t>
            </w:r>
          </w:p>
        </w:tc>
        <w:tc>
          <w:tcPr>
            <w:tcW w:w="2668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10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检测日期</w:t>
            </w:r>
          </w:p>
        </w:tc>
        <w:tc>
          <w:tcPr>
            <w:tcW w:w="233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2023年02月20日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9499" w:type="dxa"/>
            <w:gridSpan w:val="1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4.介质损耗因数及体积电阻率测试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2395" w:type="dxa"/>
            <w:gridSpan w:val="4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介质损耗因数</w:t>
            </w:r>
          </w:p>
        </w:tc>
        <w:tc>
          <w:tcPr>
            <w:tcW w:w="2668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tgδ(%)</w:t>
            </w:r>
          </w:p>
        </w:tc>
        <w:tc>
          <w:tcPr>
            <w:tcW w:w="2102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体积电阻率</w:t>
            </w:r>
          </w:p>
        </w:tc>
        <w:tc>
          <w:tcPr>
            <w:tcW w:w="233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(90℃)(Ω·m)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2395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668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0.018</w:t>
            </w:r>
          </w:p>
        </w:tc>
        <w:tc>
          <w:tcPr>
            <w:tcW w:w="2102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33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firstLineChars="20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0"/>
                <w:snapToGrid w:val="0"/>
                <w:color w:val="000000"/>
                <w:bdr w:val="none" w:color="auto" w:sz="0" w:space="0"/>
                <w:lang w:val="en-US" w:eastAsia="zh-CN" w:bidi="ar"/>
              </w:rPr>
              <w:t>9.64×10</w:t>
            </w:r>
            <w:r>
              <w:rPr>
                <w:rStyle w:val="11"/>
                <w:rFonts w:eastAsia="宋体"/>
                <w:snapToGrid w:val="0"/>
                <w:color w:val="000000"/>
                <w:bdr w:val="none" w:color="auto" w:sz="0" w:space="0"/>
                <w:lang w:val="en-US" w:eastAsia="zh-CN" w:bidi="ar"/>
              </w:rPr>
              <w:t>¹²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239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检测环境</w:t>
            </w:r>
          </w:p>
        </w:tc>
        <w:tc>
          <w:tcPr>
            <w:tcW w:w="7104" w:type="dxa"/>
            <w:gridSpan w:val="1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环境温度：21 ℃ ,湿度：54%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239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检测设备</w:t>
            </w:r>
          </w:p>
        </w:tc>
        <w:tc>
          <w:tcPr>
            <w:tcW w:w="7104" w:type="dxa"/>
            <w:gridSpan w:val="1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绝缘油介质损耗及电阻率测试仪No.00397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239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检测人员</w:t>
            </w:r>
          </w:p>
        </w:tc>
        <w:tc>
          <w:tcPr>
            <w:tcW w:w="2668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10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检测日期</w:t>
            </w:r>
          </w:p>
        </w:tc>
        <w:tc>
          <w:tcPr>
            <w:tcW w:w="233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firstLineChars="10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 xml:space="preserve">  2023年02月20日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9499" w:type="dxa"/>
            <w:gridSpan w:val="1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5.油中溶解气体试验数据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17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firstLineChars="10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 xml:space="preserve"> 气体种类</w:t>
            </w:r>
          </w:p>
        </w:tc>
        <w:tc>
          <w:tcPr>
            <w:tcW w:w="176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实测结果</w:t>
            </w:r>
          </w:p>
        </w:tc>
        <w:tc>
          <w:tcPr>
            <w:tcW w:w="153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标准要求</w:t>
            </w:r>
          </w:p>
        </w:tc>
        <w:tc>
          <w:tcPr>
            <w:tcW w:w="150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firstLineChars="10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 xml:space="preserve"> 气体种类</w:t>
            </w:r>
          </w:p>
        </w:tc>
        <w:tc>
          <w:tcPr>
            <w:tcW w:w="145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实测结果</w:t>
            </w:r>
          </w:p>
        </w:tc>
        <w:tc>
          <w:tcPr>
            <w:tcW w:w="14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标准要求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17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firstLineChars="10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H</w:t>
            </w:r>
            <w:r>
              <w:rPr>
                <w:rStyle w:val="12"/>
                <w:rFonts w:eastAsia="宋体"/>
                <w:snapToGrid w:val="0"/>
                <w:color w:val="000000"/>
                <w:bdr w:val="none" w:color="auto" w:sz="0" w:space="0"/>
                <w:lang w:val="en-US" w:eastAsia="zh-CN" w:bidi="ar"/>
              </w:rPr>
              <w:t xml:space="preserve">₂ </w:t>
            </w: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(μL/L)</w:t>
            </w:r>
          </w:p>
        </w:tc>
        <w:tc>
          <w:tcPr>
            <w:tcW w:w="176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0.00</w:t>
            </w:r>
          </w:p>
        </w:tc>
        <w:tc>
          <w:tcPr>
            <w:tcW w:w="153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≤10</w:t>
            </w:r>
          </w:p>
        </w:tc>
        <w:tc>
          <w:tcPr>
            <w:tcW w:w="150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firstLineChars="10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0"/>
                <w:snapToGrid w:val="0"/>
                <w:color w:val="000000"/>
                <w:bdr w:val="none" w:color="auto" w:sz="0" w:space="0"/>
                <w:lang w:val="en-US" w:eastAsia="zh-CN" w:bidi="ar"/>
              </w:rPr>
              <w:t>C</w:t>
            </w:r>
            <w:r>
              <w:rPr>
                <w:rStyle w:val="13"/>
                <w:rFonts w:eastAsia="宋体"/>
                <w:snapToGrid w:val="0"/>
                <w:color w:val="000000"/>
                <w:bdr w:val="none" w:color="auto" w:sz="0" w:space="0"/>
                <w:lang w:val="en-US" w:eastAsia="zh-CN" w:bidi="ar"/>
              </w:rPr>
              <w:t>₂</w:t>
            </w:r>
            <w:r>
              <w:rPr>
                <w:rStyle w:val="10"/>
                <w:snapToGrid w:val="0"/>
                <w:color w:val="000000"/>
                <w:bdr w:val="none" w:color="auto" w:sz="0" w:space="0"/>
                <w:lang w:val="en-US" w:eastAsia="zh-CN" w:bidi="ar"/>
              </w:rPr>
              <w:t>H</w:t>
            </w:r>
            <w:r>
              <w:rPr>
                <w:rStyle w:val="13"/>
                <w:rFonts w:eastAsia="宋体"/>
                <w:snapToGrid w:val="0"/>
                <w:color w:val="000000"/>
                <w:bdr w:val="none" w:color="auto" w:sz="0" w:space="0"/>
                <w:lang w:val="en-US" w:eastAsia="zh-CN" w:bidi="ar"/>
              </w:rPr>
              <w:t>₂</w:t>
            </w:r>
            <w:r>
              <w:rPr>
                <w:rStyle w:val="10"/>
                <w:snapToGrid w:val="0"/>
                <w:color w:val="000000"/>
                <w:bdr w:val="none" w:color="auto" w:sz="0" w:space="0"/>
                <w:lang w:val="en-US" w:eastAsia="zh-CN" w:bidi="ar"/>
              </w:rPr>
              <w:t>(μL/L)</w:t>
            </w:r>
          </w:p>
        </w:tc>
        <w:tc>
          <w:tcPr>
            <w:tcW w:w="145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0.00</w:t>
            </w:r>
          </w:p>
        </w:tc>
        <w:tc>
          <w:tcPr>
            <w:tcW w:w="14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≤0.1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17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firstLineChars="10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0"/>
                <w:snapToGrid w:val="0"/>
                <w:color w:val="000000"/>
                <w:bdr w:val="none" w:color="auto" w:sz="0" w:space="0"/>
                <w:lang w:val="en-US" w:eastAsia="zh-CN" w:bidi="ar"/>
              </w:rPr>
              <w:t>CH</w:t>
            </w:r>
            <w:r>
              <w:rPr>
                <w:rStyle w:val="14"/>
                <w:rFonts w:eastAsia="宋体"/>
                <w:snapToGrid w:val="0"/>
                <w:color w:val="000000"/>
                <w:bdr w:val="none" w:color="auto" w:sz="0" w:space="0"/>
                <w:lang w:val="en-US" w:eastAsia="zh-CN" w:bidi="ar"/>
              </w:rPr>
              <w:t xml:space="preserve">₄ </w:t>
            </w:r>
            <w:r>
              <w:rPr>
                <w:rStyle w:val="10"/>
                <w:snapToGrid w:val="0"/>
                <w:color w:val="000000"/>
                <w:bdr w:val="none" w:color="auto" w:sz="0" w:space="0"/>
                <w:lang w:val="en-US" w:eastAsia="zh-CN" w:bidi="ar"/>
              </w:rPr>
              <w:t>(uL/L)</w:t>
            </w:r>
          </w:p>
        </w:tc>
        <w:tc>
          <w:tcPr>
            <w:tcW w:w="176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0.21</w:t>
            </w:r>
          </w:p>
        </w:tc>
        <w:tc>
          <w:tcPr>
            <w:tcW w:w="153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/</w:t>
            </w:r>
          </w:p>
        </w:tc>
        <w:tc>
          <w:tcPr>
            <w:tcW w:w="150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firstLineChars="10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CO(μL/L)</w:t>
            </w:r>
          </w:p>
        </w:tc>
        <w:tc>
          <w:tcPr>
            <w:tcW w:w="145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2.73</w:t>
            </w:r>
          </w:p>
        </w:tc>
        <w:tc>
          <w:tcPr>
            <w:tcW w:w="14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/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17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firstLineChars="10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0"/>
                <w:snapToGrid w:val="0"/>
                <w:color w:val="000000"/>
                <w:bdr w:val="none" w:color="auto" w:sz="0" w:space="0"/>
                <w:lang w:val="en-US" w:eastAsia="zh-CN" w:bidi="ar"/>
              </w:rPr>
              <w:t>C</w:t>
            </w:r>
            <w:r>
              <w:rPr>
                <w:rStyle w:val="13"/>
                <w:rFonts w:eastAsia="宋体"/>
                <w:snapToGrid w:val="0"/>
                <w:color w:val="000000"/>
                <w:bdr w:val="none" w:color="auto" w:sz="0" w:space="0"/>
                <w:lang w:val="en-US" w:eastAsia="zh-CN" w:bidi="ar"/>
              </w:rPr>
              <w:t>₂</w:t>
            </w:r>
            <w:r>
              <w:rPr>
                <w:rStyle w:val="10"/>
                <w:snapToGrid w:val="0"/>
                <w:color w:val="000000"/>
                <w:bdr w:val="none" w:color="auto" w:sz="0" w:space="0"/>
                <w:lang w:val="en-US" w:eastAsia="zh-CN" w:bidi="ar"/>
              </w:rPr>
              <w:t>H</w:t>
            </w:r>
            <w:r>
              <w:rPr>
                <w:rStyle w:val="13"/>
                <w:rFonts w:eastAsia="宋体"/>
                <w:snapToGrid w:val="0"/>
                <w:color w:val="000000"/>
                <w:bdr w:val="none" w:color="auto" w:sz="0" w:space="0"/>
                <w:lang w:val="en-US" w:eastAsia="zh-CN" w:bidi="ar"/>
              </w:rPr>
              <w:t>₄</w:t>
            </w:r>
            <w:r>
              <w:rPr>
                <w:rStyle w:val="10"/>
                <w:snapToGrid w:val="0"/>
                <w:color w:val="000000"/>
                <w:bdr w:val="none" w:color="auto" w:sz="0" w:space="0"/>
                <w:lang w:val="en-US" w:eastAsia="zh-CN" w:bidi="ar"/>
              </w:rPr>
              <w:t>(μL/L)</w:t>
            </w:r>
          </w:p>
        </w:tc>
        <w:tc>
          <w:tcPr>
            <w:tcW w:w="176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0.00</w:t>
            </w:r>
          </w:p>
        </w:tc>
        <w:tc>
          <w:tcPr>
            <w:tcW w:w="153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/</w:t>
            </w:r>
          </w:p>
        </w:tc>
        <w:tc>
          <w:tcPr>
            <w:tcW w:w="150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 xml:space="preserve">  CO</w:t>
            </w:r>
            <w:r>
              <w:rPr>
                <w:rStyle w:val="12"/>
                <w:rFonts w:eastAsia="宋体"/>
                <w:snapToGrid w:val="0"/>
                <w:color w:val="000000"/>
                <w:bdr w:val="none" w:color="auto" w:sz="0" w:space="0"/>
                <w:lang w:val="en-US" w:eastAsia="zh-CN" w:bidi="ar"/>
              </w:rPr>
              <w:t xml:space="preserve">₂ </w:t>
            </w: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(μL/L)</w:t>
            </w:r>
          </w:p>
        </w:tc>
        <w:tc>
          <w:tcPr>
            <w:tcW w:w="145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83.48</w:t>
            </w:r>
          </w:p>
        </w:tc>
        <w:tc>
          <w:tcPr>
            <w:tcW w:w="14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/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17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0"/>
                <w:snapToGrid w:val="0"/>
                <w:color w:val="000000"/>
                <w:bdr w:val="none" w:color="auto" w:sz="0" w:space="0"/>
                <w:lang w:val="en-US" w:eastAsia="zh-CN" w:bidi="ar"/>
              </w:rPr>
              <w:t xml:space="preserve">  C</w:t>
            </w:r>
            <w:r>
              <w:rPr>
                <w:rStyle w:val="13"/>
                <w:rFonts w:eastAsia="宋体"/>
                <w:snapToGrid w:val="0"/>
                <w:color w:val="000000"/>
                <w:bdr w:val="none" w:color="auto" w:sz="0" w:space="0"/>
                <w:lang w:val="en-US" w:eastAsia="zh-CN" w:bidi="ar"/>
              </w:rPr>
              <w:t>₂</w:t>
            </w:r>
            <w:r>
              <w:rPr>
                <w:rStyle w:val="10"/>
                <w:snapToGrid w:val="0"/>
                <w:color w:val="000000"/>
                <w:bdr w:val="none" w:color="auto" w:sz="0" w:space="0"/>
                <w:lang w:val="en-US" w:eastAsia="zh-CN" w:bidi="ar"/>
              </w:rPr>
              <w:t>H</w:t>
            </w:r>
            <w:r>
              <w:rPr>
                <w:rStyle w:val="14"/>
                <w:rFonts w:eastAsia="宋体"/>
                <w:snapToGrid w:val="0"/>
                <w:color w:val="000000"/>
                <w:bdr w:val="none" w:color="auto" w:sz="0" w:space="0"/>
                <w:lang w:val="en-US" w:eastAsia="zh-CN" w:bidi="ar"/>
              </w:rPr>
              <w:t xml:space="preserve">₈ </w:t>
            </w:r>
            <w:r>
              <w:rPr>
                <w:rStyle w:val="10"/>
                <w:snapToGrid w:val="0"/>
                <w:color w:val="000000"/>
                <w:bdr w:val="none" w:color="auto" w:sz="0" w:space="0"/>
                <w:lang w:val="en-US" w:eastAsia="zh-CN" w:bidi="ar"/>
              </w:rPr>
              <w:t>(μL/L)</w:t>
            </w:r>
          </w:p>
        </w:tc>
        <w:tc>
          <w:tcPr>
            <w:tcW w:w="176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0.00</w:t>
            </w:r>
          </w:p>
        </w:tc>
        <w:tc>
          <w:tcPr>
            <w:tcW w:w="153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/</w:t>
            </w:r>
          </w:p>
        </w:tc>
        <w:tc>
          <w:tcPr>
            <w:tcW w:w="150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firstLineChars="20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总烃</w:t>
            </w:r>
          </w:p>
        </w:tc>
        <w:tc>
          <w:tcPr>
            <w:tcW w:w="145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0.21</w:t>
            </w:r>
          </w:p>
        </w:tc>
        <w:tc>
          <w:tcPr>
            <w:tcW w:w="14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≤20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17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检测环境</w:t>
            </w:r>
          </w:p>
        </w:tc>
        <w:tc>
          <w:tcPr>
            <w:tcW w:w="7744" w:type="dxa"/>
            <w:gridSpan w:val="1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环境温度：21 ℃ ,湿度：54 %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17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检测设备</w:t>
            </w:r>
          </w:p>
        </w:tc>
        <w:tc>
          <w:tcPr>
            <w:tcW w:w="7744" w:type="dxa"/>
            <w:gridSpan w:val="1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变压器油分析气相色谱仪(B型)No.33451220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7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检测人员</w:t>
            </w:r>
          </w:p>
        </w:tc>
        <w:tc>
          <w:tcPr>
            <w:tcW w:w="3308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10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检测日期</w:t>
            </w:r>
          </w:p>
        </w:tc>
        <w:tc>
          <w:tcPr>
            <w:tcW w:w="233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firstLineChars="10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 xml:space="preserve">  2023年02月20日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9499" w:type="dxa"/>
            <w:gridSpan w:val="1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6.油试验数据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7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分析项目</w:t>
            </w:r>
          </w:p>
        </w:tc>
        <w:tc>
          <w:tcPr>
            <w:tcW w:w="176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实测结果</w:t>
            </w:r>
          </w:p>
        </w:tc>
        <w:tc>
          <w:tcPr>
            <w:tcW w:w="153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标准要求</w:t>
            </w:r>
          </w:p>
        </w:tc>
        <w:tc>
          <w:tcPr>
            <w:tcW w:w="182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分析项目</w:t>
            </w:r>
          </w:p>
        </w:tc>
        <w:tc>
          <w:tcPr>
            <w:tcW w:w="113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实测结果</w:t>
            </w:r>
          </w:p>
        </w:tc>
        <w:tc>
          <w:tcPr>
            <w:tcW w:w="14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标准要求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17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水溶性酸(pH)</w:t>
            </w:r>
          </w:p>
        </w:tc>
        <w:tc>
          <w:tcPr>
            <w:tcW w:w="176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6.8</w:t>
            </w:r>
          </w:p>
        </w:tc>
        <w:tc>
          <w:tcPr>
            <w:tcW w:w="153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&gt;5.4</w:t>
            </w:r>
          </w:p>
        </w:tc>
        <w:tc>
          <w:tcPr>
            <w:tcW w:w="182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酸值(mgKOH/g)</w:t>
            </w:r>
          </w:p>
        </w:tc>
        <w:tc>
          <w:tcPr>
            <w:tcW w:w="113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0.010</w:t>
            </w:r>
          </w:p>
        </w:tc>
        <w:tc>
          <w:tcPr>
            <w:tcW w:w="14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&lt;0.03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17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闭口闪点(90℃)</w:t>
            </w:r>
          </w:p>
        </w:tc>
        <w:tc>
          <w:tcPr>
            <w:tcW w:w="176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151.1</w:t>
            </w:r>
          </w:p>
        </w:tc>
        <w:tc>
          <w:tcPr>
            <w:tcW w:w="153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≥135</w:t>
            </w:r>
          </w:p>
        </w:tc>
        <w:tc>
          <w:tcPr>
            <w:tcW w:w="182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界面张力(25℃)mN/m</w:t>
            </w:r>
          </w:p>
        </w:tc>
        <w:tc>
          <w:tcPr>
            <w:tcW w:w="113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55</w:t>
            </w:r>
          </w:p>
        </w:tc>
        <w:tc>
          <w:tcPr>
            <w:tcW w:w="14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≥40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17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水分(mg/L)</w:t>
            </w:r>
          </w:p>
        </w:tc>
        <w:tc>
          <w:tcPr>
            <w:tcW w:w="176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4.3</w:t>
            </w:r>
          </w:p>
        </w:tc>
        <w:tc>
          <w:tcPr>
            <w:tcW w:w="153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≤15</w:t>
            </w:r>
          </w:p>
        </w:tc>
        <w:tc>
          <w:tcPr>
            <w:tcW w:w="182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油中含气量(%)</w:t>
            </w:r>
          </w:p>
        </w:tc>
        <w:tc>
          <w:tcPr>
            <w:tcW w:w="113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/</w:t>
            </w:r>
          </w:p>
        </w:tc>
        <w:tc>
          <w:tcPr>
            <w:tcW w:w="14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/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7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检测环境</w:t>
            </w:r>
          </w:p>
        </w:tc>
        <w:tc>
          <w:tcPr>
            <w:tcW w:w="7744" w:type="dxa"/>
            <w:gridSpan w:val="1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环境温度：21 ℃,湿度：54%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17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检测设备</w:t>
            </w:r>
          </w:p>
        </w:tc>
        <w:tc>
          <w:tcPr>
            <w:tcW w:w="7744" w:type="dxa"/>
            <w:gridSpan w:val="1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水溶性酸测定仪No.2106102;石油产品酸值全自动测定仪No.01071;闭口闪点自动分析仪</w:t>
            </w: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No,2111885:自动张力测定仪No.2006324;微量水分全自动测定仪No.00992;变压器油分析气相色</w:t>
            </w: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谱仪(B型)No.33451220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7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检测人员</w:t>
            </w:r>
          </w:p>
        </w:tc>
        <w:tc>
          <w:tcPr>
            <w:tcW w:w="3308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2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检测日期</w:t>
            </w:r>
          </w:p>
        </w:tc>
        <w:tc>
          <w:tcPr>
            <w:tcW w:w="261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2023年02月20日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9499" w:type="dxa"/>
            <w:gridSpan w:val="1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7.检测结论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239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结    论</w:t>
            </w:r>
          </w:p>
        </w:tc>
        <w:tc>
          <w:tcPr>
            <w:tcW w:w="7104" w:type="dxa"/>
            <w:gridSpan w:val="1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所检项目符合标准要求。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1" w:hRule="atLeast"/>
        </w:trPr>
        <w:tc>
          <w:tcPr>
            <w:tcW w:w="4251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检测单位(章):                      批准：</w:t>
            </w:r>
          </w:p>
        </w:tc>
        <w:tc>
          <w:tcPr>
            <w:tcW w:w="1182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/>
            <w:vAlign w:val="top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5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审核：</w:t>
            </w:r>
          </w:p>
        </w:tc>
        <w:tc>
          <w:tcPr>
            <w:tcW w:w="1075" w:type="dxa"/>
            <w:gridSpan w:val="4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/>
            <w:vAlign w:val="top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68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snapToGrid w:val="0"/>
                <w:color w:val="000000"/>
                <w:bdr w:val="none" w:color="auto" w:sz="0" w:space="0"/>
                <w:lang w:val="en-US" w:eastAsia="zh-CN" w:bidi="ar"/>
              </w:rPr>
              <w:t>检测：</w:t>
            </w:r>
          </w:p>
        </w:tc>
        <w:tc>
          <w:tcPr>
            <w:tcW w:w="1473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spacing w:before="105" w:line="187" w:lineRule="auto"/>
        <w:rPr>
          <w:rFonts w:ascii="黑体" w:hAnsi="黑体" w:eastAsia="黑体" w:cs="黑体"/>
          <w:b/>
          <w:bCs/>
          <w:spacing w:val="27"/>
          <w:sz w:val="32"/>
          <w:szCs w:val="32"/>
        </w:rPr>
      </w:pPr>
      <w:bookmarkStart w:id="0" w:name="_GoBack"/>
      <w:bookmarkEnd w:id="0"/>
    </w:p>
    <w:sectPr>
      <w:pgSz w:w="12120" w:h="16980"/>
      <w:pgMar w:top="996" w:right="1032" w:bottom="0" w:left="151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MGE4MzZkOWZjODAyMmIwMTNhZWYyNDdjNDNlMTdhMzMifQ=="/>
  </w:docVars>
  <w:rsids>
    <w:rsidRoot w:val="00000000"/>
    <w:rsid w:val="0CD52D5C"/>
    <w:rsid w:val="185B1758"/>
    <w:rsid w:val="70164F0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autoRedefine/>
    <w:semiHidden/>
    <w:uiPriority w:val="0"/>
  </w:style>
  <w:style w:type="table" w:default="1" w:styleId="3">
    <w:name w:val="Normal Table"/>
    <w:autoRedefine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autoRedefine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autoRedefine/>
    <w:semiHidden/>
    <w:qFormat/>
    <w:uiPriority w:val="0"/>
    <w:rPr>
      <w:rFonts w:ascii="宋体" w:hAnsi="宋体" w:eastAsia="宋体" w:cs="宋体"/>
      <w:sz w:val="19"/>
      <w:szCs w:val="19"/>
      <w:lang w:val="en-US" w:eastAsia="en-US" w:bidi="ar-SA"/>
    </w:rPr>
  </w:style>
  <w:style w:type="character" w:customStyle="1" w:styleId="7">
    <w:name w:val="font31"/>
    <w:basedOn w:val="4"/>
    <w:uiPriority w:val="0"/>
    <w:rPr>
      <w:rFonts w:ascii="宋体" w:hAnsi="宋体" w:eastAsia="宋体" w:cs="宋体"/>
      <w:color w:val="000000"/>
      <w:sz w:val="20"/>
      <w:szCs w:val="20"/>
      <w:u w:val="none"/>
    </w:rPr>
  </w:style>
  <w:style w:type="character" w:customStyle="1" w:styleId="8">
    <w:name w:val="font41"/>
    <w:basedOn w:val="4"/>
    <w:uiPriority w:val="0"/>
    <w:rPr>
      <w:rFonts w:ascii="黑体" w:hAnsi="宋体" w:eastAsia="黑体" w:cs="黑体"/>
      <w:b/>
      <w:bCs/>
      <w:color w:val="000000"/>
      <w:sz w:val="32"/>
      <w:szCs w:val="32"/>
      <w:u w:val="none"/>
    </w:rPr>
  </w:style>
  <w:style w:type="character" w:customStyle="1" w:styleId="9">
    <w:name w:val="font51"/>
    <w:basedOn w:val="4"/>
    <w:uiPriority w:val="0"/>
    <w:rPr>
      <w:rFonts w:ascii="宋体" w:hAnsi="宋体" w:eastAsia="宋体" w:cs="宋体"/>
      <w:color w:val="000000"/>
      <w:sz w:val="18"/>
      <w:szCs w:val="18"/>
      <w:u w:val="none"/>
    </w:rPr>
  </w:style>
  <w:style w:type="character" w:customStyle="1" w:styleId="10">
    <w:name w:val="font11"/>
    <w:basedOn w:val="4"/>
    <w:uiPriority w:val="0"/>
    <w:rPr>
      <w:rFonts w:ascii="宋体" w:hAnsi="宋体" w:eastAsia="宋体" w:cs="宋体"/>
      <w:color w:val="000000"/>
      <w:sz w:val="18"/>
      <w:szCs w:val="18"/>
      <w:u w:val="none"/>
    </w:rPr>
  </w:style>
  <w:style w:type="character" w:customStyle="1" w:styleId="11">
    <w:name w:val="font61"/>
    <w:basedOn w:val="4"/>
    <w:uiPriority w:val="0"/>
    <w:rPr>
      <w:rFonts w:hint="default" w:ascii="Arial" w:hAnsi="Arial" w:cs="Arial"/>
      <w:color w:val="000000"/>
      <w:sz w:val="18"/>
      <w:szCs w:val="18"/>
      <w:u w:val="none"/>
    </w:rPr>
  </w:style>
  <w:style w:type="character" w:customStyle="1" w:styleId="12">
    <w:name w:val="font71"/>
    <w:basedOn w:val="4"/>
    <w:uiPriority w:val="0"/>
    <w:rPr>
      <w:rFonts w:ascii="Calibri" w:hAnsi="Calibri" w:cs="Calibri"/>
      <w:color w:val="000000"/>
      <w:sz w:val="18"/>
      <w:szCs w:val="18"/>
      <w:u w:val="none"/>
    </w:rPr>
  </w:style>
  <w:style w:type="character" w:customStyle="1" w:styleId="13">
    <w:name w:val="font81"/>
    <w:basedOn w:val="4"/>
    <w:uiPriority w:val="0"/>
    <w:rPr>
      <w:rFonts w:hint="default" w:ascii="Times New Roman" w:hAnsi="Times New Roman" w:cs="Times New Roman"/>
      <w:color w:val="000000"/>
      <w:sz w:val="18"/>
      <w:szCs w:val="18"/>
      <w:u w:val="none"/>
    </w:rPr>
  </w:style>
  <w:style w:type="character" w:customStyle="1" w:styleId="14">
    <w:name w:val="font91"/>
    <w:basedOn w:val="4"/>
    <w:uiPriority w:val="0"/>
    <w:rPr>
      <w:rFonts w:hint="default" w:ascii="Calibri" w:hAnsi="Calibri" w:cs="Calibri"/>
      <w:color w:val="000000"/>
      <w:sz w:val="18"/>
      <w:szCs w:val="1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2</TotalTime>
  <ScaleCrop>false</ScaleCrop>
  <LinksUpToDate>false</LinksUpToDate>
  <Application>WPS Office_12.1.0.16250_F1E327BC-269C-435d-A152-05C5408002CA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2024-02-24T09:59:00Z</dcterms:created>
  <dc:creator>Kingsoft-PDF</dc:creator>
  <cp:lastModifiedBy>ctc</cp:lastModifiedBy>
  <dcterms:modified xsi:type="dcterms:W3CDTF">2024-02-24T02:03:08Z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2024-02-24T09:59:19Z</vt:filetime>
  </property>
  <property fmtid="{D5CDD505-2E9C-101B-9397-08002B2CF9AE}" pid="4" name="UsrData">
    <vt:lpwstr>65d94d7349c6c1001f5a776bwl</vt:lpwstr>
  </property>
  <property fmtid="{D5CDD505-2E9C-101B-9397-08002B2CF9AE}" pid="5" name="KSOProductBuildVer">
    <vt:lpwstr>2052-12.1.0.16250</vt:lpwstr>
  </property>
  <property fmtid="{D5CDD505-2E9C-101B-9397-08002B2CF9AE}" pid="6" name="ICV">
    <vt:lpwstr>D99837394F4D41E2BAE689E9BD0873DB_13</vt:lpwstr>
  </property>
</Properties>
</file>