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BD6E0">
      <w:pPr>
        <w:rPr>
          <w:rFonts w:hint="eastAsia"/>
        </w:rPr>
      </w:pPr>
    </w:p>
    <w:p w14:paraId="2C831579">
      <w:pPr>
        <w:rPr>
          <w:rFonts w:hint="eastAsia"/>
        </w:rPr>
      </w:pPr>
      <w:r>
        <w:rPr>
          <w:rFonts w:hint="eastAsia"/>
        </w:rPr>
        <w:t>2.3 产品架构与模块设计</w:t>
      </w:r>
    </w:p>
    <w:p w14:paraId="07F536A2">
      <w:pPr>
        <w:rPr>
          <w:rFonts w:hint="eastAsia"/>
          <w:lang w:eastAsia="zh-CN"/>
        </w:rPr>
      </w:pPr>
      <w:r>
        <w:rPr>
          <w:rFonts w:hint="eastAsia"/>
        </w:rPr>
        <w:t>期货账户分析网站旨在为期货交易者提供全面、实时的账户信息展示与深度数据分析服务。本设计采用分层架构模式，确保系统的可维护性、可扩展性和高性能。整体架构分为前端展示</w:t>
      </w:r>
      <w:r>
        <w:rPr>
          <w:rFonts w:hint="eastAsia"/>
          <w:lang w:val="en-US" w:eastAsia="zh-CN"/>
        </w:rPr>
        <w:t>模块</w:t>
      </w:r>
      <w:r>
        <w:rPr>
          <w:rFonts w:hint="eastAsia"/>
        </w:rPr>
        <w:t>、后端</w:t>
      </w:r>
      <w:r>
        <w:rPr>
          <w:rFonts w:hint="eastAsia"/>
          <w:lang w:val="en-US" w:eastAsia="zh-CN"/>
        </w:rPr>
        <w:t>逻辑</w:t>
      </w:r>
      <w:r>
        <w:rPr>
          <w:rFonts w:hint="eastAsia"/>
        </w:rPr>
        <w:t>处理</w:t>
      </w:r>
      <w:r>
        <w:rPr>
          <w:rFonts w:hint="eastAsia"/>
          <w:lang w:val="en-US" w:eastAsia="zh-CN"/>
        </w:rPr>
        <w:t>模块（一些工具类，及API接口模块）</w:t>
      </w:r>
      <w:r>
        <w:rPr>
          <w:rFonts w:hint="eastAsia"/>
        </w:rPr>
        <w:t>、数据存储</w:t>
      </w:r>
      <w:r>
        <w:rPr>
          <w:rFonts w:hint="eastAsia"/>
          <w:lang w:val="en-US" w:eastAsia="zh-CN"/>
        </w:rPr>
        <w:t>模块</w:t>
      </w:r>
      <w:r>
        <w:rPr>
          <w:rFonts w:hint="eastAsia"/>
          <w:lang w:eastAsia="zh-CN"/>
        </w:rPr>
        <w:t>。</w:t>
      </w:r>
    </w:p>
    <w:p w14:paraId="6531AA5C">
      <w:pPr>
        <w:rPr>
          <w:rFonts w:hint="eastAsia"/>
          <w:lang w:val="en-US" w:eastAsia="zh-CN"/>
        </w:rPr>
      </w:pPr>
      <w:r>
        <w:rPr>
          <w:rFonts w:hint="eastAsia"/>
        </w:rPr>
        <w:t>2.3</w:t>
      </w:r>
      <w:r>
        <w:rPr>
          <w:rFonts w:hint="eastAsia"/>
          <w:lang w:val="en-US" w:eastAsia="zh-CN"/>
        </w:rPr>
        <w:t>.1</w:t>
      </w:r>
      <w:r>
        <w:rPr>
          <w:rFonts w:hint="eastAsia"/>
        </w:rPr>
        <w:t xml:space="preserve"> 前端展示</w:t>
      </w:r>
      <w:r>
        <w:rPr>
          <w:rFonts w:hint="eastAsia"/>
          <w:lang w:val="en-US" w:eastAsia="zh-CN"/>
        </w:rPr>
        <w:t>模块</w:t>
      </w:r>
    </w:p>
    <w:p w14:paraId="2C3CF7E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用户登录</w:t>
      </w:r>
    </w:p>
    <w:p w14:paraId="72723D89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用户名密码登录：新用户注册存入用户信息管理库</w:t>
      </w:r>
    </w:p>
    <w:p w14:paraId="421DAB3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账户绑定：允许用户绑定多个期货账户</w:t>
      </w:r>
    </w:p>
    <w:p w14:paraId="6739779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主界面</w:t>
      </w:r>
    </w:p>
    <w:p w14:paraId="3A7E2E54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可选下面五项，以及退出登录操作</w:t>
      </w:r>
    </w:p>
    <w:p w14:paraId="12D83A6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账户分析</w:t>
      </w:r>
    </w:p>
    <w:p w14:paraId="4AB6C45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账户总览：展示账户总资产、可用资金、持仓盈亏、保证金比例等关键指标。</w:t>
      </w:r>
    </w:p>
    <w:p w14:paraId="4435D69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交易日历：按时间轴展示每日的交易情况，包括开仓、平仓、手续费等。</w:t>
      </w:r>
    </w:p>
    <w:p w14:paraId="1C047AF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资产分布图：以图表形式展示资产在不同品种、合约上的分布情况</w:t>
      </w:r>
    </w:p>
    <w:p w14:paraId="3ADA36E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交易统计</w:t>
      </w:r>
    </w:p>
    <w:p w14:paraId="5259211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交易记录：展示每笔交易的详细信息，包括成交时间、价格、数量、手续费等。</w:t>
      </w:r>
    </w:p>
    <w:p w14:paraId="4506C01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盈亏分析：计算并展示每日、每周、每月的盈亏情况，支持按品种、合约筛选。</w:t>
      </w:r>
    </w:p>
    <w:p w14:paraId="08F2DB1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绩效评估：基于夏普比率、最大回撤等指标评估交易绩效</w:t>
      </w:r>
    </w:p>
    <w:p w14:paraId="0ECFC8D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平</w:t>
      </w:r>
      <w:r>
        <w:rPr>
          <w:rFonts w:hint="eastAsia"/>
          <w:b/>
          <w:bCs/>
          <w:lang w:val="en-US" w:eastAsia="zh-CN"/>
        </w:rPr>
        <w:t>仓</w:t>
      </w:r>
      <w:r>
        <w:rPr>
          <w:rFonts w:hint="default"/>
          <w:b/>
          <w:bCs/>
          <w:lang w:val="en-US" w:eastAsia="zh-CN"/>
        </w:rPr>
        <w:t>记录</w:t>
      </w:r>
    </w:p>
    <w:p w14:paraId="1522068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交易记录：展示每笔交易的详细信息，包括成交时间、价格、数量、手续费等。</w:t>
      </w:r>
    </w:p>
    <w:p w14:paraId="6BE1A21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盈亏分析：计算并展示每日、每周、每月的盈亏情况，支持按品种、合约筛选。</w:t>
      </w:r>
    </w:p>
    <w:p w14:paraId="532357D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绩效评估：基于夏普比率、最大回撤等指标评估交易绩效。</w:t>
      </w:r>
    </w:p>
    <w:p w14:paraId="3A00E28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期末持仓</w:t>
      </w:r>
    </w:p>
    <w:p w14:paraId="36F148F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统计每天的持仓情况，可以直观的了解账户持仓风险大小</w:t>
      </w:r>
    </w:p>
    <w:p w14:paraId="6341089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成交记录</w:t>
      </w:r>
    </w:p>
    <w:p w14:paraId="18962BA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汇总固定期限的交易记录情况</w:t>
      </w:r>
    </w:p>
    <w:p w14:paraId="695CB8EB">
      <w:pPr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2.3.2</w:t>
      </w:r>
      <w:r>
        <w:rPr>
          <w:rFonts w:hint="eastAsia"/>
        </w:rPr>
        <w:t>后端</w:t>
      </w:r>
      <w:r>
        <w:rPr>
          <w:rFonts w:hint="eastAsia"/>
          <w:lang w:val="en-US" w:eastAsia="zh-CN"/>
        </w:rPr>
        <w:t>逻辑</w:t>
      </w:r>
      <w:r>
        <w:rPr>
          <w:rFonts w:hint="eastAsia"/>
        </w:rPr>
        <w:t>处理</w:t>
      </w:r>
      <w:r>
        <w:rPr>
          <w:rFonts w:hint="eastAsia"/>
          <w:lang w:val="en-US" w:eastAsia="zh-CN"/>
        </w:rPr>
        <w:t>模块</w:t>
      </w:r>
    </w:p>
    <w:p w14:paraId="67580FD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一些工具类如后台基础数据的整合排序函数</w:t>
      </w:r>
    </w:p>
    <w:p w14:paraId="27AC9E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API接口模块，如支持将账户数据、交易记录等导出为Excel等格式</w:t>
      </w:r>
    </w:p>
    <w:p w14:paraId="103B8F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2.3.3数据存储模块</w:t>
      </w:r>
    </w:p>
    <w:p w14:paraId="3CCD1E7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身份信息存储、交易数据存储</w:t>
      </w:r>
    </w:p>
    <w:p w14:paraId="67EDDD6F">
      <w:r>
        <w:drawing>
          <wp:inline distT="0" distB="0" distL="114300" distR="114300">
            <wp:extent cx="4109085" cy="2124710"/>
            <wp:effectExtent l="0" t="0" r="5715" b="889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9085" cy="212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6EFA5">
      <w:pPr>
        <w:pStyle w:val="2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期货账户分析网站流程图</w:t>
      </w:r>
    </w:p>
    <w:p w14:paraId="41430F8A">
      <w:pPr>
        <w:rPr>
          <w:rFonts w:hint="eastAsia"/>
        </w:rPr>
      </w:pPr>
      <w:r>
        <w:rPr>
          <w:rFonts w:hint="eastAsia"/>
        </w:rPr>
        <w:t xml:space="preserve"> 2.4 界面效果</w:t>
      </w:r>
    </w:p>
    <w:p w14:paraId="781F10C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登录界面排版可以参考下图，粗定简洁大标题</w:t>
      </w:r>
    </w:p>
    <w:p w14:paraId="69B1C3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260215" cy="2403475"/>
            <wp:effectExtent l="0" t="0" r="6985" b="9525"/>
            <wp:docPr id="6" name="图片 6" descr="屏幕截图 2024-11-27 111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4-11-27 11104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0215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DBA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145790" cy="2653665"/>
            <wp:effectExtent l="0" t="0" r="3810" b="63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5790" cy="265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A6B55">
      <w:pPr>
        <w:rPr>
          <w:rFonts w:hint="eastAsia"/>
          <w:lang w:val="en-US" w:eastAsia="zh-CN"/>
        </w:rPr>
      </w:pPr>
      <w:r>
        <w:rPr>
          <w:rFonts w:hint="eastAsia"/>
        </w:rPr>
        <w:t>主界面展示所有模块的入口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默认停在账户分析界面，可采用侧边标签选项选择账户分析、交易统计、平仓记录、期末持仓、成交记录</w:t>
      </w:r>
    </w:p>
    <w:p w14:paraId="695765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314190" cy="2501900"/>
            <wp:effectExtent l="0" t="0" r="3810" b="0"/>
            <wp:docPr id="9" name="图片 9" descr="屏幕截图 2024-11-27 111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4-11-27 1119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419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1F8F7">
      <w:pPr>
        <w:rPr>
          <w:rFonts w:hint="eastAsia"/>
        </w:rPr>
      </w:pPr>
      <w:r>
        <w:rPr>
          <w:rFonts w:hint="eastAsia"/>
        </w:rPr>
        <w:t>每个模块界面展示相关数据的图表和统计信息。</w:t>
      </w:r>
    </w:p>
    <w:p w14:paraId="697422E4">
      <w:pPr>
        <w:rPr>
          <w:rFonts w:hint="eastAsia"/>
        </w:rPr>
      </w:pPr>
      <w:r>
        <w:drawing>
          <wp:inline distT="0" distB="0" distL="114300" distR="114300">
            <wp:extent cx="3024505" cy="2202180"/>
            <wp:effectExtent l="0" t="0" r="10795" b="762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4505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58BAB">
      <w:pPr>
        <w:rPr>
          <w:rFonts w:hint="eastAsia"/>
        </w:rPr>
      </w:pPr>
    </w:p>
    <w:p w14:paraId="22166B89">
      <w:pPr>
        <w:rPr>
          <w:rFonts w:hint="eastAsia"/>
        </w:rPr>
      </w:pPr>
    </w:p>
    <w:p w14:paraId="14EE86FB">
      <w:pPr>
        <w:rPr>
          <w:rFonts w:hint="eastAsia"/>
        </w:rPr>
      </w:pPr>
      <w:r>
        <w:rPr>
          <w:rFonts w:hint="eastAsia"/>
        </w:rPr>
        <w:t xml:space="preserve"> 3.3 开发周期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2700"/>
        <w:gridCol w:w="1510"/>
        <w:gridCol w:w="1580"/>
        <w:gridCol w:w="1580"/>
      </w:tblGrid>
      <w:tr w14:paraId="473A8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</w:tcPr>
          <w:p w14:paraId="6C3AF35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</w:t>
            </w:r>
          </w:p>
        </w:tc>
        <w:tc>
          <w:tcPr>
            <w:tcW w:w="2700" w:type="dxa"/>
          </w:tcPr>
          <w:p w14:paraId="6337FB3C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子功能</w:t>
            </w:r>
          </w:p>
        </w:tc>
        <w:tc>
          <w:tcPr>
            <w:tcW w:w="1510" w:type="dxa"/>
          </w:tcPr>
          <w:p w14:paraId="437F078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负责人</w:t>
            </w:r>
          </w:p>
        </w:tc>
        <w:tc>
          <w:tcPr>
            <w:tcW w:w="1580" w:type="dxa"/>
          </w:tcPr>
          <w:p w14:paraId="566D56BF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预计开始</w:t>
            </w:r>
          </w:p>
        </w:tc>
        <w:tc>
          <w:tcPr>
            <w:tcW w:w="1580" w:type="dxa"/>
          </w:tcPr>
          <w:p w14:paraId="5CD724B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预计结束</w:t>
            </w:r>
          </w:p>
        </w:tc>
      </w:tr>
      <w:tr w14:paraId="0589B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vMerge w:val="restart"/>
          </w:tcPr>
          <w:p w14:paraId="7623568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前端展示</w:t>
            </w:r>
          </w:p>
        </w:tc>
        <w:tc>
          <w:tcPr>
            <w:tcW w:w="2700" w:type="dxa"/>
          </w:tcPr>
          <w:p w14:paraId="1005325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沟通网页，联调</w:t>
            </w:r>
          </w:p>
        </w:tc>
        <w:tc>
          <w:tcPr>
            <w:tcW w:w="1510" w:type="dxa"/>
          </w:tcPr>
          <w:p w14:paraId="4A3180D8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申王鹤</w:t>
            </w:r>
          </w:p>
        </w:tc>
        <w:tc>
          <w:tcPr>
            <w:tcW w:w="1580" w:type="dxa"/>
          </w:tcPr>
          <w:p w14:paraId="1C76B36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20241128</w:t>
            </w:r>
          </w:p>
        </w:tc>
        <w:tc>
          <w:tcPr>
            <w:tcW w:w="1580" w:type="dxa"/>
          </w:tcPr>
          <w:p w14:paraId="2BF5E42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20241202</w:t>
            </w:r>
          </w:p>
        </w:tc>
      </w:tr>
      <w:tr w14:paraId="4F3A4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vMerge w:val="continue"/>
          </w:tcPr>
          <w:p w14:paraId="085E67DC">
            <w:pPr>
              <w:rPr>
                <w:rFonts w:hint="eastAsia"/>
                <w:vertAlign w:val="baseline"/>
              </w:rPr>
            </w:pPr>
          </w:p>
        </w:tc>
        <w:tc>
          <w:tcPr>
            <w:tcW w:w="2700" w:type="dxa"/>
          </w:tcPr>
          <w:p w14:paraId="433CD43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外观美化，信息排布</w:t>
            </w:r>
          </w:p>
        </w:tc>
        <w:tc>
          <w:tcPr>
            <w:tcW w:w="1510" w:type="dxa"/>
          </w:tcPr>
          <w:p w14:paraId="76BBC2B8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姜之楠</w:t>
            </w:r>
          </w:p>
        </w:tc>
        <w:tc>
          <w:tcPr>
            <w:tcW w:w="1580" w:type="dxa"/>
          </w:tcPr>
          <w:p w14:paraId="4D42040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20241128</w:t>
            </w:r>
          </w:p>
        </w:tc>
        <w:tc>
          <w:tcPr>
            <w:tcW w:w="1580" w:type="dxa"/>
          </w:tcPr>
          <w:p w14:paraId="2134BD9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20241205</w:t>
            </w:r>
          </w:p>
        </w:tc>
      </w:tr>
      <w:tr w14:paraId="11803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vMerge w:val="continue"/>
          </w:tcPr>
          <w:p w14:paraId="69A9B4D6">
            <w:pPr>
              <w:rPr>
                <w:rFonts w:hint="eastAsia"/>
                <w:vertAlign w:val="baseline"/>
              </w:rPr>
            </w:pPr>
          </w:p>
        </w:tc>
        <w:tc>
          <w:tcPr>
            <w:tcW w:w="2700" w:type="dxa"/>
          </w:tcPr>
          <w:p w14:paraId="205BF1FF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图表展示</w:t>
            </w:r>
          </w:p>
        </w:tc>
        <w:tc>
          <w:tcPr>
            <w:tcW w:w="1510" w:type="dxa"/>
          </w:tcPr>
          <w:p w14:paraId="4DAADFC4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孟含桐</w:t>
            </w:r>
          </w:p>
        </w:tc>
        <w:tc>
          <w:tcPr>
            <w:tcW w:w="1580" w:type="dxa"/>
          </w:tcPr>
          <w:p w14:paraId="0BEC509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20241128</w:t>
            </w:r>
          </w:p>
        </w:tc>
        <w:tc>
          <w:tcPr>
            <w:tcW w:w="1580" w:type="dxa"/>
          </w:tcPr>
          <w:p w14:paraId="570C1D3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20241205</w:t>
            </w:r>
          </w:p>
        </w:tc>
      </w:tr>
      <w:tr w14:paraId="6978B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vMerge w:val="restart"/>
          </w:tcPr>
          <w:p w14:paraId="7B5E1A9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后端处理</w:t>
            </w:r>
          </w:p>
        </w:tc>
        <w:tc>
          <w:tcPr>
            <w:tcW w:w="2700" w:type="dxa"/>
          </w:tcPr>
          <w:p w14:paraId="621B242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逻辑接口</w:t>
            </w:r>
          </w:p>
        </w:tc>
        <w:tc>
          <w:tcPr>
            <w:tcW w:w="1510" w:type="dxa"/>
          </w:tcPr>
          <w:p w14:paraId="75D6716E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方童</w:t>
            </w:r>
          </w:p>
        </w:tc>
        <w:tc>
          <w:tcPr>
            <w:tcW w:w="1580" w:type="dxa"/>
          </w:tcPr>
          <w:p w14:paraId="40F8AB4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20241128</w:t>
            </w:r>
          </w:p>
        </w:tc>
        <w:tc>
          <w:tcPr>
            <w:tcW w:w="1580" w:type="dxa"/>
          </w:tcPr>
          <w:p w14:paraId="2479B93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20241203</w:t>
            </w:r>
          </w:p>
        </w:tc>
      </w:tr>
      <w:tr w14:paraId="1A8E3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vMerge w:val="continue"/>
          </w:tcPr>
          <w:p w14:paraId="5D9709C7">
            <w:pPr>
              <w:rPr>
                <w:rFonts w:hint="eastAsia"/>
                <w:vertAlign w:val="baseline"/>
              </w:rPr>
            </w:pPr>
          </w:p>
        </w:tc>
        <w:tc>
          <w:tcPr>
            <w:tcW w:w="2700" w:type="dxa"/>
          </w:tcPr>
          <w:p w14:paraId="758B8454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数据存储</w:t>
            </w:r>
          </w:p>
        </w:tc>
        <w:tc>
          <w:tcPr>
            <w:tcW w:w="1510" w:type="dxa"/>
          </w:tcPr>
          <w:p w14:paraId="7180507E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李诗怡</w:t>
            </w:r>
          </w:p>
        </w:tc>
        <w:tc>
          <w:tcPr>
            <w:tcW w:w="1580" w:type="dxa"/>
          </w:tcPr>
          <w:p w14:paraId="0EBEF36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20241128</w:t>
            </w:r>
          </w:p>
        </w:tc>
        <w:tc>
          <w:tcPr>
            <w:tcW w:w="1580" w:type="dxa"/>
          </w:tcPr>
          <w:p w14:paraId="776AE2D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20241202</w:t>
            </w:r>
          </w:p>
        </w:tc>
      </w:tr>
    </w:tbl>
    <w:p w14:paraId="3046C590">
      <w:pPr>
        <w:rPr>
          <w:rFonts w:hint="eastAsia"/>
        </w:rPr>
      </w:pPr>
    </w:p>
    <w:p w14:paraId="65E9ABA8">
      <w:pPr>
        <w:rPr>
          <w:rFonts w:hint="eastAsia"/>
        </w:rPr>
      </w:pPr>
    </w:p>
    <w:p w14:paraId="21FCD43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QzOTkzOTM2NDljNzJkMWZkMTZjNDNmZGYzNTlkN2QifQ=="/>
  </w:docVars>
  <w:rsids>
    <w:rsidRoot w:val="00000000"/>
    <w:rsid w:val="078A2210"/>
    <w:rsid w:val="191B6EF0"/>
    <w:rsid w:val="1B030687"/>
    <w:rsid w:val="241B0E99"/>
    <w:rsid w:val="26EF3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1409</Words>
  <Characters>1575</Characters>
  <Lines>0</Lines>
  <Paragraphs>0</Paragraphs>
  <TotalTime>1</TotalTime>
  <ScaleCrop>false</ScaleCrop>
  <LinksUpToDate>false</LinksUpToDate>
  <CharactersWithSpaces>1637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2024-11-26T06:25:00Z</dcterms:created>
  <dc:creator>86170</dc:creator>
  <cp:lastModifiedBy>庄晓</cp:lastModifiedBy>
  <dcterms:modified xsi:type="dcterms:W3CDTF">2024-11-27T03:22:54Z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B6A316A13E17448CBFDA7D5C4BC37432_12</vt:lpwstr>
  </property>
</Properties>
</file>