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217D70">
      <w:pPr>
        <w:rPr>
          <w:rFonts w:hint="default"/>
          <w:b/>
          <w:bCs/>
          <w:i/>
          <w:iCs/>
          <w:lang w:val="en-GB"/>
        </w:rPr>
      </w:pPr>
      <w:r>
        <w:rPr>
          <w:rFonts w:hint="default"/>
          <w:b/>
          <w:bCs/>
          <w:i/>
          <w:iCs/>
        </w:rPr>
        <w:t>Key Factors Influencing Cost</w:t>
      </w:r>
      <w:r>
        <w:rPr>
          <w:rFonts w:hint="default"/>
          <w:b/>
          <w:bCs/>
          <w:i/>
          <w:iCs/>
          <w:lang w:val="en-GB"/>
        </w:rPr>
        <w:t xml:space="preserve"> of PPR Vaccination per small animal.</w:t>
      </w:r>
    </w:p>
    <w:p w14:paraId="5E87D685">
      <w:pPr>
        <w:numPr>
          <w:ilvl w:val="0"/>
          <w:numId w:val="1"/>
        </w:numPr>
        <w:spacing w:line="360" w:lineRule="auto"/>
        <w:rPr>
          <w:rFonts w:hint="default"/>
        </w:rPr>
      </w:pPr>
      <w:r>
        <w:rPr>
          <w:rFonts w:hint="default"/>
        </w:rPr>
        <w:t>Channel:</w:t>
      </w:r>
      <w:r>
        <w:rPr>
          <w:rFonts w:hint="default"/>
          <w:lang w:val="en-GB"/>
        </w:rPr>
        <w:t xml:space="preserve"> </w:t>
      </w:r>
      <w:r>
        <w:rPr>
          <w:rFonts w:hint="default"/>
        </w:rPr>
        <w:t xml:space="preserve">Public vaccination campaigns often have higher operational costs (due to logistics and personnel), while private channels may have lower but potentially more variable costs. </w:t>
      </w:r>
    </w:p>
    <w:p w14:paraId="3F382DBF">
      <w:pPr>
        <w:numPr>
          <w:ilvl w:val="0"/>
          <w:numId w:val="1"/>
        </w:numPr>
        <w:spacing w:line="360" w:lineRule="auto"/>
        <w:ind w:left="0" w:leftChars="0" w:firstLine="0" w:firstLineChars="0"/>
        <w:rPr>
          <w:rFonts w:hint="default"/>
        </w:rPr>
      </w:pPr>
      <w:r>
        <w:rPr>
          <w:rFonts w:hint="default"/>
        </w:rPr>
        <w:t>Logistics and Personnel:</w:t>
      </w:r>
      <w:r>
        <w:rPr>
          <w:rFonts w:hint="default"/>
          <w:lang w:val="en-GB"/>
        </w:rPr>
        <w:t xml:space="preserve"> </w:t>
      </w:r>
      <w:r>
        <w:rPr>
          <w:rFonts w:hint="default"/>
        </w:rPr>
        <w:t xml:space="preserve">The cost of delivering the vaccine to the field and paying for personnel time are major components of the total cost per vaccinated animal. </w:t>
      </w:r>
    </w:p>
    <w:p w14:paraId="5D6367C1">
      <w:pPr>
        <w:numPr>
          <w:ilvl w:val="0"/>
          <w:numId w:val="1"/>
        </w:numPr>
        <w:spacing w:line="360" w:lineRule="auto"/>
        <w:ind w:left="0" w:leftChars="0" w:firstLine="0" w:firstLineChars="0"/>
        <w:rPr>
          <w:rFonts w:hint="default"/>
        </w:rPr>
      </w:pPr>
      <w:r>
        <w:rPr>
          <w:rFonts w:hint="default"/>
        </w:rPr>
        <w:t>Location and System:</w:t>
      </w:r>
      <w:r>
        <w:rPr>
          <w:rFonts w:hint="default"/>
          <w:lang w:val="en-GB"/>
        </w:rPr>
        <w:t xml:space="preserve"> </w:t>
      </w:r>
      <w:r>
        <w:rPr>
          <w:rFonts w:hint="default"/>
        </w:rPr>
        <w:t xml:space="preserve">Costs vary between pastoral and agropastoral systems due to differences in delivery methods and farmer involvement. </w:t>
      </w:r>
    </w:p>
    <w:p w14:paraId="2BF93B1D">
      <w:pPr>
        <w:numPr>
          <w:ilvl w:val="0"/>
          <w:numId w:val="1"/>
        </w:numPr>
        <w:spacing w:line="360" w:lineRule="auto"/>
        <w:ind w:left="0" w:leftChars="0" w:firstLine="0" w:firstLineChars="0"/>
        <w:rPr>
          <w:rFonts w:hint="default"/>
        </w:rPr>
      </w:pPr>
      <w:r>
        <w:rPr>
          <w:rFonts w:hint="default"/>
        </w:rPr>
        <w:t>Economies of Scale:</w:t>
      </w:r>
      <w:r>
        <w:rPr>
          <w:rFonts w:hint="default"/>
          <w:lang w:val="en-GB"/>
        </w:rPr>
        <w:t xml:space="preserve"> </w:t>
      </w:r>
      <w:r>
        <w:rPr>
          <w:rFonts w:hint="default"/>
        </w:rPr>
        <w:t xml:space="preserve">Very large vaccination campaigns can achieve lower per-animal costs, as seen in Somalia. </w:t>
      </w:r>
    </w:p>
    <w:p w14:paraId="5A76A45A">
      <w:pPr>
        <w:numPr>
          <w:ilvl w:val="0"/>
          <w:numId w:val="1"/>
        </w:numPr>
        <w:spacing w:line="360" w:lineRule="auto"/>
        <w:ind w:left="0" w:leftChars="0" w:firstLine="0" w:firstLineChars="0"/>
      </w:pPr>
      <w:r>
        <w:rPr>
          <w:rFonts w:hint="default"/>
        </w:rPr>
        <w:t>Vaccine Wastage:</w:t>
      </w:r>
      <w:r>
        <w:rPr>
          <w:rFonts w:hint="default"/>
          <w:lang w:val="en-GB"/>
        </w:rPr>
        <w:t xml:space="preserve"> </w:t>
      </w:r>
      <w:r>
        <w:rPr>
          <w:rFonts w:hint="default"/>
        </w:rPr>
        <w:t xml:space="preserve">Inefficient practices, leading to wasted vaccine doses, can increase the overall cost per effective vaccination. </w:t>
      </w:r>
    </w:p>
    <w:p w14:paraId="5FEC45A6">
      <w:pPr>
        <w:numPr>
          <w:ilvl w:val="0"/>
          <w:numId w:val="0"/>
        </w:numPr>
        <w:spacing w:line="360" w:lineRule="auto"/>
        <w:rPr>
          <w:rFonts w:hint="default"/>
        </w:rPr>
      </w:pPr>
    </w:p>
    <w:p w14:paraId="4FAB78FA">
      <w:pPr>
        <w:numPr>
          <w:ilvl w:val="0"/>
          <w:numId w:val="0"/>
        </w:numPr>
        <w:spacing w:line="360" w:lineRule="auto"/>
        <w:rPr>
          <w:rFonts w:hint="default"/>
        </w:rPr>
      </w:pPr>
      <w:r>
        <w:rPr>
          <w:rFonts w:hint="default"/>
        </w:rPr>
        <w:t xml:space="preserve">The cost of PPR vaccines </w:t>
      </w:r>
      <w:r>
        <w:rPr>
          <w:rFonts w:hint="default"/>
          <w:lang w:val="en-GB"/>
        </w:rPr>
        <w:t xml:space="preserve">per animal </w:t>
      </w:r>
      <w:r>
        <w:rPr>
          <w:rFonts w:hint="default"/>
        </w:rPr>
        <w:t xml:space="preserve">varies significantly across African countries and even within them, with reported values for a single dose ranging from approximately </w:t>
      </w:r>
      <w:r>
        <w:rPr>
          <w:rFonts w:hint="default"/>
          <w:b/>
          <w:bCs/>
          <w:i/>
          <w:iCs/>
        </w:rPr>
        <w:t>$0.06 to $0.3 per animal for the vaccine itself</w:t>
      </w:r>
      <w:r>
        <w:rPr>
          <w:rFonts w:hint="default"/>
        </w:rPr>
        <w:t xml:space="preserve">, and </w:t>
      </w:r>
      <w:r>
        <w:rPr>
          <w:rFonts w:hint="default"/>
          <w:b/>
          <w:bCs/>
          <w:i/>
          <w:iCs/>
        </w:rPr>
        <w:t>overall vaccination service costs per animal reaching around $0.18 to $2.00</w:t>
      </w:r>
      <w:r>
        <w:rPr>
          <w:rFonts w:hint="default"/>
        </w:rPr>
        <w:t xml:space="preserve">. Factors such as public vs. private channels, location (pastoral vs. agropastoral), the cost of personnel and logistics, and economies of scale in large vaccination campaigns greatly influence the final price per vaccinated animal. </w:t>
      </w:r>
    </w:p>
    <w:p w14:paraId="2D86DDAC">
      <w:pPr>
        <w:numPr>
          <w:ilvl w:val="0"/>
          <w:numId w:val="0"/>
        </w:numPr>
        <w:spacing w:line="360" w:lineRule="auto"/>
        <w:rPr>
          <w:rFonts w:hint="default"/>
        </w:rPr>
      </w:pPr>
      <w:r>
        <w:rPr>
          <w:rFonts w:hint="default"/>
        </w:rPr>
        <w:t>Reported Vaccination Costs (per animal)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856"/>
        <w:gridCol w:w="2913"/>
      </w:tblGrid>
      <w:tr w14:paraId="5886B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635D89C">
            <w:pPr>
              <w:widowControl w:val="0"/>
              <w:numPr>
                <w:ilvl w:val="0"/>
                <w:numId w:val="0"/>
              </w:numPr>
              <w:spacing w:line="360" w:lineRule="auto"/>
              <w:jc w:val="both"/>
              <w:rPr>
                <w:rFonts w:hint="default"/>
                <w:vertAlign w:val="baseline"/>
              </w:rPr>
            </w:pPr>
          </w:p>
        </w:tc>
        <w:tc>
          <w:tcPr>
            <w:tcW w:w="2856" w:type="dxa"/>
          </w:tcPr>
          <w:p w14:paraId="74359CD5">
            <w:pPr>
              <w:widowControl w:val="0"/>
              <w:numPr>
                <w:ilvl w:val="0"/>
                <w:numId w:val="0"/>
              </w:numPr>
              <w:spacing w:line="360" w:lineRule="auto"/>
              <w:jc w:val="both"/>
              <w:rPr>
                <w:rFonts w:hint="default"/>
                <w:vertAlign w:val="baseline"/>
                <w:lang w:val="en-GB"/>
              </w:rPr>
            </w:pPr>
            <w:r>
              <w:rPr>
                <w:rFonts w:hint="default"/>
                <w:vertAlign w:val="baseline"/>
                <w:lang w:val="en-GB"/>
              </w:rPr>
              <w:t>Lower range</w:t>
            </w:r>
          </w:p>
        </w:tc>
        <w:tc>
          <w:tcPr>
            <w:tcW w:w="2913" w:type="dxa"/>
          </w:tcPr>
          <w:p w14:paraId="17F9E753">
            <w:pPr>
              <w:widowControl w:val="0"/>
              <w:numPr>
                <w:ilvl w:val="0"/>
                <w:numId w:val="0"/>
              </w:numPr>
              <w:spacing w:line="360" w:lineRule="auto"/>
              <w:jc w:val="both"/>
              <w:rPr>
                <w:rFonts w:hint="default"/>
                <w:vertAlign w:val="baseline"/>
                <w:lang w:val="en-GB"/>
              </w:rPr>
            </w:pPr>
            <w:r>
              <w:rPr>
                <w:rFonts w:hint="default"/>
                <w:vertAlign w:val="baseline"/>
                <w:lang w:val="en-GB"/>
              </w:rPr>
              <w:t>Upper range</w:t>
            </w:r>
          </w:p>
        </w:tc>
      </w:tr>
      <w:tr w14:paraId="19477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top"/>
          </w:tcPr>
          <w:p w14:paraId="561B46E3">
            <w:pPr>
              <w:widowControl w:val="0"/>
              <w:numPr>
                <w:ilvl w:val="0"/>
                <w:numId w:val="0"/>
              </w:numPr>
              <w:spacing w:line="360" w:lineRule="auto"/>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rPr>
              <w:t>Burkina Faso:</w:t>
            </w:r>
          </w:p>
        </w:tc>
        <w:tc>
          <w:tcPr>
            <w:tcW w:w="2856" w:type="dxa"/>
            <w:shd w:val="clear" w:color="auto" w:fill="auto"/>
            <w:vAlign w:val="top"/>
          </w:tcPr>
          <w:p w14:paraId="40B4FE61">
            <w:pPr>
              <w:widowControl w:val="0"/>
              <w:numPr>
                <w:ilvl w:val="0"/>
                <w:numId w:val="0"/>
              </w:numPr>
              <w:spacing w:line="360" w:lineRule="auto"/>
              <w:ind w:left="0" w:leftChars="0" w:firstLine="0" w:firstLineChars="0"/>
              <w:jc w:val="both"/>
              <w:rPr>
                <w:rFonts w:hint="default" w:asciiTheme="minorHAnsi" w:hAnsiTheme="minorHAnsi" w:eastAsiaTheme="minorEastAsia" w:cstheme="minorBidi"/>
                <w:vertAlign w:val="baseline"/>
                <w:lang w:val="en-GB" w:eastAsia="zh-CN" w:bidi="ar-SA"/>
              </w:rPr>
            </w:pPr>
            <w:r>
              <w:rPr>
                <w:rFonts w:hint="default" w:ascii="Arial" w:hAnsi="Arial" w:cs="Arial"/>
              </w:rPr>
              <w:t>≈</w:t>
            </w:r>
            <w:r>
              <w:rPr>
                <w:rFonts w:hint="default"/>
              </w:rPr>
              <w:t xml:space="preserve"> $0.18 via private channels</w:t>
            </w:r>
          </w:p>
        </w:tc>
        <w:tc>
          <w:tcPr>
            <w:tcW w:w="2913" w:type="dxa"/>
            <w:shd w:val="clear" w:color="auto" w:fill="auto"/>
            <w:vAlign w:val="top"/>
          </w:tcPr>
          <w:p w14:paraId="697DF521">
            <w:pPr>
              <w:widowControl w:val="0"/>
              <w:numPr>
                <w:ilvl w:val="0"/>
                <w:numId w:val="0"/>
              </w:numPr>
              <w:spacing w:line="360" w:lineRule="auto"/>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ascii="Arial" w:hAnsi="Arial" w:cs="Arial"/>
              </w:rPr>
              <w:t>≈</w:t>
            </w:r>
            <w:r>
              <w:rPr>
                <w:rFonts w:hint="default"/>
              </w:rPr>
              <w:t xml:space="preserve"> $0.30 </w:t>
            </w:r>
            <w:r>
              <w:rPr>
                <w:rFonts w:hint="default"/>
                <w:lang w:val="en-GB"/>
              </w:rPr>
              <w:t>(</w:t>
            </w:r>
            <w:r>
              <w:rPr>
                <w:rFonts w:hint="default"/>
              </w:rPr>
              <w:t>public channel</w:t>
            </w:r>
            <w:r>
              <w:rPr>
                <w:rFonts w:hint="default"/>
                <w:lang w:val="en-GB"/>
              </w:rPr>
              <w:t>)</w:t>
            </w:r>
          </w:p>
        </w:tc>
      </w:tr>
      <w:tr w14:paraId="03EDD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2AE7546">
            <w:pPr>
              <w:widowControl w:val="0"/>
              <w:numPr>
                <w:ilvl w:val="0"/>
                <w:numId w:val="0"/>
              </w:numPr>
              <w:spacing w:line="360" w:lineRule="auto"/>
              <w:jc w:val="both"/>
              <w:rPr>
                <w:rFonts w:hint="default"/>
                <w:vertAlign w:val="baseline"/>
              </w:rPr>
            </w:pPr>
            <w:r>
              <w:rPr>
                <w:rFonts w:hint="default"/>
              </w:rPr>
              <w:t>Nigeria:</w:t>
            </w:r>
          </w:p>
        </w:tc>
        <w:tc>
          <w:tcPr>
            <w:tcW w:w="2856" w:type="dxa"/>
          </w:tcPr>
          <w:p w14:paraId="01D8B28A">
            <w:pPr>
              <w:widowControl w:val="0"/>
              <w:numPr>
                <w:ilvl w:val="0"/>
                <w:numId w:val="0"/>
              </w:numPr>
              <w:spacing w:line="360" w:lineRule="auto"/>
              <w:jc w:val="both"/>
              <w:rPr>
                <w:rFonts w:hint="default"/>
                <w:vertAlign w:val="baseline"/>
              </w:rPr>
            </w:pPr>
            <w:r>
              <w:rPr>
                <w:rFonts w:hint="default"/>
              </w:rPr>
              <w:t xml:space="preserve"> </w:t>
            </w:r>
            <w:r>
              <w:rPr>
                <w:rFonts w:hint="default" w:ascii="Arial" w:hAnsi="Arial" w:cs="Arial"/>
              </w:rPr>
              <w:t>≈</w:t>
            </w:r>
            <w:r>
              <w:rPr>
                <w:rFonts w:hint="default"/>
              </w:rPr>
              <w:t xml:space="preserve"> $0.22</w:t>
            </w:r>
          </w:p>
        </w:tc>
        <w:tc>
          <w:tcPr>
            <w:tcW w:w="2913" w:type="dxa"/>
          </w:tcPr>
          <w:p w14:paraId="734B57CF">
            <w:pPr>
              <w:widowControl w:val="0"/>
              <w:numPr>
                <w:ilvl w:val="0"/>
                <w:numId w:val="0"/>
              </w:numPr>
              <w:spacing w:line="360" w:lineRule="auto"/>
              <w:jc w:val="both"/>
              <w:rPr>
                <w:rFonts w:hint="default"/>
                <w:vertAlign w:val="baseline"/>
              </w:rPr>
            </w:pPr>
          </w:p>
        </w:tc>
      </w:tr>
      <w:tr w14:paraId="615BE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EB2ED26">
            <w:pPr>
              <w:widowControl w:val="0"/>
              <w:numPr>
                <w:ilvl w:val="0"/>
                <w:numId w:val="0"/>
              </w:numPr>
              <w:spacing w:line="360" w:lineRule="auto"/>
              <w:jc w:val="both"/>
              <w:rPr>
                <w:rFonts w:hint="default"/>
                <w:vertAlign w:val="baseline"/>
                <w:lang w:val="en-GB"/>
              </w:rPr>
            </w:pPr>
            <w:r>
              <w:rPr>
                <w:rFonts w:hint="default"/>
                <w:vertAlign w:val="baseline"/>
                <w:lang w:val="en-GB"/>
              </w:rPr>
              <w:t xml:space="preserve">Ethiopia: </w:t>
            </w:r>
          </w:p>
        </w:tc>
        <w:tc>
          <w:tcPr>
            <w:tcW w:w="2856" w:type="dxa"/>
          </w:tcPr>
          <w:p w14:paraId="3B331C82">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$0.10</w:t>
            </w:r>
          </w:p>
        </w:tc>
        <w:tc>
          <w:tcPr>
            <w:tcW w:w="2913" w:type="dxa"/>
          </w:tcPr>
          <w:p w14:paraId="77A0E650">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$0.10</w:t>
            </w:r>
          </w:p>
        </w:tc>
      </w:tr>
      <w:tr w14:paraId="166FC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40A86D7">
            <w:pPr>
              <w:widowControl w:val="0"/>
              <w:numPr>
                <w:ilvl w:val="0"/>
                <w:numId w:val="0"/>
              </w:numPr>
              <w:spacing w:line="360" w:lineRule="auto"/>
              <w:jc w:val="both"/>
              <w:rPr>
                <w:rFonts w:hint="default"/>
                <w:vertAlign w:val="baseline"/>
                <w:lang w:val="en-GB"/>
              </w:rPr>
            </w:pPr>
            <w:r>
              <w:rPr>
                <w:rFonts w:hint="default"/>
                <w:vertAlign w:val="baseline"/>
                <w:lang w:val="en-GB"/>
              </w:rPr>
              <w:t>Somalia:</w:t>
            </w:r>
          </w:p>
        </w:tc>
        <w:tc>
          <w:tcPr>
            <w:tcW w:w="2856" w:type="dxa"/>
          </w:tcPr>
          <w:p w14:paraId="18700686">
            <w:pPr>
              <w:widowControl w:val="0"/>
              <w:numPr>
                <w:ilvl w:val="0"/>
                <w:numId w:val="0"/>
              </w:numPr>
              <w:spacing w:line="360" w:lineRule="auto"/>
              <w:jc w:val="both"/>
              <w:rPr>
                <w:rFonts w:hint="default"/>
                <w:vertAlign w:val="baseline"/>
                <w:lang w:val="en-GB"/>
              </w:rPr>
            </w:pPr>
            <w:r>
              <w:rPr>
                <w:rFonts w:hint="default" w:ascii="Arial" w:hAnsi="Arial" w:cs="Arial"/>
              </w:rPr>
              <w:t>≈</w:t>
            </w:r>
            <w:r>
              <w:rPr>
                <w:rFonts w:hint="default"/>
              </w:rPr>
              <w:t xml:space="preserve"> $0.1</w:t>
            </w:r>
            <w:r>
              <w:rPr>
                <w:rFonts w:hint="default"/>
                <w:lang w:val="en-GB"/>
              </w:rPr>
              <w:t xml:space="preserve">2 + </w:t>
            </w:r>
            <w:r>
              <w:rPr>
                <w:rFonts w:hint="default" w:ascii="Arial" w:hAnsi="Arial" w:cs="Arial"/>
              </w:rPr>
              <w:t>≈</w:t>
            </w:r>
            <w:r>
              <w:rPr>
                <w:rFonts w:hint="default"/>
              </w:rPr>
              <w:t xml:space="preserve"> $0.1</w:t>
            </w:r>
            <w:r>
              <w:rPr>
                <w:rFonts w:hint="default"/>
                <w:lang w:val="en-GB"/>
              </w:rPr>
              <w:t>4 (service cost per animal)</w:t>
            </w:r>
          </w:p>
        </w:tc>
        <w:tc>
          <w:tcPr>
            <w:tcW w:w="2913" w:type="dxa"/>
          </w:tcPr>
          <w:p w14:paraId="6A8F277A">
            <w:pPr>
              <w:widowControl w:val="0"/>
              <w:numPr>
                <w:ilvl w:val="0"/>
                <w:numId w:val="0"/>
              </w:numPr>
              <w:spacing w:line="360" w:lineRule="auto"/>
              <w:jc w:val="both"/>
              <w:rPr>
                <w:rFonts w:hint="default"/>
                <w:vertAlign w:val="baseline"/>
              </w:rPr>
            </w:pPr>
          </w:p>
        </w:tc>
      </w:tr>
      <w:tr w14:paraId="7A2E4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13A64E3">
            <w:pPr>
              <w:widowControl w:val="0"/>
              <w:numPr>
                <w:ilvl w:val="0"/>
                <w:numId w:val="0"/>
              </w:numPr>
              <w:spacing w:line="360" w:lineRule="auto"/>
              <w:jc w:val="both"/>
              <w:rPr>
                <w:rFonts w:hint="default"/>
                <w:vertAlign w:val="baseline"/>
                <w:lang w:val="en-GB"/>
              </w:rPr>
            </w:pPr>
            <w:r>
              <w:rPr>
                <w:rFonts w:hint="default"/>
                <w:vertAlign w:val="baseline"/>
                <w:lang w:val="en-GB"/>
              </w:rPr>
              <w:t>Ghana:</w:t>
            </w:r>
          </w:p>
        </w:tc>
        <w:tc>
          <w:tcPr>
            <w:tcW w:w="2856" w:type="dxa"/>
          </w:tcPr>
          <w:p w14:paraId="1A9D61A2">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$0.61</w:t>
            </w:r>
          </w:p>
        </w:tc>
        <w:tc>
          <w:tcPr>
            <w:tcW w:w="2913" w:type="dxa"/>
          </w:tcPr>
          <w:p w14:paraId="6BB5AA80">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$0.65</w:t>
            </w:r>
          </w:p>
        </w:tc>
      </w:tr>
      <w:tr w14:paraId="5C039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CC9519A">
            <w:pPr>
              <w:widowControl w:val="0"/>
              <w:numPr>
                <w:ilvl w:val="0"/>
                <w:numId w:val="0"/>
              </w:numPr>
              <w:spacing w:line="360" w:lineRule="auto"/>
              <w:jc w:val="both"/>
              <w:rPr>
                <w:rFonts w:hint="default"/>
                <w:vertAlign w:val="baseline"/>
                <w:lang w:val="en-GB"/>
              </w:rPr>
            </w:pPr>
            <w:r>
              <w:rPr>
                <w:rFonts w:hint="default"/>
                <w:vertAlign w:val="baseline"/>
                <w:lang w:val="en-GB"/>
              </w:rPr>
              <w:t>Mali:</w:t>
            </w:r>
          </w:p>
        </w:tc>
        <w:tc>
          <w:tcPr>
            <w:tcW w:w="2856" w:type="dxa"/>
          </w:tcPr>
          <w:p w14:paraId="74EF6352">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$2.00</w:t>
            </w:r>
          </w:p>
        </w:tc>
        <w:tc>
          <w:tcPr>
            <w:tcW w:w="2913" w:type="dxa"/>
          </w:tcPr>
          <w:p w14:paraId="6603D9DB">
            <w:pPr>
              <w:widowControl w:val="0"/>
              <w:numPr>
                <w:ilvl w:val="0"/>
                <w:numId w:val="0"/>
              </w:numPr>
              <w:spacing w:line="360" w:lineRule="auto"/>
              <w:jc w:val="both"/>
              <w:rPr>
                <w:rFonts w:hint="default"/>
                <w:vertAlign w:val="baseline"/>
                <w:lang w:val="en-GB"/>
              </w:rPr>
            </w:pPr>
            <w:r>
              <w:rPr>
                <w:rFonts w:hint="default"/>
                <w:vertAlign w:val="baseline"/>
                <w:lang w:val="en-GB"/>
              </w:rPr>
              <w:t>Varied based on region and difficulty to reach the area</w:t>
            </w:r>
          </w:p>
        </w:tc>
      </w:tr>
      <w:tr w14:paraId="3B264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4B9E80F">
            <w:pPr>
              <w:widowControl w:val="0"/>
              <w:numPr>
                <w:ilvl w:val="0"/>
                <w:numId w:val="0"/>
              </w:numPr>
              <w:spacing w:line="360" w:lineRule="auto"/>
              <w:jc w:val="both"/>
              <w:rPr>
                <w:rFonts w:hint="default"/>
                <w:vertAlign w:val="baseline"/>
                <w:lang w:val="en-GB"/>
              </w:rPr>
            </w:pPr>
            <w:r>
              <w:rPr>
                <w:rFonts w:hint="default"/>
                <w:vertAlign w:val="baseline"/>
                <w:lang w:val="en-GB"/>
              </w:rPr>
              <w:t xml:space="preserve">Senegal: </w:t>
            </w:r>
          </w:p>
        </w:tc>
        <w:tc>
          <w:tcPr>
            <w:tcW w:w="2856" w:type="dxa"/>
          </w:tcPr>
          <w:p w14:paraId="379C9875">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$0.19</w:t>
            </w:r>
          </w:p>
        </w:tc>
        <w:tc>
          <w:tcPr>
            <w:tcW w:w="2913" w:type="dxa"/>
          </w:tcPr>
          <w:p w14:paraId="5AA5F97E">
            <w:pPr>
              <w:widowControl w:val="0"/>
              <w:numPr>
                <w:ilvl w:val="0"/>
                <w:numId w:val="0"/>
              </w:numPr>
              <w:spacing w:line="360" w:lineRule="auto"/>
              <w:jc w:val="both"/>
              <w:rPr>
                <w:rFonts w:hint="default"/>
                <w:vertAlign w:val="baseline"/>
              </w:rPr>
            </w:pPr>
            <w:r>
              <w:rPr>
                <w:rFonts w:hint="default" w:ascii="Arial" w:hAnsi="Arial" w:cs="Arial"/>
              </w:rPr>
              <w:t>≈</w:t>
            </w:r>
            <w:r>
              <w:rPr>
                <w:rFonts w:hint="default"/>
              </w:rPr>
              <w:t xml:space="preserve"> $0.33</w:t>
            </w:r>
          </w:p>
        </w:tc>
      </w:tr>
      <w:tr w14:paraId="6C9CB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1249B71">
            <w:pPr>
              <w:widowControl w:val="0"/>
              <w:numPr>
                <w:ilvl w:val="0"/>
                <w:numId w:val="0"/>
              </w:numPr>
              <w:spacing w:line="360" w:lineRule="auto"/>
              <w:jc w:val="both"/>
              <w:rPr>
                <w:rFonts w:hint="default"/>
                <w:vertAlign w:val="baseline"/>
              </w:rPr>
            </w:pPr>
          </w:p>
        </w:tc>
        <w:tc>
          <w:tcPr>
            <w:tcW w:w="2856" w:type="dxa"/>
          </w:tcPr>
          <w:p w14:paraId="04F253FD">
            <w:pPr>
              <w:widowControl w:val="0"/>
              <w:numPr>
                <w:ilvl w:val="0"/>
                <w:numId w:val="0"/>
              </w:numPr>
              <w:spacing w:line="360" w:lineRule="auto"/>
              <w:jc w:val="both"/>
              <w:rPr>
                <w:rFonts w:hint="default"/>
                <w:vertAlign w:val="baseline"/>
              </w:rPr>
            </w:pPr>
          </w:p>
        </w:tc>
        <w:tc>
          <w:tcPr>
            <w:tcW w:w="2913" w:type="dxa"/>
          </w:tcPr>
          <w:p w14:paraId="268085E9">
            <w:pPr>
              <w:widowControl w:val="0"/>
              <w:numPr>
                <w:ilvl w:val="0"/>
                <w:numId w:val="0"/>
              </w:numPr>
              <w:spacing w:line="360" w:lineRule="auto"/>
              <w:jc w:val="both"/>
              <w:rPr>
                <w:rFonts w:hint="default"/>
                <w:vertAlign w:val="baseline"/>
              </w:rPr>
            </w:pPr>
          </w:p>
        </w:tc>
      </w:tr>
      <w:tr w14:paraId="33097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F45B1D2">
            <w:pPr>
              <w:widowControl w:val="0"/>
              <w:numPr>
                <w:ilvl w:val="0"/>
                <w:numId w:val="0"/>
              </w:numPr>
              <w:spacing w:line="360" w:lineRule="auto"/>
              <w:jc w:val="both"/>
              <w:rPr>
                <w:rFonts w:hint="default"/>
                <w:vertAlign w:val="baseline"/>
              </w:rPr>
            </w:pPr>
          </w:p>
        </w:tc>
        <w:tc>
          <w:tcPr>
            <w:tcW w:w="2856" w:type="dxa"/>
          </w:tcPr>
          <w:p w14:paraId="6F6CA4F6">
            <w:pPr>
              <w:widowControl w:val="0"/>
              <w:numPr>
                <w:ilvl w:val="0"/>
                <w:numId w:val="0"/>
              </w:numPr>
              <w:spacing w:line="360" w:lineRule="auto"/>
              <w:jc w:val="both"/>
              <w:rPr>
                <w:rFonts w:hint="default"/>
                <w:vertAlign w:val="baseline"/>
              </w:rPr>
            </w:pPr>
          </w:p>
        </w:tc>
        <w:tc>
          <w:tcPr>
            <w:tcW w:w="2913" w:type="dxa"/>
          </w:tcPr>
          <w:p w14:paraId="65C86A6D">
            <w:pPr>
              <w:widowControl w:val="0"/>
              <w:numPr>
                <w:ilvl w:val="0"/>
                <w:numId w:val="0"/>
              </w:numPr>
              <w:spacing w:line="360" w:lineRule="auto"/>
              <w:jc w:val="both"/>
              <w:rPr>
                <w:rFonts w:hint="default"/>
                <w:vertAlign w:val="baseline"/>
              </w:rPr>
            </w:pPr>
          </w:p>
        </w:tc>
      </w:tr>
    </w:tbl>
    <w:p w14:paraId="78A05EE5">
      <w:pPr>
        <w:numPr>
          <w:ilvl w:val="0"/>
          <w:numId w:val="0"/>
        </w:numPr>
        <w:spacing w:line="360" w:lineRule="auto"/>
        <w:rPr>
          <w:rFonts w:hint="default"/>
        </w:rPr>
      </w:pPr>
    </w:p>
    <w:p w14:paraId="3BDB5B2A">
      <w:pPr>
        <w:numPr>
          <w:ilvl w:val="0"/>
          <w:numId w:val="0"/>
        </w:numPr>
        <w:spacing w:line="360" w:lineRule="auto"/>
        <w:rPr>
          <w:rFonts w:hint="default"/>
          <w:b/>
          <w:bCs/>
        </w:rPr>
      </w:pPr>
      <w:r>
        <w:rPr>
          <w:rFonts w:hint="default"/>
          <w:b/>
          <w:bCs/>
          <w:lang w:val="en-GB"/>
        </w:rPr>
        <w:t xml:space="preserve">Breakdown with references: </w:t>
      </w:r>
      <w:r>
        <w:rPr>
          <w:rFonts w:hint="default"/>
          <w:b/>
          <w:bCs/>
        </w:rPr>
        <w:t>Reported Vaccination Costs per Animal</w:t>
      </w:r>
    </w:p>
    <w:p w14:paraId="7A710EB1">
      <w:pPr>
        <w:numPr>
          <w:ilvl w:val="0"/>
          <w:numId w:val="0"/>
        </w:numPr>
        <w:spacing w:line="360" w:lineRule="auto"/>
        <w:rPr>
          <w:rFonts w:hint="default"/>
        </w:rPr>
      </w:pPr>
      <w:r>
        <w:rPr>
          <w:rFonts w:hint="default"/>
        </w:rPr>
        <w:t>Ethiopia</w:t>
      </w:r>
    </w:p>
    <w:p w14:paraId="4528FC7E">
      <w:pPr>
        <w:numPr>
          <w:ilvl w:val="0"/>
          <w:numId w:val="0"/>
        </w:numPr>
        <w:spacing w:line="360" w:lineRule="auto"/>
        <w:ind w:firstLine="720" w:firstLineChars="0"/>
        <w:rPr>
          <w:rFonts w:hint="default"/>
        </w:rPr>
      </w:pPr>
      <w:r>
        <w:rPr>
          <w:rFonts w:hint="default"/>
        </w:rPr>
        <w:t>Vaccination cost per animal:</w:t>
      </w:r>
    </w:p>
    <w:p w14:paraId="753FB686">
      <w:pPr>
        <w:numPr>
          <w:ilvl w:val="0"/>
          <w:numId w:val="0"/>
        </w:numPr>
        <w:spacing w:line="360" w:lineRule="auto"/>
        <w:ind w:left="720" w:leftChars="0" w:firstLine="720" w:firstLineChars="0"/>
        <w:rPr>
          <w:rFonts w:hint="default"/>
          <w:lang w:val="en-GB"/>
        </w:rPr>
      </w:pPr>
      <w:r>
        <w:rPr>
          <w:rFonts w:hint="default"/>
        </w:rPr>
        <w:t>Mixed-crop system: ~3 ETB ≈ USD 0.10</w:t>
      </w:r>
      <w:r>
        <w:rPr>
          <w:rFonts w:hint="default"/>
          <w:lang w:val="en-GB"/>
        </w:rPr>
        <w:t xml:space="preserve"> (</w:t>
      </w:r>
      <w:r>
        <w:rPr>
          <w:rFonts w:hint="default"/>
          <w:color w:val="0000FF"/>
          <w:lang w:val="en-GB"/>
        </w:rPr>
        <w:t>0.13 using time value of mon</w:t>
      </w:r>
      <w:bookmarkStart w:id="0" w:name="_GoBack"/>
      <w:bookmarkEnd w:id="0"/>
      <w:r>
        <w:rPr>
          <w:rFonts w:hint="default"/>
          <w:color w:val="0000FF"/>
          <w:lang w:val="en-GB"/>
        </w:rPr>
        <w:t>ey &amp; inflation calculator between 2018 (base) and 2025 (current)</w:t>
      </w:r>
      <w:r>
        <w:rPr>
          <w:rFonts w:hint="default"/>
          <w:lang w:val="en-GB"/>
        </w:rPr>
        <w:t>).</w:t>
      </w:r>
    </w:p>
    <w:p w14:paraId="446F1E12">
      <w:pPr>
        <w:numPr>
          <w:ilvl w:val="0"/>
          <w:numId w:val="0"/>
        </w:numPr>
        <w:spacing w:line="360" w:lineRule="auto"/>
        <w:ind w:left="720" w:leftChars="0" w:firstLine="720" w:firstLineChars="0"/>
        <w:rPr>
          <w:rFonts w:hint="default"/>
          <w:lang w:val="en-GB"/>
        </w:rPr>
      </w:pPr>
      <w:r>
        <w:rPr>
          <w:rFonts w:hint="default"/>
        </w:rPr>
        <w:t>Pastoral system: ~6 ETB ≈ USD 0.20</w:t>
      </w:r>
      <w:r>
        <w:rPr>
          <w:rFonts w:hint="default"/>
          <w:lang w:val="en-GB"/>
        </w:rPr>
        <w:t xml:space="preserve">  (</w:t>
      </w:r>
      <w:r>
        <w:rPr>
          <w:rFonts w:hint="default"/>
          <w:color w:val="0000FF"/>
          <w:lang w:val="en-GB"/>
        </w:rPr>
        <w:t>0.26 using time value of moey &amp; inflation calculator between 2018 (base) and 2025 (current)</w:t>
      </w:r>
      <w:r>
        <w:rPr>
          <w:rFonts w:hint="default"/>
          <w:lang w:val="en-GB"/>
        </w:rPr>
        <w:t>).</w:t>
      </w:r>
    </w:p>
    <w:p w14:paraId="0C19CF9D">
      <w:pPr>
        <w:numPr>
          <w:ilvl w:val="0"/>
          <w:numId w:val="0"/>
        </w:numPr>
        <w:spacing w:line="360" w:lineRule="auto"/>
        <w:rPr>
          <w:rFonts w:hint="default"/>
        </w:rPr>
      </w:pPr>
      <w:r>
        <w:rPr>
          <w:rFonts w:hint="default"/>
        </w:rPr>
        <w:t>Lyons NA, Jemberu WT, Chaka H, Salt JS, Rushton J. Field-derived estimates of costs for Peste des Petits Ruminants vaccination in Ethiopia. Prev Vet Med. 2019 Feb 1;163:37-43. doi: 10.1016/j.prevetmed.2018.12.007.</w:t>
      </w:r>
    </w:p>
    <w:p w14:paraId="2942F29B">
      <w:pPr>
        <w:numPr>
          <w:ilvl w:val="0"/>
          <w:numId w:val="0"/>
        </w:numPr>
        <w:spacing w:line="360" w:lineRule="auto"/>
        <w:rPr>
          <w:rFonts w:hint="default"/>
        </w:rPr>
      </w:pPr>
    </w:p>
    <w:p w14:paraId="6BA15BE6">
      <w:pPr>
        <w:numPr>
          <w:ilvl w:val="0"/>
          <w:numId w:val="0"/>
        </w:numPr>
        <w:spacing w:line="360" w:lineRule="auto"/>
        <w:rPr>
          <w:rFonts w:hint="default"/>
        </w:rPr>
      </w:pPr>
      <w:r>
        <w:rPr>
          <w:rFonts w:hint="default"/>
        </w:rPr>
        <w:t>In the Somali region:</w:t>
      </w:r>
    </w:p>
    <w:p w14:paraId="5E77DF05">
      <w:pPr>
        <w:numPr>
          <w:ilvl w:val="0"/>
          <w:numId w:val="0"/>
        </w:numPr>
        <w:spacing w:line="360" w:lineRule="auto"/>
        <w:ind w:left="720" w:leftChars="0" w:firstLine="720" w:firstLineChars="0"/>
        <w:rPr>
          <w:rFonts w:hint="default"/>
          <w:lang w:val="en-GB"/>
        </w:rPr>
      </w:pPr>
      <w:r>
        <w:rPr>
          <w:rFonts w:hint="default"/>
        </w:rPr>
        <w:t>Private: USD 0.04</w:t>
      </w:r>
      <w:r>
        <w:rPr>
          <w:rFonts w:hint="default"/>
          <w:lang w:val="en-GB"/>
        </w:rPr>
        <w:t xml:space="preserve">  (</w:t>
      </w:r>
      <w:r>
        <w:rPr>
          <w:rFonts w:hint="default"/>
          <w:color w:val="0000FF"/>
          <w:lang w:val="en-GB"/>
        </w:rPr>
        <w:t>0.05 using time value of moey &amp; inflation calculator between 2018 (base) and 2025 (current)</w:t>
      </w:r>
      <w:r>
        <w:rPr>
          <w:rFonts w:hint="default"/>
          <w:lang w:val="en-GB"/>
        </w:rPr>
        <w:t>).</w:t>
      </w:r>
    </w:p>
    <w:p w14:paraId="780003E0">
      <w:pPr>
        <w:numPr>
          <w:ilvl w:val="0"/>
          <w:numId w:val="0"/>
        </w:numPr>
        <w:spacing w:line="360" w:lineRule="auto"/>
        <w:ind w:left="720" w:leftChars="0" w:firstLine="720" w:firstLineChars="0"/>
        <w:rPr>
          <w:rFonts w:hint="default"/>
          <w:lang w:val="en-GB"/>
        </w:rPr>
      </w:pPr>
      <w:r>
        <w:rPr>
          <w:rFonts w:hint="default"/>
        </w:rPr>
        <w:t>Public: USD 0.078 (2.12 ETB)</w:t>
      </w:r>
      <w:r>
        <w:rPr>
          <w:rFonts w:hint="default"/>
          <w:lang w:val="en-GB"/>
        </w:rPr>
        <w:t xml:space="preserve"> (</w:t>
      </w:r>
      <w:r>
        <w:rPr>
          <w:rFonts w:hint="default"/>
          <w:color w:val="0000FF"/>
          <w:lang w:val="en-GB"/>
        </w:rPr>
        <w:t>0.10 using time value of moey &amp; inflation calculator between 2018 (base) and 2025 (current)</w:t>
      </w:r>
      <w:r>
        <w:rPr>
          <w:rFonts w:hint="default"/>
          <w:lang w:val="en-GB"/>
        </w:rPr>
        <w:t>).</w:t>
      </w:r>
    </w:p>
    <w:p w14:paraId="5FF3FD65">
      <w:pPr>
        <w:numPr>
          <w:ilvl w:val="0"/>
          <w:numId w:val="0"/>
        </w:numPr>
        <w:spacing w:line="360" w:lineRule="auto"/>
        <w:rPr>
          <w:rFonts w:hint="default"/>
        </w:rPr>
      </w:pPr>
      <w:r>
        <w:rPr>
          <w:rFonts w:hint="default"/>
        </w:rPr>
        <w:t>Lyons NA, Jemberu WT, Chaka H, Salt JS, Rushton J. Field-derived estimates of costs for Peste des Petits Ruminants vaccination in Ethiopia. Prev Vet Med. 2019 Feb 1;163:37-43. doi: 10.1016/j.prevetmed.2018.12.007.</w:t>
      </w:r>
    </w:p>
    <w:p w14:paraId="7D823ECF">
      <w:pPr>
        <w:numPr>
          <w:ilvl w:val="0"/>
          <w:numId w:val="0"/>
        </w:numPr>
        <w:spacing w:line="360" w:lineRule="auto"/>
        <w:rPr>
          <w:rFonts w:hint="default"/>
        </w:rPr>
      </w:pPr>
    </w:p>
    <w:p w14:paraId="293F1EC7">
      <w:pPr>
        <w:numPr>
          <w:ilvl w:val="0"/>
          <w:numId w:val="0"/>
        </w:numPr>
        <w:spacing w:line="360" w:lineRule="auto"/>
        <w:rPr>
          <w:rFonts w:hint="default"/>
        </w:rPr>
      </w:pPr>
      <w:r>
        <w:rPr>
          <w:rFonts w:hint="default"/>
        </w:rPr>
        <w:t>Burkina Faso</w:t>
      </w:r>
    </w:p>
    <w:p w14:paraId="1E4CBCD8">
      <w:pPr>
        <w:numPr>
          <w:ilvl w:val="0"/>
          <w:numId w:val="0"/>
        </w:numPr>
        <w:spacing w:line="360" w:lineRule="auto"/>
        <w:ind w:left="720" w:leftChars="0" w:firstLine="720" w:firstLineChars="0"/>
        <w:rPr>
          <w:rFonts w:hint="default"/>
          <w:lang w:val="en-GB"/>
        </w:rPr>
      </w:pPr>
      <w:r>
        <w:rPr>
          <w:rFonts w:hint="default"/>
        </w:rPr>
        <w:t>Public channel: XOF 169 ≈ USD 0.30</w:t>
      </w:r>
      <w:r>
        <w:rPr>
          <w:rFonts w:hint="default"/>
          <w:lang w:val="en-GB"/>
        </w:rPr>
        <w:t xml:space="preserve"> (</w:t>
      </w:r>
      <w:r>
        <w:rPr>
          <w:rFonts w:hint="default"/>
          <w:color w:val="0000FF"/>
          <w:lang w:val="en-GB"/>
        </w:rPr>
        <w:t>0.33 using time value of moey &amp; inflation calculator between 2022 (base) and 2025 (current)</w:t>
      </w:r>
      <w:r>
        <w:rPr>
          <w:rFonts w:hint="default"/>
          <w:lang w:val="en-GB"/>
        </w:rPr>
        <w:t>).</w:t>
      </w:r>
    </w:p>
    <w:p w14:paraId="69182C55">
      <w:pPr>
        <w:numPr>
          <w:ilvl w:val="0"/>
          <w:numId w:val="0"/>
        </w:numPr>
        <w:spacing w:line="360" w:lineRule="auto"/>
        <w:ind w:left="720" w:leftChars="0" w:firstLine="720" w:firstLineChars="0"/>
        <w:rPr>
          <w:rFonts w:hint="default"/>
          <w:lang w:val="en-GB"/>
        </w:rPr>
      </w:pPr>
      <w:r>
        <w:rPr>
          <w:rFonts w:hint="default"/>
        </w:rPr>
        <w:t>Private channel: XOF 103 ≈ USD 0.18</w:t>
      </w:r>
      <w:r>
        <w:rPr>
          <w:rFonts w:hint="default"/>
          <w:lang w:val="en-GB"/>
        </w:rPr>
        <w:t xml:space="preserve"> (</w:t>
      </w:r>
      <w:r>
        <w:rPr>
          <w:rFonts w:hint="default"/>
          <w:color w:val="0000FF"/>
          <w:lang w:val="en-GB"/>
        </w:rPr>
        <w:t>0.20 using time value of moey &amp; inflation calculator between 2022 (base) and 2025 (current)</w:t>
      </w:r>
      <w:r>
        <w:rPr>
          <w:rFonts w:hint="default"/>
          <w:lang w:val="en-GB"/>
        </w:rPr>
        <w:t>).</w:t>
      </w:r>
    </w:p>
    <w:p w14:paraId="5D34C45A">
      <w:pPr>
        <w:numPr>
          <w:ilvl w:val="0"/>
          <w:numId w:val="0"/>
        </w:numPr>
        <w:spacing w:line="360" w:lineRule="auto"/>
        <w:rPr>
          <w:rFonts w:hint="default"/>
        </w:rPr>
      </w:pPr>
      <w:r>
        <w:rPr>
          <w:rFonts w:ascii="Segoe UI" w:hAnsi="Segoe UI" w:eastAsia="Segoe UI" w:cs="Segoe UI"/>
          <w:i w:val="0"/>
          <w:iCs w:val="0"/>
          <w:caps w:val="0"/>
          <w:color w:val="212121"/>
          <w:spacing w:val="0"/>
          <w:sz w:val="19"/>
          <w:szCs w:val="19"/>
          <w:shd w:val="clear" w:fill="FFFFFF"/>
        </w:rPr>
        <w:t>Ilboudo GS, Kane PA, Kotchofa P, Okoth E, Maiga A, Dione M. Peste des Petits Ruminants (PPR) Vaccination Cost Estimates in Burkina Faso. Animals (Basel). 2022 Aug 22;12(16):2152. doi: 10.3390/ani12162152.</w:t>
      </w:r>
    </w:p>
    <w:p w14:paraId="553FB204">
      <w:pPr>
        <w:numPr>
          <w:ilvl w:val="0"/>
          <w:numId w:val="0"/>
        </w:numPr>
        <w:spacing w:line="360" w:lineRule="auto"/>
        <w:rPr>
          <w:rFonts w:hint="default"/>
        </w:rPr>
      </w:pPr>
    </w:p>
    <w:p w14:paraId="6E2EB89B">
      <w:pPr>
        <w:numPr>
          <w:ilvl w:val="0"/>
          <w:numId w:val="0"/>
        </w:numPr>
        <w:spacing w:line="360" w:lineRule="auto"/>
        <w:rPr>
          <w:rFonts w:hint="default"/>
        </w:rPr>
      </w:pPr>
      <w:r>
        <w:rPr>
          <w:rFonts w:hint="default"/>
        </w:rPr>
        <w:t>Senegal, Nigeria, Ethiopia (General)</w:t>
      </w:r>
    </w:p>
    <w:p w14:paraId="452CD0B8">
      <w:pPr>
        <w:numPr>
          <w:ilvl w:val="0"/>
          <w:numId w:val="0"/>
        </w:numPr>
        <w:spacing w:line="360" w:lineRule="auto"/>
        <w:ind w:left="720" w:leftChars="0" w:firstLine="720" w:firstLineChars="0"/>
        <w:rPr>
          <w:rFonts w:hint="default"/>
          <w:lang w:val="en-GB"/>
        </w:rPr>
      </w:pPr>
      <w:r>
        <w:rPr>
          <w:rFonts w:hint="default"/>
        </w:rPr>
        <w:t>Senegal: XOF 110 (USD 0.19) to XOF 187 (USD 0.33)</w:t>
      </w:r>
      <w:r>
        <w:rPr>
          <w:rFonts w:hint="default"/>
          <w:lang w:val="en-GB"/>
        </w:rPr>
        <w:t xml:space="preserve"> (</w:t>
      </w:r>
      <w:r>
        <w:rPr>
          <w:rFonts w:hint="default"/>
          <w:color w:val="0000FF"/>
          <w:lang w:val="en-GB"/>
        </w:rPr>
        <w:t>0.21 -  0.36 using time value of moey &amp; inflation calculator between 2022 (base) and 2025 (current)</w:t>
      </w:r>
      <w:r>
        <w:rPr>
          <w:rFonts w:hint="default"/>
          <w:lang w:val="en-GB"/>
        </w:rPr>
        <w:t>).</w:t>
      </w:r>
    </w:p>
    <w:p w14:paraId="3F885999">
      <w:pPr>
        <w:numPr>
          <w:ilvl w:val="0"/>
          <w:numId w:val="0"/>
        </w:numPr>
        <w:spacing w:line="360" w:lineRule="auto"/>
        <w:ind w:left="720" w:leftChars="0" w:firstLine="720" w:firstLineChars="0"/>
        <w:rPr>
          <w:rFonts w:hint="default"/>
          <w:lang w:val="en-GB"/>
        </w:rPr>
      </w:pPr>
      <w:r>
        <w:rPr>
          <w:rFonts w:hint="default"/>
        </w:rPr>
        <w:t>Nigeria: XOF 127 ≈ USD 0.22</w:t>
      </w:r>
      <w:r>
        <w:rPr>
          <w:rFonts w:hint="default"/>
          <w:lang w:val="en-GB"/>
        </w:rPr>
        <w:t xml:space="preserve"> (</w:t>
      </w:r>
      <w:r>
        <w:rPr>
          <w:rFonts w:hint="default"/>
          <w:color w:val="0000FF"/>
          <w:lang w:val="en-GB"/>
        </w:rPr>
        <w:t>0.24 using time value of moey &amp; inflation calculator between 2022 (base) and 2025 (current)</w:t>
      </w:r>
      <w:r>
        <w:rPr>
          <w:rFonts w:hint="default"/>
          <w:lang w:val="en-GB"/>
        </w:rPr>
        <w:t>).</w:t>
      </w:r>
    </w:p>
    <w:p w14:paraId="7751FE3E">
      <w:pPr>
        <w:numPr>
          <w:ilvl w:val="0"/>
          <w:numId w:val="0"/>
        </w:numPr>
        <w:spacing w:line="360" w:lineRule="auto"/>
        <w:ind w:left="720" w:leftChars="0" w:firstLine="720" w:firstLineChars="0"/>
        <w:rPr>
          <w:rFonts w:hint="default"/>
          <w:lang w:val="en-GB"/>
        </w:rPr>
      </w:pPr>
      <w:r>
        <w:rPr>
          <w:rFonts w:hint="default"/>
        </w:rPr>
        <w:t xml:space="preserve">Ethiopia (pastoral): XOF 55 ≈ USD 0.10; </w:t>
      </w:r>
      <w:r>
        <w:rPr>
          <w:rFonts w:hint="default"/>
          <w:lang w:val="en-GB"/>
        </w:rPr>
        <w:t>(</w:t>
      </w:r>
      <w:r>
        <w:rPr>
          <w:rFonts w:hint="default"/>
          <w:color w:val="0000FF"/>
          <w:lang w:val="en-GB"/>
        </w:rPr>
        <w:t>0.11 using time value of moey &amp; inflation calculator between 2022 (base) and 2025 (current)</w:t>
      </w:r>
      <w:r>
        <w:rPr>
          <w:rFonts w:hint="default"/>
          <w:lang w:val="en-GB"/>
        </w:rPr>
        <w:t xml:space="preserve">). </w:t>
      </w:r>
      <w:r>
        <w:rPr>
          <w:rFonts w:hint="default"/>
        </w:rPr>
        <w:t>(agropastoral): XOF 110 ≈ USD 0.19</w:t>
      </w:r>
      <w:r>
        <w:rPr>
          <w:rFonts w:hint="default"/>
          <w:lang w:val="en-GB"/>
        </w:rPr>
        <w:t xml:space="preserve"> (</w:t>
      </w:r>
      <w:r>
        <w:rPr>
          <w:rFonts w:hint="default"/>
          <w:color w:val="0000FF"/>
          <w:lang w:val="en-GB"/>
        </w:rPr>
        <w:t>0.21 using time value of moey &amp; inflation calculator between 2022 (base) and 2025 (current)</w:t>
      </w:r>
      <w:r>
        <w:rPr>
          <w:rFonts w:hint="default"/>
          <w:lang w:val="en-GB"/>
        </w:rPr>
        <w:t>).</w:t>
      </w:r>
    </w:p>
    <w:p w14:paraId="0C576777">
      <w:pPr>
        <w:numPr>
          <w:ilvl w:val="0"/>
          <w:numId w:val="0"/>
        </w:numPr>
        <w:spacing w:line="360" w:lineRule="auto"/>
        <w:rPr>
          <w:rFonts w:hint="default"/>
          <w:lang w:val="en-GB"/>
        </w:rPr>
      </w:pPr>
      <w:r>
        <w:rPr>
          <w:rFonts w:hint="default"/>
        </w:rPr>
        <w:t xml:space="preserve">Ilboudo, G. S., Kane, P. A., Kotchofa, P., Okoth, E., Maiga, A., &amp; Dione, M. (2022). Peste des Petits Ruminants (PPR) Vaccination Cost Estimates in Burkina Faso. Animals, 12(16), 2152. </w:t>
      </w:r>
      <w:r>
        <w:rPr>
          <w:rFonts w:hint="default"/>
        </w:rPr>
        <w:fldChar w:fldCharType="begin"/>
      </w:r>
      <w:r>
        <w:rPr>
          <w:rFonts w:hint="default"/>
        </w:rPr>
        <w:instrText xml:space="preserve"> HYPERLINK "https://doi.org/10.3390/ani12162152." </w:instrText>
      </w:r>
      <w:r>
        <w:rPr>
          <w:rFonts w:hint="default"/>
        </w:rPr>
        <w:fldChar w:fldCharType="separate"/>
      </w:r>
      <w:r>
        <w:rPr>
          <w:rStyle w:val="6"/>
          <w:rFonts w:hint="default"/>
        </w:rPr>
        <w:t>https://doi.org/10.3390/ani12162152</w:t>
      </w:r>
      <w:r>
        <w:rPr>
          <w:rStyle w:val="6"/>
          <w:rFonts w:hint="default"/>
          <w:lang w:val="en-GB"/>
        </w:rPr>
        <w:t>.</w:t>
      </w:r>
      <w:r>
        <w:rPr>
          <w:rFonts w:hint="default"/>
        </w:rPr>
        <w:fldChar w:fldCharType="end"/>
      </w:r>
      <w:r>
        <w:rPr>
          <w:rFonts w:hint="default"/>
          <w:lang w:val="en-GB"/>
        </w:rPr>
        <w:t xml:space="preserve"> </w:t>
      </w:r>
    </w:p>
    <w:p w14:paraId="0DC0481D">
      <w:pPr>
        <w:numPr>
          <w:ilvl w:val="0"/>
          <w:numId w:val="0"/>
        </w:numPr>
        <w:spacing w:line="360" w:lineRule="auto"/>
        <w:rPr>
          <w:rFonts w:hint="default"/>
        </w:rPr>
      </w:pPr>
    </w:p>
    <w:p w14:paraId="76207558">
      <w:pPr>
        <w:numPr>
          <w:ilvl w:val="0"/>
          <w:numId w:val="0"/>
        </w:numPr>
        <w:spacing w:line="360" w:lineRule="auto"/>
        <w:rPr>
          <w:rFonts w:hint="default"/>
        </w:rPr>
      </w:pPr>
      <w:r>
        <w:rPr>
          <w:rFonts w:hint="default"/>
        </w:rPr>
        <w:t>Somalia</w:t>
      </w:r>
    </w:p>
    <w:p w14:paraId="3493D0B5">
      <w:pPr>
        <w:numPr>
          <w:ilvl w:val="0"/>
          <w:numId w:val="0"/>
        </w:numPr>
        <w:spacing w:line="360" w:lineRule="auto"/>
        <w:ind w:left="720" w:leftChars="0" w:firstLine="720" w:firstLineChars="0"/>
        <w:rPr>
          <w:rFonts w:hint="default"/>
          <w:lang w:val="en-GB"/>
        </w:rPr>
      </w:pPr>
      <w:r>
        <w:rPr>
          <w:rFonts w:hint="default"/>
        </w:rPr>
        <w:t>Vaccine dose: USD 0.12</w:t>
      </w:r>
      <w:r>
        <w:rPr>
          <w:rFonts w:hint="default"/>
          <w:lang w:val="en-GB"/>
        </w:rPr>
        <w:t xml:space="preserve"> (</w:t>
      </w:r>
      <w:r>
        <w:rPr>
          <w:rFonts w:hint="default"/>
          <w:color w:val="0000FF"/>
          <w:lang w:val="en-GB"/>
        </w:rPr>
        <w:t>0.16 using time value of moey &amp; inflation calculator between 2022 (base) and 2025 (current)</w:t>
      </w:r>
      <w:r>
        <w:rPr>
          <w:rFonts w:hint="default"/>
          <w:lang w:val="en-GB"/>
        </w:rPr>
        <w:t>).</w:t>
      </w:r>
    </w:p>
    <w:p w14:paraId="79ECACFD">
      <w:pPr>
        <w:numPr>
          <w:ilvl w:val="0"/>
          <w:numId w:val="0"/>
        </w:numPr>
        <w:spacing w:line="360" w:lineRule="auto"/>
        <w:ind w:left="720" w:leftChars="0" w:firstLine="720" w:firstLineChars="0"/>
        <w:rPr>
          <w:rFonts w:hint="default"/>
          <w:lang w:val="en-GB"/>
        </w:rPr>
      </w:pPr>
      <w:r>
        <w:rPr>
          <w:rFonts w:hint="default"/>
        </w:rPr>
        <w:t xml:space="preserve">Total service cost: USD 0.14 per animal (economies of scale from ~20 million </w:t>
      </w:r>
      <w:r>
        <w:rPr>
          <w:rFonts w:hint="default"/>
          <w:lang w:val="en-GB"/>
        </w:rPr>
        <w:tab/>
      </w:r>
      <w:r>
        <w:rPr>
          <w:rFonts w:hint="default"/>
        </w:rPr>
        <w:t>animals vaccinated)</w:t>
      </w:r>
      <w:r>
        <w:rPr>
          <w:rFonts w:hint="default"/>
          <w:lang w:val="en-GB"/>
        </w:rPr>
        <w:t xml:space="preserve"> (</w:t>
      </w:r>
      <w:r>
        <w:rPr>
          <w:rFonts w:hint="default"/>
          <w:color w:val="0000FF"/>
          <w:lang w:val="en-GB"/>
        </w:rPr>
        <w:t>0.18 using time value of moey &amp; inflation calculator between 2022 (base) and 2025 (current)</w:t>
      </w:r>
      <w:r>
        <w:rPr>
          <w:rFonts w:hint="default"/>
          <w:lang w:val="en-GB"/>
        </w:rPr>
        <w:t>).</w:t>
      </w:r>
    </w:p>
    <w:p w14:paraId="651F45A3">
      <w:pPr>
        <w:numPr>
          <w:ilvl w:val="0"/>
          <w:numId w:val="0"/>
        </w:numPr>
        <w:spacing w:line="360" w:lineRule="auto"/>
        <w:rPr>
          <w:rFonts w:hint="default"/>
          <w:lang w:val="en-GB"/>
        </w:rPr>
      </w:pPr>
      <w:r>
        <w:rPr>
          <w:rFonts w:hint="default"/>
        </w:rPr>
        <w:t xml:space="preserve">jue, S., Saeed, K., Maloo, S. et al. Sero-prevalence study to determine the effectiveness of Peste de Petits Ruminants vaccination in Somalia. Pastoralism 8, 17 (2018). </w:t>
      </w:r>
      <w:r>
        <w:rPr>
          <w:rFonts w:hint="default"/>
        </w:rPr>
        <w:fldChar w:fldCharType="begin"/>
      </w:r>
      <w:r>
        <w:rPr>
          <w:rFonts w:hint="default"/>
        </w:rPr>
        <w:instrText xml:space="preserve"> HYPERLINK "https://doi.org/10.1186/s13570-018-0122-8." </w:instrText>
      </w:r>
      <w:r>
        <w:rPr>
          <w:rFonts w:hint="default"/>
        </w:rPr>
        <w:fldChar w:fldCharType="separate"/>
      </w:r>
      <w:r>
        <w:rPr>
          <w:rStyle w:val="6"/>
          <w:rFonts w:hint="default"/>
        </w:rPr>
        <w:t>https://doi.org/10.1186/s13570-018-0122-8</w:t>
      </w:r>
      <w:r>
        <w:rPr>
          <w:rStyle w:val="6"/>
          <w:rFonts w:hint="default"/>
          <w:lang w:val="en-GB"/>
        </w:rPr>
        <w:t>.</w:t>
      </w:r>
      <w:r>
        <w:rPr>
          <w:rFonts w:hint="default"/>
        </w:rPr>
        <w:fldChar w:fldCharType="end"/>
      </w:r>
      <w:r>
        <w:rPr>
          <w:rFonts w:hint="default"/>
          <w:lang w:val="en-GB"/>
        </w:rPr>
        <w:t xml:space="preserve"> </w:t>
      </w:r>
    </w:p>
    <w:p w14:paraId="2484093A">
      <w:pPr>
        <w:numPr>
          <w:ilvl w:val="0"/>
          <w:numId w:val="0"/>
        </w:numPr>
        <w:spacing w:line="360" w:lineRule="auto"/>
        <w:rPr>
          <w:rFonts w:hint="default"/>
        </w:rPr>
      </w:pPr>
    </w:p>
    <w:p w14:paraId="0D373E55">
      <w:pPr>
        <w:numPr>
          <w:ilvl w:val="0"/>
          <w:numId w:val="0"/>
        </w:numPr>
        <w:spacing w:line="360" w:lineRule="auto"/>
        <w:rPr>
          <w:rFonts w:hint="default"/>
          <w:b/>
          <w:bCs/>
          <w:i/>
          <w:iCs/>
        </w:rPr>
      </w:pPr>
      <w:r>
        <w:rPr>
          <w:rFonts w:hint="default"/>
          <w:b/>
          <w:bCs/>
          <w:i/>
          <w:iCs/>
        </w:rPr>
        <w:t>Additional Data for Context</w:t>
      </w:r>
    </w:p>
    <w:p w14:paraId="42D25885">
      <w:pPr>
        <w:numPr>
          <w:ilvl w:val="0"/>
          <w:numId w:val="0"/>
        </w:numPr>
        <w:spacing w:line="360" w:lineRule="auto"/>
        <w:rPr>
          <w:rFonts w:hint="default"/>
        </w:rPr>
      </w:pPr>
      <w:r>
        <w:rPr>
          <w:rFonts w:hint="default"/>
        </w:rPr>
        <w:t>In northwest Ethiopia, vaccination cost was estimated at USD 0.13 per correctly vaccinated animal, with delivery accounting for 44% of the cost.</w:t>
      </w:r>
    </w:p>
    <w:p w14:paraId="180B8EDD">
      <w:pPr>
        <w:numPr>
          <w:ilvl w:val="0"/>
          <w:numId w:val="0"/>
        </w:numPr>
        <w:spacing w:line="360" w:lineRule="auto"/>
        <w:rPr>
          <w:rFonts w:hint="default"/>
        </w:rPr>
      </w:pPr>
    </w:p>
    <w:p w14:paraId="626C8139">
      <w:pPr>
        <w:numPr>
          <w:ilvl w:val="0"/>
          <w:numId w:val="0"/>
        </w:numPr>
        <w:spacing w:line="360" w:lineRule="auto"/>
        <w:rPr>
          <w:rFonts w:hint="default"/>
          <w:b/>
          <w:bCs/>
          <w:i/>
          <w:iCs/>
        </w:rPr>
      </w:pPr>
      <w:r>
        <w:rPr>
          <w:rFonts w:hint="default"/>
          <w:b/>
          <w:bCs/>
          <w:i/>
          <w:iCs/>
        </w:rPr>
        <w:t>Key Cost Influencing Factors</w:t>
      </w:r>
    </w:p>
    <w:p w14:paraId="15B6802C">
      <w:pPr>
        <w:numPr>
          <w:ilvl w:val="0"/>
          <w:numId w:val="0"/>
        </w:numPr>
        <w:spacing w:line="360" w:lineRule="auto"/>
        <w:rPr>
          <w:rFonts w:hint="default"/>
        </w:rPr>
      </w:pPr>
      <w:r>
        <w:rPr>
          <w:rFonts w:hint="default"/>
        </w:rPr>
        <w:t>All cited studies emphasize how major cost drivers vary:</w:t>
      </w:r>
    </w:p>
    <w:p w14:paraId="25BE02F7">
      <w:pPr>
        <w:numPr>
          <w:ilvl w:val="0"/>
          <w:numId w:val="2"/>
        </w:numPr>
        <w:spacing w:line="360" w:lineRule="auto"/>
        <w:ind w:left="420" w:leftChars="0" w:hanging="420" w:firstLineChars="0"/>
        <w:rPr>
          <w:rFonts w:hint="default"/>
        </w:rPr>
      </w:pPr>
      <w:r>
        <w:rPr>
          <w:rFonts w:hint="default"/>
        </w:rPr>
        <w:t>Delivery logistics and personnel—often &gt;50% of total vaccination cost.</w:t>
      </w:r>
    </w:p>
    <w:p w14:paraId="2121CCCF">
      <w:pPr>
        <w:numPr>
          <w:ilvl w:val="0"/>
          <w:numId w:val="2"/>
        </w:numPr>
        <w:spacing w:line="360" w:lineRule="auto"/>
        <w:ind w:left="420" w:leftChars="0" w:hanging="420" w:firstLineChars="0"/>
        <w:rPr>
          <w:rFonts w:hint="default"/>
        </w:rPr>
      </w:pPr>
      <w:r>
        <w:rPr>
          <w:rFonts w:hint="default"/>
        </w:rPr>
        <w:t>Farmer opportunity cost—especially large in mixed-crop systems.</w:t>
      </w:r>
    </w:p>
    <w:p w14:paraId="17557FC7">
      <w:pPr>
        <w:numPr>
          <w:ilvl w:val="0"/>
          <w:numId w:val="2"/>
        </w:numPr>
        <w:spacing w:line="360" w:lineRule="auto"/>
        <w:ind w:left="420" w:leftChars="0" w:hanging="420" w:firstLineChars="0"/>
        <w:rPr>
          <w:rFonts w:hint="default"/>
        </w:rPr>
      </w:pPr>
      <w:r>
        <w:rPr>
          <w:rFonts w:hint="default"/>
        </w:rPr>
        <w:t>Vaccine wastage—up to 10–33% through missed shots or vial residuals.</w:t>
      </w:r>
    </w:p>
    <w:p w14:paraId="131BEB81">
      <w:pPr>
        <w:numPr>
          <w:ilvl w:val="0"/>
          <w:numId w:val="2"/>
        </w:numPr>
        <w:spacing w:line="360" w:lineRule="auto"/>
        <w:ind w:left="420" w:leftChars="0" w:hanging="420" w:firstLineChars="0"/>
        <w:rPr>
          <w:rFonts w:hint="default"/>
        </w:rPr>
      </w:pPr>
      <w:r>
        <w:rPr>
          <w:rFonts w:hint="default"/>
        </w:rPr>
        <w:t>Channel differences—public systems facing higher fixed and overhead costs compared to private.</w:t>
      </w:r>
    </w:p>
    <w:p w14:paraId="6671374F">
      <w:pPr>
        <w:numPr>
          <w:ilvl w:val="0"/>
          <w:numId w:val="0"/>
        </w:numPr>
        <w:spacing w:line="360" w:lineRule="auto"/>
        <w:rPr>
          <w:rFonts w:hint="default" w:ascii="Calibri" w:hAnsi="Calibri" w:cs="Calibri"/>
          <w:sz w:val="20"/>
          <w:szCs w:val="20"/>
        </w:rPr>
      </w:pPr>
    </w:p>
    <w:p w14:paraId="29BAB64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cs="Calibri"/>
          <w:sz w:val="20"/>
          <w:szCs w:val="20"/>
        </w:rPr>
      </w:pPr>
      <w:r>
        <w:rPr>
          <w:rFonts w:hint="default" w:ascii="Calibri" w:hAnsi="Calibri" w:cs="Calibri"/>
          <w:sz w:val="20"/>
          <w:szCs w:val="20"/>
        </w:rPr>
        <w:t>Summary Table of Costs</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2"/>
        <w:gridCol w:w="2061"/>
        <w:gridCol w:w="2389"/>
      </w:tblGrid>
      <w:tr w14:paraId="3B274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26BD6AD6">
            <w:pPr>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Calibri" w:hAnsi="Calibri" w:cs="Calibri" w:eastAsiaTheme="minorEastAsia"/>
                <w:b/>
                <w:bCs/>
                <w:sz w:val="20"/>
                <w:szCs w:val="20"/>
                <w:lang w:val="en-US" w:eastAsia="zh-CN" w:bidi="ar-SA"/>
              </w:rPr>
            </w:pPr>
            <w:r>
              <w:rPr>
                <w:rFonts w:hint="default" w:ascii="Calibri" w:hAnsi="Calibri" w:eastAsia="SimSun" w:cs="Calibri"/>
                <w:b/>
                <w:bCs/>
                <w:kern w:val="0"/>
                <w:sz w:val="20"/>
                <w:szCs w:val="20"/>
                <w:lang w:val="en-US" w:eastAsia="zh-CN" w:bidi="ar"/>
              </w:rPr>
              <w:t>Country / Region</w:t>
            </w:r>
          </w:p>
        </w:tc>
        <w:tc>
          <w:tcPr>
            <w:tcW w:w="2061" w:type="dxa"/>
            <w:shd w:val="clear" w:color="auto" w:fill="auto"/>
            <w:vAlign w:val="center"/>
          </w:tcPr>
          <w:p w14:paraId="31131B9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Calibri" w:hAnsi="Calibri" w:cs="Calibri" w:eastAsiaTheme="minorEastAsia"/>
                <w:b/>
                <w:bCs/>
                <w:sz w:val="20"/>
                <w:szCs w:val="20"/>
                <w:lang w:val="en-US" w:eastAsia="zh-CN" w:bidi="ar-SA"/>
              </w:rPr>
            </w:pPr>
            <w:r>
              <w:rPr>
                <w:rFonts w:hint="default" w:ascii="Calibri" w:hAnsi="Calibri" w:eastAsia="SimSun" w:cs="Calibri"/>
                <w:b/>
                <w:bCs/>
                <w:kern w:val="0"/>
                <w:sz w:val="20"/>
                <w:szCs w:val="20"/>
                <w:lang w:val="en-US" w:eastAsia="zh-CN" w:bidi="ar"/>
              </w:rPr>
              <w:t>Vaccine Cost</w:t>
            </w:r>
          </w:p>
        </w:tc>
        <w:tc>
          <w:tcPr>
            <w:tcW w:w="2389" w:type="dxa"/>
            <w:shd w:val="clear" w:color="auto" w:fill="auto"/>
            <w:vAlign w:val="center"/>
          </w:tcPr>
          <w:p w14:paraId="262936BE">
            <w:pPr>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Calibri" w:hAnsi="Calibri" w:cs="Calibri" w:eastAsiaTheme="minorEastAsia"/>
                <w:b/>
                <w:bCs/>
                <w:sz w:val="20"/>
                <w:szCs w:val="20"/>
                <w:lang w:val="en-US" w:eastAsia="zh-CN" w:bidi="ar-SA"/>
              </w:rPr>
            </w:pPr>
            <w:r>
              <w:rPr>
                <w:rFonts w:hint="default" w:ascii="Calibri" w:hAnsi="Calibri" w:eastAsia="SimSun" w:cs="Calibri"/>
                <w:b/>
                <w:bCs/>
                <w:kern w:val="0"/>
                <w:sz w:val="20"/>
                <w:szCs w:val="20"/>
                <w:lang w:val="en-US" w:eastAsia="zh-CN" w:bidi="ar"/>
              </w:rPr>
              <w:t>Total Service Cost*</w:t>
            </w:r>
          </w:p>
        </w:tc>
      </w:tr>
      <w:tr w14:paraId="1A4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481A1117">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Ethiopia (pastoral)</w:t>
            </w:r>
          </w:p>
        </w:tc>
        <w:tc>
          <w:tcPr>
            <w:tcW w:w="2061" w:type="dxa"/>
            <w:shd w:val="clear" w:color="auto" w:fill="auto"/>
            <w:vAlign w:val="center"/>
          </w:tcPr>
          <w:p w14:paraId="026447BA">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0.10</w:t>
            </w:r>
          </w:p>
        </w:tc>
        <w:tc>
          <w:tcPr>
            <w:tcW w:w="2389" w:type="dxa"/>
            <w:shd w:val="clear" w:color="auto" w:fill="auto"/>
            <w:vAlign w:val="center"/>
          </w:tcPr>
          <w:p w14:paraId="4B3B947B">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0.10</w:t>
            </w:r>
          </w:p>
        </w:tc>
      </w:tr>
      <w:tr w14:paraId="36B92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667ADA55">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Ethiopia (mixed-crop)</w:t>
            </w:r>
          </w:p>
        </w:tc>
        <w:tc>
          <w:tcPr>
            <w:tcW w:w="2061" w:type="dxa"/>
            <w:shd w:val="clear" w:color="auto" w:fill="auto"/>
            <w:vAlign w:val="center"/>
          </w:tcPr>
          <w:p w14:paraId="152D700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0.20</w:t>
            </w:r>
          </w:p>
        </w:tc>
        <w:tc>
          <w:tcPr>
            <w:tcW w:w="2389" w:type="dxa"/>
            <w:shd w:val="clear" w:color="auto" w:fill="auto"/>
            <w:vAlign w:val="center"/>
          </w:tcPr>
          <w:p w14:paraId="70FE2B50">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0.20</w:t>
            </w:r>
          </w:p>
        </w:tc>
      </w:tr>
      <w:tr w14:paraId="3D1D4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41FA2863">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Ethiopia (Somali region) Public</w:t>
            </w:r>
          </w:p>
        </w:tc>
        <w:tc>
          <w:tcPr>
            <w:tcW w:w="2061" w:type="dxa"/>
            <w:shd w:val="clear" w:color="auto" w:fill="auto"/>
            <w:vAlign w:val="center"/>
          </w:tcPr>
          <w:p w14:paraId="2C3EBE46">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37D55AD0">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0.078</w:t>
            </w:r>
          </w:p>
        </w:tc>
      </w:tr>
      <w:tr w14:paraId="0C491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10AA580B">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Ethiopia (Somali private)</w:t>
            </w:r>
          </w:p>
        </w:tc>
        <w:tc>
          <w:tcPr>
            <w:tcW w:w="2061" w:type="dxa"/>
            <w:shd w:val="clear" w:color="auto" w:fill="auto"/>
            <w:vAlign w:val="center"/>
          </w:tcPr>
          <w:p w14:paraId="53E59D71">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42A9471E">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0.04</w:t>
            </w:r>
          </w:p>
        </w:tc>
      </w:tr>
      <w:tr w14:paraId="7C1D2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49EAD5D5">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NW Ethiopia (Metema)</w:t>
            </w:r>
          </w:p>
        </w:tc>
        <w:tc>
          <w:tcPr>
            <w:tcW w:w="2061" w:type="dxa"/>
            <w:shd w:val="clear" w:color="auto" w:fill="auto"/>
            <w:vAlign w:val="center"/>
          </w:tcPr>
          <w:p w14:paraId="2045D340">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58C840D5">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0.13</w:t>
            </w:r>
          </w:p>
        </w:tc>
      </w:tr>
      <w:tr w14:paraId="2DA6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0995F9ED">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Burkina Faso (public)</w:t>
            </w:r>
          </w:p>
        </w:tc>
        <w:tc>
          <w:tcPr>
            <w:tcW w:w="2061" w:type="dxa"/>
            <w:shd w:val="clear" w:color="auto" w:fill="auto"/>
            <w:vAlign w:val="center"/>
          </w:tcPr>
          <w:p w14:paraId="7E199E50">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5541C11B">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0.30</w:t>
            </w:r>
          </w:p>
        </w:tc>
      </w:tr>
      <w:tr w14:paraId="6AE5D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5E8D633B">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Burkina Faso (private)</w:t>
            </w:r>
          </w:p>
        </w:tc>
        <w:tc>
          <w:tcPr>
            <w:tcW w:w="2061" w:type="dxa"/>
            <w:shd w:val="clear" w:color="auto" w:fill="auto"/>
            <w:vAlign w:val="center"/>
          </w:tcPr>
          <w:p w14:paraId="61C64F8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36D9E877">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0.18</w:t>
            </w:r>
          </w:p>
        </w:tc>
      </w:tr>
      <w:tr w14:paraId="3E9DE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7FE9491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Senegal</w:t>
            </w:r>
          </w:p>
        </w:tc>
        <w:tc>
          <w:tcPr>
            <w:tcW w:w="2061" w:type="dxa"/>
            <w:shd w:val="clear" w:color="auto" w:fill="auto"/>
            <w:vAlign w:val="center"/>
          </w:tcPr>
          <w:p w14:paraId="417CE47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30B973BD">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0.19–0.33</w:t>
            </w:r>
          </w:p>
        </w:tc>
      </w:tr>
      <w:tr w14:paraId="170C9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4ECA1D18">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Nigeria</w:t>
            </w:r>
          </w:p>
        </w:tc>
        <w:tc>
          <w:tcPr>
            <w:tcW w:w="2061" w:type="dxa"/>
            <w:shd w:val="clear" w:color="auto" w:fill="auto"/>
            <w:vAlign w:val="center"/>
          </w:tcPr>
          <w:p w14:paraId="1C5101BB">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w:t>
            </w:r>
          </w:p>
        </w:tc>
        <w:tc>
          <w:tcPr>
            <w:tcW w:w="2389" w:type="dxa"/>
            <w:shd w:val="clear" w:color="auto" w:fill="auto"/>
            <w:vAlign w:val="center"/>
          </w:tcPr>
          <w:p w14:paraId="6D7BC00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0.22</w:t>
            </w:r>
          </w:p>
        </w:tc>
      </w:tr>
      <w:tr w14:paraId="476B4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2" w:type="dxa"/>
            <w:shd w:val="clear" w:color="auto" w:fill="auto"/>
            <w:vAlign w:val="center"/>
          </w:tcPr>
          <w:p w14:paraId="1F2AE275">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Somalia</w:t>
            </w:r>
          </w:p>
        </w:tc>
        <w:tc>
          <w:tcPr>
            <w:tcW w:w="2061" w:type="dxa"/>
            <w:shd w:val="clear" w:color="auto" w:fill="auto"/>
            <w:vAlign w:val="center"/>
          </w:tcPr>
          <w:p w14:paraId="483C446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0.12</w:t>
            </w:r>
          </w:p>
        </w:tc>
        <w:tc>
          <w:tcPr>
            <w:tcW w:w="2389" w:type="dxa"/>
            <w:shd w:val="clear" w:color="auto" w:fill="auto"/>
            <w:vAlign w:val="center"/>
          </w:tcPr>
          <w:p w14:paraId="25D08576">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libri" w:hAnsi="Calibri" w:cs="Calibri" w:eastAsiaTheme="minorEastAsia"/>
                <w:sz w:val="20"/>
                <w:szCs w:val="20"/>
                <w:lang w:val="en-US" w:eastAsia="zh-CN" w:bidi="ar-SA"/>
              </w:rPr>
            </w:pPr>
            <w:r>
              <w:rPr>
                <w:rFonts w:hint="default" w:ascii="Calibri" w:hAnsi="Calibri" w:eastAsia="SimSun" w:cs="Calibri"/>
                <w:kern w:val="0"/>
                <w:sz w:val="20"/>
                <w:szCs w:val="20"/>
                <w:lang w:val="en-US" w:eastAsia="zh-CN" w:bidi="ar"/>
              </w:rPr>
              <w:t>USD 0.14</w:t>
            </w:r>
          </w:p>
        </w:tc>
      </w:tr>
    </w:tbl>
    <w:p w14:paraId="4E2E72C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cs="Calibri"/>
          <w:sz w:val="20"/>
          <w:szCs w:val="20"/>
        </w:rPr>
      </w:pPr>
      <w:r>
        <w:rPr>
          <w:rFonts w:hint="default" w:ascii="Calibri" w:hAnsi="Calibri" w:cs="Calibri"/>
          <w:sz w:val="20"/>
          <w:szCs w:val="20"/>
        </w:rPr>
        <w:t>*Exact definitions vary by study (some include only delivery, others wider service components).</w:t>
      </w:r>
    </w:p>
    <w:p w14:paraId="05B13064">
      <w:pPr>
        <w:numPr>
          <w:ilvl w:val="0"/>
          <w:numId w:val="0"/>
        </w:numPr>
        <w:spacing w:line="360" w:lineRule="auto"/>
        <w:rPr>
          <w:rFonts w:hint="default" w:ascii="Calibri" w:hAnsi="Calibri" w:cs="Calibri"/>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2A2FC"/>
    <w:multiLevelType w:val="singleLevel"/>
    <w:tmpl w:val="D2C2A2FC"/>
    <w:lvl w:ilvl="0" w:tentative="0">
      <w:start w:val="1"/>
      <w:numFmt w:val="decimal"/>
      <w:suff w:val="space"/>
      <w:lvlText w:val="%1."/>
      <w:lvlJc w:val="left"/>
    </w:lvl>
  </w:abstractNum>
  <w:abstractNum w:abstractNumId="1">
    <w:nsid w:val="1A84AE6C"/>
    <w:multiLevelType w:val="singleLevel"/>
    <w:tmpl w:val="1A84AE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14D67"/>
    <w:rsid w:val="01914D67"/>
    <w:rsid w:val="178F61BC"/>
    <w:rsid w:val="33C259F7"/>
    <w:rsid w:val="44756E36"/>
    <w:rsid w:val="4CC67E9F"/>
    <w:rsid w:val="4DA0402B"/>
    <w:rsid w:val="4E5E3A63"/>
    <w:rsid w:val="5F384AC5"/>
    <w:rsid w:val="65C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1867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2025-08-29T14:39:00Z</dcterms:created>
  <dc:creator>fasin</dc:creator>
  <cp:lastModifiedBy>fasina fo</cp:lastModifiedBy>
  <dcterms:modified xsi:type="dcterms:W3CDTF">2025-09-09T09:07:39Z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4EE3CE82718D4AFC9385F559DF04F043_11</vt:lpwstr>
  </property>
</Properties>
</file>