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OriginTrace Demo Walkthrough Script</w:t>
      </w:r>
    </w:p>
    <w:p>
      <w:pPr>
        <w:jc w:val="center"/>
      </w:pPr>
      <w:r>
        <w:rPr>
          <w:color w:val="6FB8A8"/>
          <w:sz w:val="24"/>
        </w:rPr>
        <w:t>GACON — Internal Presenter Copy</w:t>
      </w:r>
    </w:p>
    <w:p>
      <w:pPr>
        <w:jc w:val="center"/>
      </w:pPr>
      <w:r>
        <w:rPr>
          <w:color w:val="888888"/>
          <w:sz w:val="18"/>
        </w:rPr>
        <w:t>Last updated: 2026-03-26  ·  CONFIDENTIAL — Internal use only</w:t>
      </w:r>
    </w:p>
    <w:p/>
    <w:p>
      <w:pPr>
        <w:pStyle w:val="Heading1"/>
      </w:pPr>
      <w:r>
        <w:t>Credentials</w:t>
      </w:r>
    </w:p>
    <w:tbl>
      <w:tblPr>
        <w:tblStyle w:val="TableGrid"/>
        <w:tblW w:type="auto" w:w="0"/>
        <w:tblLook w:firstColumn="1" w:firstRow="1" w:lastColumn="0" w:lastRow="0" w:noHBand="0" w:noVBand="1" w:val="04A0"/>
      </w:tblPr>
      <w:tblGrid>
        <w:gridCol w:w="2880"/>
        <w:gridCol w:w="2880"/>
        <w:gridCol w:w="2880"/>
      </w:tblGrid>
      <w:tr>
        <w:tc>
          <w:tcPr>
            <w:tcW w:type="dxa" w:w="2880"/>
            <w:shd w:fill="2E7D6B" w:color="FFFFFF" w:val="clear"/>
          </w:tcPr>
          <w:p>
            <w:r>
              <w:rPr>
                <w:b/>
                <w:color w:val="FFFFFF"/>
              </w:rPr>
              <w:t>Role</w:t>
            </w:r>
          </w:p>
        </w:tc>
        <w:tc>
          <w:tcPr>
            <w:tcW w:type="dxa" w:w="2880"/>
            <w:shd w:fill="2E7D6B" w:color="FFFFFF" w:val="clear"/>
          </w:tcPr>
          <w:p>
            <w:r>
              <w:rPr>
                <w:b/>
                <w:color w:val="FFFFFF"/>
              </w:rPr>
              <w:t>Email</w:t>
            </w:r>
          </w:p>
        </w:tc>
        <w:tc>
          <w:tcPr>
            <w:tcW w:type="dxa" w:w="2880"/>
            <w:shd w:fill="2E7D6B" w:color="FFFFFF" w:val="clear"/>
          </w:tcPr>
          <w:p>
            <w:r>
              <w:rPr>
                <w:b/>
                <w:color w:val="FFFFFF"/>
              </w:rPr>
              <w:t>Password</w:t>
            </w:r>
          </w:p>
        </w:tc>
      </w:tr>
      <w:tr>
        <w:tc>
          <w:tcPr>
            <w:tcW w:type="dxa" w:w="2880"/>
          </w:tcPr>
          <w:p>
            <w:r>
              <w:t>GACON Admin (presenter)</w:t>
            </w:r>
          </w:p>
        </w:tc>
        <w:tc>
          <w:tcPr>
            <w:tcW w:type="dxa" w:w="2880"/>
          </w:tcPr>
          <w:p>
            <w:r>
              <w:t>demo.admin@gacon-demo.com</w:t>
            </w:r>
          </w:p>
        </w:tc>
        <w:tc>
          <w:tcPr>
            <w:tcW w:type="dxa" w:w="2880"/>
          </w:tcPr>
          <w:p>
            <w:r>
              <w:t>Demo1234!</w:t>
            </w:r>
          </w:p>
        </w:tc>
      </w:tr>
      <w:tr>
        <w:tc>
          <w:tcPr>
            <w:tcW w:type="dxa" w:w="2880"/>
          </w:tcPr>
          <w:p>
            <w:r>
              <w:t>GACON Agent</w:t>
            </w:r>
          </w:p>
        </w:tc>
        <w:tc>
          <w:tcPr>
            <w:tcW w:type="dxa" w:w="2880"/>
          </w:tcPr>
          <w:p>
            <w:r>
              <w:t>demo.agent@gacon-demo.com</w:t>
            </w:r>
          </w:p>
        </w:tc>
        <w:tc>
          <w:tcPr>
            <w:tcW w:type="dxa" w:w="2880"/>
          </w:tcPr>
          <w:p>
            <w:r>
              <w:t>Demo1234!</w:t>
            </w:r>
          </w:p>
        </w:tc>
      </w:tr>
    </w:tbl>
    <w:p/>
    <w:p>
      <w:r>
        <w:rPr>
          <w:b/>
        </w:rPr>
        <w:t xml:space="preserve">Org: </w:t>
      </w:r>
      <w:r>
        <w:t xml:space="preserve">GACON — Gum Arabic &amp; Commodities Nigeria  ·  Tier: </w:t>
      </w:r>
      <w:r>
        <w:rPr>
          <w:b/>
        </w:rPr>
        <w:t>Pro</w:t>
      </w:r>
      <w:r>
        <w:t xml:space="preserve">  ·  Commodities: Ginger · Hibiscus · Gum Arabic</w:t>
      </w:r>
    </w:p>
    <w:p/>
    <w:p>
      <w:pPr>
        <w:pStyle w:val="Heading1"/>
      </w:pPr>
      <w:r>
        <w:t>Step 0 — Setup (before audience arrives)</w:t>
      </w:r>
    </w:p>
    <w:p>
      <w:r>
        <w:t>Run at least 5 minutes before the session. Requires SUPABASE env vars in .env.local or exported in the terminal.</w:t>
      </w:r>
    </w:p>
    <w:p>
      <w:pPr>
        <w:pStyle w:val="NoSpacing"/>
        <w:shd w:fill="F0F0F0" w:color="auto" w:val="clear"/>
      </w:pPr>
      <w:r>
        <w:rPr>
          <w:rFonts w:ascii="Courier New" w:hAnsi="Courier New"/>
          <w:color w:val="2E2E2E"/>
          <w:sz w:val="18"/>
        </w:rPr>
        <w:t>npm run seed:gacon:reset</w:t>
      </w:r>
    </w:p>
    <w:p>
      <w:r>
        <w:t>If this is a fresh Supabase database, apply the migration in Supabase SQL Editor first:</w:t>
      </w:r>
    </w:p>
    <w:p>
      <w:pPr>
        <w:pStyle w:val="NoSpacing"/>
        <w:shd w:fill="F0F0F0" w:color="auto" w:val="clear"/>
      </w:pPr>
      <w:r>
        <w:rPr>
          <w:rFonts w:ascii="Courier New" w:hAnsi="Courier New"/>
          <w:color w:val="2E2E2E"/>
          <w:sz w:val="18"/>
        </w:rPr>
        <w:t>supabase/migrations/20260326_add_gum_arabic.sql</w:t>
      </w:r>
    </w:p>
    <w:p>
      <w:r>
        <w:t>Then open an incognito browser window to [APP_URL]/login and leave it on the login page.</w:t>
      </w:r>
    </w:p>
    <w:p>
      <w:pPr>
        <w:pStyle w:val="Heading1"/>
      </w:pPr>
      <w:r>
        <w:t>Step 1 — Login</w:t>
      </w:r>
    </w:p>
    <w:p>
      <w:r>
        <w:rPr>
          <w:b/>
          <w:color w:val="2E7D6B"/>
        </w:rPr>
        <w:t xml:space="preserve">URL: </w:t>
      </w:r>
      <w:r>
        <w:t>[APP_URL]/login</w:t>
      </w:r>
    </w:p>
    <w:p/>
    <w:p>
      <w:r>
        <w:rPr>
          <w:b/>
        </w:rPr>
        <w:t>Do:</w:t>
      </w:r>
    </w:p>
    <w:p>
      <w:r>
        <w:t>• Enter email: demo.admin@gacon-demo.com</w:t>
      </w:r>
    </w:p>
    <w:p>
      <w:r>
        <w:t>• Enter password: Demo1234!</w:t>
      </w:r>
    </w:p>
    <w:p>
      <w:r>
        <w:t>• Click Sign In</w:t>
      </w:r>
    </w:p>
    <w:p/>
    <w:p>
      <w:r>
        <w:rPr>
          <w:b/>
        </w:rPr>
        <w:t>Expected on screen:</w:t>
      </w:r>
    </w:p>
    <w:p>
      <w:r>
        <w:t>• Redirects to /app/dashboard</w:t>
      </w:r>
    </w:p>
    <w:p>
      <w:r>
        <w:t>• Top-left shows GACON organisation name</w:t>
      </w:r>
    </w:p>
    <w:p>
      <w:r>
        <w:t>• Dashboard shows recent batch activity, pending farms count, shipment statuses</w:t>
      </w:r>
    </w:p>
    <w:p/>
    <w:p>
      <w:pPr>
        <w:ind w:left="432"/>
      </w:pPr>
      <w:r>
        <w:rPr>
          <w:b/>
          <w:color w:val="2E7D6B"/>
        </w:rPr>
        <w:t xml:space="preserve">Say: </w:t>
      </w:r>
      <w:r>
        <w:t>"I'm logged in as the GACON compliance admin. GACON is a Nigerian commodities exporter — ginger, hibiscus, and gum arabic — shipping primarily into the EU. You'll see their full supply chain in the next few minutes."</w:t>
      </w:r>
    </w:p>
    <w:p>
      <w:pPr>
        <w:pStyle w:val="Heading1"/>
      </w:pPr>
      <w:r>
        <w:t>Step 2 — Farms → Pending Review tab</w:t>
      </w:r>
    </w:p>
    <w:p>
      <w:r>
        <w:rPr>
          <w:b/>
          <w:color w:val="2E7D6B"/>
        </w:rPr>
        <w:t xml:space="preserve">URL: </w:t>
      </w:r>
      <w:r>
        <w:t>/app/farms</w:t>
      </w:r>
    </w:p>
    <w:p/>
    <w:p>
      <w:r>
        <w:rPr>
          <w:b/>
        </w:rPr>
        <w:t>Do:</w:t>
      </w:r>
    </w:p>
    <w:p>
      <w:r>
        <w:t>• Click Farms in the left sidebar</w:t>
      </w:r>
    </w:p>
    <w:p>
      <w:r>
        <w:t>• Click the Pending Review tab at the top</w:t>
      </w:r>
    </w:p>
    <w:p/>
    <w:p>
      <w:r>
        <w:rPr>
          <w:b/>
        </w:rPr>
        <w:t>Expected on screen:</w:t>
      </w:r>
    </w:p>
    <w:p>
      <w:r>
        <w:t>• Musa Danladi — 1.9 ha · Kachia, Kaduna · Status: Pending</w:t>
      </w:r>
    </w:p>
    <w:p>
      <w:r>
        <w:t>• Notes: "Pending boundary verification. New GACON member, 2026 season."</w:t>
      </w:r>
    </w:p>
    <w:p>
      <w:r>
        <w:t>• Other 4 farms (Abubakar Sule, Hadiza Ibrahim, Hauwa Bello, Garba Yakubu) on Approved tab</w:t>
      </w:r>
    </w:p>
    <w:p/>
    <w:p>
      <w:pPr>
        <w:ind w:left="432"/>
      </w:pPr>
      <w:r>
        <w:rPr>
          <w:b/>
          <w:color w:val="2E7D6B"/>
        </w:rPr>
        <w:t xml:space="preserve">Say: </w:t>
      </w:r>
      <w:r>
        <w:t>"Musa Danladi is a new cooperative member this season — his 1.9-hectare ginger farm in Kachia is registered and his delivery is already logged, but the GPS boundary polygon is still awaiting field verification. The platform flags it so the compliance officer knows exactly which farm visit is outstanding. Nothing falls through the cracks. Notice we're in Kaduna State — Kachia and Kagarko LGAs specifically. Smallholder farms. The platform works at that level of granularity."</w:t>
      </w:r>
    </w:p>
    <w:p>
      <w:pPr>
        <w:pStyle w:val="Heading1"/>
      </w:pPr>
      <w:r>
        <w:t>Step 3 — Collect → Batches</w:t>
      </w:r>
    </w:p>
    <w:p>
      <w:r>
        <w:rPr>
          <w:b/>
          <w:color w:val="2E7D6B"/>
        </w:rPr>
        <w:t xml:space="preserve">URL: </w:t>
      </w:r>
      <w:r>
        <w:t>/app/collect  (select Batches tab)</w:t>
      </w:r>
    </w:p>
    <w:p/>
    <w:p>
      <w:r>
        <w:rPr>
          <w:b/>
        </w:rPr>
        <w:t>Expected on screen:</w:t>
      </w:r>
    </w:p>
    <w:p>
      <w:r>
        <w:t>• GCN-GNG-2026-001 · Status: Completed · 3,200 kg · 64 bags · Grade 1 · Kachia, Kaduna</w:t>
      </w:r>
    </w:p>
    <w:p/>
    <w:p>
      <w:r>
        <w:rPr>
          <w:b/>
        </w:rPr>
        <w:t>Do:</w:t>
      </w:r>
    </w:p>
    <w:p>
      <w:r>
        <w:t>• Click into the batch to open detail view</w:t>
      </w:r>
    </w:p>
    <w:p/>
    <w:p>
      <w:r>
        <w:rPr>
          <w:b/>
        </w:rPr>
        <w:t>Expected on batch detail:</w:t>
      </w:r>
    </w:p>
    <w:p>
      <w:r>
        <w:t>• Abubakar Sule — 1,050 kg / 21 bags</w:t>
      </w:r>
    </w:p>
    <w:p>
      <w:r>
        <w:t>• Hadiza Ibrahim — 1,280 kg / 26 bags</w:t>
      </w:r>
    </w:p>
    <w:p>
      <w:r>
        <w:t>• Musa Danladi — 870 kg / 17 bags</w:t>
      </w:r>
    </w:p>
    <w:p/>
    <w:p>
      <w:pPr>
        <w:ind w:left="432"/>
      </w:pPr>
      <w:r>
        <w:rPr>
          <w:b/>
          <w:color w:val="2E7D6B"/>
        </w:rPr>
        <w:t xml:space="preserve">Say: </w:t>
      </w:r>
      <w:r>
        <w:t>"Three farms pooled their harvest — cooperative model. Each farm's contribution is recorded separately at bag level. Musa Danladi's farm contributed 870 kg even though his polygon is still pending. The delivery is accepted and logged — but the compliance flag stays open until the boundary is verified. The two things are tracked independently."</w:t>
      </w:r>
    </w:p>
    <w:p>
      <w:pPr>
        <w:pStyle w:val="Heading1"/>
      </w:pPr>
      <w:r>
        <w:t>Step 4 — Shipments list</w:t>
      </w:r>
    </w:p>
    <w:p>
      <w:r>
        <w:rPr>
          <w:b/>
          <w:color w:val="2E7D6B"/>
        </w:rPr>
        <w:t xml:space="preserve">URL: </w:t>
      </w:r>
      <w:r>
        <w:t>/app/shipments</w:t>
      </w:r>
    </w:p>
    <w:p/>
    <w:p>
      <w:r>
        <w:rPr>
          <w:b/>
        </w:rPr>
        <w:t>Expected on screen:</w:t>
      </w:r>
    </w:p>
    <w:p>
      <w:r>
        <w:t>• GCN-SHP-2026-001 · Hamburg, Germany · Dried Split Ginger · Yellow "Conditional" badge</w:t>
      </w:r>
    </w:p>
    <w:p/>
    <w:p>
      <w:pPr>
        <w:ind w:left="432"/>
      </w:pPr>
      <w:r>
        <w:rPr>
          <w:b/>
          <w:color w:val="2E7D6B"/>
        </w:rPr>
        <w:t xml:space="preserve">Say: </w:t>
      </w:r>
      <w:r>
        <w:t>"GCN-SHP-2026-001 is a draft EU shipment heading to Hamburg. The yellow badge — Conditional — means the system has assessed the readiness and found gaps. It's not blocked, but it's not clear either. Let me open it."</w:t>
      </w:r>
    </w:p>
    <w:p>
      <w:pPr>
        <w:pStyle w:val="Heading1"/>
      </w:pPr>
      <w:r>
        <w:t>Step 5 — Shipment detail &amp; readiness score</w:t>
      </w:r>
    </w:p>
    <w:p>
      <w:r>
        <w:rPr>
          <w:b/>
          <w:color w:val="2E7D6B"/>
        </w:rPr>
        <w:t xml:space="preserve">URL: </w:t>
      </w:r>
      <w:r>
        <w:t>/app/shipments/GCN-SHP-2026-001</w:t>
      </w:r>
    </w:p>
    <w:p/>
    <w:p>
      <w:r>
        <w:rPr>
          <w:b/>
        </w:rPr>
        <w:t>Expected on screen:</w:t>
      </w:r>
    </w:p>
    <w:p/>
    <w:tbl>
      <w:tblPr>
        <w:tblStyle w:val="TableGrid"/>
        <w:tblW w:type="auto" w:w="0"/>
        <w:tblLook w:firstColumn="1" w:firstRow="1" w:lastColumn="0" w:lastRow="0" w:noHBand="0" w:noVBand="1" w:val="04A0"/>
      </w:tblPr>
      <w:tblGrid>
        <w:gridCol w:w="4320"/>
        <w:gridCol w:w="4320"/>
      </w:tblGrid>
      <w:tr>
        <w:tc>
          <w:tcPr>
            <w:tcW w:type="dxa" w:w="4320"/>
            <w:shd w:fill="2E7D6B" w:color="FFFFFF" w:val="clear"/>
          </w:tcPr>
          <w:p>
            <w:r>
              <w:rPr>
                <w:b/>
                <w:color w:val="FFFFFF"/>
              </w:rPr>
              <w:t>Dimension</w:t>
            </w:r>
          </w:p>
        </w:tc>
        <w:tc>
          <w:tcPr>
            <w:tcW w:type="dxa" w:w="4320"/>
            <w:shd w:fill="2E7D6B" w:color="FFFFFF" w:val="clear"/>
          </w:tcPr>
          <w:p>
            <w:r>
              <w:rPr>
                <w:b/>
                <w:color w:val="FFFFFF"/>
              </w:rPr>
              <w:t>Score</w:t>
            </w:r>
          </w:p>
        </w:tc>
      </w:tr>
      <w:tr>
        <w:tc>
          <w:tcPr>
            <w:tcW w:type="dxa" w:w="4320"/>
          </w:tcPr>
          <w:p>
            <w:r>
              <w:t>Traceability Integrity</w:t>
            </w:r>
          </w:p>
        </w:tc>
        <w:tc>
          <w:tcPr>
            <w:tcW w:type="dxa" w:w="4320"/>
          </w:tcPr>
          <w:p>
            <w:r>
              <w:t>90</w:t>
            </w:r>
          </w:p>
        </w:tc>
      </w:tr>
      <w:tr>
        <w:tc>
          <w:tcPr>
            <w:tcW w:type="dxa" w:w="4320"/>
          </w:tcPr>
          <w:p>
            <w:r>
              <w:t>Documentation Completeness</w:t>
            </w:r>
          </w:p>
        </w:tc>
        <w:tc>
          <w:tcPr>
            <w:tcW w:type="dxa" w:w="4320"/>
          </w:tcPr>
          <w:p>
            <w:r>
              <w:t>45  ⚠</w:t>
            </w:r>
          </w:p>
        </w:tc>
      </w:tr>
      <w:tr>
        <w:tc>
          <w:tcPr>
            <w:tcW w:type="dxa" w:w="4320"/>
          </w:tcPr>
          <w:p>
            <w:r>
              <w:t>Chemical &amp; Contamination Risk</w:t>
            </w:r>
          </w:p>
        </w:tc>
        <w:tc>
          <w:tcPr>
            <w:tcW w:type="dxa" w:w="4320"/>
          </w:tcPr>
          <w:p>
            <w:r>
              <w:t>88</w:t>
            </w:r>
          </w:p>
        </w:tc>
      </w:tr>
      <w:tr>
        <w:tc>
          <w:tcPr>
            <w:tcW w:type="dxa" w:w="4320"/>
          </w:tcPr>
          <w:p>
            <w:r>
              <w:t>Storage &amp; Handling Controls</w:t>
            </w:r>
          </w:p>
        </w:tc>
        <w:tc>
          <w:tcPr>
            <w:tcW w:type="dxa" w:w="4320"/>
          </w:tcPr>
          <w:p>
            <w:r>
              <w:t>72</w:t>
            </w:r>
          </w:p>
        </w:tc>
      </w:tr>
      <w:tr>
        <w:tc>
          <w:tcPr>
            <w:tcW w:type="dxa" w:w="4320"/>
          </w:tcPr>
          <w:p>
            <w:r>
              <w:t>Regulatory Alignment</w:t>
            </w:r>
          </w:p>
        </w:tc>
        <w:tc>
          <w:tcPr>
            <w:tcW w:type="dxa" w:w="4320"/>
          </w:tcPr>
          <w:p>
            <w:r>
              <w:t>70</w:t>
            </w:r>
          </w:p>
        </w:tc>
      </w:tr>
      <w:tr>
        <w:tc>
          <w:tcPr>
            <w:tcW w:type="dxa" w:w="4320"/>
          </w:tcPr>
          <w:p>
            <w:r>
              <w:t>OVERALL</w:t>
            </w:r>
          </w:p>
        </w:tc>
        <w:tc>
          <w:tcPr>
            <w:tcW w:type="dxa" w:w="4320"/>
          </w:tcPr>
          <w:p>
            <w:r>
              <w:t>67 / 100 — Conditional</w:t>
            </w:r>
          </w:p>
        </w:tc>
      </w:tr>
    </w:tbl>
    <w:p/>
    <w:p>
      <w:r>
        <w:t>Two risk flags (yellow warnings — not hard fails):</w:t>
      </w:r>
    </w:p>
    <w:p>
      <w:r>
        <w:t xml:space="preserve">  ⚠  Due Diligence Statement not yet uploaded. Required for EUDR compliance.</w:t>
      </w:r>
    </w:p>
    <w:p>
      <w:r>
        <w:t xml:space="preserve">  ⚠  Phytosanitary certificate pending NAFDAC issuance.</w:t>
      </w:r>
    </w:p>
    <w:p/>
    <w:p>
      <w:r>
        <w:t>Documents already uploaded (4 present):</w:t>
      </w:r>
    </w:p>
    <w:p>
      <w:r>
        <w:t xml:space="preserve">  ✓  Certificate of Origin (NEPC)</w:t>
      </w:r>
    </w:p>
    <w:p>
      <w:r>
        <w:t xml:space="preserve">  ✓  Export Licence (NAFDAC)</w:t>
      </w:r>
    </w:p>
    <w:p>
      <w:r>
        <w:t xml:space="preserve">  ✓  MRL Lab Result — Pesticide Residue</w:t>
      </w:r>
    </w:p>
    <w:p>
      <w:r>
        <w:t xml:space="preserve">  ✓  GPS Polygon Verification Report — 3 Farms</w:t>
      </w:r>
    </w:p>
    <w:p/>
    <w:p>
      <w:pPr>
        <w:ind w:left="432"/>
      </w:pPr>
      <w:r>
        <w:rPr>
          <w:b/>
          <w:color w:val="2E7D6B"/>
        </w:rPr>
        <w:t xml:space="preserve">Say: </w:t>
      </w:r>
      <w:r>
        <w:t>"Score is 67 out of 100 — Conditional. Traceability is 90 — strong. The drop is in Documentation Completeness at 45, because two documents are outstanding: the Due Diligence Statement for EUDR, and the phytosanitary certificate which is with NAFDAC right now. These are warnings, not hard fails. The shipment isn't blocked — GACON can proceed to loading once those two documents are uploaded. The platform tells the team exactly what to do next, not just that something is wrong."</w:t>
      </w:r>
    </w:p>
    <w:p/>
    <w:p>
      <w:pPr>
        <w:ind w:left="432"/>
      </w:pPr>
      <w:r>
        <w:rPr>
          <w:b/>
          <w:color w:val="2E7D6B"/>
        </w:rPr>
        <w:t xml:space="preserve">Say: </w:t>
      </w:r>
      <w:r>
        <w:t>"Nigeria is classified as a high-risk country under EUDR — which is exactly why the regulation requires farm-level verification. OriginTrace runs a satellite check on every individual farm polygon. A farm can be in Nigeria and still be certified deforestation-free. We show that per-farm, not per-country. All three Kachia farms are clean — you can see the verification report right here."</w:t>
      </w:r>
    </w:p>
    <w:p>
      <w:pPr>
        <w:pStyle w:val="Heading1"/>
      </w:pPr>
      <w:r>
        <w:t>Step 6 — DDS Export</w:t>
      </w:r>
    </w:p>
    <w:p>
      <w:r>
        <w:rPr>
          <w:b/>
          <w:color w:val="2E7D6B"/>
        </w:rPr>
        <w:t xml:space="preserve">URL: </w:t>
      </w:r>
      <w:r>
        <w:t>Still on /app/shipments/GCN-SHP-2026-001</w:t>
      </w:r>
    </w:p>
    <w:p/>
    <w:p>
      <w:r>
        <w:rPr>
          <w:b/>
        </w:rPr>
        <w:t>Do:</w:t>
      </w:r>
    </w:p>
    <w:p>
      <w:r>
        <w:t>• Locate the Export DDS button on the shipment detail page</w:t>
      </w:r>
    </w:p>
    <w:p>
      <w:r>
        <w:t>• Click it to trigger the Due Diligence Statement export flow</w:t>
      </w:r>
    </w:p>
    <w:p/>
    <w:p>
      <w:pPr>
        <w:ind w:left="432"/>
      </w:pPr>
      <w:r>
        <w:rPr>
          <w:b/>
          <w:color w:val="2E7D6B"/>
        </w:rPr>
        <w:t xml:space="preserve">Say: </w:t>
      </w:r>
      <w:r>
        <w:t>"When the compliance officer is ready, they hit Export DDS — the system generates the Due Diligence Statement pre-filled with all supply chain data: farm polygons, batch traceability chain, operator details. That's the document EUDR requires before goods clear EU customs. No manual spreadsheet, no copy-paste. Generated from live data."</w:t>
      </w:r>
    </w:p>
    <w:p>
      <w:pPr>
        <w:pStyle w:val="Heading1"/>
      </w:pPr>
      <w:r>
        <w:t>Q&amp;A — Scripted answers</w:t>
      </w:r>
    </w:p>
    <w:p>
      <w:pPr>
        <w:pStyle w:val="Heading2"/>
      </w:pPr>
      <w:r>
        <w:t>"Is this on blockchain?"</w:t>
      </w:r>
    </w:p>
    <w:p>
      <w:pPr>
        <w:ind w:left="432"/>
      </w:pPr>
      <w:r>
        <w:rPr>
          <w:b/>
          <w:color w:val="2E7D6B"/>
        </w:rPr>
        <w:t xml:space="preserve">Say: </w:t>
      </w:r>
      <w:r>
        <w:t>"No — and we'll be straight about that. What we run today is a fully auditable PostgreSQL system with row-level security, event logging, and cryptographic integrity checks. Every record carries a timestamp and user identity; nothing can be silently altered. Blockchain is on our roadmap. But the auditability guarantees that matter for EUDR and buyer due diligence — we deliver those today, without the latency or cost overhead of a distributed ledger. We're not going to tell you it's blockchain when it isn't."</w:t>
      </w:r>
    </w:p>
    <w:p>
      <w:pPr>
        <w:pStyle w:val="Heading2"/>
      </w:pPr>
      <w:r>
        <w:t>"Nigeria is high-risk — how do you prove deforestation-free?"</w:t>
      </w:r>
    </w:p>
    <w:p>
      <w:pPr>
        <w:ind w:left="432"/>
      </w:pPr>
      <w:r>
        <w:rPr>
          <w:b/>
          <w:color w:val="2E7D6B"/>
        </w:rPr>
        <w:t xml:space="preserve">Say: </w:t>
      </w:r>
      <w:r>
        <w:t>"Nigeria is classified as high-risk — which is exactly why EUDR requires farm-level verification. OriginTrace runs a satellite deforestation check on every individual farm polygon, cross-referenced against Global Forest Watch and Copernicus land-cover data. A farm in Nigeria can be — and in this dataset is — certified deforestation-free. We show that per-farm, not per-country. The GPS Polygon Verification Report on this shipment is the audit artefact."</w:t>
      </w:r>
    </w:p>
    <w:p>
      <w:pPr>
        <w:pStyle w:val="Heading2"/>
      </w:pPr>
      <w:r>
        <w:t>"What happens when Musa Danladi's farm gets approved?"</w:t>
      </w:r>
    </w:p>
    <w:p>
      <w:pPr>
        <w:ind w:left="432"/>
      </w:pPr>
      <w:r>
        <w:rPr>
          <w:b/>
          <w:color w:val="2E7D6B"/>
        </w:rPr>
        <w:t xml:space="preserve">Say: </w:t>
      </w:r>
      <w:r>
        <w:t>"The compliance flag clears automatically. His farm moves to Approved, his polygon gets its satellite check, and on any future shipment including his batches, his deforestation status is part of the readiness score. His delivery is already in the system — approval just unlocks the compliance chain for that polygon."</w:t>
      </w:r>
    </w:p>
    <w:p>
      <w:pPr>
        <w:pStyle w:val="Heading2"/>
      </w:pPr>
      <w:r>
        <w:t>"What is Gum Arabic doing in the catalogue?"</w:t>
      </w:r>
    </w:p>
    <w:p>
      <w:pPr>
        <w:ind w:left="432"/>
      </w:pPr>
      <w:r>
        <w:rPr>
          <w:b/>
          <w:color w:val="2E7D6B"/>
        </w:rPr>
        <w:t xml:space="preserve">Say: </w:t>
      </w:r>
      <w:r>
        <w:t>"GACON's expansion commodity. Gum Arabic is harvested from Acacia senegal — a tree crop native to Northern Nigeria. HS code 1301.20, yield benchmark of 0.4 kg per tree per year for Nigeria. Not yet in an active shipment, but the infrastructure is ready."</w:t>
      </w:r>
    </w:p>
    <w:p>
      <w:pPr>
        <w:pStyle w:val="Heading2"/>
      </w:pPr>
      <w:r>
        <w:t>"Can I log in as the field agent?"</w:t>
      </w:r>
    </w:p>
    <w:p>
      <w:pPr>
        <w:ind w:left="432"/>
      </w:pPr>
      <w:r>
        <w:rPr>
          <w:b/>
          <w:color w:val="2E7D6B"/>
        </w:rPr>
        <w:t xml:space="preserve">Say: </w:t>
      </w:r>
      <w:r>
        <w:t>"Yes. demo.agent@gacon-demo.com, same password Demo1234!. The agent view shows the mobile collection flow — batch sync, bag scanning, farm GPS capture."</w:t>
      </w:r>
    </w:p>
    <w:p>
      <w:pPr>
        <w:pStyle w:val="Heading1"/>
      </w:pPr>
      <w:r>
        <w:t>Navigation Warning</w:t>
      </w:r>
    </w:p>
    <w:p>
      <w:r>
        <w:rPr>
          <w:b/>
          <w:color w:val="CC0000"/>
        </w:rPr>
        <w:t>Do NOT click the Compliance link in the left sidebar (/app/compliance).</w:t>
      </w:r>
    </w:p>
    <w:p>
      <w:r>
        <w:t>The demo route is:</w:t>
      </w:r>
    </w:p>
    <w:p>
      <w:pPr>
        <w:pStyle w:val="NoSpacing"/>
        <w:shd w:fill="F0F0F0" w:color="auto" w:val="clear"/>
      </w:pPr>
      <w:r>
        <w:rPr>
          <w:rFonts w:ascii="Courier New" w:hAnsi="Courier New"/>
          <w:color w:val="2E2E2E"/>
          <w:sz w:val="18"/>
        </w:rPr>
        <w:t>Dashboard → Farms (Pending Review) → Collect → Batches → Shipments → Shipment detail → DDS export</w:t>
      </w:r>
    </w:p>
    <w:p>
      <w:pPr>
        <w:pStyle w:val="Heading1"/>
      </w:pPr>
      <w:r>
        <w:t>Appendix — Key data reference</w:t>
      </w:r>
    </w:p>
    <w:tbl>
      <w:tblPr>
        <w:tblStyle w:val="TableGrid"/>
        <w:tblW w:type="auto" w:w="0"/>
        <w:tblLook w:firstColumn="1" w:firstRow="1" w:lastColumn="0" w:lastRow="0" w:noHBand="0" w:noVBand="1" w:val="04A0"/>
      </w:tblPr>
      <w:tblGrid>
        <w:gridCol w:w="4320"/>
        <w:gridCol w:w="4320"/>
      </w:tblGrid>
      <w:tr>
        <w:tc>
          <w:tcPr>
            <w:tcW w:type="dxa" w:w="4320"/>
            <w:shd w:fill="2E7D6B" w:color="FFFFFF" w:val="clear"/>
          </w:tcPr>
          <w:p>
            <w:r>
              <w:rPr>
                <w:b/>
                <w:color w:val="FFFFFF"/>
              </w:rPr>
              <w:t>Item</w:t>
            </w:r>
          </w:p>
        </w:tc>
        <w:tc>
          <w:tcPr>
            <w:tcW w:type="dxa" w:w="4320"/>
            <w:shd w:fill="2E7D6B" w:color="FFFFFF" w:val="clear"/>
          </w:tcPr>
          <w:p>
            <w:r>
              <w:rPr>
                <w:b/>
                <w:color w:val="FFFFFF"/>
              </w:rPr>
              <w:t>Value</w:t>
            </w:r>
          </w:p>
        </w:tc>
      </w:tr>
      <w:tr>
        <w:tc>
          <w:tcPr>
            <w:tcW w:type="dxa" w:w="4320"/>
          </w:tcPr>
          <w:p>
            <w:r>
              <w:t>Org</w:t>
            </w:r>
          </w:p>
        </w:tc>
        <w:tc>
          <w:tcPr>
            <w:tcW w:type="dxa" w:w="4320"/>
          </w:tcPr>
          <w:p>
            <w:r>
              <w:t>GACON — Gum Arabic &amp; Commodities Nigeria</w:t>
            </w:r>
          </w:p>
        </w:tc>
      </w:tr>
      <w:tr>
        <w:tc>
          <w:tcPr>
            <w:tcW w:type="dxa" w:w="4320"/>
          </w:tcPr>
          <w:p>
            <w:r>
              <w:t>Tier</w:t>
            </w:r>
          </w:p>
        </w:tc>
        <w:tc>
          <w:tcPr>
            <w:tcW w:type="dxa" w:w="4320"/>
          </w:tcPr>
          <w:p>
            <w:r>
              <w:t>Pro</w:t>
            </w:r>
          </w:p>
        </w:tc>
      </w:tr>
      <w:tr>
        <w:tc>
          <w:tcPr>
            <w:tcW w:type="dxa" w:w="4320"/>
          </w:tcPr>
          <w:p>
            <w:r>
              <w:t>Commodities</w:t>
            </w:r>
          </w:p>
        </w:tc>
        <w:tc>
          <w:tcPr>
            <w:tcW w:type="dxa" w:w="4320"/>
          </w:tcPr>
          <w:p>
            <w:r>
              <w:t>Ginger · Hibiscus · Gum Arabic</w:t>
            </w:r>
          </w:p>
        </w:tc>
      </w:tr>
      <w:tr>
        <w:tc>
          <w:tcPr>
            <w:tcW w:type="dxa" w:w="4320"/>
          </w:tcPr>
          <w:p>
            <w:r>
              <w:t>Kachia LGA farms</w:t>
            </w:r>
          </w:p>
        </w:tc>
        <w:tc>
          <w:tcPr>
            <w:tcW w:type="dxa" w:w="4320"/>
          </w:tcPr>
          <w:p>
            <w:r>
              <w:t>Abubakar Sule ✓ · Hadiza Ibrahim ✓ · Musa Danladi ⏳ pending</w:t>
            </w:r>
          </w:p>
        </w:tc>
      </w:tr>
      <w:tr>
        <w:tc>
          <w:tcPr>
            <w:tcW w:type="dxa" w:w="4320"/>
          </w:tcPr>
          <w:p>
            <w:r>
              <w:t>Kagarko LGA farms</w:t>
            </w:r>
          </w:p>
        </w:tc>
        <w:tc>
          <w:tcPr>
            <w:tcW w:type="dxa" w:w="4320"/>
          </w:tcPr>
          <w:p>
            <w:r>
              <w:t>Hauwa Bello ✓ · Garba Yakubu ✓</w:t>
            </w:r>
          </w:p>
        </w:tc>
      </w:tr>
      <w:tr>
        <w:tc>
          <w:tcPr>
            <w:tcW w:type="dxa" w:w="4320"/>
          </w:tcPr>
          <w:p>
            <w:r>
              <w:t>Batch</w:t>
            </w:r>
          </w:p>
        </w:tc>
        <w:tc>
          <w:tcPr>
            <w:tcW w:type="dxa" w:w="4320"/>
          </w:tcPr>
          <w:p>
            <w:r>
              <w:t>GCN-GNG-2026-001 · 3,200 kg · 64 bags</w:t>
            </w:r>
          </w:p>
        </w:tc>
      </w:tr>
      <w:tr>
        <w:tc>
          <w:tcPr>
            <w:tcW w:type="dxa" w:w="4320"/>
          </w:tcPr>
          <w:p>
            <w:r>
              <w:t>Processing run</w:t>
            </w:r>
          </w:p>
        </w:tc>
        <w:tc>
          <w:tcPr>
            <w:tcW w:type="dxa" w:w="4320"/>
          </w:tcPr>
          <w:p>
            <w:r>
              <w:t>GCN-RUN-001 · 24.4% recovery</w:t>
            </w:r>
          </w:p>
        </w:tc>
      </w:tr>
      <w:tr>
        <w:tc>
          <w:tcPr>
            <w:tcW w:type="dxa" w:w="4320"/>
          </w:tcPr>
          <w:p>
            <w:r>
              <w:t>Finished good</w:t>
            </w:r>
          </w:p>
        </w:tc>
        <w:tc>
          <w:tcPr>
            <w:tcW w:type="dxa" w:w="4320"/>
          </w:tcPr>
          <w:p>
            <w:r>
              <w:t>PED-GCN-001 · 780 kg dried split ginger</w:t>
            </w:r>
          </w:p>
        </w:tc>
      </w:tr>
      <w:tr>
        <w:tc>
          <w:tcPr>
            <w:tcW w:type="dxa" w:w="4320"/>
          </w:tcPr>
          <w:p>
            <w:r>
              <w:t>Shipment</w:t>
            </w:r>
          </w:p>
        </w:tc>
        <w:tc>
          <w:tcPr>
            <w:tcW w:type="dxa" w:w="4320"/>
          </w:tcPr>
          <w:p>
            <w:r>
              <w:t>GCN-SHP-2026-001 · Hamburg · 67/100 Conditional</w:t>
            </w:r>
          </w:p>
        </w:tc>
      </w:tr>
      <w:tr>
        <w:tc>
          <w:tcPr>
            <w:tcW w:type="dxa" w:w="4320"/>
          </w:tcPr>
          <w:p>
            <w:r>
              <w:t>Gap 1</w:t>
            </w:r>
          </w:p>
        </w:tc>
        <w:tc>
          <w:tcPr>
            <w:tcW w:type="dxa" w:w="4320"/>
          </w:tcPr>
          <w:p>
            <w:r>
              <w:t>Due Diligence Statement not uploaded</w:t>
            </w:r>
          </w:p>
        </w:tc>
      </w:tr>
      <w:tr>
        <w:tc>
          <w:tcPr>
            <w:tcW w:type="dxa" w:w="4320"/>
          </w:tcPr>
          <w:p>
            <w:r>
              <w:t>Gap 2</w:t>
            </w:r>
          </w:p>
        </w:tc>
        <w:tc>
          <w:tcPr>
            <w:tcW w:type="dxa" w:w="4320"/>
          </w:tcPr>
          <w:p>
            <w:r>
              <w:t>Phytosanitary certificate pending NAFDAC</w:t>
            </w:r>
          </w:p>
        </w:tc>
      </w:tr>
      <w:tr>
        <w:tc>
          <w:tcPr>
            <w:tcW w:type="dxa" w:w="4320"/>
          </w:tcPr>
          <w:p>
            <w:r>
              <w:t>Docs present</w:t>
            </w:r>
          </w:p>
        </w:tc>
        <w:tc>
          <w:tcPr>
            <w:tcW w:type="dxa" w:w="4320"/>
          </w:tcPr>
          <w:p>
            <w:r>
              <w:t>COO · Export Licence · MRL Lab Result · GPS Polygon Report</w:t>
            </w:r>
          </w:p>
        </w:tc>
      </w:tr>
      <w:tr>
        <w:tc>
          <w:tcPr>
            <w:tcW w:type="dxa" w:w="4320"/>
          </w:tcPr>
          <w:p>
            <w:r>
              <w:t>Gum Arabic HS code</w:t>
            </w:r>
          </w:p>
        </w:tc>
        <w:tc>
          <w:tcPr>
            <w:tcW w:type="dxa" w:w="4320"/>
          </w:tcPr>
          <w:p>
            <w:r>
              <w:t>1301.20</w:t>
            </w:r>
          </w:p>
        </w:tc>
      </w:tr>
      <w:tr>
        <w:tc>
          <w:tcPr>
            <w:tcW w:type="dxa" w:w="4320"/>
          </w:tcPr>
          <w:p>
            <w:r>
              <w:t>Gum Arabic yield</w:t>
            </w:r>
          </w:p>
        </w:tc>
        <w:tc>
          <w:tcPr>
            <w:tcW w:type="dxa" w:w="4320"/>
          </w:tcPr>
          <w:p>
            <w:r>
              <w:t>0.4 kg/tree/year · Nigeria</w:t>
            </w:r>
          </w:p>
        </w:tc>
      </w:tr>
      <w:tr>
        <w:tc>
          <w:tcPr>
            <w:tcW w:type="dxa" w:w="4320"/>
          </w:tcPr>
          <w:p>
            <w:r>
              <w:t>Seed command</w:t>
            </w:r>
          </w:p>
        </w:tc>
        <w:tc>
          <w:tcPr>
            <w:tcW w:type="dxa" w:w="4320"/>
          </w:tcPr>
          <w:p>
            <w:r>
              <w:t>npm run seed:gacon:reset</w:t>
            </w:r>
          </w:p>
        </w:tc>
      </w:tr>
      <w:tr>
        <w:tc>
          <w:tcPr>
            <w:tcW w:type="dxa" w:w="4320"/>
          </w:tcPr>
          <w:p>
            <w:r>
              <w:t>Admin login</w:t>
            </w:r>
          </w:p>
        </w:tc>
        <w:tc>
          <w:tcPr>
            <w:tcW w:type="dxa" w:w="4320"/>
          </w:tcPr>
          <w:p>
            <w:r>
              <w:t>demo.admin@gacon-demo.com / Demo1234!</w:t>
            </w:r>
          </w:p>
        </w:tc>
      </w:tr>
      <w:tr>
        <w:tc>
          <w:tcPr>
            <w:tcW w:type="dxa" w:w="4320"/>
          </w:tcPr>
          <w:p>
            <w:r>
              <w:t>Agent login</w:t>
            </w:r>
          </w:p>
        </w:tc>
        <w:tc>
          <w:tcPr>
            <w:tcW w:type="dxa" w:w="4320"/>
          </w:tcPr>
          <w:p>
            <w:r>
              <w:t>demo.agent@gacon-demo.com / Demo1234!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F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F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