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ТАБЛИЦЯ КОНТРОЛЬНИХ ЗІСТАВЛЕНЬ</w:t>
      </w:r>
    </w:p>
    <w:p>
      <w:pPr>
        <w:pStyle w:val="Subtitle"/>
        <w:keepNext/>
        <w:keepLines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за документами позивача у справі 127/20805/26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Додаток до письмових пояснень відповідача Подольського Андрія Юрійовича. Підготовлено 01.10.2026 за розрахунком та випискою, які додав до первісного позову АТ «АКЦЕНТ-БАНК». Це арифметичні зіставлення сторони, а не висновок експерта, визнання позовної суми або повний альтернативний розрахунок заборгованості.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1928"/>
        <w:gridCol w:w="3345"/>
      </w:tblGrid>
      <w:tr>
        <w:trPr>
          <w:tblHeader/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Питання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Зіставлення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Джерело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Значення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Склад тіла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116 019,82 + 15 415,00 = 131 434,82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Підсумкова довідка, с. 14; розрахунок, с. 13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Поточну і прострочену складові слід розрізняти при оцінці строку повернення.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Склад процентів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6 170,56 + 46 927,25 = 53 097,81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С. 13–14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Назва простроченої складової не доводить застосування подвійної ставки.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Контроль травня 2026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131 434,82 × 0,408 × 31 / 365 = 4 554,49 грн; банк: 4 554,54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Рядок 31.05.2026, с. 13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Результат близький до базової ставки. Причину різниці 0,05 грн окремо не встановлено.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Перенос 01.06.2026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46 927,25 − 42 519,73 = 4 407,52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Рядки 30.04, 01.05, 01.06, с. 13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Збільшення прострочених процентів дорівнює квітневому нарахуванню.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Комісії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96 операцій: 7 170,44 грн; із них 46 «Розстрочка»: 3 582,94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Виписка, с. 19–51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Суми записів підтверджуються; їх правова підстава оцінюється окремо.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Зарахування та погашення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285 260,92 − 284 549,15 = 711,77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Виписка та розрахунок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Показники мають різний зміст. Потрібно пояснити повернення та їхній вплив на залишок.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Процентна операція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123 491,17 − 122 686,17 = 805,00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Виписка: операція 01.03.2021; розрахунок: відсутній лютневий рядок нарахування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Потрібно пояснити облік. Різниця не є автоматично доведеною переплатою.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Вхідне сальдо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−16 427,12 − (−16 386,00) = −41,12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Перша операція виписки 18.11.2020, с. 51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Залишок не починається з нуля; потрібне пояснення походження 41,12 грн.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Контроль виписки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41,12 + 468 136,41 − 285 260,92 = 182 916,61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Підсумки с. 19 і початок історії с. 51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Зіставлення враховує вхідне сальдо. Не доводить законності кожного платежу.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Приріст у червні</w:t>
            </w:r>
          </w:p>
        </w:tc>
        <w:tc>
          <w:tcPr>
            <w:tcW w:type="dxa" w:w="283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184 532,63 − 182 916,61 = 1 616,02 грн</w:t>
            </w:r>
          </w:p>
        </w:tc>
        <w:tc>
          <w:tcPr>
            <w:tcW w:type="dxa" w:w="19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Рядки 01.06 і 11.06, с. 13</w:t>
            </w:r>
          </w:p>
        </w:tc>
        <w:tc>
          <w:tcPr>
            <w:tcW w:type="dxa" w:w="334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Потрібно пояснити нарахування та дату відсікання; шапка розрахунку вказує 14.06.</w:t>
            </w:r>
          </w:p>
        </w:tc>
      </w:tr>
    </w:tbl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Нумерація сторінок — порядкові сторінки 92-сторінкового PDF «Додатки до Позовна заява (Цивільне судочинство) Подольський Андрій Юрійович.pdf». Текстові CSV-копії використано для підсумовування; 349 рядків розрахунку та 697 операцій виписки звірено з числовими полями цього PDF.</w:t>
      </w:r>
    </w:p>
    <w:p>
      <w:pPr>
        <w:keepNext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01 жовтня 2026 року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Подольський Андрій Юрійович                         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36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 w:eastAsia="Times New Roman" w:cs="Times New Roman"/>
      <w:color w:val="000000"/>
      <w:sz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="Times New Roman" w:hAnsi="Times New Roman" w:eastAsia="Times New Roman" w:cs="Times New Roman"/>
      <w:b/>
      <w:i w:val="0"/>
      <w:color w:val="000000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="Times New Roman" w:hAnsi="Times New Roman" w:eastAsia="Times New Roman" w:cs="Times New Roman"/>
      <w:b w:val="0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ТАБЛИЦЯ КОНТРОЛЬНИХ ЗІСТАВЛЕНЬ за документами позивача у справі 127/20805/26</dc:title>
  <dc:subject/>
  <dc:creator>Подольський Андрій Юрійович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