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after="0" w:line="240" w:lineRule="auto"/>
        <w:ind w:left="3969"/>
      </w:pPr>
      <w:r>
        <w:rPr>
          <w:rFonts w:ascii="Times New Roman" w:hAnsi="Times New Roman" w:eastAsia="Times New Roman" w:cs="Times New Roman"/>
          <w:b/>
          <w:color w:val="000000"/>
          <w:sz w:val="22"/>
        </w:rPr>
        <w:t>До Вінницького міського суду Вінницької області</w:t>
      </w:r>
    </w:p>
    <w:p>
      <w:pPr>
        <w:keepNext/>
        <w:keepLines/>
        <w:spacing w:after="0" w:line="240" w:lineRule="auto"/>
        <w:ind w:left="3969"/>
      </w:pPr>
      <w:r>
        <w:rPr>
          <w:rFonts w:ascii="Times New Roman" w:hAnsi="Times New Roman" w:eastAsia="Times New Roman" w:cs="Times New Roman"/>
          <w:b w:val="0"/>
          <w:color w:val="000000"/>
          <w:sz w:val="22"/>
        </w:rPr>
        <w:t>21050, м. Вінниця, вул. Грушевського, 17</w:t>
      </w:r>
    </w:p>
    <w:p>
      <w:pPr>
        <w:keepNext/>
        <w:keepLines/>
        <w:spacing w:after="0" w:line="240" w:lineRule="auto"/>
        <w:ind w:left="3969"/>
      </w:pPr>
      <w:r>
        <w:rPr>
          <w:rFonts w:ascii="Times New Roman" w:hAnsi="Times New Roman" w:eastAsia="Times New Roman" w:cs="Times New Roman"/>
          <w:b/>
          <w:color w:val="000000"/>
          <w:sz w:val="22"/>
        </w:rPr>
        <w:t>Справа № 127/20805/26</w:t>
      </w:r>
    </w:p>
    <w:p>
      <w:pPr>
        <w:keepNext/>
        <w:keepLines/>
        <w:spacing w:after="0" w:line="240" w:lineRule="auto"/>
        <w:ind w:left="3969"/>
      </w:pPr>
      <w:r>
        <w:rPr>
          <w:rFonts w:ascii="Times New Roman" w:hAnsi="Times New Roman" w:eastAsia="Times New Roman" w:cs="Times New Roman"/>
          <w:b w:val="0"/>
          <w:color w:val="000000"/>
          <w:sz w:val="22"/>
        </w:rPr>
        <w:t>Провадження № 2/127/5742/26</w:t>
      </w:r>
    </w:p>
    <w:p>
      <w:pPr>
        <w:keepNext/>
        <w:keepLines/>
        <w:spacing w:after="0" w:line="240" w:lineRule="auto"/>
        <w:ind w:left="3969"/>
      </w:pPr>
      <w:r>
        <w:rPr>
          <w:rFonts w:ascii="Times New Roman" w:hAnsi="Times New Roman" w:eastAsia="Times New Roman" w:cs="Times New Roman"/>
          <w:b w:val="0"/>
          <w:color w:val="000000"/>
          <w:sz w:val="22"/>
        </w:rPr>
        <w:t>Суддя Бессараб Н. М.</w:t>
      </w:r>
    </w:p>
    <w:p>
      <w:pPr>
        <w:keepNext/>
        <w:keepLines/>
        <w:spacing w:after="0" w:line="240" w:lineRule="auto"/>
        <w:ind w:left="3969"/>
      </w:pPr>
      <w:r>
        <w:rPr>
          <w:rFonts w:ascii="Times New Roman" w:hAnsi="Times New Roman" w:eastAsia="Times New Roman" w:cs="Times New Roman"/>
          <w:b w:val="0"/>
          <w:color w:val="000000"/>
          <w:sz w:val="22"/>
        </w:rPr>
      </w:r>
    </w:p>
    <w:p>
      <w:pPr>
        <w:keepNext/>
        <w:keepLines/>
        <w:spacing w:after="0" w:line="240" w:lineRule="auto"/>
        <w:ind w:left="3969"/>
      </w:pPr>
      <w:r>
        <w:rPr>
          <w:rFonts w:ascii="Times New Roman" w:hAnsi="Times New Roman" w:eastAsia="Times New Roman" w:cs="Times New Roman"/>
          <w:b/>
          <w:color w:val="000000"/>
          <w:sz w:val="22"/>
        </w:rPr>
        <w:t>Відповідач за первісним позовом</w:t>
      </w:r>
    </w:p>
    <w:p>
      <w:pPr>
        <w:keepNext/>
        <w:keepLines/>
        <w:spacing w:after="0" w:line="240" w:lineRule="auto"/>
        <w:ind w:left="3969"/>
      </w:pPr>
      <w:r>
        <w:rPr>
          <w:rFonts w:ascii="Times New Roman" w:hAnsi="Times New Roman" w:eastAsia="Times New Roman" w:cs="Times New Roman"/>
          <w:b/>
          <w:color w:val="000000"/>
          <w:sz w:val="22"/>
        </w:rPr>
        <w:t>Подольський Андрій Юрійович</w:t>
      </w:r>
    </w:p>
    <w:p>
      <w:pPr>
        <w:keepNext/>
        <w:keepLines/>
        <w:spacing w:after="0" w:line="240" w:lineRule="auto"/>
        <w:ind w:left="3969"/>
      </w:pPr>
      <w:r>
        <w:rPr>
          <w:rFonts w:ascii="Times New Roman" w:hAnsi="Times New Roman" w:eastAsia="Times New Roman" w:cs="Times New Roman"/>
          <w:b w:val="0"/>
          <w:color w:val="000000"/>
          <w:sz w:val="22"/>
        </w:rPr>
        <w:t>РНОКПП 3138306873</w:t>
      </w:r>
    </w:p>
    <w:p>
      <w:pPr>
        <w:keepNext/>
        <w:keepLines/>
        <w:spacing w:after="0" w:line="240" w:lineRule="auto"/>
        <w:ind w:left="3969"/>
      </w:pPr>
      <w:r>
        <w:rPr>
          <w:rFonts w:ascii="Times New Roman" w:hAnsi="Times New Roman" w:eastAsia="Times New Roman" w:cs="Times New Roman"/>
          <w:b w:val="0"/>
          <w:color w:val="000000"/>
          <w:sz w:val="22"/>
        </w:rPr>
        <w:t>Адреса реєстрації: 21022, м. Вінниця,</w:t>
      </w:r>
    </w:p>
    <w:p>
      <w:pPr>
        <w:keepNext/>
        <w:keepLines/>
        <w:spacing w:after="0" w:line="240" w:lineRule="auto"/>
        <w:ind w:left="3969"/>
      </w:pPr>
      <w:r>
        <w:rPr>
          <w:rFonts w:ascii="Times New Roman" w:hAnsi="Times New Roman" w:eastAsia="Times New Roman" w:cs="Times New Roman"/>
          <w:b w:val="0"/>
          <w:color w:val="000000"/>
          <w:sz w:val="22"/>
        </w:rPr>
        <w:t>вул. Тарногородського, буд. 48А, кв. 90</w:t>
      </w:r>
    </w:p>
    <w:p>
      <w:pPr>
        <w:keepNext/>
        <w:keepLines/>
        <w:spacing w:after="0" w:line="240" w:lineRule="auto"/>
        <w:ind w:left="3969"/>
      </w:pPr>
      <w:r>
        <w:rPr>
          <w:rFonts w:ascii="Times New Roman" w:hAnsi="Times New Roman" w:eastAsia="Times New Roman" w:cs="Times New Roman"/>
          <w:b w:val="0"/>
          <w:color w:val="000000"/>
          <w:sz w:val="22"/>
        </w:rPr>
        <w:t>Електронний кабінет ЄСІТС зареєстровано</w:t>
      </w:r>
    </w:p>
    <w:p>
      <w:pPr>
        <w:keepNext/>
        <w:keepLines/>
        <w:spacing w:after="0" w:line="240" w:lineRule="auto"/>
        <w:ind w:left="3969"/>
      </w:pPr>
      <w:r>
        <w:rPr>
          <w:rFonts w:ascii="Times New Roman" w:hAnsi="Times New Roman" w:eastAsia="Times New Roman" w:cs="Times New Roman"/>
          <w:b w:val="0"/>
          <w:color w:val="000000"/>
          <w:sz w:val="22"/>
        </w:rPr>
        <w:t>andrii.podolskyi@gmail.com; +380930808888</w:t>
      </w:r>
    </w:p>
    <w:p>
      <w:pPr>
        <w:keepNext/>
        <w:keepLines/>
        <w:spacing w:after="0" w:line="240" w:lineRule="auto"/>
        <w:ind w:left="3969"/>
      </w:pPr>
      <w:r>
        <w:rPr>
          <w:rFonts w:ascii="Times New Roman" w:hAnsi="Times New Roman" w:eastAsia="Times New Roman" w:cs="Times New Roman"/>
          <w:b w:val="0"/>
          <w:color w:val="000000"/>
          <w:sz w:val="22"/>
        </w:rPr>
      </w:r>
    </w:p>
    <w:p>
      <w:pPr>
        <w:keepNext/>
        <w:keepLines/>
        <w:spacing w:after="0" w:line="240" w:lineRule="auto"/>
        <w:ind w:left="3969"/>
      </w:pPr>
      <w:r>
        <w:rPr>
          <w:rFonts w:ascii="Times New Roman" w:hAnsi="Times New Roman" w:eastAsia="Times New Roman" w:cs="Times New Roman"/>
          <w:b/>
          <w:color w:val="000000"/>
          <w:sz w:val="22"/>
        </w:rPr>
        <w:t>Інша сторона: АТ «АКЦЕНТ-БАНК»</w:t>
      </w:r>
    </w:p>
    <w:p>
      <w:pPr>
        <w:keepNext/>
        <w:keepLines/>
        <w:spacing w:after="0" w:line="240" w:lineRule="auto"/>
        <w:ind w:left="3969"/>
      </w:pPr>
      <w:r>
        <w:rPr>
          <w:rFonts w:ascii="Times New Roman" w:hAnsi="Times New Roman" w:eastAsia="Times New Roman" w:cs="Times New Roman"/>
          <w:b w:val="0"/>
          <w:color w:val="000000"/>
          <w:sz w:val="22"/>
        </w:rPr>
        <w:t>ЄДРПОУ 14360080</w:t>
      </w:r>
    </w:p>
    <w:p>
      <w:pPr>
        <w:keepNext/>
        <w:keepLines/>
        <w:spacing w:after="0" w:line="240" w:lineRule="auto"/>
        <w:ind w:left="3969"/>
      </w:pPr>
      <w:r>
        <w:rPr>
          <w:rFonts w:ascii="Times New Roman" w:hAnsi="Times New Roman" w:eastAsia="Times New Roman" w:cs="Times New Roman"/>
          <w:b w:val="0"/>
          <w:color w:val="000000"/>
          <w:sz w:val="22"/>
        </w:rPr>
        <w:t>49074, м. Дніпро, вул. Батумська, 11</w:t>
      </w:r>
    </w:p>
    <w:p>
      <w:pPr>
        <w:keepNext/>
        <w:keepLines/>
        <w:spacing w:after="0" w:line="240" w:lineRule="auto"/>
        <w:ind w:left="3969"/>
      </w:pPr>
      <w:r>
        <w:rPr>
          <w:rFonts w:ascii="Times New Roman" w:hAnsi="Times New Roman" w:eastAsia="Times New Roman" w:cs="Times New Roman"/>
          <w:b w:val="0"/>
          <w:color w:val="000000"/>
          <w:sz w:val="22"/>
        </w:rPr>
        <w:t>Електронний кабінет ЄСІТС зареєстровано</w:t>
      </w:r>
    </w:p>
    <w:p>
      <w:pPr>
        <w:pStyle w:val="Title"/>
        <w:keepNext/>
        <w:keepLines/>
        <w:jc w:val="center"/>
      </w:pPr>
      <w:r>
        <w:rPr>
          <w:rFonts w:ascii="Times New Roman" w:hAnsi="Times New Roman" w:eastAsia="Times New Roman" w:cs="Times New Roman"/>
          <w:b/>
          <w:color w:val="000000"/>
          <w:sz w:val="24"/>
        </w:rPr>
        <w:t>ПИСЬМОВІ ПОЯСНЕННЯ</w:t>
      </w:r>
    </w:p>
    <w:p>
      <w:pPr>
        <w:pStyle w:val="Subtitle"/>
        <w:keepNext/>
        <w:keepLines/>
        <w:jc w:val="center"/>
      </w:pPr>
      <w:r>
        <w:rPr>
          <w:rFonts w:ascii="Times New Roman" w:hAnsi="Times New Roman" w:eastAsia="Times New Roman" w:cs="Times New Roman"/>
          <w:b w:val="0"/>
          <w:color w:val="000000"/>
          <w:sz w:val="24"/>
        </w:rPr>
        <w:t>щодо уточнення заперечень проти позову та оцінки наданих позивачем доказів</w:t>
      </w:r>
    </w:p>
    <w:p>
      <w:pPr>
        <w:keepNext w:val="0"/>
        <w:keepLines/>
      </w:pPr>
      <w:r>
        <w:rPr>
          <w:rFonts w:ascii="Times New Roman" w:hAnsi="Times New Roman" w:eastAsia="Times New Roman" w:cs="Times New Roman"/>
          <w:b w:val="0"/>
          <w:color w:val="000000"/>
          <w:sz w:val="24"/>
        </w:rPr>
        <w:t>Заперечую проти задоволення позову АТ «АКЦЕНТ-БАНК» у заявленому розмірі. Прошу на підставі частини п’ятої статті 174 ЦПК України дозволити подання та долучити ці додаткові пояснення щодо окремих питань оцінки документів, наданих самим позивачем, і уточнення раніше викладеного доводу про проценти.</w:t>
      </w:r>
    </w:p>
    <w:p>
      <w:pPr>
        <w:keepNext w:val="0"/>
        <w:keepLines/>
      </w:pPr>
      <w:r>
        <w:rPr>
          <w:rFonts w:ascii="Times New Roman" w:hAnsi="Times New Roman" w:eastAsia="Times New Roman" w:cs="Times New Roman"/>
          <w:b w:val="0"/>
          <w:color w:val="000000"/>
          <w:sz w:val="24"/>
        </w:rPr>
        <w:t>Ці пояснення не є визнанням позовних вимог, не замінюють заперечень на відповідь позивача від 27.07.2026, текст якої мені не надано, та не містять відмови від зустрічного позову. Фактичні зіставлення нижче стосуються доступних мені додатків до первісного позову.</w:t>
      </w:r>
    </w:p>
    <w:p>
      <w:pPr>
        <w:pStyle w:val="Heading1"/>
        <w:keepNext/>
        <w:keepLines/>
      </w:pPr>
      <w:r>
        <w:rPr>
          <w:rFonts w:ascii="Times New Roman" w:hAnsi="Times New Roman" w:eastAsia="Times New Roman" w:cs="Times New Roman"/>
          <w:b/>
          <w:color w:val="000000"/>
          <w:sz w:val="24"/>
        </w:rPr>
        <w:t>1 Уточнення доводу про прострочені проценти</w:t>
      </w:r>
    </w:p>
    <w:p>
      <w:pPr>
        <w:keepNext w:val="0"/>
        <w:keepLines/>
      </w:pPr>
      <w:r>
        <w:rPr>
          <w:rFonts w:ascii="Times New Roman" w:hAnsi="Times New Roman" w:eastAsia="Times New Roman" w:cs="Times New Roman"/>
          <w:b w:val="0"/>
          <w:color w:val="000000"/>
          <w:sz w:val="24"/>
        </w:rPr>
        <w:t>У відзиві суму 46 927,25 грн було охарактеризовано як проценти, нараховані за подвійною ставкою. Після зіставлення наданих позивачем розрахунку та виписки уточнюю: саме найменування «прострочені проценти» та наявність у таблиці колонки ставки 81,6% не доводять фактичного застосування цієї ставки до всієї зазначеної суми. Категоричне твердження про нарахування всіх 46 927,25 грн за подвійною ставкою не підтримую.</w:t>
      </w:r>
    </w:p>
    <w:p>
      <w:pPr>
        <w:keepNext w:val="0"/>
        <w:keepLines/>
      </w:pPr>
      <w:r>
        <w:rPr>
          <w:rFonts w:ascii="Times New Roman" w:hAnsi="Times New Roman" w:eastAsia="Times New Roman" w:cs="Times New Roman"/>
          <w:b w:val="0"/>
          <w:color w:val="000000"/>
          <w:sz w:val="24"/>
        </w:rPr>
        <w:t>Наприклад, за травень 2026 року базова перевірка 131 434,82 × 40,8% × 31 / 365 дає 4 554,49 грн, тоді як у розрахунку банку зазначено 4 554,54 грн. Перенесення до прострочених процентів 01.06.2026 становить 4 407,52 грн, що дорівнює квітневому нарахуванню. Ці зіставлення наведено в додатку 1. Вони не є повним альтернативним розрахунком боргу.</w:t>
      </w:r>
    </w:p>
    <w:p>
      <w:pPr>
        <w:keepNext w:val="0"/>
        <w:keepLines/>
      </w:pPr>
      <w:r>
        <w:rPr>
          <w:rFonts w:ascii="Times New Roman" w:hAnsi="Times New Roman" w:eastAsia="Times New Roman" w:cs="Times New Roman"/>
          <w:b w:val="0"/>
          <w:color w:val="000000"/>
          <w:sz w:val="24"/>
        </w:rPr>
        <w:t>Водночас підтримую заперечення щодо належного погодження ставки, правових підстав та періоду її застосування, структури і розміру заявленої заборгованості. Пункт 6 розділу IV Закону України «Про споживче кредитування» прошу застосовувати до платежів, які підпадають під його зміст; не стверджую, що він автоматично припиняє обов’язок сплачувати звичайні договірні проценти.</w:t>
      </w:r>
    </w:p>
    <w:p>
      <w:pPr>
        <w:pStyle w:val="Heading1"/>
        <w:keepNext/>
        <w:keepLines/>
      </w:pPr>
      <w:r>
        <w:rPr>
          <w:rFonts w:ascii="Times New Roman" w:hAnsi="Times New Roman" w:eastAsia="Times New Roman" w:cs="Times New Roman"/>
          <w:b/>
          <w:color w:val="000000"/>
          <w:sz w:val="24"/>
        </w:rPr>
        <w:t>2 Погодження умов та значення паспорта споживчого кредиту</w:t>
      </w:r>
    </w:p>
    <w:p>
      <w:pPr>
        <w:keepNext w:val="0"/>
        <w:keepLines/>
      </w:pPr>
      <w:r>
        <w:rPr>
          <w:rFonts w:ascii="Times New Roman" w:hAnsi="Times New Roman" w:eastAsia="Times New Roman" w:cs="Times New Roman"/>
          <w:b w:val="0"/>
          <w:color w:val="000000"/>
          <w:sz w:val="24"/>
        </w:rPr>
        <w:t>У первісному позові банк посилається на постанову Верховного Суду від 02.12.2020 у справі № 284/157/20. Прошу врахувати подальший висновок Верховного Суду у складі Об’єднаної палати Касаційного цивільного суду від 23.05.2022 у справі № 393/126/20: паспорт споживчого кредиту підтверджує виконання переддоговірного інформаційного обов’язку, а його підписання саме по собі не означає укладення кредитного договору та фіксації договірної волі. У цій постанові здійснено відступ від відповідного висновку у справі № 284/157/20.</w:t>
      </w:r>
    </w:p>
    <w:p>
      <w:pPr>
        <w:keepNext w:val="0"/>
        <w:keepLines/>
      </w:pPr>
      <w:r>
        <w:rPr>
          <w:rFonts w:ascii="Times New Roman" w:hAnsi="Times New Roman" w:eastAsia="Times New Roman" w:cs="Times New Roman"/>
          <w:b w:val="0"/>
          <w:color w:val="000000"/>
          <w:sz w:val="24"/>
        </w:rPr>
        <w:t>Тому прошу оцінити, який саме документ або електронна дія підтверджує погодження конкретного кредитного продукту, ставки, тарифів і порядку нарахувань. Паспорт на сторінках 17–18 додатків містить три продукти зі ставками 46,8%, 44,4% і 40,8%. Сам по собі цей перелік не пояснює вибір продукту та послідовне застосування банком різних ставок.</w:t>
      </w:r>
    </w:p>
    <w:p>
      <w:pPr>
        <w:keepNext w:val="0"/>
        <w:keepLines/>
      </w:pPr>
      <w:r>
        <w:rPr>
          <w:rFonts w:ascii="Times New Roman" w:hAnsi="Times New Roman" w:eastAsia="Times New Roman" w:cs="Times New Roman"/>
          <w:b w:val="0"/>
          <w:color w:val="000000"/>
          <w:sz w:val="24"/>
        </w:rPr>
        <w:t>Не стверджую, що електронний підпис одноразовим ідентифікатором є недопустимим через відсутність КЕП. Питання полягає у зв’язку відповідного електронного підпису з конкретним змістом документа та умовами, на які банк посилається у цьому спорі. Прошу дослідити належні докази такого зв’язку.</w:t>
      </w:r>
    </w:p>
    <w:p>
      <w:pPr>
        <w:keepNext w:val="0"/>
        <w:keepLines/>
      </w:pPr>
      <w:r>
        <w:rPr>
          <w:rFonts w:ascii="Times New Roman" w:hAnsi="Times New Roman" w:eastAsia="Times New Roman" w:cs="Times New Roman"/>
          <w:b w:val="0"/>
          <w:color w:val="000000"/>
          <w:sz w:val="24"/>
        </w:rPr>
        <w:t>Відсутність погодженої договірної ставки не дає підстав механічно прийняти будь-який інший розрахунок без правового обґрунтування. Питання наслідків установлених судом обставин прошу вирішувати на підставі застосовних норм права та доведених операцій.</w:t>
      </w:r>
    </w:p>
    <w:p>
      <w:pPr>
        <w:pStyle w:val="Heading1"/>
        <w:keepNext/>
        <w:keepLines/>
      </w:pPr>
      <w:r>
        <w:rPr>
          <w:rFonts w:ascii="Times New Roman" w:hAnsi="Times New Roman" w:eastAsia="Times New Roman" w:cs="Times New Roman"/>
          <w:b/>
          <w:color w:val="000000"/>
          <w:sz w:val="24"/>
        </w:rPr>
        <w:t>3 Зв’язок анкети з договором від 18 листопада 2020 року</w:t>
      </w:r>
    </w:p>
    <w:p>
      <w:pPr>
        <w:keepNext w:val="0"/>
        <w:keepLines/>
      </w:pPr>
      <w:r>
        <w:rPr>
          <w:rFonts w:ascii="Times New Roman" w:hAnsi="Times New Roman" w:eastAsia="Times New Roman" w:cs="Times New Roman"/>
          <w:b w:val="0"/>
          <w:color w:val="000000"/>
          <w:sz w:val="24"/>
        </w:rPr>
        <w:t>На сторінці 15 додатків до позову міститься копія підписаної анкети-заяви. Дата на наявному зображенні читається як «21.12.17», тоді як позивач обґрунтовує вимоги договором від 18.11.2020. Прошу перевірити дату за оригіналом або якісною копією та встановити, яким чином ця анкета пов’язана із заявленим договором, рахунком та конкретною редакцією його умов. Про підроблення документа не заявляю.</w:t>
      </w:r>
    </w:p>
    <w:p>
      <w:pPr>
        <w:pStyle w:val="Heading1"/>
        <w:keepNext/>
        <w:keepLines/>
      </w:pPr>
      <w:r>
        <w:rPr>
          <w:rFonts w:ascii="Times New Roman" w:hAnsi="Times New Roman" w:eastAsia="Times New Roman" w:cs="Times New Roman"/>
          <w:b/>
          <w:color w:val="000000"/>
          <w:sz w:val="24"/>
        </w:rPr>
        <w:t>4 Настання строку повернення всієї заявленої суми</w:t>
      </w:r>
    </w:p>
    <w:p>
      <w:pPr>
        <w:keepNext w:val="0"/>
        <w:keepLines/>
      </w:pPr>
      <w:r>
        <w:rPr>
          <w:rFonts w:ascii="Times New Roman" w:hAnsi="Times New Roman" w:eastAsia="Times New Roman" w:cs="Times New Roman"/>
          <w:b w:val="0"/>
          <w:color w:val="000000"/>
          <w:sz w:val="24"/>
        </w:rPr>
        <w:t>У довідці та кінцевих рядках розрахунку позивач виділяє 116 019,82 грн поточного тіла і 15 415,00 грн простроченого тіла. Водночас просить стягнути обидві складові. За документами самого позивача строк кредитування становить 240 місяців; у первісному позові, сторінка 9 PDF, зазначено, що письмові вимоги не направлялися.</w:t>
      </w:r>
    </w:p>
    <w:p>
      <w:pPr>
        <w:keepNext w:val="0"/>
        <w:keepLines/>
      </w:pPr>
      <w:r>
        <w:rPr>
          <w:rFonts w:ascii="Times New Roman" w:hAnsi="Times New Roman" w:eastAsia="Times New Roman" w:cs="Times New Roman"/>
          <w:b w:val="0"/>
          <w:color w:val="000000"/>
          <w:sz w:val="24"/>
        </w:rPr>
        <w:t>Прошу встановити підставу і дату настання обов’язку повернути весь залишок. У разі дострокового стягнення за споживчим кредитом підлягає перевірці дотримання частини четвертої статті 16 Закону України «Про споживче кредитування». Значення належного повідомлення для такого стягнення відображено, зокрема, у постанові Верховного Суду від 22.10.2025 у справі № 766/2926/23. Відмінності виду кредиту та умов договорів мають оцінюватися з урахуванням обставин цієї справи.</w:t>
      </w:r>
    </w:p>
    <w:p>
      <w:pPr>
        <w:keepNext w:val="0"/>
        <w:keepLines/>
      </w:pPr>
      <w:r>
        <w:rPr>
          <w:rFonts w:ascii="Times New Roman" w:hAnsi="Times New Roman" w:eastAsia="Times New Roman" w:cs="Times New Roman"/>
          <w:b w:val="0"/>
          <w:color w:val="000000"/>
          <w:sz w:val="24"/>
        </w:rPr>
        <w:t>Якщо позивач посилається на пункт 2.1.1.12.2 Умов щодо 91-го дня прострочення, прошу встановити погодження цього пункту, дату настання передбачених ним обставин та їхні наслідки для строку повернення і подальшого нарахування процентів. Якщо позивач вважає кредит таким, що наданий на вимогу або зі строком погашення до трьох місяців, прошу перевірити відповідні умови і застосовність винятків статті 3 зазначеного Закону. Наявність картки сама по собі не визначає ці обставини.</w:t>
      </w:r>
    </w:p>
    <w:p>
      <w:pPr>
        <w:keepNext w:val="0"/>
        <w:keepLines/>
      </w:pPr>
      <w:r>
        <w:rPr>
          <w:rFonts w:ascii="Times New Roman" w:hAnsi="Times New Roman" w:eastAsia="Times New Roman" w:cs="Times New Roman"/>
          <w:b w:val="0"/>
          <w:color w:val="000000"/>
          <w:sz w:val="24"/>
        </w:rPr>
        <w:t>Посилання на 240 місяців та інші положення документів банку наведені як перевірка його власного обґрунтування, а не як безумовне визнання погодженими всіх цих положень. Не стверджую, що поточне тіло автоматично підлягає списанню; прошу розмежувати зобов’язання, строк виконання яких настав, і вимогу про повернення решти кредиту.</w:t>
      </w:r>
    </w:p>
    <w:p>
      <w:pPr>
        <w:pStyle w:val="Heading1"/>
        <w:keepNext/>
        <w:keepLines/>
      </w:pPr>
      <w:r>
        <w:rPr>
          <w:rFonts w:ascii="Times New Roman" w:hAnsi="Times New Roman" w:eastAsia="Times New Roman" w:cs="Times New Roman"/>
          <w:b/>
          <w:color w:val="000000"/>
          <w:sz w:val="24"/>
        </w:rPr>
        <w:t>5 Облік операцій і конкретні питання до розрахунку</w:t>
      </w:r>
    </w:p>
    <w:p>
      <w:pPr>
        <w:keepNext w:val="0"/>
        <w:keepLines/>
      </w:pPr>
      <w:r>
        <w:rPr>
          <w:rFonts w:ascii="Times New Roman" w:hAnsi="Times New Roman" w:eastAsia="Times New Roman" w:cs="Times New Roman"/>
          <w:b w:val="0"/>
          <w:color w:val="000000"/>
          <w:sz w:val="24"/>
        </w:rPr>
        <w:t>У виписці сума зарахувань становить 285 260,92 грн, а в колонці погашень розрахунку — 284 549,15 грн. Різниця 711,77 грн не є доведеним повторним стягненням: прошу пояснити облік повернень та інших зарахувань і їхній вплив на залишок. Аналогічно різниця 805 грн між сумами процентів у двох документах потребує зіставлення з операцією 01.03.2021, а не автоматичного вирахування.</w:t>
      </w:r>
    </w:p>
    <w:p>
      <w:pPr>
        <w:keepNext w:val="0"/>
        <w:keepLines/>
      </w:pPr>
      <w:r>
        <w:rPr>
          <w:rFonts w:ascii="Times New Roman" w:hAnsi="Times New Roman" w:eastAsia="Times New Roman" w:cs="Times New Roman"/>
          <w:b w:val="0"/>
          <w:color w:val="000000"/>
          <w:sz w:val="24"/>
        </w:rPr>
        <w:t>За першою операцією виписки списано 16 386 грн, а залишок після неї — мінус 16 427,12 грн. Прошу пояснити вхідне сальдо мінус 41,12 грн. Сума комісій за випискою — 7 170,44 грн; для оцінки її правомірності необхідно встановити погоджені підстави відповідних категорій, у тому числі платежів за окремими договорами розстрочки.</w:t>
      </w:r>
    </w:p>
    <w:p>
      <w:pPr>
        <w:keepNext w:val="0"/>
        <w:keepLines/>
      </w:pPr>
      <w:r>
        <w:rPr>
          <w:rFonts w:ascii="Times New Roman" w:hAnsi="Times New Roman" w:eastAsia="Times New Roman" w:cs="Times New Roman"/>
          <w:b w:val="0"/>
          <w:color w:val="000000"/>
          <w:sz w:val="24"/>
        </w:rPr>
        <w:t>Наявність виписки та її арифметична послідовність не заперечуються як властивості наданого документа. Це не означає визнання правомірності кожної операції, усіх умов договору або кінцевого розміру позову. Зменшення ставки з 44,4% до 40,8% саме по собі також не доводить незаконності всіх процентів.</w:t>
      </w:r>
    </w:p>
    <w:p>
      <w:pPr>
        <w:keepNext w:val="0"/>
        <w:keepLines/>
      </w:pPr>
      <w:r>
        <w:rPr>
          <w:rFonts w:ascii="Times New Roman" w:hAnsi="Times New Roman" w:eastAsia="Times New Roman" w:cs="Times New Roman"/>
          <w:b w:val="0"/>
          <w:color w:val="000000"/>
          <w:sz w:val="24"/>
        </w:rPr>
        <w:t>За статтями 12, 81 і 89 ЦПК України підстави та розмір заявлених вимог оцінюються за належними доказами в їх сукупності. Прошу дати оцінку наведеним конкретним питанням, а не вважати суму доведеною лише через наявність підсумкової таблиці.</w:t>
      </w:r>
    </w:p>
    <w:p>
      <w:pPr>
        <w:keepNext/>
        <w:keepLines/>
        <w:jc w:val="center"/>
      </w:pPr>
      <w:r>
        <w:rPr>
          <w:rFonts w:ascii="Times New Roman" w:hAnsi="Times New Roman" w:eastAsia="Times New Roman" w:cs="Times New Roman"/>
          <w:b/>
          <w:color w:val="000000"/>
          <w:sz w:val="24"/>
        </w:rPr>
        <w:t>ПРОШУ СУД</w:t>
      </w:r>
    </w:p>
    <w:p>
      <w:pPr>
        <w:keepNext w:val="0"/>
        <w:keepLines/>
        <w:ind w:left="340" w:hanging="340"/>
      </w:pPr>
      <w:r>
        <w:rPr>
          <w:rFonts w:ascii="Times New Roman" w:hAnsi="Times New Roman" w:eastAsia="Times New Roman" w:cs="Times New Roman"/>
          <w:b w:val="0"/>
          <w:color w:val="000000"/>
          <w:sz w:val="24"/>
        </w:rPr>
        <w:t>1. Дозволити подання та долучити ці додаткові пояснення і додаток 1; врахувати наведене уточнення фактичного доводу щодо 46 927,25 грн.</w:t>
      </w:r>
    </w:p>
    <w:p>
      <w:pPr>
        <w:keepNext w:val="0"/>
        <w:keepLines/>
        <w:ind w:left="340" w:hanging="340"/>
      </w:pPr>
      <w:r>
        <w:rPr>
          <w:rFonts w:ascii="Times New Roman" w:hAnsi="Times New Roman" w:eastAsia="Times New Roman" w:cs="Times New Roman"/>
          <w:b w:val="0"/>
          <w:color w:val="000000"/>
          <w:sz w:val="24"/>
        </w:rPr>
        <w:t>2. Дослідити докази погодження конкретних умов, зв’язку анкети з договором 18.11.2020, настання строку повернення всієї суми та формування залишку; вирішити заявлені клопотання щодо відповідних доказів.</w:t>
      </w:r>
    </w:p>
    <w:p>
      <w:pPr>
        <w:keepNext w:val="0"/>
        <w:keepLines/>
        <w:ind w:left="340" w:hanging="340"/>
      </w:pPr>
      <w:r>
        <w:rPr>
          <w:rFonts w:ascii="Times New Roman" w:hAnsi="Times New Roman" w:eastAsia="Times New Roman" w:cs="Times New Roman"/>
          <w:b w:val="0"/>
          <w:color w:val="000000"/>
          <w:sz w:val="24"/>
        </w:rPr>
        <w:t>3. Відмовити у задоволенні позову; якщо суд визнає частину вимог обґрунтованою, вирішити спір лише в межах доведених підстав, розміру та строку виконання відповідних зобов’язань.</w:t>
      </w:r>
    </w:p>
    <w:p>
      <w:pPr>
        <w:keepNext w:val="0"/>
        <w:keepLines/>
        <w:ind w:left="340" w:hanging="340"/>
      </w:pPr>
      <w:r>
        <w:rPr>
          <w:rFonts w:ascii="Times New Roman" w:hAnsi="Times New Roman" w:eastAsia="Times New Roman" w:cs="Times New Roman"/>
          <w:b w:val="0"/>
          <w:color w:val="000000"/>
          <w:sz w:val="24"/>
        </w:rPr>
        <w:t>4. Забезпечити можливість ознайомитися з відповіддю позивача від 27.07.2026 та подати заперечення після її отримання.</w:t>
      </w:r>
    </w:p>
    <w:p>
      <w:pPr>
        <w:keepNext w:val="0"/>
        <w:keepLines/>
      </w:pPr>
      <w:r>
        <w:rPr>
          <w:rFonts w:ascii="Times New Roman" w:hAnsi="Times New Roman" w:eastAsia="Times New Roman" w:cs="Times New Roman"/>
          <w:b w:val="0"/>
          <w:color w:val="000000"/>
          <w:sz w:val="24"/>
        </w:rPr>
        <w:t>Додаток 1: Таблиця контрольних зіставлень за документами позивача (файл 05_Контрольні_зіставлення). Джерельні документи подано самим позивачем у матеріалах первісного позову.</w:t>
      </w:r>
    </w:p>
    <w:p>
      <w:pPr>
        <w:keepNext/>
        <w:keepLines/>
      </w:pPr>
      <w:r>
        <w:rPr>
          <w:rFonts w:ascii="Times New Roman" w:hAnsi="Times New Roman" w:eastAsia="Times New Roman" w:cs="Times New Roman"/>
          <w:b w:val="0"/>
          <w:color w:val="000000"/>
          <w:sz w:val="24"/>
        </w:rPr>
        <w:t>01 жовтня 2026 року</w:t>
      </w:r>
    </w:p>
    <w:p>
      <w:pPr>
        <w:keepNext w:val="0"/>
        <w:keepLines/>
      </w:pPr>
      <w:r>
        <w:rPr>
          <w:rFonts w:ascii="Times New Roman" w:hAnsi="Times New Roman" w:eastAsia="Times New Roman" w:cs="Times New Roman"/>
          <w:b w:val="0"/>
          <w:color w:val="000000"/>
          <w:sz w:val="24"/>
        </w:rPr>
        <w:t>Подольський Андрій Юрійович                         __________________</w:t>
      </w:r>
    </w:p>
    <w:sectPr w:rsidR="00FC693F" w:rsidRPr="0006063C" w:rsidSect="00034616">
      <w:footerReference w:type="default" r:id="rId9"/>
      <w:pgSz w:w="11906" w:h="16838"/>
      <w:pgMar w:top="1020" w:right="1020" w:bottom="1020" w:left="136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cs="Times New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imes New Roman" w:hAnsi="Times New Roman" w:eastAsia="Times New Roman" w:cs="Times New Roman"/>
      <w:b/>
      <w:i w:val="0"/>
      <w:color w:val="000000"/>
      <w:kern w:val="28"/>
      <w:sz w:val="2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imes New Roman" w:hAnsi="Times New Roman" w:eastAsia="Times New Roman" w:cs="Times New Roman"/>
      <w:b w:val="0"/>
      <w:i w:val="0"/>
      <w:iCs/>
      <w:color w:val="000000"/>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color w:val="000000"/>
    </w:rPr>
  </w:style>
  <w:style w:type="character" w:styleId="IntenseReference">
    <w:name w:val="Intense Reference"/>
    <w:basedOn w:val="DefaultParagraphFont"/>
    <w:uiPriority w:val="32"/>
    <w:qFormat/>
    <w:rsid w:val="00FC693F"/>
    <w:rPr>
      <w:rFonts w:ascii="Times New Roman" w:hAnsi="Times New Roman" w:eastAsia="Times New Roman" w:cs="Times New Roman"/>
      <w:b/>
      <w:bCs/>
      <w:color w:val="000000"/>
    </w:rPr>
  </w:style>
  <w:style w:type="character" w:styleId="BookTitle">
    <w:name w:val="Book Title"/>
    <w:basedOn w:val="DefaultParagraphFont"/>
    <w:uiPriority w:val="33"/>
    <w:qFormat/>
    <w:rsid w:val="00FC693F"/>
    <w:rPr>
      <w:rFonts w:ascii="Times New Roman" w:hAnsi="Times New Roman" w:eastAsia="Times New Roman" w:cs="Times New Roman"/>
      <w:b/>
      <w:bCs/>
      <w:color w:val="000000"/>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ПИСЬМОВІ ПОЯСНЕННЯ щодо уточнення заперечень проти позову та оцінки наданих позивачем доказів</dc:title>
  <dc:subject/>
  <dc:creator>Подольський Андрій Юрійович</dc:creator>
  <cp:keywords/>
  <dc:description/>
  <cp:lastModifiedBy/>
  <cp:revision>1</cp:revision>
  <dcterms:created xsi:type="dcterms:W3CDTF">2013-12-23T23:15:00Z</dcterms:created>
  <dcterms:modified xsi:type="dcterms:W3CDTF">2013-12-23T23:15:00Z</dcterms:modified>
  <cp:category/>
</cp:coreProperties>
</file>