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0" w:line="240" w:lineRule="auto"/>
        <w:ind w:left="3969"/>
      </w:pPr>
      <w:r>
        <w:rPr>
          <w:rFonts w:ascii="Times New Roman" w:hAnsi="Times New Roman" w:eastAsia="Times New Roman" w:cs="Times New Roman"/>
          <w:b/>
          <w:color w:val="000000"/>
          <w:sz w:val="22"/>
        </w:rPr>
        <w:t>До Вінницького міського суду Вінницької області</w:t>
      </w:r>
    </w:p>
    <w:p>
      <w:pPr>
        <w:keepNext/>
        <w:keepLines/>
        <w:spacing w:after="0" w:line="240" w:lineRule="auto"/>
        <w:ind w:left="3969"/>
      </w:pPr>
      <w:r>
        <w:rPr>
          <w:rFonts w:ascii="Times New Roman" w:hAnsi="Times New Roman" w:eastAsia="Times New Roman" w:cs="Times New Roman"/>
          <w:b w:val="0"/>
          <w:color w:val="000000"/>
          <w:sz w:val="22"/>
        </w:rPr>
        <w:t>21050, м. Вінниця, вул. Грушевського, 17</w:t>
      </w:r>
    </w:p>
    <w:p>
      <w:pPr>
        <w:keepNext/>
        <w:keepLines/>
        <w:spacing w:after="0" w:line="240" w:lineRule="auto"/>
        <w:ind w:left="3969"/>
      </w:pPr>
      <w:r>
        <w:rPr>
          <w:rFonts w:ascii="Times New Roman" w:hAnsi="Times New Roman" w:eastAsia="Times New Roman" w:cs="Times New Roman"/>
          <w:b/>
          <w:color w:val="000000"/>
          <w:sz w:val="22"/>
        </w:rPr>
        <w:t>Справа № 127/20805/26</w:t>
      </w:r>
    </w:p>
    <w:p>
      <w:pPr>
        <w:keepNext/>
        <w:keepLines/>
        <w:spacing w:after="0" w:line="240" w:lineRule="auto"/>
        <w:ind w:left="3969"/>
      </w:pPr>
      <w:r>
        <w:rPr>
          <w:rFonts w:ascii="Times New Roman" w:hAnsi="Times New Roman" w:eastAsia="Times New Roman" w:cs="Times New Roman"/>
          <w:b w:val="0"/>
          <w:color w:val="000000"/>
          <w:sz w:val="22"/>
        </w:rPr>
        <w:t>Провадження № 2/127/5742/26</w:t>
      </w:r>
    </w:p>
    <w:p>
      <w:pPr>
        <w:keepNext/>
        <w:keepLines/>
        <w:spacing w:after="0" w:line="240" w:lineRule="auto"/>
        <w:ind w:left="3969"/>
      </w:pPr>
      <w:r>
        <w:rPr>
          <w:rFonts w:ascii="Times New Roman" w:hAnsi="Times New Roman" w:eastAsia="Times New Roman" w:cs="Times New Roman"/>
          <w:b w:val="0"/>
          <w:color w:val="000000"/>
          <w:sz w:val="22"/>
        </w:rPr>
        <w:t>Суддя Бессараб Н. М.</w:t>
      </w:r>
    </w:p>
    <w:p>
      <w:pPr>
        <w:keepNext/>
        <w:keepLines/>
        <w:spacing w:after="0" w:line="240" w:lineRule="auto"/>
        <w:ind w:left="3969"/>
      </w:pPr>
      <w:r>
        <w:rPr>
          <w:rFonts w:ascii="Times New Roman" w:hAnsi="Times New Roman" w:eastAsia="Times New Roman" w:cs="Times New Roman"/>
          <w:b w:val="0"/>
          <w:color w:val="000000"/>
          <w:sz w:val="22"/>
        </w:rPr>
      </w:r>
    </w:p>
    <w:p>
      <w:pPr>
        <w:keepNext/>
        <w:keepLines/>
        <w:spacing w:after="0" w:line="240" w:lineRule="auto"/>
        <w:ind w:left="3969"/>
      </w:pPr>
      <w:r>
        <w:rPr>
          <w:rFonts w:ascii="Times New Roman" w:hAnsi="Times New Roman" w:eastAsia="Times New Roman" w:cs="Times New Roman"/>
          <w:b/>
          <w:color w:val="000000"/>
          <w:sz w:val="22"/>
        </w:rPr>
        <w:t>Позивач за зустрічним позовом</w:t>
      </w:r>
    </w:p>
    <w:p>
      <w:pPr>
        <w:keepNext/>
        <w:keepLines/>
        <w:spacing w:after="0" w:line="240" w:lineRule="auto"/>
        <w:ind w:left="3969"/>
      </w:pPr>
      <w:r>
        <w:rPr>
          <w:rFonts w:ascii="Times New Roman" w:hAnsi="Times New Roman" w:eastAsia="Times New Roman" w:cs="Times New Roman"/>
          <w:b/>
          <w:color w:val="000000"/>
          <w:sz w:val="22"/>
        </w:rPr>
        <w:t>Подольський Андрій Юрійович</w:t>
      </w:r>
    </w:p>
    <w:p>
      <w:pPr>
        <w:keepNext/>
        <w:keepLines/>
        <w:spacing w:after="0" w:line="240" w:lineRule="auto"/>
        <w:ind w:left="3969"/>
      </w:pPr>
      <w:r>
        <w:rPr>
          <w:rFonts w:ascii="Times New Roman" w:hAnsi="Times New Roman" w:eastAsia="Times New Roman" w:cs="Times New Roman"/>
          <w:b w:val="0"/>
          <w:color w:val="000000"/>
          <w:sz w:val="22"/>
        </w:rPr>
        <w:t>РНОКПП 3138306873</w:t>
      </w:r>
    </w:p>
    <w:p>
      <w:pPr>
        <w:keepNext/>
        <w:keepLines/>
        <w:spacing w:after="0" w:line="240" w:lineRule="auto"/>
        <w:ind w:left="3969"/>
      </w:pPr>
      <w:r>
        <w:rPr>
          <w:rFonts w:ascii="Times New Roman" w:hAnsi="Times New Roman" w:eastAsia="Times New Roman" w:cs="Times New Roman"/>
          <w:b w:val="0"/>
          <w:color w:val="000000"/>
          <w:sz w:val="22"/>
        </w:rPr>
        <w:t>Адреса реєстрації: 21022, м. Вінниця,</w:t>
      </w:r>
    </w:p>
    <w:p>
      <w:pPr>
        <w:keepNext/>
        <w:keepLines/>
        <w:spacing w:after="0" w:line="240" w:lineRule="auto"/>
        <w:ind w:left="3969"/>
      </w:pPr>
      <w:r>
        <w:rPr>
          <w:rFonts w:ascii="Times New Roman" w:hAnsi="Times New Roman" w:eastAsia="Times New Roman" w:cs="Times New Roman"/>
          <w:b w:val="0"/>
          <w:color w:val="000000"/>
          <w:sz w:val="22"/>
        </w:rPr>
        <w:t>вул. Тарногородського, буд. 48А, кв. 90</w:t>
      </w:r>
    </w:p>
    <w:p>
      <w:pPr>
        <w:keepNext/>
        <w:keepLines/>
        <w:spacing w:after="0" w:line="240" w:lineRule="auto"/>
        <w:ind w:left="3969"/>
      </w:pPr>
      <w:r>
        <w:rPr>
          <w:rFonts w:ascii="Times New Roman" w:hAnsi="Times New Roman" w:eastAsia="Times New Roman" w:cs="Times New Roman"/>
          <w:b w:val="0"/>
          <w:color w:val="000000"/>
          <w:sz w:val="22"/>
        </w:rPr>
        <w:t>Електронний кабінет ЄСІТС зареєстровано</w:t>
      </w:r>
    </w:p>
    <w:p>
      <w:pPr>
        <w:keepNext/>
        <w:keepLines/>
        <w:spacing w:after="0" w:line="240" w:lineRule="auto"/>
        <w:ind w:left="3969"/>
      </w:pPr>
      <w:r>
        <w:rPr>
          <w:rFonts w:ascii="Times New Roman" w:hAnsi="Times New Roman" w:eastAsia="Times New Roman" w:cs="Times New Roman"/>
          <w:b w:val="0"/>
          <w:color w:val="000000"/>
          <w:sz w:val="22"/>
        </w:rPr>
        <w:t>andrii.podolskyi@gmail.com; +380930808888</w:t>
      </w:r>
    </w:p>
    <w:p>
      <w:pPr>
        <w:keepNext/>
        <w:keepLines/>
        <w:spacing w:after="0" w:line="240" w:lineRule="auto"/>
        <w:ind w:left="3969"/>
      </w:pPr>
      <w:r>
        <w:rPr>
          <w:rFonts w:ascii="Times New Roman" w:hAnsi="Times New Roman" w:eastAsia="Times New Roman" w:cs="Times New Roman"/>
          <w:b w:val="0"/>
          <w:color w:val="000000"/>
          <w:sz w:val="22"/>
        </w:rPr>
      </w:r>
    </w:p>
    <w:p>
      <w:pPr>
        <w:keepNext/>
        <w:keepLines/>
        <w:spacing w:after="0" w:line="240" w:lineRule="auto"/>
        <w:ind w:left="3969"/>
      </w:pPr>
      <w:r>
        <w:rPr>
          <w:rFonts w:ascii="Times New Roman" w:hAnsi="Times New Roman" w:eastAsia="Times New Roman" w:cs="Times New Roman"/>
          <w:b/>
          <w:color w:val="000000"/>
          <w:sz w:val="22"/>
        </w:rPr>
        <w:t>Інша сторона: АТ «АКЦЕНТ-БАНК»</w:t>
      </w:r>
    </w:p>
    <w:p>
      <w:pPr>
        <w:keepNext/>
        <w:keepLines/>
        <w:spacing w:after="0" w:line="240" w:lineRule="auto"/>
        <w:ind w:left="3969"/>
      </w:pPr>
      <w:r>
        <w:rPr>
          <w:rFonts w:ascii="Times New Roman" w:hAnsi="Times New Roman" w:eastAsia="Times New Roman" w:cs="Times New Roman"/>
          <w:b w:val="0"/>
          <w:color w:val="000000"/>
          <w:sz w:val="22"/>
        </w:rPr>
        <w:t>ЄДРПОУ 14360080</w:t>
      </w:r>
    </w:p>
    <w:p>
      <w:pPr>
        <w:keepNext/>
        <w:keepLines/>
        <w:spacing w:after="0" w:line="240" w:lineRule="auto"/>
        <w:ind w:left="3969"/>
      </w:pPr>
      <w:r>
        <w:rPr>
          <w:rFonts w:ascii="Times New Roman" w:hAnsi="Times New Roman" w:eastAsia="Times New Roman" w:cs="Times New Roman"/>
          <w:b w:val="0"/>
          <w:color w:val="000000"/>
          <w:sz w:val="22"/>
        </w:rPr>
        <w:t>49074, м. Дніпро, вул. Батумська, 11</w:t>
      </w:r>
    </w:p>
    <w:p>
      <w:pPr>
        <w:keepNext/>
        <w:keepLines/>
        <w:spacing w:after="0" w:line="240" w:lineRule="auto"/>
        <w:ind w:left="3969"/>
      </w:pPr>
      <w:r>
        <w:rPr>
          <w:rFonts w:ascii="Times New Roman" w:hAnsi="Times New Roman" w:eastAsia="Times New Roman" w:cs="Times New Roman"/>
          <w:b w:val="0"/>
          <w:color w:val="000000"/>
          <w:sz w:val="22"/>
        </w:rPr>
        <w:t>Електронний кабінет ЄСІТС зареєстровано</w:t>
      </w:r>
    </w:p>
    <w:p>
      <w:pPr>
        <w:pStyle w:val="Title"/>
        <w:keepNext/>
        <w:keepLines/>
        <w:jc w:val="center"/>
      </w:pPr>
      <w:r>
        <w:rPr>
          <w:rFonts w:ascii="Times New Roman" w:hAnsi="Times New Roman" w:eastAsia="Times New Roman" w:cs="Times New Roman"/>
          <w:b/>
          <w:color w:val="000000"/>
          <w:sz w:val="24"/>
        </w:rPr>
        <w:t>ПИСЬМОВІ ПОЯСНЕННЯ</w:t>
      </w:r>
    </w:p>
    <w:p>
      <w:pPr>
        <w:pStyle w:val="Subtitle"/>
        <w:keepNext/>
        <w:keepLines/>
        <w:jc w:val="center"/>
      </w:pPr>
      <w:r>
        <w:rPr>
          <w:rFonts w:ascii="Times New Roman" w:hAnsi="Times New Roman" w:eastAsia="Times New Roman" w:cs="Times New Roman"/>
          <w:b w:val="0"/>
          <w:color w:val="000000"/>
          <w:sz w:val="24"/>
        </w:rPr>
        <w:t>щодо ідентифікації спірної умови та розрахунку вимоги за зустрічною позовною заявою</w:t>
      </w:r>
    </w:p>
    <w:p>
      <w:pPr>
        <w:keepNext w:val="0"/>
        <w:keepLines/>
      </w:pPr>
      <w:r>
        <w:rPr>
          <w:rFonts w:ascii="Times New Roman" w:hAnsi="Times New Roman" w:eastAsia="Times New Roman" w:cs="Times New Roman"/>
          <w:b w:val="0"/>
          <w:color w:val="000000"/>
          <w:sz w:val="24"/>
        </w:rPr>
        <w:t>Ці пояснення стосуються зустрічної позовної заяви від 09.07.2026 у справі № 127/20805/26. Прошу дозволити їх подання та долучити для правильного розуміння посилання на оспорювану умову і розрахунку вже заявленої майнової вимоги. Нових позовних вимог не заявляю, розмір вимоги 7 170,44 грн не збільшую, від зустрічного позову не відмовляюся.</w:t>
      </w:r>
    </w:p>
    <w:p>
      <w:pPr>
        <w:pStyle w:val="Heading1"/>
        <w:keepNext/>
        <w:keepLines/>
      </w:pPr>
      <w:r>
        <w:rPr>
          <w:rFonts w:ascii="Times New Roman" w:hAnsi="Times New Roman" w:eastAsia="Times New Roman" w:cs="Times New Roman"/>
          <w:b/>
          <w:color w:val="000000"/>
          <w:sz w:val="24"/>
        </w:rPr>
        <w:t>1 Ідентифікація умови про підвищену ставку</w:t>
      </w:r>
    </w:p>
    <w:p>
      <w:pPr>
        <w:keepNext w:val="0"/>
        <w:keepLines/>
      </w:pPr>
      <w:r>
        <w:rPr>
          <w:rFonts w:ascii="Times New Roman" w:hAnsi="Times New Roman" w:eastAsia="Times New Roman" w:cs="Times New Roman"/>
          <w:b w:val="0"/>
          <w:color w:val="000000"/>
          <w:sz w:val="24"/>
        </w:rPr>
        <w:t>У тексті зустрічної заяви посилання на «пп. 617–620 Умов та Правил» слід читати як посилання на положення про подвійну ставку, зміст якого в заяві описаний словами. У наданому позивачем Витягу це пункт 2.1.1.12.2.1, розміщений на сторінках 70–71 PDF додатків до первісного позову. Прошу врахувати правильну договірну нумерацію при ідентифікації того самого оспорюваного положення.</w:t>
      </w:r>
    </w:p>
    <w:p>
      <w:pPr>
        <w:keepNext w:val="0"/>
        <w:keepLines/>
      </w:pPr>
      <w:r>
        <w:rPr>
          <w:rFonts w:ascii="Times New Roman" w:hAnsi="Times New Roman" w:eastAsia="Times New Roman" w:cs="Times New Roman"/>
          <w:b w:val="0"/>
          <w:color w:val="000000"/>
          <w:sz w:val="24"/>
        </w:rPr>
        <w:t>Також уточнюю: саме зазначення 46 927,25 грн у колонці прострочених процентів не доводить застосування до цієї суми подвійної ставки. Вимога щодо умови не означає вимоги автоматично списати всю цю суму як санкцію. Питання включення умови до договору, наявності порушеного права або інтересу та належності способу його захисту прошу оцінити за сукупністю доказів. Підписання паспорта саме по собі не підміняє договору; відповідний висновок викладений ОП КЦС ВС 23.05.2022 у справі № 393/126/20.</w:t>
      </w:r>
    </w:p>
    <w:p>
      <w:pPr>
        <w:keepNext w:val="0"/>
        <w:keepLines/>
      </w:pPr>
      <w:r>
        <w:rPr>
          <w:rFonts w:ascii="Times New Roman" w:hAnsi="Times New Roman" w:eastAsia="Times New Roman" w:cs="Times New Roman"/>
          <w:b w:val="0"/>
          <w:color w:val="000000"/>
          <w:sz w:val="24"/>
        </w:rPr>
        <w:t>Якщо суд встановить, що банк довів включення спірної умови до договору, прошу оцінити її відповідність пункту 6 розділу IV Закону України «Про споживче кредитування» та іншим нормам, на які посилається зустрічна заява. Про визнання самого інформаційного паспорта окремим недійсним правочином цими поясненнями не заявляю.</w:t>
      </w:r>
    </w:p>
    <w:p>
      <w:pPr>
        <w:pStyle w:val="Heading1"/>
        <w:keepNext/>
        <w:keepLines/>
      </w:pPr>
      <w:r>
        <w:rPr>
          <w:rFonts w:ascii="Times New Roman" w:hAnsi="Times New Roman" w:eastAsia="Times New Roman" w:cs="Times New Roman"/>
          <w:b/>
          <w:color w:val="000000"/>
          <w:sz w:val="24"/>
        </w:rPr>
        <w:t>2 Деталізація суми комісій</w:t>
      </w:r>
    </w:p>
    <w:p>
      <w:pPr>
        <w:keepNext w:val="0"/>
        <w:keepLines/>
      </w:pPr>
      <w:r>
        <w:rPr>
          <w:rFonts w:ascii="Times New Roman" w:hAnsi="Times New Roman" w:eastAsia="Times New Roman" w:cs="Times New Roman"/>
          <w:b w:val="0"/>
          <w:color w:val="000000"/>
          <w:sz w:val="24"/>
        </w:rPr>
        <w:t>За колонкою «Сума комісій (UAH)» виписки, доданої банком до первісного позову, встановлено 96 операцій із ненульовою комісією, загальна сума 7 170,44 грн. Із них 46 записів із зазначенням «Розстрочка» містять 3 582,94 грн комісій; інші 50 записів — 3 587,50 грн. Поопераційну деталізацію наведено в додатку 1.</w:t>
      </w:r>
    </w:p>
    <w:p>
      <w:pPr>
        <w:keepNext w:val="0"/>
        <w:keepLines/>
      </w:pPr>
      <w:r>
        <w:rPr>
          <w:rFonts w:ascii="Times New Roman" w:hAnsi="Times New Roman" w:eastAsia="Times New Roman" w:cs="Times New Roman"/>
          <w:b w:val="0"/>
          <w:color w:val="000000"/>
          <w:sz w:val="24"/>
        </w:rPr>
        <w:t>Сума комісій не ототожнюється із загальними сумами списань за договорами розстрочки. Для оцінки заявленої вимоги прошу дослідити договірну підставу, погоджений тариф і характер послуги за відповідними операціями, у тому числі за окремими договорами розстрочки, зазначеними у виписці.</w:t>
      </w:r>
    </w:p>
    <w:p>
      <w:pPr>
        <w:keepNext w:val="0"/>
        <w:keepLines/>
      </w:pPr>
      <w:r>
        <w:rPr>
          <w:rFonts w:ascii="Times New Roman" w:hAnsi="Times New Roman" w:eastAsia="Times New Roman" w:cs="Times New Roman"/>
          <w:b w:val="0"/>
          <w:color w:val="000000"/>
          <w:sz w:val="24"/>
        </w:rPr>
        <w:t>Саме слово «комісія» не є достатньою підставою для висновку про незаконність платежу. Мої заперечення стосуються доведеності погодження конкретних умов та правової підстави утримання заявлених сум. Прошу окремо встановити, які суми сплачені, які відображені у залишку заборгованості і яким є належний спосіб усунення встановленого порушення; одні й ті самі суми не мають повертатися і повторно вираховуватися двічі.</w:t>
      </w:r>
    </w:p>
    <w:p>
      <w:pPr>
        <w:pStyle w:val="Heading1"/>
        <w:keepNext/>
        <w:keepLines/>
      </w:pPr>
      <w:r>
        <w:rPr>
          <w:rFonts w:ascii="Times New Roman" w:hAnsi="Times New Roman" w:eastAsia="Times New Roman" w:cs="Times New Roman"/>
          <w:b/>
          <w:color w:val="000000"/>
          <w:sz w:val="24"/>
        </w:rPr>
        <w:t>3 Судовий збір</w:t>
      </w:r>
    </w:p>
    <w:p>
      <w:pPr>
        <w:keepNext w:val="0"/>
        <w:keepLines/>
      </w:pPr>
      <w:r>
        <w:rPr>
          <w:rFonts w:ascii="Times New Roman" w:hAnsi="Times New Roman" w:eastAsia="Times New Roman" w:cs="Times New Roman"/>
          <w:b w:val="0"/>
          <w:color w:val="000000"/>
          <w:sz w:val="24"/>
        </w:rPr>
        <w:t>Зустрічні вимоги заявлені на захист прав споживача фінансових послуг. Підтримую клопотання про застосування частини третьої статті 22 Закону України «Про захист прав споживачів». Як правову опору прошу врахувати постанову Великої Палати Верховного Суду від 21.03.2018 у справі № 761/24881/16-ц. Прошу вирішити питання пільги щодо змісту саме зустрічних вимог, а не виходячи лише зі статусу відповідача за первісним позовом.</w:t>
      </w:r>
    </w:p>
    <w:p>
      <w:pPr>
        <w:keepNext/>
        <w:keepLines/>
        <w:jc w:val="center"/>
      </w:pPr>
      <w:r>
        <w:rPr>
          <w:rFonts w:ascii="Times New Roman" w:hAnsi="Times New Roman" w:eastAsia="Times New Roman" w:cs="Times New Roman"/>
          <w:b/>
          <w:color w:val="000000"/>
          <w:sz w:val="24"/>
        </w:rPr>
        <w:t>ПРОШУ СУД</w:t>
      </w:r>
    </w:p>
    <w:p>
      <w:pPr>
        <w:keepNext w:val="0"/>
        <w:keepLines/>
        <w:ind w:left="340" w:hanging="340"/>
      </w:pPr>
      <w:r>
        <w:rPr>
          <w:rFonts w:ascii="Times New Roman" w:hAnsi="Times New Roman" w:eastAsia="Times New Roman" w:cs="Times New Roman"/>
          <w:b w:val="0"/>
          <w:color w:val="000000"/>
          <w:sz w:val="24"/>
        </w:rPr>
        <w:t>1. Дозволити подання та долучити ці пояснення і поопераційну деталізацію комісій.</w:t>
      </w:r>
    </w:p>
    <w:p>
      <w:pPr>
        <w:keepNext w:val="0"/>
        <w:keepLines/>
        <w:ind w:left="340" w:hanging="340"/>
      </w:pPr>
      <w:r>
        <w:rPr>
          <w:rFonts w:ascii="Times New Roman" w:hAnsi="Times New Roman" w:eastAsia="Times New Roman" w:cs="Times New Roman"/>
          <w:b w:val="0"/>
          <w:color w:val="000000"/>
          <w:sz w:val="24"/>
        </w:rPr>
        <w:t>2. При ідентифікації положення про подвійну ставку врахувати посилання на пункт 2.1.1.12.2.1 Витягу замість помилкового цифрового позначення «617–620».</w:t>
      </w:r>
    </w:p>
    <w:p>
      <w:pPr>
        <w:keepNext w:val="0"/>
        <w:keepLines/>
        <w:ind w:left="340" w:hanging="340"/>
      </w:pPr>
      <w:r>
        <w:rPr>
          <w:rFonts w:ascii="Times New Roman" w:hAnsi="Times New Roman" w:eastAsia="Times New Roman" w:cs="Times New Roman"/>
          <w:b w:val="0"/>
          <w:color w:val="000000"/>
          <w:sz w:val="24"/>
        </w:rPr>
        <w:t>3. Дослідити підстави спірних комісій і розрахунок уже заявленої майнової вимоги; вирішити питання звільнення від судового збору за наведеним правовим обґрунтуванням.</w:t>
      </w:r>
    </w:p>
    <w:p>
      <w:pPr>
        <w:keepNext w:val="0"/>
        <w:keepLines/>
      </w:pPr>
      <w:r>
        <w:rPr>
          <w:rFonts w:ascii="Times New Roman" w:hAnsi="Times New Roman" w:eastAsia="Times New Roman" w:cs="Times New Roman"/>
          <w:b w:val="0"/>
          <w:color w:val="000000"/>
          <w:sz w:val="24"/>
        </w:rPr>
        <w:t>Додаток 1: Поопераційна деталізація комісій за випискою позивача (файл 06_Деталізація_комісій). Це пояснення до вже заявлених вимог, а не нова зустрічна позовна заява.</w:t>
      </w:r>
    </w:p>
    <w:p>
      <w:pPr>
        <w:keepNext/>
        <w:keepLines/>
      </w:pPr>
      <w:r>
        <w:rPr>
          <w:rFonts w:ascii="Times New Roman" w:hAnsi="Times New Roman" w:eastAsia="Times New Roman" w:cs="Times New Roman"/>
          <w:b w:val="0"/>
          <w:color w:val="000000"/>
          <w:sz w:val="24"/>
        </w:rPr>
        <w:t>01 жовтня 2026 року</w:t>
      </w:r>
    </w:p>
    <w:p>
      <w:pPr>
        <w:keepNext w:val="0"/>
        <w:keepLines/>
      </w:pPr>
      <w:r>
        <w:rPr>
          <w:rFonts w:ascii="Times New Roman" w:hAnsi="Times New Roman" w:eastAsia="Times New Roman" w:cs="Times New Roman"/>
          <w:b w:val="0"/>
          <w:color w:val="000000"/>
          <w:sz w:val="24"/>
        </w:rPr>
        <w:t>Подольський Андрій Юрійович                         __________________</w:t>
      </w:r>
    </w:p>
    <w:sectPr w:rsidR="00FC693F" w:rsidRPr="0006063C" w:rsidSect="00034616">
      <w:footerReference w:type="default" r:id="rId9"/>
      <w:pgSz w:w="11906" w:h="16838"/>
      <w:pgMar w:top="1020" w:right="1020" w:bottom="1020" w:left="136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imes New Roman" w:hAnsi="Times New Roman" w:eastAsia="Times New Roman" w:cs="Times New Roman"/>
      <w:b/>
      <w:i w:val="0"/>
      <w:color w:val="000000"/>
      <w:kern w:val="28"/>
      <w:sz w:val="2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imes New Roman" w:hAnsi="Times New Roman" w:eastAsia="Times New Roman" w:cs="Times New Roman"/>
      <w:b w:val="0"/>
      <w:i w:val="0"/>
      <w:iCs/>
      <w:color w:val="000000"/>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color w:val="000000"/>
    </w:rPr>
  </w:style>
  <w:style w:type="character" w:styleId="IntenseReference">
    <w:name w:val="Intense Reference"/>
    <w:basedOn w:val="DefaultParagraphFont"/>
    <w:uiPriority w:val="32"/>
    <w:qFormat/>
    <w:rsid w:val="00FC693F"/>
    <w:rPr>
      <w:rFonts w:ascii="Times New Roman" w:hAnsi="Times New Roman" w:eastAsia="Times New Roman" w:cs="Times New Roman"/>
      <w:b/>
      <w:bCs/>
      <w:color w:val="000000"/>
    </w:rPr>
  </w:style>
  <w:style w:type="character" w:styleId="BookTitle">
    <w:name w:val="Book Title"/>
    <w:basedOn w:val="DefaultParagraphFont"/>
    <w:uiPriority w:val="33"/>
    <w:qFormat/>
    <w:rsid w:val="00FC693F"/>
    <w:rPr>
      <w:rFonts w:ascii="Times New Roman" w:hAnsi="Times New Roman" w:eastAsia="Times New Roman" w:cs="Times New Roman"/>
      <w:b/>
      <w:bCs/>
      <w:color w:val="000000"/>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ПИСЬМОВІ ПОЯСНЕННЯ щодо ідентифікації спірної умови та розрахунку вимоги за зустрічною позовною заявою</dc:title>
  <dc:subject/>
  <dc:creator>Подольський Андрій Юрійович</dc:creator>
  <cp:keywords/>
  <dc:description/>
  <cp:lastModifiedBy/>
  <cp:revision>1</cp:revision>
  <dcterms:created xsi:type="dcterms:W3CDTF">2013-12-23T23:15:00Z</dcterms:created>
  <dcterms:modified xsi:type="dcterms:W3CDTF">2013-12-23T23:15:00Z</dcterms:modified>
  <cp:category/>
</cp:coreProperties>
</file>