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276"/>
        <w:jc w:val="both"/>
      </w:pPr>
      <w:r>
        <w:t xml:space="preserve">Ухвалою Вінницького міського суду Вінницької області від 25.06.2026 відкрито провадження у справі № 127/20805/26 за правилами спрощеного позовного провадження з викликом сторін; судове засідання призначено на 29.07.2026 о 10.00. У межах наданого судом 15-денного строку подаю цей відзив.</w:t>
      </w:r>
    </w:p>
    <w:p>
      <w:pPr>
        <w:spacing w:after="140" w:line="276"/>
        <w:jc w:val="both"/>
      </w:pPr>
      <w:r>
        <w:t xml:space="preserve">Акціонерне товариство «АКЦЕНТ-БАНК» звернулося до суду з позовом про стягнення з мене, Подольського А. Ю., заборгованості за договором б/н від 18.11.2020 (№ SAMABWFC10073509345) у розмірі 184 532,63 грн, з яких: 131 434,82 грн — заборгованість за кредитом (тіло); 53 097,81 грн — заборгованість за процентами; пеня — 0,00 грн; штраф — 0,00 грн.</w:t>
      </w:r>
    </w:p>
    <w:p>
      <w:pPr>
        <w:spacing w:after="140" w:line="276"/>
        <w:jc w:val="both"/>
      </w:pPr>
      <w:r>
        <w:t xml:space="preserve">Проти задоволення позову в заявленому розмірі заперечую та не визнаю позов у частині нарахованих процентів і необґрунтованих складових заборгованості. Прошу суд врахувати таке.</w:t>
      </w:r>
    </w:p>
    <w:p>
      <w:pPr>
        <w:spacing w:after="80" w:before="160"/>
      </w:pPr>
      <w:r>
        <w:rPr>
          <w:b/>
          <w:bCs/>
        </w:rPr>
        <w:t xml:space="preserve">I. Щодо недоведеності узгодження істотних умов кредитування</w:t>
      </w:r>
    </w:p>
    <w:p>
      <w:pPr>
        <w:spacing w:after="140" w:line="276"/>
        <w:jc w:val="both"/>
      </w:pPr>
      <w:r>
        <w:t xml:space="preserve">1. Позивач обґрунтовує вимоги Анкетою-заявою про приєднання до Умов та Правил надання банківських послуг і Витягом з Умов та Правил, розміщених на сайті банку. Згідно з правовим висновком Великої Палати Верховного Суду у постанові від 03.07.2019 у справі № 342/180/17 (провадження № 14-131цс19), Умови та Правила та Тарифи, що не підписані позичальником, не є складовою частиною договору за відсутності доказів ознайомлення та згоди позичальника саме з цими умовами. Тому нарахування процентів, комісій та інших платежів понад фактично узгоджені умови є недоведеним.</w:t>
      </w:r>
    </w:p>
    <w:p>
      <w:pPr>
        <w:spacing w:after="140" w:line="276"/>
        <w:jc w:val="both"/>
      </w:pPr>
      <w:r>
        <w:t xml:space="preserve">2. Обов'язок довести розмір і підстави боргу, а також узгодження ставки, права на її зміну та відповідальності за прострочення, покладається на позивача (ст. 12, 81 ЦПК України). Односторонній розрахунок банку без первинних доказів не є достатнім доказом розміру боргу.</w:t>
      </w:r>
    </w:p>
    <w:p>
      <w:pPr>
        <w:spacing w:after="80" w:before="160"/>
      </w:pPr>
      <w:r>
        <w:rPr>
          <w:b/>
          <w:bCs/>
        </w:rPr>
        <w:t xml:space="preserve">II. Щодо нарахованих процентів (подвійна ставка)</w:t>
      </w:r>
    </w:p>
    <w:p>
      <w:pPr>
        <w:spacing w:after="140" w:line="276"/>
        <w:jc w:val="both"/>
      </w:pPr>
      <w:r>
        <w:t xml:space="preserve">3. Значна частина процентів (близько 46 927,25 грн) — це прострочені відсотки за подвійною процентною ставкою (81,6% замість базових 40,8% річних). Подвоєння ставки за прострочення за правовою природою є не платою за кредит, а заходом відповідальності (прихованою неустойкою).</w:t>
      </w:r>
    </w:p>
    <w:p>
      <w:pPr>
        <w:spacing w:after="140" w:line="276"/>
        <w:jc w:val="both"/>
      </w:pPr>
      <w:r>
        <w:t xml:space="preserve">4. Застосування такого механізму до споживача суперечить засадам справедливості; умова про односторонню зміну (подвоєння) ставки є несправедливою в розумінні ст. 18 Закону України «Про захист прав споживачів». Прошу критично оцінити і виключити нараховані за подвійною ставкою проценти.</w:t>
      </w:r>
    </w:p>
    <w:p>
      <w:pPr>
        <w:spacing w:after="140" w:line="276"/>
        <w:jc w:val="both"/>
      </w:pPr>
      <w:r>
        <w:t xml:space="preserve">5. Відповідно до сталої практики Верховного Суду нарахування процентів за договірною ставкою обмежене строком кредитування; наслідки прострочення врегульовані ст. 625 ЦК України і не можуть підмінятися нарахуванням процентів за підвищеною ставкою.</w:t>
      </w:r>
    </w:p>
    <w:p>
      <w:pPr>
        <w:spacing w:after="80" w:before="160"/>
      </w:pPr>
      <w:r>
        <w:rPr>
          <w:b/>
          <w:bCs/>
        </w:rPr>
        <w:t xml:space="preserve">III. Щодо розміру тіла кредиту</w:t>
      </w:r>
    </w:p>
    <w:p>
      <w:pPr>
        <w:spacing w:after="140" w:line="276"/>
        <w:jc w:val="both"/>
      </w:pPr>
      <w:r>
        <w:t xml:space="preserve">6. Позивач визначає тіло кредиту 131 434,82 грн, тоді як первісний кредитний ліміт був значно меншим. Заперечую проти стягнення в частині, в якій тіло могло бути сформоване за рахунок капіталізації раніше нарахованих процентів і комісій. Прошу зобов'язати позивача довести структуру формування тіла кредиту та відсутність капіталізації процентів.</w:t>
      </w:r>
    </w:p>
    <w:p>
      <w:pPr>
        <w:spacing w:after="80" w:before="160"/>
      </w:pPr>
      <w:r>
        <w:rPr>
          <w:b/>
          <w:bCs/>
        </w:rPr>
        <w:t xml:space="preserve">IV. Клопотання</w:t>
      </w:r>
    </w:p>
    <w:p>
      <w:pPr>
        <w:spacing w:after="140" w:line="276"/>
        <w:jc w:val="both"/>
      </w:pPr>
      <w:r>
        <w:t xml:space="preserve">7. З огляду на характер спору (споживчий кредит) і потребу дослідження доказів прошу розглянути питання про розгляд справи за правилами загального позовного провадження (ст. 277 ЦПК України).</w:t>
      </w:r>
    </w:p>
    <w:p>
      <w:pPr>
        <w:spacing w:after="140" w:line="276"/>
        <w:jc w:val="both"/>
      </w:pPr>
      <w:r>
        <w:t xml:space="preserve">8. На підставі ст. 84 ЦПК України прошу витребувати у позивача оригінали або належно засвідчені копії: підписаної Анкети-заяви про приєднання; Паспорта споживчого кредиту з доказами підписання відповідачем (у т. ч. коректність ОТП-підпису); Умов та Правил і Тарифів у редакції станом на 18.11.2020; повної банківської виписки по рахунку за весь період; детального розрахунку з розшифруванням складових (окремо базові проценти, окремо за подвійною ставкою).</w:t>
      </w:r>
    </w:p>
    <w:p>
      <w:pPr>
        <w:spacing w:after="140" w:line="276"/>
        <w:jc w:val="both"/>
      </w:pPr>
      <w:r>
        <w:t xml:space="preserve">9. Заявляю про намір брати участь у судових засіданнях у режимі відеоконференції поза межами приміщення суду. Відповідну заяву подано окремо 02.07.2026 (ст. 212 ЦПК України).</w:t>
      </w:r>
    </w:p>
    <w:p>
      <w:pPr>
        <w:spacing w:after="80" w:before="160"/>
      </w:pPr>
      <w:r>
        <w:rPr>
          <w:b/>
          <w:bCs/>
        </w:rPr>
        <w:t xml:space="preserve">V. Прохальна частина</w:t>
      </w:r>
    </w:p>
    <w:p>
      <w:pPr>
        <w:spacing w:after="140" w:line="276"/>
        <w:jc w:val="both"/>
      </w:pPr>
      <w:r>
        <w:t xml:space="preserve">Керуючись ст. 12, 13, 81, 84, 178, 212, 277 ЦПК України, ст. 525, 526, 625, 1054 ЦК України, Законами України «Про захист прав споживачів» та «Про споживче кредитування», прошу:</w:t>
      </w:r>
    </w:p>
    <w:p>
      <w:pPr>
        <w:spacing w:after="140" w:line="276"/>
        <w:jc w:val="both"/>
      </w:pPr>
      <w:r>
        <w:t xml:space="preserve">1. Відмовити АТ «АКЦЕНТ-БАНК» у задоволенні позову; у разі обґрунтованості частини вимог — задовольнити позов лише в межах доведеного розміру, виключивши нараховані за подвійною ставкою проценти та інші недоведені складові.</w:t>
      </w:r>
    </w:p>
    <w:p>
      <w:pPr>
        <w:spacing w:after="140" w:line="276"/>
        <w:jc w:val="both"/>
      </w:pPr>
      <w:r>
        <w:t xml:space="preserve">2. Розглядати справу за правилами загального позовного провадження.</w:t>
      </w:r>
    </w:p>
    <w:p>
      <w:pPr>
        <w:spacing w:after="140" w:line="276"/>
        <w:jc w:val="both"/>
      </w:pPr>
      <w:r>
        <w:t xml:space="preserve">3. Витребувати у позивача докази, зазначені в п. 8 цього відзиву.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2026-07-02T19:51:33.168Z</dcterms:created>
  <dcterms:modified xsi:type="dcterms:W3CDTF">2026-07-02T19:51:33.170Z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