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31978">
      <w:pPr>
        <w:spacing w:before="480" w:after="480" w:line="288" w:lineRule="auto"/>
        <w:ind w:left="0"/>
        <w:rPr>
          <w:rFonts w:hint="default" w:eastAsia="等线"/>
          <w:lang w:val="en-US" w:eastAsia="zh-CN"/>
        </w:rPr>
      </w:pPr>
      <w:r>
        <w:rPr>
          <w:rFonts w:ascii="Arial" w:hAnsi="Arial" w:eastAsia="等线" w:cs="Arial"/>
          <w:b/>
          <w:sz w:val="52"/>
        </w:rPr>
        <w:t>钟毅伟的</w:t>
      </w:r>
      <w:r>
        <w:rPr>
          <w:rFonts w:hint="eastAsia" w:ascii="Arial" w:hAnsi="Arial" w:eastAsia="等线" w:cs="Arial"/>
          <w:b/>
          <w:sz w:val="52"/>
          <w:lang w:val="en-US" w:eastAsia="zh-CN"/>
        </w:rPr>
        <w:t>第一次月报</w:t>
      </w:r>
    </w:p>
    <w:p w14:paraId="73B149CE">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442AE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ECF4EA0">
            <w:pPr>
              <w:spacing w:before="120" w:after="120" w:line="288" w:lineRule="auto"/>
              <w:ind w:left="0"/>
              <w:jc w:val="left"/>
            </w:pPr>
            <w:r>
              <w:rPr>
                <w:rFonts w:ascii="Arial" w:hAnsi="Arial" w:eastAsia="等线" w:cs="Arial"/>
                <w:b/>
                <w:color w:val="646A73"/>
                <w:sz w:val="22"/>
              </w:rPr>
              <w:t>部门：硬件组</w:t>
            </w:r>
          </w:p>
          <w:p w14:paraId="6DB99C2A">
            <w:pPr>
              <w:spacing w:before="120" w:after="120" w:line="288" w:lineRule="auto"/>
              <w:ind w:left="0"/>
              <w:jc w:val="left"/>
            </w:pPr>
            <w:r>
              <w:rPr>
                <w:rFonts w:ascii="Arial" w:hAnsi="Arial" w:eastAsia="等线" w:cs="Arial"/>
                <w:b/>
                <w:color w:val="646A73"/>
                <w:sz w:val="22"/>
              </w:rPr>
              <w:t>汇报人：钟毅伟</w:t>
            </w:r>
          </w:p>
          <w:p w14:paraId="5D9FB6A3">
            <w:pPr>
              <w:spacing w:before="120" w:after="120" w:line="288" w:lineRule="auto"/>
              <w:ind w:left="0"/>
              <w:jc w:val="left"/>
            </w:pPr>
            <w:r>
              <w:rPr>
                <w:rFonts w:ascii="Arial" w:hAnsi="Arial" w:eastAsia="等线" w:cs="Arial"/>
                <w:b/>
                <w:color w:val="646A73"/>
                <w:sz w:val="22"/>
              </w:rPr>
              <w:t>时间</w:t>
            </w:r>
            <w:r>
              <w:rPr>
                <w:rFonts w:ascii="Arial" w:hAnsi="Arial" w:eastAsia="等线" w:cs="Arial"/>
                <w:color w:val="646A73"/>
                <w:sz w:val="22"/>
              </w:rPr>
              <w:t>：</w:t>
            </w:r>
            <w:r>
              <w:rPr>
                <w:rFonts w:hint="eastAsia" w:ascii="Arial" w:hAnsi="Arial" w:eastAsia="等线" w:cs="Arial"/>
                <w:color w:val="646A73"/>
                <w:sz w:val="22"/>
                <w:lang w:val="en-US" w:eastAsia="zh-CN"/>
              </w:rPr>
              <w:t>11-</w:t>
            </w:r>
            <w:r>
              <w:rPr>
                <w:rFonts w:ascii="Arial" w:hAnsi="Arial" w:eastAsia="等线" w:cs="Arial"/>
                <w:color w:val="646A73"/>
                <w:sz w:val="22"/>
              </w:rPr>
              <w:t>12月份</w:t>
            </w:r>
          </w:p>
        </w:tc>
      </w:tr>
    </w:tbl>
    <w:p w14:paraId="2005BB97">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概要：这一段初入战队的时间里，通过Buck电源板、文创等小任务的完成基本熟悉战队日常工作和流程，对于硬件相关PCB绘制的基本注意事项也更加得心应手。通过参加全员大会和硬件组内部讨论决定好了分工就开始了比赛相关工作的筹备，负责与张逸飞组长一起开启对机器狗超级电容模块的探索。难度跨越稍大，需要将任务分成很多个阶段，从整体到具体来对于超级电容的落地逐步掌握。目前进度较为顺利，基本雏形已现，在一月初可打第一版来试验。对于超级电容的调试代码部分，通过遥控器ADC代码的研究已经打下基础，相信有能力完成。对于闭环采样还需进一步学习。</w:t>
      </w:r>
    </w:p>
    <w:p w14:paraId="11B0DEE5">
      <w:pPr>
        <w:spacing w:before="120" w:after="120" w:line="288" w:lineRule="auto"/>
        <w:ind w:left="0"/>
        <w:jc w:val="left"/>
      </w:pPr>
      <w:r>
        <w:rPr>
          <w:rFonts w:ascii="Arial" w:hAnsi="Arial" w:eastAsia="等线" w:cs="Arial"/>
          <w:sz w:val="22"/>
        </w:rPr>
        <w:t>一、电源模块的电路板绘制、焊接与改版</w:t>
      </w:r>
    </w:p>
    <w:p w14:paraId="68E69A0B">
      <w:pPr>
        <w:spacing w:before="120" w:after="120" w:line="288" w:lineRule="auto"/>
        <w:ind w:left="0"/>
        <w:jc w:val="left"/>
      </w:pPr>
      <w:r>
        <w:rPr>
          <w:rFonts w:ascii="Arial" w:hAnsi="Arial" w:eastAsia="等线" w:cs="Arial"/>
          <w:sz w:val="22"/>
        </w:rPr>
        <w:t>2025.11.20</w:t>
      </w:r>
    </w:p>
    <w:p w14:paraId="2230C3E1">
      <w:pPr>
        <w:spacing w:before="120" w:after="120" w:line="288" w:lineRule="auto"/>
        <w:ind w:left="0"/>
        <w:jc w:val="left"/>
      </w:pPr>
      <w:r>
        <w:rPr>
          <w:rFonts w:ascii="Arial" w:hAnsi="Arial" w:eastAsia="等线" w:cs="Arial"/>
          <w:sz w:val="22"/>
        </w:rPr>
        <w:t>用于电控组培训调试机械臂的buck开关电源电路板的设计与焊接。可以实现输入3.3v-35v输出出12v，5v，3.3v，有多种接口满足不同需求，在原有的基础上加上单刀三掷并通过LED来显示选择输出电压。第一版因为铺铜问题导致电压不准确，经过第二版后可直接使用。</w:t>
      </w:r>
    </w:p>
    <w:p w14:paraId="4A68E5EA">
      <w:pPr>
        <w:spacing w:before="120" w:after="120" w:line="288" w:lineRule="auto"/>
        <w:ind w:left="0"/>
        <w:jc w:val="left"/>
      </w:pPr>
      <w:r>
        <w:rPr>
          <w:rFonts w:ascii="Arial" w:hAnsi="Arial" w:eastAsia="等线" w:cs="Arial"/>
          <w:sz w:val="22"/>
        </w:rPr>
        <w:t>二、流水灯文创的制作</w:t>
      </w:r>
    </w:p>
    <w:p w14:paraId="597D1EB6">
      <w:pPr>
        <w:spacing w:before="120" w:after="120" w:line="288" w:lineRule="auto"/>
        <w:ind w:left="0"/>
        <w:jc w:val="left"/>
      </w:pPr>
      <w:r>
        <w:rPr>
          <w:rFonts w:ascii="Arial" w:hAnsi="Arial" w:eastAsia="等线" w:cs="Arial"/>
          <w:sz w:val="22"/>
        </w:rPr>
        <w:t>2025.12.01</w:t>
      </w:r>
    </w:p>
    <w:p w14:paraId="5A84403A">
      <w:pPr>
        <w:spacing w:before="120" w:after="120" w:line="288" w:lineRule="auto"/>
        <w:ind w:left="0"/>
        <w:jc w:val="left"/>
      </w:pPr>
      <w:r>
        <w:rPr>
          <w:rFonts w:ascii="Arial" w:hAnsi="Arial" w:eastAsia="等线" w:cs="Arial"/>
          <w:sz w:val="22"/>
        </w:rPr>
        <w:t>想做一个炫酷一点的战队文创，用于未来的招商活动，可以从上到下一排一排LED轮流点亮，设置电位器可以灵活调整流动速度。</w:t>
      </w:r>
    </w:p>
    <w:p w14:paraId="199E2B58">
      <w:pPr>
        <w:spacing w:before="120" w:after="120" w:line="288" w:lineRule="auto"/>
        <w:ind w:left="0"/>
        <w:jc w:val="left"/>
      </w:pPr>
      <w:r>
        <w:rPr>
          <w:rFonts w:ascii="Arial" w:hAnsi="Arial" w:eastAsia="等线" w:cs="Arial"/>
          <w:sz w:val="22"/>
        </w:rPr>
        <w:t>实物展示：</w:t>
      </w:r>
    </w:p>
    <w:p w14:paraId="3970C69C">
      <w:pPr>
        <w:spacing w:before="120" w:after="120" w:line="288" w:lineRule="auto"/>
        <w:ind w:left="0"/>
        <w:jc w:val="left"/>
      </w:pPr>
      <w:r>
        <w:rPr>
          <w:rFonts w:ascii="Arial" w:hAnsi="Arial" w:eastAsia="等线" w:cs="Arial"/>
          <w:sz w:val="22"/>
        </w:rPr>
        <w:t>下一步改进的方向是讲小的LED换成大的LED灯珠，对于前面未铺铜的区域已经进行过孔改造，更具完整想。初版即完成，仅为了验证方案可行性。后续改造灯珠和修改电路板颜色，可以实现一个比较好的文创效果。</w:t>
      </w:r>
    </w:p>
    <w:p w14:paraId="3A1FEC03">
      <w:pPr>
        <w:spacing w:before="120" w:after="120" w:line="288" w:lineRule="auto"/>
        <w:ind w:left="0"/>
        <w:jc w:val="left"/>
      </w:pPr>
      <w:r>
        <w:rPr>
          <w:rFonts w:ascii="Arial" w:hAnsi="Arial" w:eastAsia="等线" w:cs="Arial"/>
          <w:sz w:val="22"/>
        </w:rPr>
        <w:t>三、遥控器调试</w:t>
      </w:r>
    </w:p>
    <w:p w14:paraId="72DF57F0">
      <w:pPr>
        <w:spacing w:before="120" w:after="120" w:line="288" w:lineRule="auto"/>
        <w:ind w:left="0"/>
        <w:jc w:val="left"/>
      </w:pPr>
      <w:r>
        <w:rPr>
          <w:rFonts w:ascii="Arial" w:hAnsi="Arial" w:eastAsia="等线" w:cs="Arial"/>
          <w:sz w:val="22"/>
        </w:rPr>
        <w:t>2025.12.15</w:t>
      </w:r>
    </w:p>
    <w:p w14:paraId="08372DA1">
      <w:pPr>
        <w:spacing w:before="120" w:after="120" w:line="288" w:lineRule="auto"/>
        <w:ind w:left="0"/>
        <w:jc w:val="left"/>
      </w:pPr>
      <w:r>
        <w:rPr>
          <w:rFonts w:ascii="Arial" w:hAnsi="Arial" w:eastAsia="等线" w:cs="Arial"/>
          <w:sz w:val="22"/>
        </w:rPr>
        <w:t>对于国赛将用到的2.4GH的ZAS01-ML01DP5天线模块做先行性电控调试研究，已实现主板与遥控器通信。可供电控组同学调试遥控器做一定参考。</w:t>
      </w:r>
    </w:p>
    <w:p w14:paraId="60C0B29E">
      <w:pPr>
        <w:spacing w:before="120" w:after="120" w:line="288" w:lineRule="auto"/>
        <w:ind w:left="0"/>
        <w:jc w:val="left"/>
      </w:pPr>
      <w:r>
        <w:rPr>
          <w:rFonts w:ascii="Arial" w:hAnsi="Arial" w:eastAsia="等线" w:cs="Arial"/>
          <w:sz w:val="22"/>
        </w:rPr>
        <w:t>有基于STM32F103C8T6的测试函数，若天线通讯正常：reset或上电后LED会闪烁两下，若天线通讯通讯异常，LED会一直闪烁，说明PCB接线错误或信号传输异常。并有接收发射端通信标志：正常状态遥控器常亮LED，当有信号发出主控LED常亮而遥控器LED熄灭。</w:t>
      </w:r>
    </w:p>
    <w:p w14:paraId="101E8055">
      <w:pPr>
        <w:spacing w:before="120" w:after="120" w:line="288" w:lineRule="auto"/>
        <w:ind w:left="0"/>
        <w:jc w:val="left"/>
      </w:pPr>
      <w:r>
        <w:rPr>
          <w:rFonts w:ascii="Arial" w:hAnsi="Arial" w:eastAsia="等线" w:cs="Arial"/>
          <w:sz w:val="22"/>
        </w:rPr>
        <w:t>通过查阅芯片手册查询到通讯信息储存的寄存器地址和发射接收模式更换的寄存器地址，并编写查询调用寄存器信息的代码函数来实现。</w:t>
      </w:r>
    </w:p>
    <w:p w14:paraId="24EE5458">
      <w:pPr>
        <w:spacing w:before="120" w:after="120" w:line="288" w:lineRule="auto"/>
        <w:ind w:left="0"/>
        <w:jc w:val="left"/>
      </w:pPr>
      <w:r>
        <w:rPr>
          <w:rFonts w:ascii="Arial" w:hAnsi="Arial" w:eastAsia="等线" w:cs="Arial"/>
          <w:sz w:val="22"/>
        </w:rPr>
        <w:t>后续改进方向是添加电平精准识别来实现摇杆与转速的精准控制，并且设置死区防止误触控制。</w:t>
      </w:r>
    </w:p>
    <w:p w14:paraId="1531C24A">
      <w:pPr>
        <w:spacing w:before="120" w:after="120" w:line="288" w:lineRule="auto"/>
        <w:ind w:left="0"/>
        <w:jc w:val="left"/>
      </w:pPr>
      <w:r>
        <w:rPr>
          <w:rFonts w:ascii="Arial" w:hAnsi="Arial" w:eastAsia="等线" w:cs="Arial"/>
          <w:sz w:val="22"/>
        </w:rPr>
        <w:t>四、超级电容先行研究</w:t>
      </w:r>
    </w:p>
    <w:p w14:paraId="5B3FAF76">
      <w:pPr>
        <w:spacing w:before="120" w:after="120" w:line="288" w:lineRule="auto"/>
        <w:ind w:left="0"/>
        <w:jc w:val="left"/>
      </w:pPr>
      <w:r>
        <w:rPr>
          <w:rFonts w:ascii="Arial" w:hAnsi="Arial" w:eastAsia="等线" w:cs="Arial"/>
          <w:sz w:val="22"/>
        </w:rPr>
        <w:t>2025.12.27</w:t>
      </w:r>
    </w:p>
    <w:p w14:paraId="5DF6ACAE">
      <w:pPr>
        <w:spacing w:before="120" w:after="120" w:line="288" w:lineRule="auto"/>
        <w:ind w:left="0"/>
        <w:jc w:val="left"/>
      </w:pPr>
      <w:r>
        <w:rPr>
          <w:rFonts w:ascii="Arial" w:hAnsi="Arial" w:eastAsia="等线" w:cs="Arial"/>
          <w:sz w:val="22"/>
        </w:rPr>
        <w:t>先确认好了超级电容需要的几个模块，把各个模块的原理、作用以及他们之间的关联进行了研究。</w:t>
      </w:r>
    </w:p>
    <w:p w14:paraId="1AA2706B">
      <w:pPr>
        <w:spacing w:before="120" w:after="120" w:line="288" w:lineRule="auto"/>
        <w:ind w:left="0"/>
        <w:jc w:val="center"/>
      </w:pPr>
      <w:r>
        <w:drawing>
          <wp:inline distT="0" distB="0" distL="0" distR="0">
            <wp:extent cx="5257800" cy="3648075"/>
            <wp:effectExtent l="0" t="0" r="635" b="63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6"/>
                    <a:stretch>
                      <a:fillRect/>
                    </a:stretch>
                  </pic:blipFill>
                  <pic:spPr>
                    <a:xfrm>
                      <a:off x="0" y="0"/>
                      <a:ext cx="5257800" cy="3648075"/>
                    </a:xfrm>
                    <a:prstGeom prst="rect">
                      <a:avLst/>
                    </a:prstGeom>
                  </pic:spPr>
                </pic:pic>
              </a:graphicData>
            </a:graphic>
          </wp:inline>
        </w:drawing>
      </w:r>
    </w:p>
    <w:p w14:paraId="55584CD2">
      <w:pPr>
        <w:spacing w:before="120" w:after="120" w:line="288" w:lineRule="auto"/>
        <w:ind w:left="0"/>
        <w:jc w:val="left"/>
        <w:rPr>
          <w:rFonts w:hint="default" w:eastAsia="等线"/>
          <w:lang w:val="en-US" w:eastAsia="zh-CN"/>
        </w:rPr>
      </w:pPr>
      <w:r>
        <w:rPr>
          <w:rFonts w:ascii="Arial" w:hAnsi="Arial" w:eastAsia="等线" w:cs="Arial"/>
          <w:sz w:val="22"/>
        </w:rPr>
        <w:t>看了很多高校战队的超级电容方案，基本弄懂超级电容的大致走向，初定用LT8708ILWE#PBF来实现双向DCDC的控制以及电流电压采集工作，通过硬件的闭环采集来省去代码方面的复杂闭环逻辑，为后续调试超级电路铺平道路。目前LT8708ILWE#PBF的基本框架已见雏形，初定采用STM32F103C8T6来作为超级电容的控制MCU，超级电容功率板采用被动均衡，用</w:t>
      </w:r>
      <w:r>
        <w:fldChar w:fldCharType="begin"/>
      </w:r>
      <w:r>
        <w:instrText xml:space="preserve"> HYPERLINK "https://item.szlcsc.com/37636.html?fromZone=s_s__%2522C36658%2522&amp;spm=sc.gbn.xh1.zy.n&amp;c=&amp;lcsc_vid=Q1kNAVxTQFkMAVBeFlEPUQADEwRcAwEAQgVZBVAAT1kxVlNQQVhdUlJUTlFeVjtW" \h </w:instrText>
      </w:r>
      <w:r>
        <w:fldChar w:fldCharType="separate"/>
      </w:r>
      <w:r>
        <w:rPr>
          <w:rFonts w:ascii="Arial" w:hAnsi="Arial" w:eastAsia="等线" w:cs="Arial"/>
          <w:b/>
          <w:color w:val="3370FF"/>
          <w:sz w:val="22"/>
        </w:rPr>
        <w:t>REF3033AIDBZR</w:t>
      </w:r>
      <w:r>
        <w:rPr>
          <w:rFonts w:ascii="Arial" w:hAnsi="Arial" w:eastAsia="等线" w:cs="Arial"/>
          <w:b/>
          <w:color w:val="3370FF"/>
          <w:sz w:val="22"/>
        </w:rPr>
        <w:fldChar w:fldCharType="end"/>
      </w:r>
      <w:r>
        <w:rPr>
          <w:rFonts w:ascii="Arial" w:hAnsi="Arial" w:eastAsia="等线" w:cs="Arial"/>
          <w:b/>
          <w:color w:val="8F959E"/>
          <w:sz w:val="22"/>
        </w:rPr>
        <w:t>来提供精准的电压基准</w:t>
      </w:r>
      <w:r>
        <w:rPr>
          <w:rFonts w:ascii="Arial" w:hAnsi="Arial" w:eastAsia="等线" w:cs="Arial"/>
          <w:sz w:val="22"/>
        </w:rPr>
        <w:t>。</w:t>
      </w:r>
      <w:r>
        <w:rPr>
          <w:rFonts w:hint="eastAsia" w:ascii="Arial" w:hAnsi="Arial" w:eastAsia="等线" w:cs="Arial"/>
          <w:sz w:val="22"/>
          <w:lang w:val="en-US" w:eastAsia="zh-CN"/>
        </w:rPr>
        <w:t>目前基本雏形为此，预计一月初打样第一版试验效果。</w:t>
      </w:r>
      <w:bookmarkStart w:id="0" w:name="_GoBack"/>
      <w:bookmarkEnd w:id="0"/>
    </w:p>
    <w:p w14:paraId="2FA96D18">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0F87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9DA0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E26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242</Words>
  <Characters>281</Characters>
  <TotalTime>9</TotalTime>
  <ScaleCrop>false</ScaleCrop>
  <LinksUpToDate>false</LinksUpToDate>
  <CharactersWithSpaces>281</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2026-01-05T13:32:00Z</dcterms:created>
  <dc:creator>Apache POI</dc:creator>
  <cp:lastModifiedBy>ZYW</cp:lastModifiedBy>
  <dcterms:modified xsi:type="dcterms:W3CDTF">2026-01-05T13:42:06Z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eyJoZGlkIjoiOGFmMTA4NmE4YzM2NGVjZDM4ZjZkMjZiYzk0OTRkNjIiLCJ1c2VySWQiOiI3MjEyODY5MjAifQ==</vt:lpwstr>
  </property>
  <property fmtid="{D5CDD505-2E9C-101B-9397-08002B2CF9AE}" pid="3" name="KSOProductBuildVer">
    <vt:lpwstr>2052-12.1.0.24034</vt:lpwstr>
  </property>
  <property fmtid="{D5CDD505-2E9C-101B-9397-08002B2CF9AE}" pid="4" name="ICV">
    <vt:lpwstr>1329619E1E1F45338F9DE824BC856E39_13</vt:lpwstr>
  </property>
</Properties>
</file>