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72B2A">
      <w:pPr>
        <w:spacing w:after="0"/>
        <w:jc w:val="center"/>
        <w:outlineLvl w:val="1"/>
        <w:rPr>
          <w:rFonts w:ascii="黑体" w:hAnsi="黑体" w:eastAsia="黑体"/>
          <w:bCs/>
          <w:sz w:val="28"/>
          <w:szCs w:val="28"/>
        </w:rPr>
      </w:pPr>
      <w:r>
        <w:rPr>
          <w:rFonts w:hint="eastAsia" w:ascii="黑体" w:hAnsi="黑体" w:eastAsia="黑体"/>
          <w:bCs/>
          <w:sz w:val="28"/>
          <w:szCs w:val="28"/>
        </w:rPr>
        <w:t>战队学习过程记录簿</w:t>
      </w:r>
    </w:p>
    <w:p w14:paraId="53AF9C02">
      <w:pPr>
        <w:widowControl/>
        <w:shd w:val="clear" w:color="auto" w:fill="FFFFFF"/>
        <w:spacing w:after="0" w:line="240" w:lineRule="auto"/>
        <w:rPr>
          <w:rFonts w:ascii="宋体" w:hAnsi="宋体" w:eastAsia="宋体" w:cs="Segoe UI"/>
          <w:b/>
          <w:bCs/>
          <w:color w:val="0F1115"/>
          <w:kern w:val="0"/>
          <w:sz w:val="28"/>
          <w:szCs w:val="28"/>
        </w:rPr>
      </w:pPr>
      <w:r>
        <w:rPr>
          <w:rFonts w:hint="eastAsia" w:ascii="宋体" w:hAnsi="宋体" w:eastAsia="宋体" w:cs="Segoe UI"/>
          <w:b/>
          <w:color w:val="0F1115"/>
          <w:kern w:val="0"/>
          <w:sz w:val="28"/>
          <w:szCs w:val="28"/>
        </w:rPr>
        <w:t>时间：</w:t>
      </w:r>
      <w:r>
        <w:rPr>
          <w:rFonts w:hint="eastAsia" w:ascii="宋体" w:hAnsi="宋体" w:eastAsia="宋体" w:cs="Segoe UI"/>
          <w:b/>
          <w:color w:val="0F1115"/>
          <w:kern w:val="0"/>
          <w:sz w:val="28"/>
          <w:szCs w:val="28"/>
          <w:lang w:val="en-US" w:eastAsia="zh-CN"/>
        </w:rPr>
        <w:t>2025</w:t>
      </w:r>
      <w:r>
        <w:rPr>
          <w:rFonts w:hint="eastAsia" w:ascii="宋体" w:hAnsi="宋体" w:eastAsia="宋体" w:cs="Segoe UI"/>
          <w:b/>
          <w:color w:val="0F1115"/>
          <w:kern w:val="0"/>
          <w:sz w:val="28"/>
          <w:szCs w:val="28"/>
        </w:rPr>
        <w:t>学年</w:t>
      </w:r>
      <w:r>
        <w:rPr>
          <w:rFonts w:hint="eastAsia" w:ascii="宋体" w:hAnsi="宋体" w:eastAsia="宋体" w:cs="Segoe UI"/>
          <w:b/>
          <w:color w:val="0F1115"/>
          <w:kern w:val="0"/>
          <w:sz w:val="28"/>
          <w:szCs w:val="28"/>
          <w:lang w:val="en-US" w:eastAsia="zh-CN"/>
        </w:rPr>
        <w:t>第一</w:t>
      </w:r>
      <w:r>
        <w:rPr>
          <w:rFonts w:hint="eastAsia" w:ascii="宋体" w:hAnsi="宋体" w:eastAsia="宋体" w:cs="Segoe UI"/>
          <w:b/>
          <w:color w:val="0F1115"/>
          <w:kern w:val="0"/>
          <w:sz w:val="28"/>
          <w:szCs w:val="28"/>
        </w:rPr>
        <w:t>学期，</w:t>
      </w:r>
      <w:r>
        <w:rPr>
          <w:rFonts w:hint="eastAsia" w:ascii="宋体" w:hAnsi="宋体" w:eastAsia="宋体" w:cs="宋体"/>
          <w:b/>
          <w:sz w:val="28"/>
          <w:szCs w:val="28"/>
          <w:u w:val="single"/>
          <w:lang w:val="en-US" w:eastAsia="zh-CN"/>
        </w:rPr>
        <w:t>11</w:t>
      </w:r>
      <w:r>
        <w:rPr>
          <w:rFonts w:hint="eastAsia" w:ascii="宋体" w:hAnsi="宋体" w:eastAsia="宋体" w:cs="宋体"/>
          <w:b/>
          <w:sz w:val="28"/>
          <w:szCs w:val="28"/>
        </w:rPr>
        <w:t>月</w:t>
      </w:r>
      <w:r>
        <w:rPr>
          <w:rFonts w:hint="eastAsia" w:ascii="宋体" w:hAnsi="宋体" w:eastAsia="宋体" w:cs="宋体"/>
          <w:b/>
          <w:sz w:val="28"/>
          <w:szCs w:val="28"/>
          <w:u w:val="single"/>
          <w:lang w:val="en-US" w:eastAsia="zh-CN"/>
        </w:rPr>
        <w:t>1</w:t>
      </w:r>
      <w:r>
        <w:rPr>
          <w:rFonts w:hint="eastAsia" w:ascii="宋体" w:hAnsi="宋体" w:eastAsia="宋体" w:cs="宋体"/>
          <w:b/>
          <w:sz w:val="28"/>
          <w:szCs w:val="28"/>
        </w:rPr>
        <w:t>日至</w:t>
      </w:r>
      <w:r>
        <w:rPr>
          <w:rFonts w:hint="eastAsia" w:ascii="宋体" w:hAnsi="宋体" w:eastAsia="宋体" w:cs="宋体"/>
          <w:b/>
          <w:sz w:val="28"/>
          <w:szCs w:val="28"/>
          <w:u w:val="single"/>
          <w:lang w:val="en-US" w:eastAsia="zh-CN"/>
        </w:rPr>
        <w:t>12</w:t>
      </w:r>
      <w:r>
        <w:rPr>
          <w:rFonts w:hint="eastAsia" w:ascii="宋体" w:hAnsi="宋体" w:eastAsia="宋体" w:cs="宋体"/>
          <w:b/>
          <w:sz w:val="28"/>
          <w:szCs w:val="28"/>
        </w:rPr>
        <w:t>月</w:t>
      </w:r>
      <w:r>
        <w:rPr>
          <w:rFonts w:hint="eastAsia" w:ascii="宋体" w:hAnsi="宋体" w:eastAsia="宋体" w:cs="宋体"/>
          <w:b/>
          <w:sz w:val="28"/>
          <w:szCs w:val="28"/>
          <w:u w:val="single"/>
          <w:lang w:val="en-US" w:eastAsia="zh-CN"/>
        </w:rPr>
        <w:t>30</w:t>
      </w:r>
      <w:r>
        <w:rPr>
          <w:rFonts w:hint="eastAsia" w:ascii="宋体" w:hAnsi="宋体" w:eastAsia="宋体" w:cs="宋体"/>
          <w:b/>
          <w:sz w:val="28"/>
          <w:szCs w:val="28"/>
        </w:rPr>
        <w:t>日</w:t>
      </w:r>
    </w:p>
    <w:p w14:paraId="1300E9F2">
      <w:pPr>
        <w:widowControl/>
        <w:shd w:val="clear" w:color="auto" w:fill="FFFFFF"/>
        <w:spacing w:after="0" w:line="240" w:lineRule="auto"/>
        <w:rPr>
          <w:rFonts w:ascii="Segoe UI" w:hAnsi="Segoe UI" w:eastAsia="宋体" w:cs="Segoe UI"/>
          <w:color w:val="0F1115"/>
          <w:kern w:val="0"/>
          <w:sz w:val="28"/>
          <w:szCs w:val="28"/>
        </w:rPr>
      </w:pPr>
      <w:r>
        <w:rPr>
          <w:rFonts w:ascii="Segoe UI" w:hAnsi="Segoe UI" w:eastAsia="宋体" w:cs="Segoe UI"/>
          <w:b/>
          <w:bCs/>
          <w:color w:val="0F1115"/>
          <w:kern w:val="0"/>
          <w:sz w:val="28"/>
          <w:szCs w:val="28"/>
        </w:rPr>
        <w:t>学生姓名：</w:t>
      </w:r>
      <w:r>
        <w:rPr>
          <w:rFonts w:hint="eastAsia" w:ascii="Segoe UI" w:hAnsi="Segoe UI" w:eastAsia="宋体" w:cs="Segoe UI"/>
          <w:b/>
          <w:bCs/>
          <w:color w:val="0F1115"/>
          <w:kern w:val="0"/>
          <w:sz w:val="28"/>
          <w:szCs w:val="28"/>
          <w:u w:val="single"/>
          <w:lang w:val="en-US" w:eastAsia="zh-CN"/>
        </w:rPr>
        <w:t>钟毅伟</w:t>
      </w:r>
      <w:r>
        <w:rPr>
          <w:rFonts w:ascii="Segoe UI" w:hAnsi="Segoe UI" w:eastAsia="宋体" w:cs="Segoe UI"/>
          <w:color w:val="0F1115"/>
          <w:kern w:val="0"/>
          <w:sz w:val="28"/>
          <w:szCs w:val="28"/>
        </w:rPr>
        <w:t> </w:t>
      </w:r>
      <w:r>
        <w:rPr>
          <w:rFonts w:ascii="Segoe UI" w:hAnsi="Segoe UI" w:eastAsia="宋体" w:cs="Segoe UI"/>
          <w:b/>
          <w:bCs/>
          <w:color w:val="0F1115"/>
          <w:kern w:val="0"/>
          <w:sz w:val="28"/>
          <w:szCs w:val="28"/>
        </w:rPr>
        <w:t>所在实验室：</w:t>
      </w:r>
      <w:r>
        <w:rPr>
          <w:rFonts w:ascii="Segoe UI" w:hAnsi="Segoe UI" w:eastAsia="宋体" w:cs="Segoe UI"/>
          <w:color w:val="0F1115"/>
          <w:kern w:val="0"/>
          <w:sz w:val="28"/>
          <w:szCs w:val="28"/>
          <w:u w:val="single"/>
        </w:rPr>
        <w:t> </w:t>
      </w:r>
      <w:r>
        <w:rPr>
          <w:rFonts w:hint="eastAsia" w:ascii="Segoe UI" w:hAnsi="Segoe UI" w:eastAsia="宋体" w:cs="Segoe UI"/>
          <w:color w:val="0F1115"/>
          <w:kern w:val="0"/>
          <w:sz w:val="28"/>
          <w:szCs w:val="28"/>
          <w:u w:val="single"/>
          <w:lang w:val="en-US" w:eastAsia="zh-CN"/>
        </w:rPr>
        <w:t>马术GSing战队</w:t>
      </w:r>
      <w:r>
        <w:rPr>
          <w:rFonts w:hint="eastAsia" w:ascii="Segoe UI" w:hAnsi="Segoe UI" w:eastAsia="宋体" w:cs="Segoe UI"/>
          <w:color w:val="0F1115"/>
          <w:kern w:val="0"/>
          <w:sz w:val="28"/>
          <w:szCs w:val="28"/>
          <w:u w:val="single"/>
        </w:rPr>
        <w:t xml:space="preserve"> </w:t>
      </w:r>
    </w:p>
    <w:p w14:paraId="251BAE00">
      <w:pPr>
        <w:widowControl/>
        <w:shd w:val="clear" w:color="auto" w:fill="FFFFFF"/>
        <w:spacing w:after="0" w:line="240" w:lineRule="auto"/>
        <w:rPr>
          <w:rFonts w:ascii="Segoe UI" w:hAnsi="Segoe UI" w:eastAsia="宋体" w:cs="Segoe UI"/>
          <w:color w:val="0F1115"/>
          <w:kern w:val="0"/>
          <w:sz w:val="28"/>
          <w:szCs w:val="28"/>
        </w:rPr>
      </w:pPr>
      <w:r>
        <w:rPr>
          <w:rFonts w:ascii="Segoe UI" w:hAnsi="Segoe UI" w:eastAsia="宋体" w:cs="Segoe UI"/>
          <w:b/>
          <w:bCs/>
          <w:color w:val="0F1115"/>
          <w:kern w:val="0"/>
          <w:sz w:val="28"/>
          <w:szCs w:val="28"/>
        </w:rPr>
        <w:t>担任角色：</w:t>
      </w:r>
      <w:r>
        <w:rPr>
          <w:rFonts w:ascii="Segoe UI" w:hAnsi="Segoe UI" w:eastAsia="宋体" w:cs="Segoe UI"/>
          <w:color w:val="0F1115"/>
          <w:kern w:val="0"/>
          <w:sz w:val="28"/>
          <w:szCs w:val="28"/>
        </w:rPr>
        <w:t> </w:t>
      </w:r>
      <w:r>
        <w:rPr>
          <w:rFonts w:hint="eastAsia" w:ascii="Segoe UI" w:hAnsi="Segoe UI" w:eastAsia="宋体" w:cs="Segoe UI"/>
          <w:color w:val="0F1115"/>
          <w:kern w:val="0"/>
          <w:sz w:val="28"/>
          <w:szCs w:val="28"/>
          <w:lang w:eastAsia="zh-CN"/>
        </w:rPr>
        <w:t>☑</w:t>
      </w:r>
      <w:r>
        <w:rPr>
          <w:rFonts w:ascii="Segoe UI" w:hAnsi="Segoe UI" w:eastAsia="宋体" w:cs="Segoe UI"/>
          <w:color w:val="0F1115"/>
          <w:kern w:val="0"/>
          <w:sz w:val="28"/>
          <w:szCs w:val="28"/>
        </w:rPr>
        <w:t xml:space="preserve"> 普通队员 □ 管理层（职务：______） □ 队长</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3F5F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31EEFB9C">
            <w:pPr>
              <w:widowControl/>
              <w:spacing w:after="0" w:line="240" w:lineRule="auto"/>
              <w:jc w:val="center"/>
              <w:rPr>
                <w:rFonts w:ascii="Segoe UI" w:hAnsi="Segoe UI" w:eastAsia="宋体" w:cs="Segoe UI"/>
                <w:b/>
                <w:sz w:val="28"/>
                <w:szCs w:val="28"/>
              </w:rPr>
            </w:pPr>
            <w:r>
              <w:rPr>
                <w:rFonts w:ascii="Segoe UI" w:hAnsi="Segoe UI" w:eastAsia="宋体" w:cs="Segoe UI"/>
                <w:b/>
                <w:sz w:val="28"/>
                <w:szCs w:val="28"/>
              </w:rPr>
              <w:t>项目</w:t>
            </w:r>
          </w:p>
        </w:tc>
        <w:tc>
          <w:tcPr>
            <w:tcW w:w="6600" w:type="dxa"/>
          </w:tcPr>
          <w:p w14:paraId="38375FB2">
            <w:pPr>
              <w:widowControl/>
              <w:spacing w:after="0" w:line="240" w:lineRule="auto"/>
              <w:jc w:val="center"/>
              <w:rPr>
                <w:rFonts w:ascii="Segoe UI" w:hAnsi="Segoe UI" w:eastAsia="宋体" w:cs="Segoe UI"/>
                <w:b/>
                <w:sz w:val="28"/>
                <w:szCs w:val="28"/>
              </w:rPr>
            </w:pPr>
            <w:r>
              <w:rPr>
                <w:rFonts w:ascii="Segoe UI" w:hAnsi="Segoe UI" w:eastAsia="宋体" w:cs="Segoe UI"/>
                <w:b/>
                <w:sz w:val="28"/>
                <w:szCs w:val="28"/>
              </w:rPr>
              <w:t>内容</w:t>
            </w:r>
          </w:p>
        </w:tc>
      </w:tr>
      <w:tr w14:paraId="2696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8" w:hRule="atLeast"/>
        </w:trPr>
        <w:tc>
          <w:tcPr>
            <w:tcW w:w="1696" w:type="dxa"/>
          </w:tcPr>
          <w:p w14:paraId="3BF0EC0E">
            <w:pPr>
              <w:widowControl/>
              <w:spacing w:after="0" w:line="240" w:lineRule="auto"/>
              <w:rPr>
                <w:rFonts w:ascii="Segoe UI" w:hAnsi="Segoe UI" w:eastAsia="宋体" w:cs="Segoe UI"/>
                <w:sz w:val="24"/>
              </w:rPr>
            </w:pPr>
            <w:r>
              <w:rPr>
                <w:rFonts w:ascii="Segoe UI" w:hAnsi="Segoe UI" w:eastAsia="宋体" w:cs="Segoe UI"/>
                <w:b/>
                <w:bCs/>
                <w:sz w:val="24"/>
              </w:rPr>
              <w:t>工作概述</w:t>
            </w:r>
            <w:r>
              <w:rPr>
                <w:rFonts w:hint="eastAsia" w:ascii="Segoe UI" w:hAnsi="Segoe UI" w:eastAsia="宋体" w:cs="Segoe UI"/>
                <w:b/>
                <w:bCs/>
                <w:sz w:val="24"/>
              </w:rPr>
              <w:t>与成果</w:t>
            </w:r>
          </w:p>
        </w:tc>
        <w:tc>
          <w:tcPr>
            <w:tcW w:w="6600" w:type="dxa"/>
          </w:tcPr>
          <w:p w14:paraId="0241572A">
            <w:pPr>
              <w:widowControl/>
              <w:spacing w:after="0" w:line="240" w:lineRule="auto"/>
              <w:rPr>
                <w:rFonts w:hint="eastAsia" w:ascii="Segoe UI" w:hAnsi="Segoe UI" w:eastAsia="宋体" w:cs="Segoe UI"/>
                <w:sz w:val="24"/>
                <w:lang w:val="en-US" w:eastAsia="zh-CN"/>
              </w:rPr>
            </w:pPr>
            <w:r>
              <w:rPr>
                <w:rFonts w:hint="eastAsia" w:ascii="Segoe UI" w:hAnsi="Segoe UI" w:eastAsia="宋体" w:cs="Segoe UI"/>
                <w:sz w:val="24"/>
                <w:lang w:val="en-US" w:eastAsia="zh-CN"/>
              </w:rPr>
              <w:t>主要任务：1、熟悉战队基本事务、硬件组日常工作</w:t>
            </w:r>
          </w:p>
          <w:p w14:paraId="078E694A">
            <w:pPr>
              <w:widowControl/>
              <w:numPr>
                <w:ilvl w:val="0"/>
                <w:numId w:val="1"/>
              </w:numPr>
              <w:spacing w:after="0" w:line="240" w:lineRule="auto"/>
              <w:rPr>
                <w:rFonts w:hint="eastAsia" w:ascii="Segoe UI" w:hAnsi="Segoe UI" w:eastAsia="宋体" w:cs="Segoe UI"/>
                <w:sz w:val="24"/>
              </w:rPr>
            </w:pPr>
            <w:r>
              <w:rPr>
                <w:rFonts w:hint="eastAsia" w:ascii="Segoe UI" w:hAnsi="Segoe UI" w:eastAsia="宋体" w:cs="Segoe UI"/>
                <w:sz w:val="24"/>
                <w:lang w:val="en-US" w:eastAsia="zh-CN"/>
              </w:rPr>
              <w:t>完成超级电容的开发工作</w:t>
            </w:r>
          </w:p>
          <w:p w14:paraId="328FC9FD">
            <w:pPr>
              <w:widowControl/>
              <w:numPr>
                <w:numId w:val="0"/>
              </w:numPr>
              <w:spacing w:after="0" w:line="240" w:lineRule="auto"/>
              <w:rPr>
                <w:rFonts w:hint="eastAsia" w:ascii="Segoe UI" w:hAnsi="Segoe UI" w:eastAsia="宋体" w:cs="Segoe UI"/>
                <w:sz w:val="24"/>
                <w:lang w:val="en-US" w:eastAsia="zh-CN"/>
              </w:rPr>
            </w:pPr>
            <w:r>
              <w:rPr>
                <w:rFonts w:hint="eastAsia" w:ascii="Segoe UI" w:hAnsi="Segoe UI" w:eastAsia="宋体" w:cs="Segoe UI"/>
                <w:sz w:val="24"/>
                <w:lang w:val="en-US" w:eastAsia="zh-CN"/>
              </w:rPr>
              <w:t>成果：1、一个满足战队日常训练用的多电压选择学生开关电源    2、流水灯战队LOGO文创</w:t>
            </w:r>
          </w:p>
          <w:p w14:paraId="214A86E8">
            <w:pPr>
              <w:widowControl/>
              <w:numPr>
                <w:ilvl w:val="0"/>
                <w:numId w:val="1"/>
              </w:numPr>
              <w:spacing w:after="0" w:line="240" w:lineRule="auto"/>
              <w:ind w:left="0" w:leftChars="0" w:firstLine="0" w:firstLineChars="0"/>
              <w:rPr>
                <w:rFonts w:hint="eastAsia" w:ascii="Segoe UI" w:hAnsi="Segoe UI" w:eastAsia="宋体" w:cs="Segoe UI"/>
                <w:sz w:val="24"/>
                <w:lang w:val="en-US" w:eastAsia="zh-CN"/>
              </w:rPr>
            </w:pPr>
            <w:r>
              <w:rPr>
                <w:rFonts w:hint="eastAsia" w:ascii="Segoe UI" w:hAnsi="Segoe UI" w:eastAsia="宋体" w:cs="Segoe UI"/>
                <w:sz w:val="24"/>
                <w:lang w:val="en-US" w:eastAsia="zh-CN"/>
              </w:rPr>
              <w:t>遥控器通讯代码</w:t>
            </w:r>
          </w:p>
          <w:p w14:paraId="75E36A4D">
            <w:pPr>
              <w:widowControl/>
              <w:numPr>
                <w:ilvl w:val="0"/>
                <w:numId w:val="1"/>
              </w:numPr>
              <w:spacing w:after="0" w:line="240" w:lineRule="auto"/>
              <w:ind w:left="0" w:leftChars="0" w:firstLine="0" w:firstLineChars="0"/>
              <w:rPr>
                <w:rFonts w:hint="default" w:ascii="Segoe UI" w:hAnsi="Segoe UI" w:eastAsia="宋体" w:cs="Segoe UI"/>
                <w:sz w:val="24"/>
                <w:lang w:val="en-US" w:eastAsia="zh-CN"/>
              </w:rPr>
            </w:pPr>
            <w:r>
              <w:rPr>
                <w:rFonts w:hint="eastAsia" w:ascii="Segoe UI" w:hAnsi="Segoe UI" w:eastAsia="宋体" w:cs="Segoe UI"/>
                <w:sz w:val="24"/>
                <w:lang w:val="en-US" w:eastAsia="zh-CN"/>
              </w:rPr>
              <w:t>超级电容模块第一版</w:t>
            </w:r>
          </w:p>
        </w:tc>
      </w:tr>
      <w:tr w14:paraId="6385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5" w:hRule="atLeast"/>
        </w:trPr>
        <w:tc>
          <w:tcPr>
            <w:tcW w:w="1696" w:type="dxa"/>
          </w:tcPr>
          <w:p w14:paraId="07DA9A8B">
            <w:pPr>
              <w:widowControl/>
              <w:spacing w:after="0" w:line="240" w:lineRule="auto"/>
              <w:rPr>
                <w:rFonts w:ascii="Segoe UI" w:hAnsi="Segoe UI" w:eastAsia="宋体" w:cs="Segoe UI"/>
                <w:sz w:val="24"/>
              </w:rPr>
            </w:pPr>
            <w:bookmarkStart w:id="0" w:name="OLE_LINK4"/>
            <w:bookmarkStart w:id="1" w:name="OLE_LINK5"/>
            <w:r>
              <w:rPr>
                <w:rFonts w:ascii="Segoe UI" w:hAnsi="Segoe UI" w:eastAsia="宋体" w:cs="Segoe UI"/>
                <w:b/>
                <w:bCs/>
                <w:sz w:val="24"/>
              </w:rPr>
              <w:t>遇到的问题</w:t>
            </w:r>
            <w:r>
              <w:rPr>
                <w:rFonts w:hint="eastAsia" w:ascii="Segoe UI" w:hAnsi="Segoe UI" w:eastAsia="宋体" w:cs="Segoe UI"/>
                <w:b/>
                <w:bCs/>
                <w:sz w:val="24"/>
              </w:rPr>
              <w:t>、解决方案与反思</w:t>
            </w:r>
            <w:bookmarkEnd w:id="0"/>
            <w:bookmarkEnd w:id="1"/>
          </w:p>
        </w:tc>
        <w:tc>
          <w:tcPr>
            <w:tcW w:w="6600" w:type="dxa"/>
          </w:tcPr>
          <w:p w14:paraId="56AB6393">
            <w:pPr>
              <w:widowControl/>
              <w:numPr>
                <w:ilvl w:val="0"/>
                <w:numId w:val="0"/>
              </w:numPr>
              <w:spacing w:after="0" w:line="240" w:lineRule="auto"/>
              <w:rPr>
                <w:rFonts w:hint="eastAsia" w:ascii="Segoe UI" w:hAnsi="Segoe UI" w:eastAsia="宋体" w:cs="Segoe UI"/>
                <w:sz w:val="24"/>
                <w:lang w:val="en-US" w:eastAsia="zh-CN"/>
              </w:rPr>
            </w:pPr>
            <w:r>
              <w:rPr>
                <w:rFonts w:hint="eastAsia" w:ascii="Segoe UI" w:hAnsi="Segoe UI" w:eastAsia="宋体" w:cs="Segoe UI"/>
                <w:sz w:val="24"/>
                <w:lang w:val="en-US" w:eastAsia="zh-CN"/>
              </w:rPr>
              <w:t>1、PCB的绘制基本注意事项</w:t>
            </w:r>
          </w:p>
          <w:p w14:paraId="79D3DCE1">
            <w:pPr>
              <w:widowControl/>
              <w:spacing w:after="0" w:line="240" w:lineRule="auto"/>
              <w:rPr>
                <w:rFonts w:hint="eastAsia" w:ascii="Segoe UI" w:hAnsi="Segoe UI" w:eastAsia="宋体" w:cs="Segoe UI"/>
                <w:sz w:val="24"/>
                <w:lang w:val="en-US" w:eastAsia="zh-CN"/>
              </w:rPr>
            </w:pPr>
            <w:r>
              <w:rPr>
                <w:rFonts w:hint="eastAsia" w:ascii="Segoe UI" w:hAnsi="Segoe UI" w:eastAsia="宋体" w:cs="Segoe UI"/>
                <w:sz w:val="24"/>
                <w:lang w:val="en-US" w:eastAsia="zh-CN"/>
              </w:rPr>
              <w:t>2、超级电容模块基本构成要素与工作原理</w:t>
            </w:r>
          </w:p>
          <w:p w14:paraId="6F90B9ED">
            <w:pPr>
              <w:widowControl/>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反思：扎根基础技能学习和以解决问题为导向的技能应用十分重要，对于一个从未接触的大模块可以先拆分了解由哪些基础模块组成，找好牛鼻子抓手，从第一性角度了解其工作原理，逐个击破，整一个模块的工作便呼之欲出。</w:t>
            </w:r>
          </w:p>
        </w:tc>
      </w:tr>
      <w:tr w14:paraId="4F6E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0" w:hRule="atLeast"/>
        </w:trPr>
        <w:tc>
          <w:tcPr>
            <w:tcW w:w="1696" w:type="dxa"/>
          </w:tcPr>
          <w:p w14:paraId="1DEC104C">
            <w:pPr>
              <w:widowControl/>
              <w:spacing w:after="0" w:line="240" w:lineRule="auto"/>
              <w:rPr>
                <w:rFonts w:ascii="Segoe UI" w:hAnsi="Segoe UI" w:eastAsia="宋体" w:cs="Segoe UI"/>
                <w:sz w:val="24"/>
              </w:rPr>
            </w:pPr>
            <w:r>
              <w:rPr>
                <w:rFonts w:hint="eastAsia" w:ascii="Segoe UI" w:hAnsi="Segoe UI" w:eastAsia="宋体" w:cs="Segoe UI"/>
                <w:b/>
                <w:bCs/>
                <w:sz w:val="24"/>
              </w:rPr>
              <w:t>后续</w:t>
            </w:r>
            <w:r>
              <w:rPr>
                <w:rFonts w:ascii="Segoe UI" w:hAnsi="Segoe UI" w:eastAsia="宋体" w:cs="Segoe UI"/>
                <w:b/>
                <w:bCs/>
                <w:sz w:val="24"/>
              </w:rPr>
              <w:t>工作计划</w:t>
            </w:r>
          </w:p>
        </w:tc>
        <w:tc>
          <w:tcPr>
            <w:tcW w:w="6600" w:type="dxa"/>
          </w:tcPr>
          <w:p w14:paraId="40065EC3">
            <w:pPr>
              <w:widowControl/>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超级电容继续改进实现工作、对于超级电容代码调试的学习、完成好遥控器的验证工作。对于第一性工作原理进一步深入。</w:t>
            </w:r>
          </w:p>
        </w:tc>
      </w:tr>
      <w:tr w14:paraId="21D6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8" w:hRule="atLeast"/>
        </w:trPr>
        <w:tc>
          <w:tcPr>
            <w:tcW w:w="1696" w:type="dxa"/>
          </w:tcPr>
          <w:p w14:paraId="538F70BA">
            <w:pPr>
              <w:widowControl/>
              <w:spacing w:after="0" w:line="240" w:lineRule="auto"/>
              <w:rPr>
                <w:rFonts w:ascii="Segoe UI" w:hAnsi="Segoe UI" w:eastAsia="宋体" w:cs="Segoe UI"/>
                <w:b/>
                <w:bCs/>
                <w:sz w:val="24"/>
              </w:rPr>
            </w:pPr>
            <w:r>
              <w:rPr>
                <w:rFonts w:hint="eastAsia" w:ascii="Segoe UI" w:hAnsi="Segoe UI" w:eastAsia="宋体" w:cs="Segoe UI"/>
                <w:b/>
                <w:bCs/>
                <w:sz w:val="24"/>
              </w:rPr>
              <w:t>战队内部评议意见</w:t>
            </w:r>
          </w:p>
        </w:tc>
        <w:tc>
          <w:tcPr>
            <w:tcW w:w="6600" w:type="dxa"/>
          </w:tcPr>
          <w:p w14:paraId="40E46537">
            <w:pPr>
              <w:widowControl/>
              <w:spacing w:after="0" w:line="240" w:lineRule="auto"/>
              <w:rPr>
                <w:rFonts w:ascii="Segoe UI" w:hAnsi="Segoe UI" w:eastAsia="宋体" w:cs="Segoe UI"/>
                <w:sz w:val="24"/>
              </w:rPr>
            </w:pPr>
            <w:bookmarkStart w:id="2" w:name="OLE_LINK13"/>
            <w:bookmarkStart w:id="3" w:name="OLE_LINK12"/>
            <w:r>
              <w:rPr>
                <w:rFonts w:ascii="Segoe UI" w:hAnsi="Segoe UI" w:eastAsia="宋体" w:cs="Segoe UI"/>
                <w:bCs/>
                <w:sz w:val="24"/>
              </w:rPr>
              <w:t>（由战队管理层集体商议后填写）</w:t>
            </w:r>
            <w:r>
              <w:rPr>
                <w:rFonts w:ascii="Segoe UI" w:hAnsi="Segoe UI" w:eastAsia="宋体" w:cs="Segoe UI"/>
                <w:sz w:val="24"/>
              </w:rPr>
              <w:t>主要从</w:t>
            </w:r>
            <w:r>
              <w:rPr>
                <w:rFonts w:ascii="Segoe UI" w:hAnsi="Segoe UI" w:eastAsia="宋体" w:cs="Segoe UI"/>
                <w:bCs/>
                <w:sz w:val="24"/>
              </w:rPr>
              <w:t>任务完成质量、团队协作精神、技术贡献度</w:t>
            </w:r>
            <w:r>
              <w:rPr>
                <w:rFonts w:ascii="Segoe UI" w:hAnsi="Segoe UI" w:eastAsia="宋体" w:cs="Segoe UI"/>
                <w:sz w:val="24"/>
              </w:rPr>
              <w:t>等方面给予评价与建议。</w:t>
            </w:r>
          </w:p>
          <w:p w14:paraId="49486F88">
            <w:pPr>
              <w:widowControl/>
              <w:spacing w:after="0" w:line="240" w:lineRule="auto"/>
              <w:rPr>
                <w:rFonts w:ascii="Segoe UI" w:hAnsi="Segoe UI" w:eastAsia="宋体" w:cs="Segoe UI"/>
                <w:sz w:val="24"/>
              </w:rPr>
            </w:pPr>
          </w:p>
          <w:p w14:paraId="132288BA">
            <w:pPr>
              <w:widowControl/>
              <w:spacing w:after="0" w:line="240" w:lineRule="auto"/>
              <w:rPr>
                <w:rFonts w:ascii="Segoe UI" w:hAnsi="Segoe UI" w:eastAsia="宋体" w:cs="Segoe UI"/>
                <w:sz w:val="24"/>
              </w:rPr>
            </w:pPr>
          </w:p>
          <w:p w14:paraId="7DEDAB6F">
            <w:pPr>
              <w:widowControl/>
              <w:spacing w:after="0" w:line="240" w:lineRule="auto"/>
              <w:rPr>
                <w:rFonts w:ascii="Segoe UI" w:hAnsi="Segoe UI" w:eastAsia="宋体" w:cs="Segoe UI"/>
                <w:sz w:val="24"/>
              </w:rPr>
            </w:pPr>
            <w:bookmarkStart w:id="4" w:name="OLE_LINK16"/>
            <w:bookmarkStart w:id="5" w:name="OLE_LINK17"/>
            <w:r>
              <w:rPr>
                <w:rFonts w:ascii="Segoe UI" w:hAnsi="Segoe UI" w:eastAsia="宋体" w:cs="Segoe UI"/>
                <w:bCs/>
                <w:sz w:val="24"/>
              </w:rPr>
              <w:t>评议人签名（至少两名管理层）：</w:t>
            </w:r>
            <w:r>
              <w:rPr>
                <w:rFonts w:ascii="Segoe UI" w:hAnsi="Segoe UI" w:eastAsia="宋体" w:cs="Segoe UI"/>
                <w:sz w:val="24"/>
              </w:rPr>
              <w:t> _________________</w:t>
            </w:r>
            <w:r>
              <w:rPr>
                <w:rFonts w:ascii="Segoe UI" w:hAnsi="Segoe UI" w:eastAsia="宋体" w:cs="Segoe UI"/>
                <w:sz w:val="24"/>
              </w:rPr>
              <w:br w:type="textWrapping"/>
            </w:r>
            <w:r>
              <w:rPr>
                <w:rFonts w:ascii="Segoe UI" w:hAnsi="Segoe UI" w:eastAsia="宋体" w:cs="Segoe UI"/>
                <w:bCs/>
                <w:sz w:val="24"/>
              </w:rPr>
              <w:t>日期：</w:t>
            </w:r>
            <w:bookmarkStart w:id="6" w:name="OLE_LINK15"/>
            <w:bookmarkStart w:id="7" w:name="OLE_LINK14"/>
            <w:r>
              <w:rPr>
                <w:rFonts w:ascii="Segoe UI" w:hAnsi="Segoe UI" w:eastAsia="宋体" w:cs="Segoe UI"/>
                <w:sz w:val="24"/>
              </w:rPr>
              <w:t> ____年____月____</w:t>
            </w:r>
            <w:bookmarkEnd w:id="2"/>
            <w:bookmarkEnd w:id="3"/>
            <w:bookmarkEnd w:id="4"/>
            <w:bookmarkEnd w:id="5"/>
            <w:bookmarkEnd w:id="6"/>
            <w:bookmarkEnd w:id="7"/>
          </w:p>
        </w:tc>
      </w:tr>
      <w:tr w14:paraId="4346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7A87FC2">
            <w:pPr>
              <w:widowControl/>
              <w:spacing w:after="0" w:line="240" w:lineRule="auto"/>
              <w:rPr>
                <w:rFonts w:ascii="Segoe UI" w:hAnsi="Segoe UI" w:eastAsia="宋体" w:cs="Segoe UI"/>
                <w:b/>
                <w:bCs/>
                <w:sz w:val="24"/>
              </w:rPr>
            </w:pPr>
            <w:r>
              <w:rPr>
                <w:rFonts w:hint="eastAsia" w:ascii="Segoe UI" w:hAnsi="Segoe UI" w:eastAsia="宋体" w:cs="Segoe UI"/>
                <w:b/>
                <w:bCs/>
                <w:sz w:val="24"/>
              </w:rPr>
              <w:t>指导老师审阅意见</w:t>
            </w:r>
          </w:p>
        </w:tc>
        <w:tc>
          <w:tcPr>
            <w:tcW w:w="6600" w:type="dxa"/>
          </w:tcPr>
          <w:p w14:paraId="263A0474">
            <w:pPr>
              <w:widowControl/>
              <w:spacing w:after="0" w:line="240" w:lineRule="auto"/>
              <w:rPr>
                <w:rFonts w:ascii="Segoe UI" w:hAnsi="Segoe UI" w:eastAsia="宋体" w:cs="Segoe UI"/>
                <w:sz w:val="24"/>
              </w:rPr>
            </w:pPr>
            <w:r>
              <w:rPr>
                <w:rFonts w:hint="eastAsia" w:ascii="Segoe UI" w:hAnsi="Segoe UI" w:eastAsia="宋体" w:cs="Segoe UI"/>
                <w:sz w:val="24"/>
              </w:rPr>
              <w:t>指导老师签字：</w:t>
            </w:r>
          </w:p>
          <w:p w14:paraId="1AC99ADA">
            <w:pPr>
              <w:widowControl/>
              <w:spacing w:after="0" w:line="240" w:lineRule="auto"/>
              <w:rPr>
                <w:rFonts w:ascii="Segoe UI" w:hAnsi="Segoe UI" w:eastAsia="宋体" w:cs="Segoe UI"/>
                <w:sz w:val="24"/>
              </w:rPr>
            </w:pPr>
            <w:r>
              <w:rPr>
                <w:rFonts w:hint="eastAsia" w:ascii="Segoe UI" w:hAnsi="Segoe UI" w:eastAsia="宋体" w:cs="Segoe UI"/>
                <w:sz w:val="24"/>
              </w:rPr>
              <w:t>日期：</w:t>
            </w:r>
            <w:r>
              <w:rPr>
                <w:rFonts w:ascii="Segoe UI" w:hAnsi="Segoe UI" w:eastAsia="宋体" w:cs="Segoe UI"/>
                <w:sz w:val="24"/>
              </w:rPr>
              <w:t> ____年____月____</w:t>
            </w:r>
          </w:p>
        </w:tc>
      </w:tr>
    </w:tbl>
    <w:p w14:paraId="5E4E6932">
      <w:pPr>
        <w:widowControl/>
        <w:spacing w:after="0" w:line="240" w:lineRule="auto"/>
        <w:rPr>
          <w:rFonts w:ascii="宋体" w:hAnsi="宋体" w:eastAsia="宋体"/>
          <w:bCs/>
          <w:sz w:val="24"/>
        </w:rPr>
      </w:pPr>
      <w:r>
        <w:rPr>
          <w:rFonts w:hint="eastAsia" w:ascii="宋体" w:hAnsi="宋体" w:eastAsia="宋体"/>
          <w:sz w:val="24"/>
        </w:rPr>
        <w:t>备注:</w:t>
      </w:r>
      <w:r>
        <w:rPr>
          <w:rFonts w:ascii="宋体" w:hAnsi="宋体" w:eastAsia="宋体"/>
          <w:sz w:val="24"/>
        </w:rPr>
        <w:t xml:space="preserve"> </w:t>
      </w:r>
      <w:r>
        <w:rPr>
          <w:rFonts w:hint="eastAsia" w:ascii="宋体" w:hAnsi="宋体" w:eastAsia="宋体"/>
          <w:sz w:val="24"/>
        </w:rPr>
        <w:t>学生每学期需至少提交</w:t>
      </w:r>
      <w:r>
        <w:rPr>
          <w:rFonts w:ascii="宋体" w:hAnsi="宋体" w:eastAsia="宋体"/>
          <w:sz w:val="24"/>
        </w:rPr>
        <w:t>3</w:t>
      </w:r>
      <w:r>
        <w:rPr>
          <w:rFonts w:hint="eastAsia" w:ascii="宋体" w:hAnsi="宋体" w:eastAsia="宋体"/>
          <w:sz w:val="24"/>
        </w:rPr>
        <w:t>次</w:t>
      </w:r>
      <w:r>
        <w:rPr>
          <w:rFonts w:hint="eastAsia" w:ascii="宋体" w:hAnsi="宋体" w:eastAsia="宋体"/>
          <w:bCs/>
          <w:sz w:val="24"/>
        </w:rPr>
        <w:t>学习过程记录至指导老师处审核。</w:t>
      </w:r>
    </w:p>
    <w:p w14:paraId="6DE39DDE">
      <w:pPr>
        <w:rPr>
          <w:rFonts w:hint="eastAsia" w:ascii="宋体" w:hAnsi="宋体" w:eastAsia="宋体"/>
          <w:sz w:val="24"/>
        </w:rPr>
      </w:pPr>
      <w:r>
        <w:rPr>
          <w:rFonts w:hint="eastAsia" w:ascii="宋体" w:hAnsi="宋体" w:eastAsia="宋体"/>
          <w:sz w:val="24"/>
        </w:rPr>
        <w:br w:type="page"/>
      </w:r>
    </w:p>
    <w:p w14:paraId="0989F3B9">
      <w:pPr>
        <w:widowControl/>
        <w:spacing w:after="0" w:line="240" w:lineRule="auto"/>
        <w:rPr>
          <w:rFonts w:hint="eastAsia" w:ascii="宋体" w:hAnsi="宋体" w:eastAsia="宋体"/>
          <w:sz w:val="24"/>
        </w:rPr>
      </w:pPr>
      <w:r>
        <w:rPr>
          <w:rFonts w:hint="eastAsia" w:ascii="宋体" w:hAnsi="宋体" w:eastAsia="宋体"/>
          <w:sz w:val="24"/>
        </w:rPr>
        <w:t>附录</w:t>
      </w:r>
    </w:p>
    <w:p w14:paraId="59831978">
      <w:pPr>
        <w:spacing w:before="480" w:after="480" w:line="288" w:lineRule="auto"/>
        <w:ind w:left="0"/>
        <w:rPr>
          <w:rFonts w:hint="default" w:eastAsia="等线"/>
          <w:lang w:val="en-US" w:eastAsia="zh-CN"/>
        </w:rPr>
      </w:pPr>
      <w:r>
        <w:rPr>
          <w:rFonts w:ascii="Arial" w:hAnsi="Arial" w:eastAsia="等线" w:cs="Arial"/>
          <w:b/>
          <w:sz w:val="52"/>
        </w:rPr>
        <w:t>钟毅伟的</w:t>
      </w:r>
      <w:r>
        <w:rPr>
          <w:rFonts w:hint="eastAsia" w:ascii="Arial" w:hAnsi="Arial" w:eastAsia="等线" w:cs="Arial"/>
          <w:b/>
          <w:sz w:val="52"/>
          <w:lang w:val="en-US" w:eastAsia="zh-CN"/>
        </w:rPr>
        <w:t>第一次月报</w:t>
      </w:r>
    </w:p>
    <w:p w14:paraId="73B149CE">
      <w:pPr>
        <w:spacing w:before="120" w:after="120" w:line="288" w:lineRule="auto"/>
        <w:ind w:left="0"/>
        <w:jc w:val="left"/>
      </w:pPr>
    </w:p>
    <w:tbl>
      <w:tblPr>
        <w:tblStyle w:val="7"/>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442AE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ECF4EA0">
            <w:pPr>
              <w:spacing w:before="120" w:after="120" w:line="288" w:lineRule="auto"/>
              <w:ind w:left="0"/>
              <w:jc w:val="left"/>
            </w:pPr>
            <w:r>
              <w:rPr>
                <w:rFonts w:ascii="Arial" w:hAnsi="Arial" w:eastAsia="等线" w:cs="Arial"/>
                <w:b/>
                <w:color w:val="646A73"/>
                <w:sz w:val="22"/>
              </w:rPr>
              <w:t>部门：硬件组</w:t>
            </w:r>
          </w:p>
          <w:p w14:paraId="6DB99C2A">
            <w:pPr>
              <w:spacing w:before="120" w:after="120" w:line="288" w:lineRule="auto"/>
              <w:ind w:left="0"/>
              <w:jc w:val="left"/>
            </w:pPr>
            <w:r>
              <w:rPr>
                <w:rFonts w:ascii="Arial" w:hAnsi="Arial" w:eastAsia="等线" w:cs="Arial"/>
                <w:b/>
                <w:color w:val="646A73"/>
                <w:sz w:val="22"/>
              </w:rPr>
              <w:t>汇报人：钟毅伟</w:t>
            </w:r>
          </w:p>
          <w:p w14:paraId="5D9FB6A3">
            <w:pPr>
              <w:spacing w:before="120" w:after="120" w:line="288" w:lineRule="auto"/>
              <w:ind w:left="0"/>
              <w:jc w:val="left"/>
            </w:pPr>
            <w:r>
              <w:rPr>
                <w:rFonts w:ascii="Arial" w:hAnsi="Arial" w:eastAsia="等线" w:cs="Arial"/>
                <w:b/>
                <w:color w:val="646A73"/>
                <w:sz w:val="22"/>
              </w:rPr>
              <w:t>时间</w:t>
            </w:r>
            <w:r>
              <w:rPr>
                <w:rFonts w:ascii="Arial" w:hAnsi="Arial" w:eastAsia="等线" w:cs="Arial"/>
                <w:color w:val="646A73"/>
                <w:sz w:val="22"/>
              </w:rPr>
              <w:t>：</w:t>
            </w:r>
            <w:r>
              <w:rPr>
                <w:rFonts w:hint="eastAsia" w:ascii="Arial" w:hAnsi="Arial" w:eastAsia="等线" w:cs="Arial"/>
                <w:color w:val="646A73"/>
                <w:sz w:val="22"/>
                <w:lang w:val="en-US" w:eastAsia="zh-CN"/>
              </w:rPr>
              <w:t>11-</w:t>
            </w:r>
            <w:r>
              <w:rPr>
                <w:rFonts w:ascii="Arial" w:hAnsi="Arial" w:eastAsia="等线" w:cs="Arial"/>
                <w:color w:val="646A73"/>
                <w:sz w:val="22"/>
              </w:rPr>
              <w:t>12月份</w:t>
            </w:r>
          </w:p>
        </w:tc>
      </w:tr>
    </w:tbl>
    <w:p w14:paraId="2005BB97">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概要：这一段初入战队的时间里，通过Buck电源板、文创等小任务的完成基本熟悉战队日常工作和流程，对于硬件相关PCB绘制的基本注意事项也更加得心应手。通过参加全员大会和硬件组内部讨论决定好了分工就开始了比赛相关工作的筹备，负责与张逸飞组长一起开启对机器狗超级电容模块的探索。难度跨越稍大，需要将任务分成很多个阶段，从整体到具体来对于超级电容的落地逐步掌握。目前进度较为顺利，基本雏形已现，在一月初可打第一版来试验。对于超级电容的调试代码部分，通过遥控器ADC代码的研究已经打下基础，相信有能力完成。对于闭环采样还需进一步学习。</w:t>
      </w:r>
    </w:p>
    <w:p w14:paraId="11B0DEE5">
      <w:pPr>
        <w:spacing w:before="120" w:after="120" w:line="288" w:lineRule="auto"/>
        <w:ind w:left="0"/>
        <w:jc w:val="left"/>
      </w:pPr>
      <w:r>
        <w:rPr>
          <w:rFonts w:ascii="Arial" w:hAnsi="Arial" w:eastAsia="等线" w:cs="Arial"/>
          <w:sz w:val="22"/>
        </w:rPr>
        <w:t>一、电源模块的电路板绘制、焊接与改版</w:t>
      </w:r>
    </w:p>
    <w:p w14:paraId="68E69A0B">
      <w:pPr>
        <w:spacing w:before="120" w:after="120" w:line="288" w:lineRule="auto"/>
        <w:ind w:left="0"/>
        <w:jc w:val="left"/>
      </w:pPr>
      <w:r>
        <w:rPr>
          <w:rFonts w:ascii="Arial" w:hAnsi="Arial" w:eastAsia="等线" w:cs="Arial"/>
          <w:sz w:val="22"/>
        </w:rPr>
        <w:t>2025.11.20</w:t>
      </w:r>
    </w:p>
    <w:p w14:paraId="2230C3E1">
      <w:pPr>
        <w:spacing w:before="120" w:after="120" w:line="288" w:lineRule="auto"/>
        <w:ind w:left="0"/>
        <w:jc w:val="left"/>
        <w:rPr>
          <w:rFonts w:ascii="Arial" w:hAnsi="Arial" w:eastAsia="等线" w:cs="Arial"/>
          <w:sz w:val="22"/>
        </w:rPr>
      </w:pPr>
      <w:r>
        <w:rPr>
          <w:rFonts w:ascii="Arial" w:hAnsi="Arial" w:eastAsia="等线" w:cs="Arial"/>
          <w:sz w:val="22"/>
        </w:rPr>
        <w:t>用于电控组培训调试机械臂的buck开关电源电路板的设计与焊接。可以实现输入3.3v-35v输出出12v，5v，3.3v，有多种接口满足不同需求，在原有的基础上加上单刀三掷并通过LED来显示选择输出电压。第一版因为铺铜问题导致电压不准确，经过第二版后可直接使用。</w:t>
      </w:r>
    </w:p>
    <w:p w14:paraId="1E3A1559">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drawing>
          <wp:inline distT="0" distB="0" distL="114300" distR="114300">
            <wp:extent cx="3904615" cy="2196465"/>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3904615" cy="2196465"/>
                    </a:xfrm>
                    <a:prstGeom prst="rect">
                      <a:avLst/>
                    </a:prstGeom>
                    <a:noFill/>
                    <a:ln w="9525">
                      <a:noFill/>
                    </a:ln>
                  </pic:spPr>
                </pic:pic>
              </a:graphicData>
            </a:graphic>
          </wp:inline>
        </w:drawing>
      </w:r>
    </w:p>
    <w:p w14:paraId="291B611B">
      <w:pPr>
        <w:spacing w:before="120" w:after="120" w:line="288" w:lineRule="auto"/>
        <w:ind w:left="0"/>
        <w:jc w:val="left"/>
        <w:rPr>
          <w:rFonts w:ascii="Arial" w:hAnsi="Arial" w:eastAsia="等线" w:cs="Arial"/>
          <w:sz w:val="22"/>
        </w:rPr>
      </w:pPr>
    </w:p>
    <w:p w14:paraId="4A68E5EA">
      <w:pPr>
        <w:spacing w:before="120" w:after="120" w:line="288" w:lineRule="auto"/>
        <w:ind w:left="0"/>
        <w:jc w:val="left"/>
      </w:pPr>
      <w:r>
        <w:rPr>
          <w:rFonts w:ascii="Arial" w:hAnsi="Arial" w:eastAsia="等线" w:cs="Arial"/>
          <w:sz w:val="22"/>
        </w:rPr>
        <w:t>二、流水灯文创的制作</w:t>
      </w:r>
    </w:p>
    <w:p w14:paraId="597D1EB6">
      <w:pPr>
        <w:spacing w:before="120" w:after="120" w:line="288" w:lineRule="auto"/>
        <w:ind w:left="0"/>
        <w:jc w:val="left"/>
      </w:pPr>
      <w:r>
        <w:rPr>
          <w:rFonts w:ascii="Arial" w:hAnsi="Arial" w:eastAsia="等线" w:cs="Arial"/>
          <w:sz w:val="22"/>
        </w:rPr>
        <w:t>2025.12.01</w:t>
      </w:r>
    </w:p>
    <w:p w14:paraId="5A84403A">
      <w:pPr>
        <w:spacing w:before="120" w:after="120" w:line="288" w:lineRule="auto"/>
        <w:ind w:left="0"/>
        <w:jc w:val="left"/>
      </w:pPr>
      <w:r>
        <w:rPr>
          <w:rFonts w:ascii="Arial" w:hAnsi="Arial" w:eastAsia="等线" w:cs="Arial"/>
          <w:sz w:val="22"/>
        </w:rPr>
        <w:t>想做一个炫酷一点的战队文创，用于未来的招商活动，可以从上到下一排一排LED轮流点亮，设置电位器可以灵活调整流动速度。</w:t>
      </w:r>
    </w:p>
    <w:p w14:paraId="199E2B58">
      <w:pPr>
        <w:spacing w:before="120" w:after="120" w:line="288" w:lineRule="auto"/>
        <w:ind w:left="0"/>
        <w:jc w:val="left"/>
      </w:pPr>
      <w:r>
        <w:rPr>
          <w:rFonts w:ascii="Arial" w:hAnsi="Arial" w:eastAsia="等线" w:cs="Arial"/>
          <w:sz w:val="22"/>
        </w:rPr>
        <w:t>实物展示：</w:t>
      </w:r>
    </w:p>
    <w:p w14:paraId="3970C69C">
      <w:pPr>
        <w:spacing w:before="120" w:after="120" w:line="288" w:lineRule="auto"/>
        <w:ind w:left="0"/>
        <w:jc w:val="left"/>
        <w:rPr>
          <w:rFonts w:ascii="Arial" w:hAnsi="Arial" w:eastAsia="等线" w:cs="Arial"/>
          <w:sz w:val="22"/>
        </w:rPr>
      </w:pPr>
      <w:r>
        <w:rPr>
          <w:rFonts w:ascii="Arial" w:hAnsi="Arial" w:eastAsia="等线" w:cs="Arial"/>
          <w:sz w:val="22"/>
        </w:rPr>
        <w:t>下一步改进的方向是讲小的LED换成大的LED灯珠，对于前面未铺铜的区域已经进行过孔改造，更具完整想。初版即完成，仅为了验证方案可行性。后续改造灯珠和修改电路板颜色，可以实现一个比较好的文创效果。</w:t>
      </w:r>
    </w:p>
    <w:p w14:paraId="36C9BCAA">
      <w:pPr>
        <w:spacing w:before="120" w:after="120" w:line="288" w:lineRule="auto"/>
        <w:ind w:left="0"/>
        <w:jc w:val="left"/>
        <w:rPr>
          <w:rFonts w:ascii="Arial" w:hAnsi="Arial" w:eastAsia="等线" w:cs="Arial"/>
          <w:sz w:val="22"/>
        </w:rPr>
      </w:pPr>
      <w:r>
        <w:drawing>
          <wp:inline distT="0" distB="0" distL="114300" distR="114300">
            <wp:extent cx="2673350" cy="3362960"/>
            <wp:effectExtent l="0" t="0" r="127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673350" cy="3362960"/>
                    </a:xfrm>
                    <a:prstGeom prst="rect">
                      <a:avLst/>
                    </a:prstGeom>
                    <a:noFill/>
                    <a:ln>
                      <a:noFill/>
                    </a:ln>
                  </pic:spPr>
                </pic:pic>
              </a:graphicData>
            </a:graphic>
          </wp:inline>
        </w:drawing>
      </w:r>
      <w:r>
        <w:drawing>
          <wp:inline distT="0" distB="0" distL="114300" distR="114300">
            <wp:extent cx="1987550" cy="3644900"/>
            <wp:effectExtent l="0" t="0" r="190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1987550" cy="3644900"/>
                    </a:xfrm>
                    <a:prstGeom prst="rect">
                      <a:avLst/>
                    </a:prstGeom>
                    <a:noFill/>
                    <a:ln>
                      <a:noFill/>
                    </a:ln>
                  </pic:spPr>
                </pic:pic>
              </a:graphicData>
            </a:graphic>
          </wp:inline>
        </w:drawing>
      </w:r>
      <w:bookmarkStart w:id="8" w:name="_GoBack"/>
      <w:bookmarkEnd w:id="8"/>
    </w:p>
    <w:p w14:paraId="3A1FEC03">
      <w:pPr>
        <w:spacing w:before="120" w:after="120" w:line="288" w:lineRule="auto"/>
        <w:ind w:left="0"/>
        <w:jc w:val="left"/>
      </w:pPr>
      <w:r>
        <w:rPr>
          <w:rFonts w:ascii="Arial" w:hAnsi="Arial" w:eastAsia="等线" w:cs="Arial"/>
          <w:sz w:val="22"/>
        </w:rPr>
        <w:t>三、遥控器调试</w:t>
      </w:r>
    </w:p>
    <w:p w14:paraId="72DF57F0">
      <w:pPr>
        <w:spacing w:before="120" w:after="120" w:line="288" w:lineRule="auto"/>
        <w:ind w:left="0"/>
        <w:jc w:val="left"/>
      </w:pPr>
      <w:r>
        <w:rPr>
          <w:rFonts w:ascii="Arial" w:hAnsi="Arial" w:eastAsia="等线" w:cs="Arial"/>
          <w:sz w:val="22"/>
        </w:rPr>
        <w:t>2025.12.15</w:t>
      </w:r>
    </w:p>
    <w:p w14:paraId="08372DA1">
      <w:pPr>
        <w:spacing w:before="120" w:after="120" w:line="288" w:lineRule="auto"/>
        <w:ind w:left="0"/>
        <w:jc w:val="left"/>
      </w:pPr>
      <w:r>
        <w:rPr>
          <w:rFonts w:ascii="Arial" w:hAnsi="Arial" w:eastAsia="等线" w:cs="Arial"/>
          <w:sz w:val="22"/>
        </w:rPr>
        <w:t>对于国赛将用到的2.4GH的ZAS01-ML01DP5天线模块做先行性电控调试研究，已实现主板与遥控器通信。可供电控组同学调试遥控器做一定参考。</w:t>
      </w:r>
    </w:p>
    <w:p w14:paraId="60C0B29E">
      <w:pPr>
        <w:spacing w:before="120" w:after="120" w:line="288" w:lineRule="auto"/>
        <w:ind w:left="0"/>
        <w:jc w:val="left"/>
      </w:pPr>
      <w:r>
        <w:rPr>
          <w:rFonts w:ascii="Arial" w:hAnsi="Arial" w:eastAsia="等线" w:cs="Arial"/>
          <w:sz w:val="22"/>
        </w:rPr>
        <w:t>有基于STM32F103C8T6的测试函数，若天线通讯正常：reset或上电后LED会闪烁两下，若天线通讯通讯异常，LED会一直闪烁，说明PCB接线错误或信号传输异常。并有接收发射端通信标志：正常状态遥控器常亮LED，当有信号发出主控LED常亮而遥控器LED熄灭。</w:t>
      </w:r>
    </w:p>
    <w:p w14:paraId="101E8055">
      <w:pPr>
        <w:spacing w:before="120" w:after="120" w:line="288" w:lineRule="auto"/>
        <w:ind w:left="0"/>
        <w:jc w:val="left"/>
      </w:pPr>
      <w:r>
        <w:rPr>
          <w:rFonts w:ascii="Arial" w:hAnsi="Arial" w:eastAsia="等线" w:cs="Arial"/>
          <w:sz w:val="22"/>
        </w:rPr>
        <w:t>通过查阅芯片手册查询到通讯信息储存的寄存器地址和发射接收模式更换的寄存器地址，并编写查询调用寄存器信息的代码函数来实现。</w:t>
      </w:r>
    </w:p>
    <w:p w14:paraId="24EE5458">
      <w:pPr>
        <w:spacing w:before="120" w:after="120" w:line="288" w:lineRule="auto"/>
        <w:ind w:left="0"/>
        <w:jc w:val="left"/>
        <w:rPr>
          <w:rFonts w:ascii="Arial" w:hAnsi="Arial" w:eastAsia="等线" w:cs="Arial"/>
          <w:sz w:val="22"/>
        </w:rPr>
      </w:pPr>
      <w:r>
        <w:rPr>
          <w:rFonts w:ascii="Arial" w:hAnsi="Arial" w:eastAsia="等线" w:cs="Arial"/>
          <w:sz w:val="22"/>
        </w:rPr>
        <w:t>后续改进方向是添加电平精准识别来实现摇杆与转速的精准控制，并且设置死区防止误触控制。</w:t>
      </w:r>
    </w:p>
    <w:p w14:paraId="7655770E">
      <w:pPr>
        <w:spacing w:before="120" w:after="120" w:line="288" w:lineRule="auto"/>
        <w:ind w:left="0"/>
        <w:jc w:val="left"/>
        <w:rPr>
          <w:rFonts w:ascii="Arial" w:hAnsi="Arial" w:eastAsia="等线" w:cs="Arial"/>
          <w:sz w:val="22"/>
        </w:rPr>
      </w:pPr>
    </w:p>
    <w:p w14:paraId="1531C24A">
      <w:pPr>
        <w:spacing w:before="120" w:after="120" w:line="288" w:lineRule="auto"/>
        <w:ind w:left="0"/>
        <w:jc w:val="left"/>
      </w:pPr>
      <w:r>
        <w:rPr>
          <w:rFonts w:ascii="Arial" w:hAnsi="Arial" w:eastAsia="等线" w:cs="Arial"/>
          <w:sz w:val="22"/>
        </w:rPr>
        <w:t>四、超级电容先行研究</w:t>
      </w:r>
    </w:p>
    <w:p w14:paraId="5B3FAF76">
      <w:pPr>
        <w:spacing w:before="120" w:after="120" w:line="288" w:lineRule="auto"/>
        <w:ind w:left="0"/>
        <w:jc w:val="left"/>
      </w:pPr>
      <w:r>
        <w:rPr>
          <w:rFonts w:ascii="Arial" w:hAnsi="Arial" w:eastAsia="等线" w:cs="Arial"/>
          <w:sz w:val="22"/>
        </w:rPr>
        <w:t>2025.12.27</w:t>
      </w:r>
    </w:p>
    <w:p w14:paraId="5DF6ACAE">
      <w:pPr>
        <w:spacing w:before="120" w:after="120" w:line="288" w:lineRule="auto"/>
        <w:ind w:left="0"/>
        <w:jc w:val="left"/>
      </w:pPr>
      <w:r>
        <w:rPr>
          <w:rFonts w:ascii="Arial" w:hAnsi="Arial" w:eastAsia="等线" w:cs="Arial"/>
          <w:sz w:val="22"/>
        </w:rPr>
        <w:t>先确认好了超级电容需要的几个模块，把各个模块的原理、作用以及他们之间的关联进行了研究。</w:t>
      </w:r>
    </w:p>
    <w:p w14:paraId="1AA2706B">
      <w:pPr>
        <w:spacing w:before="120" w:after="120" w:line="288" w:lineRule="auto"/>
        <w:ind w:left="0"/>
        <w:jc w:val="center"/>
      </w:pPr>
      <w:r>
        <w:drawing>
          <wp:inline distT="0" distB="0" distL="0" distR="0">
            <wp:extent cx="2797810" cy="1941830"/>
            <wp:effectExtent l="0" t="0" r="635" b="635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9"/>
                    <a:stretch>
                      <a:fillRect/>
                    </a:stretch>
                  </pic:blipFill>
                  <pic:spPr>
                    <a:xfrm>
                      <a:off x="0" y="0"/>
                      <a:ext cx="2797810" cy="1941830"/>
                    </a:xfrm>
                    <a:prstGeom prst="rect">
                      <a:avLst/>
                    </a:prstGeom>
                  </pic:spPr>
                </pic:pic>
              </a:graphicData>
            </a:graphic>
          </wp:inline>
        </w:drawing>
      </w:r>
    </w:p>
    <w:p w14:paraId="55584CD2">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看了很多高校战队的超级电容方案，基本弄懂超级电容的大致走向，初定用LT8708ILWE#PBF来实现双向DCDC的控制以及电流电压采集工作，通过硬件的闭环采集来省去代码方面的复杂闭环逻辑，为后续调试超级电路铺平道路。目前LT8708ILWE#PBF的基本框架已见雏形，初定采用STM32F103C8T6来作为超级电容的控制MCU，超级电容功率板采用被动均衡，用</w:t>
      </w:r>
      <w:r>
        <w:fldChar w:fldCharType="begin"/>
      </w:r>
      <w:r>
        <w:instrText xml:space="preserve"> HYPERLINK "https://item.szlcsc.com/37636.html?fromZone=s_s__%2522C36658%2522&amp;spm=sc.gbn.xh1.zy.n&amp;c=&amp;lcsc_vid=Q1kNAVxTQFkMAVBeFlEPUQADEwRcAwEAQgVZBVAAT1kxVlNQQVhdUlJUTlFeVjtW" \h </w:instrText>
      </w:r>
      <w:r>
        <w:fldChar w:fldCharType="separate"/>
      </w:r>
      <w:r>
        <w:rPr>
          <w:rFonts w:ascii="Arial" w:hAnsi="Arial" w:eastAsia="等线" w:cs="Arial"/>
          <w:b/>
          <w:color w:val="3370FF"/>
          <w:sz w:val="22"/>
        </w:rPr>
        <w:t>REF3033AIDBZR</w:t>
      </w:r>
      <w:r>
        <w:rPr>
          <w:rFonts w:ascii="Arial" w:hAnsi="Arial" w:eastAsia="等线" w:cs="Arial"/>
          <w:b/>
          <w:color w:val="3370FF"/>
          <w:sz w:val="22"/>
        </w:rPr>
        <w:fldChar w:fldCharType="end"/>
      </w:r>
      <w:r>
        <w:rPr>
          <w:rFonts w:ascii="Arial" w:hAnsi="Arial" w:eastAsia="等线" w:cs="Arial"/>
          <w:b/>
          <w:color w:val="8F959E"/>
          <w:sz w:val="22"/>
        </w:rPr>
        <w:t>来提供精准的电压基准</w:t>
      </w:r>
      <w:r>
        <w:rPr>
          <w:rFonts w:ascii="Arial" w:hAnsi="Arial" w:eastAsia="等线" w:cs="Arial"/>
          <w:sz w:val="22"/>
        </w:rPr>
        <w:t>。</w:t>
      </w:r>
      <w:r>
        <w:rPr>
          <w:rFonts w:hint="eastAsia" w:ascii="Arial" w:hAnsi="Arial" w:eastAsia="等线" w:cs="Arial"/>
          <w:sz w:val="22"/>
          <w:lang w:val="en-US" w:eastAsia="zh-CN"/>
        </w:rPr>
        <w:t>目前基本雏形为此，预计一月初打样第一版试验效果。</w:t>
      </w:r>
    </w:p>
    <w:p w14:paraId="2C865272">
      <w:pPr>
        <w:keepNext w:val="0"/>
        <w:keepLines w:val="0"/>
        <w:widowControl/>
        <w:suppressLineNumbers w:val="0"/>
        <w:ind w:left="1194" w:leftChars="0" w:right="2640" w:rightChars="0" w:firstLine="0" w:firstLineChars="0"/>
        <w:jc w:val="left"/>
      </w:pPr>
      <w:r>
        <w:rPr>
          <w:rFonts w:ascii="宋体" w:hAnsi="宋体" w:eastAsia="宋体" w:cs="宋体"/>
          <w:kern w:val="0"/>
          <w:sz w:val="24"/>
          <w:szCs w:val="24"/>
          <w:lang w:val="en-US" w:eastAsia="zh-CN" w:bidi="ar"/>
          <w14:ligatures w14:val="standardContextual"/>
        </w:rPr>
        <w:drawing>
          <wp:anchor distT="0" distB="0" distL="114300" distR="114300" simplePos="0" relativeHeight="251660288" behindDoc="0" locked="0" layoutInCell="1" allowOverlap="1">
            <wp:simplePos x="0" y="0"/>
            <wp:positionH relativeFrom="column">
              <wp:posOffset>-106680</wp:posOffset>
            </wp:positionH>
            <wp:positionV relativeFrom="paragraph">
              <wp:posOffset>29210</wp:posOffset>
            </wp:positionV>
            <wp:extent cx="2310765" cy="1797685"/>
            <wp:effectExtent l="0" t="0" r="635" b="1905"/>
            <wp:wrapSquare wrapText="bothSides"/>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0"/>
                    <a:stretch>
                      <a:fillRect/>
                    </a:stretch>
                  </pic:blipFill>
                  <pic:spPr>
                    <a:xfrm>
                      <a:off x="0" y="0"/>
                      <a:ext cx="2310765" cy="1797685"/>
                    </a:xfrm>
                    <a:prstGeom prst="rect">
                      <a:avLst/>
                    </a:prstGeom>
                    <a:noFill/>
                    <a:ln w="9525">
                      <a:noFill/>
                    </a:ln>
                  </pic:spPr>
                </pic:pic>
              </a:graphicData>
            </a:graphic>
          </wp:anchor>
        </w:drawing>
      </w:r>
      <w:r>
        <w:rPr>
          <w:rFonts w:ascii="宋体" w:hAnsi="宋体" w:eastAsia="宋体" w:cs="宋体"/>
          <w:kern w:val="0"/>
          <w:sz w:val="24"/>
          <w:szCs w:val="24"/>
          <w:lang w:val="en-US" w:eastAsia="zh-CN" w:bidi="ar"/>
          <w14:ligatures w14:val="standardContextual"/>
        </w:rPr>
        <w:drawing>
          <wp:anchor distT="0" distB="0" distL="114300" distR="114300" simplePos="0" relativeHeight="251659264" behindDoc="0" locked="0" layoutInCell="1" allowOverlap="1">
            <wp:simplePos x="0" y="0"/>
            <wp:positionH relativeFrom="column">
              <wp:posOffset>3099435</wp:posOffset>
            </wp:positionH>
            <wp:positionV relativeFrom="paragraph">
              <wp:posOffset>63500</wp:posOffset>
            </wp:positionV>
            <wp:extent cx="2173605" cy="1764030"/>
            <wp:effectExtent l="0" t="0" r="5715" b="2540"/>
            <wp:wrapSquare wrapText="bothSides"/>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11"/>
                    <a:stretch>
                      <a:fillRect/>
                    </a:stretch>
                  </pic:blipFill>
                  <pic:spPr>
                    <a:xfrm>
                      <a:off x="0" y="0"/>
                      <a:ext cx="2173605" cy="1764030"/>
                    </a:xfrm>
                    <a:prstGeom prst="rect">
                      <a:avLst/>
                    </a:prstGeom>
                    <a:noFill/>
                    <a:ln w="9525">
                      <a:noFill/>
                    </a:ln>
                  </pic:spPr>
                </pic:pic>
              </a:graphicData>
            </a:graphic>
          </wp:anchor>
        </w:drawing>
      </w:r>
    </w:p>
    <w:p w14:paraId="7171B83A">
      <w:pPr>
        <w:spacing w:before="120" w:after="120" w:line="288" w:lineRule="auto"/>
        <w:ind w:left="0"/>
        <w:jc w:val="left"/>
        <w:rPr>
          <w:rFonts w:hint="default" w:ascii="Arial" w:hAnsi="Arial" w:eastAsia="等线" w:cs="Arial"/>
          <w:sz w:val="22"/>
          <w:lang w:val="en-US" w:eastAsia="zh-CN"/>
        </w:rPr>
      </w:pPr>
    </w:p>
    <w:p w14:paraId="3506C0D0">
      <w:pPr>
        <w:keepNext w:val="0"/>
        <w:keepLines w:val="0"/>
        <w:widowControl/>
        <w:suppressLineNumbers w:val="0"/>
        <w:ind w:left="1100" w:leftChars="0" w:right="2322" w:rightChars="0" w:firstLine="0" w:firstLineChars="0"/>
        <w:jc w:val="left"/>
      </w:pPr>
    </w:p>
    <w:p w14:paraId="25616BFE">
      <w:pPr>
        <w:widowControl/>
        <w:spacing w:after="0" w:line="240" w:lineRule="auto"/>
        <w:rPr>
          <w:rFonts w:hint="eastAsia" w:ascii="宋体" w:hAnsi="宋体" w:eastAsia="宋体"/>
          <w:sz w:val="24"/>
        </w:rPr>
      </w:pPr>
    </w:p>
    <w:p w14:paraId="6536B4C1">
      <w:pPr>
        <w:widowControl/>
        <w:spacing w:after="0" w:line="240" w:lineRule="auto"/>
        <w:rPr>
          <w:sz w:val="24"/>
        </w:rPr>
      </w:pPr>
    </w:p>
    <w:sectPr>
      <w:pgSz w:w="11906" w:h="16838"/>
      <w:pgMar w:top="1440" w:right="1558" w:bottom="1134"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B74C99"/>
    <w:multiLevelType w:val="singleLevel"/>
    <w:tmpl w:val="36B74C99"/>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D73"/>
    <w:rsid w:val="000C4BE6"/>
    <w:rsid w:val="000F3EAF"/>
    <w:rsid w:val="00263D73"/>
    <w:rsid w:val="003475BA"/>
    <w:rsid w:val="00403D2F"/>
    <w:rsid w:val="00500815"/>
    <w:rsid w:val="007B4DEF"/>
    <w:rsid w:val="009B08A8"/>
    <w:rsid w:val="009E40A8"/>
    <w:rsid w:val="00B53DCE"/>
    <w:rsid w:val="00DB5805"/>
    <w:rsid w:val="00DE1B4D"/>
    <w:rsid w:val="00EA636D"/>
    <w:rsid w:val="00EF2032"/>
    <w:rsid w:val="00FB1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2"/>
    <w:qFormat/>
    <w:uiPriority w:val="9"/>
    <w:pPr>
      <w:keepNext/>
      <w:keepLines/>
      <w:widowControl/>
      <w:spacing w:before="240" w:after="0" w:line="259" w:lineRule="auto"/>
      <w:outlineLvl w:val="0"/>
    </w:pPr>
    <w:rPr>
      <w:rFonts w:asciiTheme="majorHAnsi" w:hAnsiTheme="majorHAnsi" w:eastAsiaTheme="majorEastAsia" w:cstheme="majorBidi"/>
      <w:color w:val="2F5597" w:themeColor="accent1" w:themeShade="BF"/>
      <w:kern w:val="0"/>
      <w:sz w:val="32"/>
      <w:szCs w:val="32"/>
      <w14:ligatures w14:val="none"/>
    </w:rPr>
  </w:style>
  <w:style w:type="paragraph" w:styleId="3">
    <w:name w:val="heading 2"/>
    <w:basedOn w:val="1"/>
    <w:next w:val="1"/>
    <w:link w:val="13"/>
    <w:unhideWhenUsed/>
    <w:qFormat/>
    <w:uiPriority w:val="9"/>
    <w:pPr>
      <w:keepNext/>
      <w:keepLines/>
      <w:widowControl/>
      <w:spacing w:before="40" w:after="0" w:line="259" w:lineRule="auto"/>
      <w:outlineLvl w:val="1"/>
    </w:pPr>
    <w:rPr>
      <w:rFonts w:asciiTheme="majorHAnsi" w:hAnsiTheme="majorHAnsi" w:eastAsiaTheme="majorEastAsia" w:cstheme="majorBidi"/>
      <w:color w:val="2F5597" w:themeColor="accent1" w:themeShade="BF"/>
      <w:kern w:val="0"/>
      <w:sz w:val="28"/>
      <w:szCs w:val="28"/>
      <w14:ligatures w14:val="none"/>
    </w:rPr>
  </w:style>
  <w:style w:type="paragraph" w:styleId="4">
    <w:name w:val="heading 3"/>
    <w:basedOn w:val="1"/>
    <w:next w:val="1"/>
    <w:link w:val="14"/>
    <w:unhideWhenUsed/>
    <w:qFormat/>
    <w:uiPriority w:val="9"/>
    <w:pPr>
      <w:keepNext/>
      <w:keepLines/>
      <w:widowControl/>
      <w:spacing w:before="40" w:after="0" w:line="259" w:lineRule="auto"/>
      <w:outlineLvl w:val="2"/>
    </w:pPr>
    <w:rPr>
      <w:rFonts w:asciiTheme="majorHAnsi" w:hAnsiTheme="majorHAnsi" w:eastAsiaTheme="majorEastAsia" w:cstheme="majorBidi"/>
      <w:color w:val="203864" w:themeColor="accent1" w:themeShade="80"/>
      <w:kern w:val="0"/>
      <w:sz w:val="24"/>
      <w14:ligatures w14:val="none"/>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1"/>
    <w:unhideWhenUsed/>
    <w:uiPriority w:val="99"/>
    <w:pPr>
      <w:tabs>
        <w:tab w:val="center" w:pos="4320"/>
        <w:tab w:val="right" w:pos="8640"/>
      </w:tabs>
      <w:spacing w:after="0" w:line="240" w:lineRule="auto"/>
      <w:jc w:val="both"/>
    </w:pPr>
    <w:rPr>
      <w:sz w:val="21"/>
      <w:szCs w:val="22"/>
      <w14:ligatures w14:val="none"/>
    </w:rPr>
  </w:style>
  <w:style w:type="paragraph" w:styleId="6">
    <w:name w:val="header"/>
    <w:basedOn w:val="1"/>
    <w:link w:val="10"/>
    <w:unhideWhenUsed/>
    <w:uiPriority w:val="99"/>
    <w:pPr>
      <w:tabs>
        <w:tab w:val="center" w:pos="4320"/>
        <w:tab w:val="right" w:pos="8640"/>
      </w:tabs>
      <w:spacing w:after="0" w:line="240" w:lineRule="auto"/>
      <w:jc w:val="both"/>
    </w:pPr>
    <w:rPr>
      <w:sz w:val="21"/>
      <w:szCs w:val="22"/>
      <w14:ligatures w14:val="none"/>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6"/>
    <w:uiPriority w:val="99"/>
  </w:style>
  <w:style w:type="character" w:customStyle="1" w:styleId="11">
    <w:name w:val="页脚 字符"/>
    <w:basedOn w:val="9"/>
    <w:link w:val="5"/>
    <w:uiPriority w:val="99"/>
  </w:style>
  <w:style w:type="character" w:customStyle="1" w:styleId="12">
    <w:name w:val="标题 1 字符"/>
    <w:basedOn w:val="9"/>
    <w:link w:val="2"/>
    <w:uiPriority w:val="9"/>
    <w:rPr>
      <w:rFonts w:asciiTheme="majorHAnsi" w:hAnsiTheme="majorHAnsi" w:eastAsiaTheme="majorEastAsia" w:cstheme="majorBidi"/>
      <w:color w:val="2F5597" w:themeColor="accent1" w:themeShade="BF"/>
      <w:kern w:val="0"/>
      <w:sz w:val="32"/>
      <w:szCs w:val="32"/>
    </w:rPr>
  </w:style>
  <w:style w:type="character" w:customStyle="1" w:styleId="13">
    <w:name w:val="标题 2 字符"/>
    <w:basedOn w:val="9"/>
    <w:link w:val="3"/>
    <w:uiPriority w:val="9"/>
    <w:rPr>
      <w:rFonts w:asciiTheme="majorHAnsi" w:hAnsiTheme="majorHAnsi" w:eastAsiaTheme="majorEastAsia" w:cstheme="majorBidi"/>
      <w:color w:val="2F5597" w:themeColor="accent1" w:themeShade="BF"/>
      <w:kern w:val="0"/>
      <w:sz w:val="28"/>
      <w:szCs w:val="28"/>
    </w:rPr>
  </w:style>
  <w:style w:type="character" w:customStyle="1" w:styleId="14">
    <w:name w:val="标题 3 字符"/>
    <w:basedOn w:val="9"/>
    <w:link w:val="4"/>
    <w:uiPriority w:val="9"/>
    <w:rPr>
      <w:rFonts w:asciiTheme="majorHAnsi" w:hAnsiTheme="majorHAnsi" w:eastAsiaTheme="majorEastAsia" w:cstheme="majorBidi"/>
      <w:color w:val="203864" w:themeColor="accent1" w:themeShade="80"/>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493</Words>
  <Characters>587</Characters>
  <Lines>4</Lines>
  <Paragraphs>1</Paragraphs>
  <TotalTime>6</TotalTime>
  <ScaleCrop>false</ScaleCrop>
  <LinksUpToDate>false</LinksUpToDate>
  <CharactersWithSpaces>618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2026-01-13T09:06:00Z</dcterms:created>
  <dc:creator>陈 杨明</dc:creator>
  <cp:lastModifiedBy>ZYW</cp:lastModifiedBy>
  <dcterms:modified xsi:type="dcterms:W3CDTF">2026-01-31T13:40:31Z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eyJoZGlkIjoiOGFmMTA4NmE4YzM2NGVjZDM4ZjZkMjZiYzk0OTRkNjIiLCJ1c2VySWQiOiI3MjEyODY5MjAifQ==</vt:lpwstr>
  </property>
  <property fmtid="{D5CDD505-2E9C-101B-9397-08002B2CF9AE}" pid="3" name="KSOProductBuildVer">
    <vt:lpwstr>2052-12.1.0.24657</vt:lpwstr>
  </property>
  <property fmtid="{D5CDD505-2E9C-101B-9397-08002B2CF9AE}" pid="4" name="ICV">
    <vt:lpwstr>945B34C694E048C8A6CAA4837E2C8788_13</vt:lpwstr>
  </property>
</Properties>
</file>