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6AC2C74F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u w:val="single"/>
          <w:lang w:val="en-US" w:eastAsia="zh-CN"/>
        </w:rPr>
        <w:t xml:space="preserve">2025 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u w:val="single"/>
          <w:lang w:val="en-US" w:eastAsia="zh-CN"/>
        </w:rPr>
        <w:t xml:space="preserve"> 上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6A5BF81F">
      <w:pPr>
        <w:widowControl/>
        <w:shd w:val="clear" w:color="auto" w:fill="FFFFFF"/>
        <w:spacing w:after="0" w:line="240" w:lineRule="auto"/>
        <w:rPr>
          <w:rFonts w:hint="default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</w:t>
      </w:r>
      <w:r>
        <w:rPr>
          <w:rFonts w:hint="eastAsia" w:ascii="Segoe UI" w:hAnsi="Segoe UI" w:eastAsia="宋体" w:cs="Segoe UI"/>
          <w:b/>
          <w:bCs/>
          <w:color w:val="0F1115"/>
          <w:kern w:val="0"/>
          <w:sz w:val="28"/>
          <w:szCs w:val="28"/>
          <w:lang w:eastAsia="zh-CN"/>
        </w:rPr>
        <w:t>：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>刘雨芮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  <w:u w:val="single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u w:val="single"/>
          <w:lang w:val="en-US" w:eastAsia="zh-CN"/>
        </w:rPr>
        <w:t xml:space="preserve">Gsing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bookmarkStart w:id="8" w:name="_GoBack"/>
      <w:bookmarkEnd w:id="8"/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sz w:val="24"/>
              </w:rPr>
              <w:t>（</w:t>
            </w:r>
            <w:r>
              <w:rPr>
                <w:rFonts w:hint="eastAsia" w:ascii="Segoe UI" w:hAnsi="Segoe UI" w:eastAsia="宋体" w:cs="Segoe UI"/>
                <w:sz w:val="24"/>
              </w:rPr>
              <w:t>学生</w:t>
            </w:r>
            <w:r>
              <w:rPr>
                <w:rFonts w:ascii="Segoe UI" w:hAnsi="Segoe UI" w:eastAsia="宋体" w:cs="Segoe UI"/>
                <w:sz w:val="24"/>
              </w:rPr>
              <w:t>分点列出完成的主要任务、解决的问题、学习的技能</w:t>
            </w:r>
            <w:r>
              <w:rPr>
                <w:rFonts w:hint="eastAsia" w:ascii="Segoe UI" w:hAnsi="Segoe UI" w:eastAsia="宋体" w:cs="Segoe UI"/>
                <w:sz w:val="24"/>
              </w:rPr>
              <w:t>。此为概要，图表详述，请补充附录呈现。）</w:t>
            </w:r>
          </w:p>
          <w:p w14:paraId="2666FCFB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大疆3508电机控制和解码代码</w:t>
            </w:r>
          </w:p>
          <w:p w14:paraId="602603F5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机械狗底盘运动学解算和trots、walk步态规划</w:t>
            </w:r>
          </w:p>
          <w:p w14:paraId="3661EB03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Mpu6050自平衡实现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5"/>
            <w:bookmarkStart w:id="1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学生填写</w:t>
            </w:r>
          </w:p>
          <w:p w14:paraId="124AC40D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机械狗步态仿生难度大---观察研究狗在不同情况下的步态，步频和驱动方式，对应为控制算法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学生填写</w:t>
            </w:r>
          </w:p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完成任务赛四自由度机械臂运动学解算和控制，实现任务赛物体的稳定拾取和放置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3"/>
            <w:bookmarkStart w:id="3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2DC3EAD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7"/>
            <w:bookmarkStart w:id="5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989F3B9">
      <w:pPr>
        <w:widowControl/>
        <w:spacing w:after="0" w:line="240" w:lineRule="auto"/>
        <w:rPr>
          <w:rFonts w:ascii="宋体" w:hAnsi="宋体" w:eastAsia="宋体"/>
          <w:color w:val="FF0000"/>
          <w:sz w:val="24"/>
        </w:rPr>
      </w:pPr>
      <w:r>
        <w:rPr>
          <w:rFonts w:hint="eastAsia" w:ascii="宋体" w:hAnsi="宋体" w:eastAsia="宋体"/>
          <w:color w:val="FF0000"/>
          <w:sz w:val="24"/>
        </w:rPr>
        <w:t>（具体工作内容详述补充，参考下列格式撰写呈现，本行提示可删除）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31AB79DD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总结汇报个人参与工作情况，工作时长，工作成效等</w:t>
      </w:r>
    </w:p>
    <w:p w14:paraId="487F842A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本月重点攻克了STM32H7高性能主控平台下的多电机协同控制难题，完成了从单电机驱动到“8010 + 大疆(DJI)动力电机+达妙4340/4310关节电机”混合驱动系统的构建。</w:t>
      </w:r>
    </w:p>
    <w:p w14:paraId="12FE4F66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工作时长：持续投入，覆盖底层驱动开发、通信协议解析、PID算法调优及运动学算法。</w:t>
      </w:r>
    </w:p>
    <w:p w14:paraId="16CD3F83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工作成效：</w:t>
      </w:r>
    </w:p>
    <w:p w14:paraId="6513D10D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成功搭建双路CAN总线架构，解决了异构电机协议冲突问题。</w:t>
      </w:r>
    </w:p>
    <w:p w14:paraId="6AECBFC3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实现了3508电机的速度/位置双闭环控制，攻克了低速抖动与超调难题。</w:t>
      </w:r>
    </w:p>
    <w:p w14:paraId="256EF289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完成了达妙电机MIT模式的通信与控制封装。</w:t>
      </w:r>
    </w:p>
    <w:p w14:paraId="12627A55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初步完成了机器人轮腿单腿和四足运动学与摆线步态算法，为四足机器人整机控制奠定基础。</w:t>
      </w:r>
    </w:p>
    <w:p w14:paraId="1A6EE2DD">
      <w:pPr>
        <w:ind w:firstLine="480"/>
        <w:rPr>
          <w:rFonts w:ascii="宋体" w:hAnsi="宋体" w:eastAsia="宋体"/>
        </w:rPr>
      </w:pP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032EAFFB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分项工作内容汇报</w:t>
      </w:r>
    </w:p>
    <w:p w14:paraId="3121F173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技术性工作分项目总结陈述，简要阐述和材料印证。以牵头项目为主，参与项目需与牵头人对齐分工情况。</w:t>
      </w:r>
    </w:p>
    <w:p w14:paraId="0B132A40">
      <w:pPr>
        <w:ind w:firstLine="480"/>
        <w:rPr>
          <w:rFonts w:hint="eastAsia" w:ascii="宋体" w:hAnsi="宋体" w:eastAsia="宋体"/>
        </w:rPr>
      </w:pPr>
    </w:p>
    <w:p w14:paraId="1BEE1BA3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 多电机混合驱动架构设计与实现</w:t>
      </w:r>
    </w:p>
    <w:p w14:paraId="2B28DE05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工作内容：</w:t>
      </w:r>
    </w:p>
    <w:p w14:paraId="2509C7DD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针对STM32H723资源特性，设计了双路FDCAN物理隔离方案：FDCAN1 专用于控制大疆3508轮组电机，FDCAN2 专用于控制达妙关节电机，彻底解决了两类电机在同一总线下ID冲突与带宽抢占的问题。</w:t>
      </w:r>
    </w:p>
    <w:p w14:paraId="389E8F84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编写了统一的 fdcan_filter_config 过滤器配置模块，实现了基于ID段的硬件级消息分发。</w:t>
      </w:r>
    </w:p>
    <w:p w14:paraId="3BD05AF6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开发了 dm_driver 与 3508_driver 两个独立的驱动模块，通过标准化的接口（如 DM_Motor_Ctrl 和 PID_Calc_Position）供主控调度。</w:t>
      </w:r>
    </w:p>
    <w:p w14:paraId="32B8907C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技术成果/材料印证：</w:t>
      </w:r>
    </w:p>
    <w:p w14:paraId="1F44274C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代码产出：dm_driver.c/h, 3508_driver.c/h,。</w:t>
      </w:r>
    </w:p>
    <w:p w14:paraId="5E81AF4D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关键逻辑：在 HAL_FDCAN_RxFifo0Callback 中实现了基于 hfdcan-&gt;Instance 的自动路由逻辑，确保了中断处理的高效与准确。</w:t>
      </w:r>
    </w:p>
    <w:p w14:paraId="01EA5C5A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2. 大疆M3508电机高精度闭环控制优化 </w:t>
      </w:r>
    </w:p>
    <w:p w14:paraId="779CC802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工作内容：</w:t>
      </w:r>
    </w:p>
    <w:p w14:paraId="621BDBE0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双闭环PID搭建：实现了“位置环（外环）+ 速度环（内环）”的串级PID控制架构。</w:t>
      </w:r>
    </w:p>
    <w:p w14:paraId="2C2B47C6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参数整定与防抖：针对3508+C620电调组合在位置保持时的抖动问题，引入了 死区控制(Deadband)、微分先行(Kd on Speed) 以及 EMA指数平均滤波。通过降低位置环Kp、增加速度环Kd、优化死区阈值（25 ticks），成功消除了电机到达目标位置后的高频震荡。</w:t>
      </w:r>
    </w:p>
    <w:p w14:paraId="530A350B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功率限制算法：基于 $P=T\omega$ 物理模型，开发了动态电流限幅函数 Power_Limit，根据实时转速反推最大允许电流，有效防止电机过载。</w:t>
      </w:r>
    </w:p>
    <w:p w14:paraId="1E439B9E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技术成果/材料印证：</w:t>
      </w:r>
    </w:p>
    <w:p w14:paraId="5A2008F3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算法代码：PID_Calc_Position 与 Power_Limit 函数实现。</w:t>
      </w:r>
    </w:p>
    <w:p w14:paraId="774AD5B4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调试结果：实现了3508电机在720度（2圈）行程内的平滑加减速与精准定位，无明显超调与稳态抖动。</w:t>
      </w:r>
    </w:p>
    <w:p w14:paraId="1CC32603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 xml:space="preserve">3. 达妙电机MIT模式驱动开发 </w:t>
      </w:r>
    </w:p>
    <w:p w14:paraId="483541EE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工作内容：</w:t>
      </w:r>
    </w:p>
    <w:p w14:paraId="71F394B5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深入解析达妙MIT协议（Position, Velocity, Kp, Kd, Torque），实现了 float_to_uint 线性映射算法，将浮点物理量压缩为CAN报文。</w:t>
      </w:r>
    </w:p>
    <w:p w14:paraId="3716761C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封装了 DM_Motor_Enable/Disable 及 DM_Send_Ctrl 接口，支持多电机（ID 0x01-0x04）的数组化管理。</w:t>
      </w:r>
    </w:p>
    <w:p w14:paraId="04B58AEE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解决了F407与H7平台下CAN发送函数的兼容性问题（HAL_CAN_AddTxMessage vs HAL_FDCAN_AddMessageToTxFifoQ）。</w:t>
      </w:r>
    </w:p>
    <w:p w14:paraId="6D10CE16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技术成果/材料印证：</w:t>
      </w:r>
    </w:p>
    <w:p w14:paraId="455E5DF0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通信验证：上位机配置（ID:1, Master:0, Mode:MIT）与底层代码成功连接，电机可响应力矩与位置指令。</w:t>
      </w:r>
    </w:p>
    <w:p w14:paraId="78D86B73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代码模块：dm_driver 模块具备了完整的收发与状态反馈解析能力。</w:t>
      </w:r>
    </w:p>
    <w:p w14:paraId="12BAF426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4. 足式机器人运动学算法移植 (牵头)</w:t>
      </w:r>
    </w:p>
    <w:p w14:paraId="45395868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工作内容：</w:t>
      </w:r>
    </w:p>
    <w:p w14:paraId="53A1772E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轮腿的 正运动学(FK) 与 逆运动学(IK) 算法，实现了足端坐标 $(x, z)$ 与关节角度(q1, q2) 的相互转换。</w:t>
      </w:r>
    </w:p>
    <w:p w14:paraId="1FCD8278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解算摆线步态(Cycloidal Gait) ，实现了从“启动缓冲”到“周期行走”的平滑过渡逻辑。</w:t>
      </w:r>
    </w:p>
    <w:p w14:paraId="3DC5AAD9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建立了 轮腿联动模型，在支撑相自动计算轮电机（3508）的匹配线速度，为未来的整机复合运动控制打通了逻辑链路。</w:t>
      </w:r>
    </w:p>
    <w:p w14:paraId="3DBAA58D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技术成果/材料印证：</w:t>
      </w:r>
    </w:p>
    <w:p w14:paraId="37B8F9E1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算法库：leg_kinematics.c/h。</w:t>
      </w:r>
    </w:p>
    <w:p w14:paraId="7FE88981">
      <w:pPr>
        <w:ind w:leftChars="0" w:firstLine="48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仿真验证：在 main.c 中构建了 250Hz 的实时控制任务，验证了轨迹生成与电机指令下发的时序逻辑。</w:t>
      </w:r>
    </w:p>
    <w:p w14:paraId="4E9063BD">
      <w:pPr>
        <w:ind w:leftChars="0" w:firstLine="480" w:firstLineChars="0"/>
        <w:rPr>
          <w:rFonts w:hint="eastAsia" w:ascii="宋体" w:hAnsi="宋体" w:eastAsia="宋体"/>
        </w:rPr>
      </w:pPr>
      <w:r>
        <w:drawing>
          <wp:inline distT="0" distB="0" distL="114300" distR="114300">
            <wp:extent cx="4514850" cy="443865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D382">
      <w:pPr>
        <w:rPr>
          <w:rFonts w:ascii="宋体" w:hAnsi="宋体" w:eastAsia="宋体"/>
        </w:rPr>
      </w:pP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0CE197F">
      <w:pPr>
        <w:ind w:firstLine="438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服务性工作分项目总结陈述，简要阐述和材料印证。以牵头项目为主，参与项目需与牵头人对齐分工情况。</w:t>
      </w: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049170"/>
    <w:multiLevelType w:val="singleLevel"/>
    <w:tmpl w:val="7E0491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FE6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493</Words>
  <Characters>587</Characters>
  <Lines>4</Lines>
  <Paragraphs>1</Paragraphs>
  <TotalTime>294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WPS_1756600622</cp:lastModifiedBy>
  <dcterms:modified xsi:type="dcterms:W3CDTF">2026-02-01T11:12:00Z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eyJoZGlkIjoiZTQ2OTcxMzY2MjA1OWNiMWRmYTQyNGJlZTg1N2JhMGQiLCJ1c2VySWQiOiIxNzM1NDk0Mjc3In0=</vt:lpwstr>
  </property>
  <property fmtid="{D5CDD505-2E9C-101B-9397-08002B2CF9AE}" pid="3" name="KSOProductBuildVer">
    <vt:lpwstr>2052-12.1.0.24657</vt:lpwstr>
  </property>
  <property fmtid="{D5CDD505-2E9C-101B-9397-08002B2CF9AE}" pid="4" name="ICV">
    <vt:lpwstr>A5EB6ACBE1C64783927E91C652CF2BA5_13</vt:lpwstr>
  </property>
</Properties>
</file>