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chier-dinstructions-pour-les-rapports"/>
    <w:p>
      <w:pPr>
        <w:pStyle w:val="Heading1"/>
      </w:pPr>
      <w:r>
        <w:t xml:space="preserve">Fichier d’Instructions pour les Rapports</w:t>
      </w:r>
    </w:p>
    <w:p>
      <w:pPr>
        <w:pStyle w:val="FirstParagraph"/>
      </w:pPr>
      <w:r>
        <w:t xml:space="preserve">Téléchargez ce fichier dans votre session IA avant de générer des rapports FASTR. Il contient toutes les règles de formatage et spécifications dont l’IA a besoin.</w:t>
      </w:r>
    </w:p>
    <w:p>
      <w:r>
        <w:pict>
          <v:rect style="width:0;height:1.5pt" o:hralign="center" o:hrstd="t" o:hr="t"/>
        </w:pict>
      </w:r>
    </w:p>
    <w:bookmarkEnd w:id="9"/>
    <w:bookmarkStart w:id="10" w:name="instructions-système-flux-de-travail"/>
    <w:p>
      <w:pPr>
        <w:pStyle w:val="Heading1"/>
      </w:pPr>
      <w:r>
        <w:t xml:space="preserve">Instructions Système : Flux de Travail</w:t>
      </w:r>
    </w:p>
    <w:p>
      <w:pPr>
        <w:pStyle w:val="FirstParagraph"/>
      </w:pPr>
      <w:r>
        <w:rPr>
          <w:b/>
          <w:bCs/>
        </w:rPr>
        <w:t xml:space="preserve">IMPORTANT : Ne pas exécuter tous les prompts automatiquement.</w:t>
      </w:r>
    </w:p>
    <w:p>
      <w:pPr>
        <w:pStyle w:val="BodyText"/>
      </w:pPr>
      <w:r>
        <w:t xml:space="preserve">Ce fichier contient trois prompts de rapport distincts. Exécutez-les un à la fois selon les demandes de l’utilisateur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3131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 de rapport</w:t>
            </w:r>
          </w:p>
        </w:tc>
        <w:tc>
          <w:tcPr/>
          <w:p>
            <w:pPr>
              <w:pStyle w:val="Compact"/>
            </w:pPr>
            <w:r>
              <w:t xml:space="preserve">Quand l’utiliser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1</w:t>
            </w:r>
          </w:p>
        </w:tc>
        <w:tc>
          <w:tcPr/>
          <w:p>
            <w:pPr>
              <w:pStyle w:val="Compact"/>
            </w:pPr>
            <w:r>
              <w:t xml:space="preserve">Rapport de Perturbations FASTR</w:t>
            </w:r>
          </w:p>
        </w:tc>
        <w:tc>
          <w:tcPr/>
          <w:p>
            <w:pPr>
              <w:pStyle w:val="Compact"/>
            </w:pPr>
            <w:r>
              <w:t xml:space="preserve">Commencer ici. C’est le rapport principal.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2</w:t>
            </w:r>
          </w:p>
        </w:tc>
        <w:tc>
          <w:tcPr/>
          <w:p>
            <w:pPr>
              <w:pStyle w:val="Compact"/>
            </w:pPr>
            <w:r>
              <w:t xml:space="preserve">Analyse Régionale des Perturbations (Annexe 1)</w:t>
            </w:r>
          </w:p>
        </w:tc>
        <w:tc>
          <w:tcPr/>
          <w:p>
            <w:pPr>
              <w:pStyle w:val="Compact"/>
            </w:pPr>
            <w:r>
              <w:t xml:space="preserve">Uniquement sur demande d’analyse sous-nationale/régionale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3</w:t>
            </w:r>
          </w:p>
        </w:tc>
        <w:tc>
          <w:tcPr/>
          <w:p>
            <w:pPr>
              <w:pStyle w:val="Compact"/>
            </w:pPr>
            <w:r>
              <w:t xml:space="preserve">Évaluation de la Qualité des Données (Annexe 1 ou 2)</w:t>
            </w:r>
          </w:p>
        </w:tc>
        <w:tc>
          <w:tcPr/>
          <w:p>
            <w:pPr>
              <w:pStyle w:val="Compact"/>
            </w:pPr>
            <w:r>
              <w:t xml:space="preserve">Uniquement sur demande de rapport de qualité des données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 de travail :</w:t>
      </w:r>
      <w:r>
        <w:t xml:space="preserve"> </w:t>
      </w:r>
      <w:r>
        <w:t xml:space="preserve">1. Lorsque l’utilisateur demande un rapport, générer uniquement le</w:t>
      </w:r>
      <w:r>
        <w:t xml:space="preserve"> </w:t>
      </w:r>
      <w:r>
        <w:rPr>
          <w:b/>
          <w:bCs/>
        </w:rPr>
        <w:t xml:space="preserve">Prompt 1</w:t>
      </w:r>
      <w:r>
        <w:t xml:space="preserve"> </w:t>
      </w:r>
      <w:r>
        <w:t xml:space="preserve">(Rapport de Perturbations)</w:t>
      </w:r>
      <w:r>
        <w:t xml:space="preserve"> </w:t>
      </w:r>
      <w:r>
        <w:t xml:space="preserve">2. Après avoir terminé le Prompt 1, demander à l’utilisateur :</w:t>
      </w:r>
      <w:r>
        <w:t xml:space="preserve"> </w:t>
      </w:r>
      <w:r>
        <w:rPr>
          <w:i/>
          <w:iCs/>
        </w:rPr>
        <w:t xml:space="preserve">« Souhaitez-vous que j’ajoute l’analyse régionale (Prompt 2) ou l’évaluation de la qualité des données (Prompt 3) ? »</w:t>
      </w:r>
      <w:r>
        <w:t xml:space="preserve"> </w:t>
      </w:r>
      <w:r>
        <w:t xml:space="preserve">3. Attendre que l’utilisateur demande des sections supplémentaires avant de continuer</w:t>
      </w:r>
    </w:p>
    <w:p>
      <w:r>
        <w:pict>
          <v:rect style="width:0;height:1.5pt" o:hralign="center" o:hrstd="t" o:hr="t"/>
        </w:pict>
      </w:r>
    </w:p>
    <w:bookmarkEnd w:id="10"/>
    <w:bookmarkStart w:id="11" w:name="X3a18b7c9ca88ab87726f5527b4fc499ed69afee"/>
    <w:p>
      <w:pPr>
        <w:pStyle w:val="Heading1"/>
      </w:pPr>
      <w:r>
        <w:t xml:space="preserve">Instructions Système : Regroupement des Indicateurs</w:t>
      </w:r>
    </w:p>
    <w:p>
      <w:pPr>
        <w:pStyle w:val="FirstParagraph"/>
      </w:pPr>
      <w:r>
        <w:t xml:space="preserve">Utiliser les indicateurs disponibles dans la plateforme. Les regrouper comme suit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1"/>
        <w:gridCol w:w="2112"/>
        <w:gridCol w:w="46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Indicateurs de base</w:t>
            </w:r>
          </w:p>
        </w:tc>
        <w:tc>
          <w:tcPr/>
          <w:p>
            <w:pPr>
              <w:pStyle w:val="Compact"/>
            </w:pPr>
            <w:r>
              <w:t xml:space="preserve">Indicateurs additionnels (si disponibles)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Santé maternelle et néonatale</w:t>
            </w:r>
          </w:p>
        </w:tc>
        <w:tc>
          <w:tcPr/>
          <w:p>
            <w:pPr>
              <w:pStyle w:val="Compact"/>
            </w:pPr>
            <w:r>
              <w:t xml:space="preserve">CPN1, CPN4, Accouchement institutionnel, CPoN1</w:t>
            </w:r>
          </w:p>
        </w:tc>
        <w:tc>
          <w:tcPr/>
          <w:p>
            <w:pPr>
              <w:pStyle w:val="Compact"/>
            </w:pPr>
            <w:r>
              <w:t xml:space="preserve">Césariennes, décès maternels, décès néonatals, mort-nés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Vaccination</w:t>
            </w:r>
          </w:p>
        </w:tc>
        <w:tc>
          <w:tcPr/>
          <w:p>
            <w:pPr>
              <w:pStyle w:val="Compact"/>
            </w:pPr>
            <w:r>
              <w:t xml:space="preserve">BCG, Penta1, Penta3</w:t>
            </w:r>
          </w:p>
        </w:tc>
        <w:tc>
          <w:tcPr/>
          <w:p>
            <w:pPr>
              <w:pStyle w:val="Compact"/>
            </w:pPr>
            <w:r>
              <w:t xml:space="preserve">Rougeole 1/2, enfants complètement vaccinés, Vitamine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 généraux</w:t>
            </w:r>
          </w:p>
        </w:tc>
        <w:tc>
          <w:tcPr/>
          <w:p>
            <w:pPr>
              <w:pStyle w:val="Compact"/>
            </w:pPr>
            <w:r>
              <w:t xml:space="preserve">Consultations externes</w:t>
            </w:r>
          </w:p>
        </w:tc>
        <w:tc>
          <w:tcPr/>
          <w:p>
            <w:pPr>
              <w:pStyle w:val="Compact"/>
            </w:pPr>
            <w:r>
              <w:t xml:space="preserve">Consultations &lt; 5 ans, consultations &gt; 5 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Planification familiale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 disponible)</w:t>
            </w:r>
          </w:p>
        </w:tc>
        <w:tc>
          <w:tcPr/>
          <w:p>
            <w:pPr>
              <w:pStyle w:val="Compact"/>
            </w:pPr>
            <w:r>
              <w:t xml:space="preserve">Nouvelles acceptantes PF, conseils PF, méthodes longue durée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Paludisme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 disponible)</w:t>
            </w:r>
          </w:p>
        </w:tc>
        <w:tc>
          <w:tcPr/>
          <w:p>
            <w:pPr>
              <w:pStyle w:val="Compact"/>
            </w:pPr>
            <w:r>
              <w:t xml:space="preserve">TDR positif, traitement dans les 24h, traitement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Nutrition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 disponible)</w:t>
            </w:r>
          </w:p>
        </w:tc>
        <w:tc>
          <w:tcPr/>
          <w:p>
            <w:pPr>
              <w:pStyle w:val="Compact"/>
            </w:pPr>
            <w:r>
              <w:t xml:space="preserve">Cas de malnutrition, malnutrition aiguë prise en charge</w:t>
            </w:r>
          </w:p>
        </w:tc>
      </w:tr>
    </w:tbl>
    <w:p>
      <w:pPr>
        <w:pStyle w:val="BodyText"/>
      </w:pPr>
      <w:r>
        <w:t xml:space="preserve">Inclure uniquement les indicateurs qui existent dans la plateforme. Ignorer les catégories sans indicateurs disponibles.</w:t>
      </w:r>
    </w:p>
    <w:p>
      <w:r>
        <w:pict>
          <v:rect style="width:0;height:1.5pt" o:hralign="center" o:hrstd="t" o:hr="t"/>
        </w:pict>
      </w:r>
    </w:p>
    <w:bookmarkEnd w:id="11"/>
    <w:bookmarkStart w:id="15" w:name="instructions-de-base-pour-lia"/>
    <w:p>
      <w:pPr>
        <w:pStyle w:val="Heading1"/>
      </w:pPr>
      <w:r>
        <w:t xml:space="preserve">Instructions de Base pour l’IA</w:t>
      </w:r>
    </w:p>
    <w:p>
      <w:pPr>
        <w:pStyle w:val="FirstParagraph"/>
      </w:pPr>
      <w:r>
        <w:t xml:space="preserve">Ce sont les règles de formatage cohérentes pour tous les rapports FASTR.</w:t>
      </w:r>
    </w:p>
    <w:bookmarkStart w:id="12" w:name="normes-générales-des-rapports"/>
    <w:p>
      <w:pPr>
        <w:pStyle w:val="Heading2"/>
      </w:pPr>
      <w:r>
        <w:t xml:space="preserve">Normes Générales des Rapports</w:t>
      </w:r>
    </w:p>
    <w:p>
      <w:pPr>
        <w:pStyle w:val="Compact"/>
        <w:numPr>
          <w:ilvl w:val="0"/>
          <w:numId w:val="1001"/>
        </w:numPr>
      </w:pPr>
      <w:r>
        <w:t xml:space="preserve">Maintenir un langage prudent et analytique</w:t>
      </w:r>
    </w:p>
    <w:p>
      <w:pPr>
        <w:pStyle w:val="Compact"/>
        <w:numPr>
          <w:ilvl w:val="0"/>
          <w:numId w:val="1001"/>
        </w:numPr>
      </w:pPr>
      <w:r>
        <w:t xml:space="preserve">Ne pas présenter de liens de causalité</w:t>
      </w:r>
    </w:p>
    <w:p>
      <w:pPr>
        <w:pStyle w:val="Compact"/>
        <w:numPr>
          <w:ilvl w:val="0"/>
          <w:numId w:val="1001"/>
        </w:numPr>
      </w:pPr>
      <w:r>
        <w:t xml:space="preserve">Traiter tous les signaux de perturbation comme descriptifs et exploratoires</w:t>
      </w:r>
    </w:p>
    <w:p>
      <w:pPr>
        <w:pStyle w:val="Compact"/>
        <w:numPr>
          <w:ilvl w:val="0"/>
          <w:numId w:val="1001"/>
        </w:numPr>
      </w:pPr>
      <w:r>
        <w:t xml:space="preserve">Utiliser l’image de marque FASTR et le contexte du pays</w:t>
      </w:r>
    </w:p>
    <w:p>
      <w:pPr>
        <w:pStyle w:val="Compact"/>
        <w:numPr>
          <w:ilvl w:val="0"/>
          <w:numId w:val="1001"/>
        </w:numPr>
      </w:pPr>
      <w:r>
        <w:t xml:space="preserve">Structurer les descriptions narratives en phrases complètes plutôt qu’en points</w:t>
      </w:r>
    </w:p>
    <w:p>
      <w:pPr>
        <w:pStyle w:val="Compact"/>
        <w:numPr>
          <w:ilvl w:val="0"/>
          <w:numId w:val="1001"/>
        </w:numPr>
      </w:pPr>
      <w:r>
        <w:t xml:space="preserve">Mettre les titres des indicateurs en</w:t>
      </w:r>
      <w:r>
        <w:t xml:space="preserve"> </w:t>
      </w:r>
      <w:r>
        <w:rPr>
          <w:b/>
          <w:bCs/>
        </w:rPr>
        <w:t xml:space="preserve">gras</w:t>
      </w:r>
    </w:p>
    <w:p>
      <w:pPr>
        <w:pStyle w:val="Compact"/>
        <w:numPr>
          <w:ilvl w:val="0"/>
          <w:numId w:val="1001"/>
        </w:numPr>
      </w:pPr>
      <w:r>
        <w:t xml:space="preserve">Utiliser la mise en page standard : interprétation à gauche, visualisation à droite</w:t>
      </w:r>
    </w:p>
    <w:p>
      <w:pPr>
        <w:pStyle w:val="Compact"/>
        <w:numPr>
          <w:ilvl w:val="0"/>
          <w:numId w:val="1001"/>
        </w:numPr>
      </w:pPr>
      <w:r>
        <w:t xml:space="preserve">Utiliser une terminologie cohérente tout au long (ne pas alterner entre synonymes)</w:t>
      </w:r>
    </w:p>
    <w:bookmarkEnd w:id="12"/>
    <w:bookmarkStart w:id="13" w:name="exigences-de-précision"/>
    <w:p>
      <w:pPr>
        <w:pStyle w:val="Heading2"/>
      </w:pPr>
      <w:r>
        <w:t xml:space="preserve">Exigences de Précision</w:t>
      </w:r>
    </w:p>
    <w:p>
      <w:pPr>
        <w:pStyle w:val="Compact"/>
        <w:numPr>
          <w:ilvl w:val="0"/>
          <w:numId w:val="1002"/>
        </w:numPr>
      </w:pPr>
      <w:r>
        <w:t xml:space="preserve">Baser toute analyse uniquement sur les données visibles dans la plateforme - ne pas s’appuyer sur des connaissances externes</w:t>
      </w:r>
    </w:p>
    <w:p>
      <w:pPr>
        <w:pStyle w:val="Compact"/>
        <w:numPr>
          <w:ilvl w:val="0"/>
          <w:numId w:val="1002"/>
        </w:numPr>
      </w:pPr>
      <w:r>
        <w:t xml:space="preserve">Ne pas inventer de statistiques, pourcentages ou chiffres spécifiques - si les données ne sont pas visibles, le dire</w:t>
      </w:r>
    </w:p>
    <w:p>
      <w:pPr>
        <w:pStyle w:val="Compact"/>
        <w:numPr>
          <w:ilvl w:val="0"/>
          <w:numId w:val="1002"/>
        </w:numPr>
      </w:pPr>
      <w:r>
        <w:t xml:space="preserve">Si vous ne pouvez pas vérifier une affirmation à partir des données, la marquer avec [VÉRIFIER]</w:t>
      </w:r>
    </w:p>
    <w:p>
      <w:pPr>
        <w:pStyle w:val="Compact"/>
        <w:numPr>
          <w:ilvl w:val="0"/>
          <w:numId w:val="1002"/>
        </w:numPr>
      </w:pPr>
      <w:r>
        <w:t xml:space="preserve">Ne pas deviner les dates, périodes ou amplitudes</w:t>
      </w:r>
    </w:p>
    <w:bookmarkEnd w:id="13"/>
    <w:bookmarkStart w:id="14" w:name="exigences-de-vérification"/>
    <w:p>
      <w:pPr>
        <w:pStyle w:val="Heading2"/>
      </w:pPr>
      <w:r>
        <w:t xml:space="preserve">Exigences de Vérification</w:t>
      </w:r>
    </w:p>
    <w:p>
      <w:pPr>
        <w:pStyle w:val="FirstParagraph"/>
      </w:pPr>
      <w:r>
        <w:rPr>
          <w:b/>
          <w:bCs/>
        </w:rPr>
        <w:t xml:space="preserve">Avant de finaliser toute interprétation, vérifier l’exactitude en utilisant tous les outils disponibles :</w:t>
      </w:r>
    </w:p>
    <w:p>
      <w:pPr>
        <w:pStyle w:val="Compact"/>
        <w:numPr>
          <w:ilvl w:val="0"/>
          <w:numId w:val="1003"/>
        </w:numPr>
      </w:pPr>
      <w:r>
        <w:t xml:space="preserve">Vérifier les valeurs numériques par rapport aux données ou visualisations réelles</w:t>
      </w:r>
    </w:p>
    <w:p>
      <w:pPr>
        <w:pStyle w:val="Compact"/>
        <w:numPr>
          <w:ilvl w:val="0"/>
          <w:numId w:val="1003"/>
        </w:numPr>
      </w:pPr>
      <w:r>
        <w:t xml:space="preserve">Confirmer que les périodes, noms d’indicateurs et zones géographiques sont correctement référencés</w:t>
      </w:r>
    </w:p>
    <w:p>
      <w:pPr>
        <w:pStyle w:val="Compact"/>
        <w:numPr>
          <w:ilvl w:val="0"/>
          <w:numId w:val="1003"/>
        </w:numPr>
      </w:pPr>
      <w:r>
        <w:t xml:space="preserve">Vérifier que les tendances décrites (augmentations, diminutions, perturbations) correspondent à ce que montrent les données</w:t>
      </w:r>
    </w:p>
    <w:p>
      <w:pPr>
        <w:pStyle w:val="Compact"/>
        <w:numPr>
          <w:ilvl w:val="0"/>
          <w:numId w:val="1003"/>
        </w:numPr>
      </w:pPr>
      <w:r>
        <w:t xml:space="preserve">Si vous ne pouvez pas vérifier une affirmation, l’énoncer avec l’incertitude appropriée ou l’omettre</w:t>
      </w:r>
    </w:p>
    <w:p>
      <w:pPr>
        <w:pStyle w:val="Compact"/>
        <w:numPr>
          <w:ilvl w:val="0"/>
          <w:numId w:val="1003"/>
        </w:numPr>
      </w:pPr>
      <w:r>
        <w:t xml:space="preserve">Ne pas deviner ou déduire des valeurs — rapporter uniquement ce qui peut être confirmé par les données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5" w:name="prompt-1-rapport-de-perturbations-fastr"/>
    <w:p>
      <w:pPr>
        <w:pStyle w:val="Heading1"/>
      </w:pPr>
      <w:r>
        <w:t xml:space="preserve">PROMPT 1 : Rapport de Perturbations FASTR</w:t>
      </w:r>
    </w:p>
    <w:bookmarkStart w:id="16" w:name="avant-de-commencer"/>
    <w:p>
      <w:pPr>
        <w:pStyle w:val="Heading2"/>
      </w:pPr>
      <w:r>
        <w:t xml:space="preserve">Avant de Commencer</w:t>
      </w:r>
    </w:p>
    <w:p>
      <w:pPr>
        <w:pStyle w:val="FirstParagraph"/>
      </w:pPr>
      <w:r>
        <w:rPr>
          <w:b/>
          <w:bCs/>
        </w:rPr>
        <w:t xml:space="preserve">DEMANDER À L’UTILISATEUR :</w:t>
      </w:r>
      <w:r>
        <w:t xml:space="preserve"> </w:t>
      </w:r>
      <w:r>
        <w:t xml:space="preserve">- Nom du pays</w:t>
      </w:r>
      <w:r>
        <w:t xml:space="preserve"> </w:t>
      </w:r>
      <w:r>
        <w:t xml:space="preserve">- Période d’analyse : La plage de dates des données à inclure (mois/année de début à mois/année de fin, ex : « Janvier 2023 à Décembre 2025 »)</w:t>
      </w:r>
      <w:r>
        <w:t xml:space="preserve"> </w:t>
      </w:r>
      <w:r>
        <w:t xml:space="preserve">- Libellé du titre du rapport : Un court libellé pour le sous-titre de la couverture décrivant ce que couvre ce rapport (ex : « T4 2025 », « Annuel 2025 », « Janvier-Juin 2025 »)</w:t>
      </w:r>
      <w:r>
        <w:t xml:space="preserve"> </w:t>
      </w:r>
      <w:r>
        <w:t xml:space="preserve">- Date de génération de l’analyse : Le mois/année où cette analyse a été produite, pour le pied de page de la couverture (ex : « Février 2026 »)</w:t>
      </w:r>
    </w:p>
    <w:p>
      <w:pPr>
        <w:pStyle w:val="BodyText"/>
      </w:pPr>
      <w:r>
        <w:rPr>
          <w:b/>
          <w:bCs/>
        </w:rPr>
        <w:t xml:space="preserve">Lorsque l’utilisateur fournit la période d’analyse :</w:t>
      </w:r>
      <w:r>
        <w:t xml:space="preserve"> </w:t>
      </w:r>
      <w:r>
        <w:t xml:space="preserve">- Convertir la date de début au format period_id : [ANNÉE][MOIS] en nombre à 6 chiffres (ex : Janvier 2025 = 202501)</w:t>
      </w:r>
      <w:r>
        <w:t xml:space="preserve"> </w:t>
      </w:r>
      <w:r>
        <w:t xml:space="preserve">- Convertir la date de fin au format period_id : [ANNÉE][MOIS] en nombre à 6 chiffres (ex : Décembre 2025 = 202512)</w:t>
      </w:r>
      <w:r>
        <w:t xml:space="preserve"> </w:t>
      </w:r>
      <w:r>
        <w:t xml:space="preserve">- Stocker ces valeurs pour les utiliser dans periodFilterOverride pour toutes les diapositives d’indicateurs</w:t>
      </w:r>
    </w:p>
    <w:p>
      <w:r>
        <w:pict>
          <v:rect style="width:0;height:1.5pt" o:hralign="center" o:hrstd="t" o:hr="t"/>
        </w:pict>
      </w:r>
    </w:p>
    <w:bookmarkEnd w:id="16"/>
    <w:bookmarkStart w:id="17" w:name="diapositive-de-couverture"/>
    <w:p>
      <w:pPr>
        <w:pStyle w:val="Heading2"/>
      </w:pPr>
      <w:r>
        <w:t xml:space="preserve">1. Diapositive de Couverture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Suivi des Perturbations des Services Essentiels à partir des Données SNIS en [PAYS] 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Sous-titre :</w:t>
      </w:r>
      <w:r>
        <w:t xml:space="preserve"> </w:t>
      </w:r>
      <w:r>
        <w:t xml:space="preserve">« Rapport de Perturbations : [LIBELLÉ_TITRE_RAPPORT] 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Pied de page :</w:t>
      </w:r>
      <w:r>
        <w:t xml:space="preserve"> </w:t>
      </w:r>
      <w:r>
        <w:t xml:space="preserve">« Analyse générée en [DATE_GÉNÉRATION_ANALYSE] »</w:t>
      </w:r>
    </w:p>
    <w:p>
      <w:pPr>
        <w:pStyle w:val="Compact"/>
        <w:numPr>
          <w:ilvl w:val="0"/>
          <w:numId w:val="1004"/>
        </w:numPr>
      </w:pPr>
      <w:r>
        <w:t xml:space="preserve">Utiliser l’image de marque FASTR et le contexte du pays</w:t>
      </w:r>
    </w:p>
    <w:p>
      <w:r>
        <w:pict>
          <v:rect style="width:0;height:1.5pt" o:hralign="center" o:hrstd="t" o:hr="t"/>
        </w:pict>
      </w:r>
    </w:p>
    <w:bookmarkEnd w:id="17"/>
    <w:bookmarkStart w:id="18" w:name="diapositive-dintroduction"/>
    <w:p>
      <w:pPr>
        <w:pStyle w:val="Heading2"/>
      </w:pPr>
      <w:r>
        <w:t xml:space="preserve">2. Diapositive d’Introduction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Suivi des Perturbations des Services Essentiels à partir des Données SNIS »</w:t>
      </w:r>
    </w:p>
    <w:p>
      <w:pPr>
        <w:pStyle w:val="Compact"/>
        <w:numPr>
          <w:ilvl w:val="0"/>
          <w:numId w:val="1005"/>
        </w:numPr>
      </w:pPr>
      <w:r>
        <w:t xml:space="preserve">Inclure ce texte fixe :</w:t>
      </w:r>
    </w:p>
    <w:p>
      <w:pPr>
        <w:pStyle w:val="BlockText"/>
      </w:pPr>
      <w:r>
        <w:t xml:space="preserve">« L’approche FASTR utilise les données SNIS de routine pour suivre l’évolution de la prestation de services au fil du temps. En comparant les volumes de services observés aux volumes attendus — ajustés pour la saisonnalité et les tendances historiques — nous pouvons identifier les perturbations ou les surplus dans les services de santé essentiels. Cette analyse fournit une perspective opportune à l’échelle du système, mettant en évidence où et quand l’utilisation des services s’écarte des tendances attendues. Les résultats génèrent des preuves exploitables pour guider des réponses rapides, aidant à maintenir la continuité des soins essentiels pendant les périodes d’incertitude de financement ou de changement opérationnel. »</w:t>
      </w:r>
    </w:p>
    <w:p>
      <w:pPr>
        <w:pStyle w:val="Compact"/>
        <w:numPr>
          <w:ilvl w:val="0"/>
          <w:numId w:val="1006"/>
        </w:numPr>
      </w:pPr>
      <w:r>
        <w:t xml:space="preserve">Réserver de l’espace pour l’image</w:t>
      </w:r>
    </w:p>
    <w:p>
      <w:r>
        <w:pict>
          <v:rect style="width:0;height:1.5pt" o:hralign="center" o:hrstd="t" o:hr="t"/>
        </w:pict>
      </w:r>
    </w:p>
    <w:bookmarkEnd w:id="18"/>
    <w:bookmarkStart w:id="19" w:name="diapositive-méthodologie"/>
    <w:p>
      <w:pPr>
        <w:pStyle w:val="Heading2"/>
      </w:pPr>
      <w:r>
        <w:t xml:space="preserve">3. Diapositive Méthodologie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Méthodologie : Évaluation de l’Utilisation des Services »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Suivre les changements dans l’utilisation des services de santé au fil du temps, en identifiant où les services sont inférieurs ou supérieurs aux tendances attendues.</w:t>
      </w:r>
    </w:p>
    <w:p>
      <w:pPr>
        <w:pStyle w:val="BodyText"/>
      </w:pPr>
      <w:r>
        <w:rPr>
          <w:b/>
          <w:bCs/>
        </w:rPr>
        <w:t xml:space="preserve">Comment ça fonctionne :</w:t>
      </w:r>
      <w:r>
        <w:t xml:space="preserve"> </w:t>
      </w:r>
      <w:r>
        <w:t xml:space="preserve">- Utilise les données SNIS de routine, nettoyées des valeurs aberrantes et des valeurs manquantes</w:t>
      </w:r>
      <w:r>
        <w:t xml:space="preserve"> </w:t>
      </w:r>
      <w:r>
        <w:t xml:space="preserve">- Construit une ligne de tendance « attendue » pour chaque service, ajustée pour la saisonnalité et les tendances historiques</w:t>
      </w:r>
      <w:r>
        <w:t xml:space="preserve"> </w:t>
      </w:r>
      <w:r>
        <w:t xml:space="preserve">- Compare les volumes de services réels aux niveaux attendus</w:t>
      </w:r>
    </w:p>
    <w:p>
      <w:pPr>
        <w:pStyle w:val="BodyText"/>
      </w:pPr>
      <w:r>
        <w:rPr>
          <w:b/>
          <w:bCs/>
        </w:rPr>
        <w:t xml:space="preserve">Mesure de l’impact :</w:t>
      </w:r>
      <w:r>
        <w:t xml:space="preserve"> </w:t>
      </w:r>
      <w:r>
        <w:t xml:space="preserve">- Les périodes de perturbation signalées sont analysées pour estimer l’ampleur des changements par rapport aux attentes</w:t>
      </w:r>
      <w:r>
        <w:t xml:space="preserve"> </w:t>
      </w:r>
      <w:r>
        <w:t xml:space="preserve">- Les résultats sont présentés aux niveaux national et sous-national</w:t>
      </w:r>
    </w:p>
    <w:p>
      <w:pPr>
        <w:pStyle w:val="BodyText"/>
      </w:pPr>
      <w:r>
        <w:rPr>
          <w:b/>
          <w:bCs/>
        </w:rPr>
        <w:t xml:space="preserve">Comment interpréter les figures :</w:t>
      </w:r>
      <w:r>
        <w:t xml:space="preserve"> </w:t>
      </w:r>
      <w:r>
        <w:t xml:space="preserve">- Zones rouges = perturbations potentielles (en dessous des attentes)</w:t>
      </w:r>
      <w:r>
        <w:t xml:space="preserve"> </w:t>
      </w:r>
      <w:r>
        <w:t xml:space="preserve">- Zones vertes = surplus potentiels (au-dessus des attentes)</w:t>
      </w:r>
      <w:r>
        <w:t xml:space="preserve"> </w:t>
      </w:r>
      <w:r>
        <w:t xml:space="preserve">- Ce sont des signaux, pas des conclusions — ils nécessitent une investigation plus approfondie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Pied de page :</w:t>
      </w:r>
      <w:r>
        <w:t xml:space="preserve"> </w:t>
      </w:r>
      <w:r>
        <w:t xml:space="preserve">« Plus de détails sur la méthodologie sont disponibles sur GitHub (https://fastr-analytics.github.io/fastr-resource-hub/). »</w:t>
      </w:r>
    </w:p>
    <w:p>
      <w:r>
        <w:pict>
          <v:rect style="width:0;height:1.5pt" o:hralign="center" o:hrstd="t" o:hr="t"/>
        </w:pict>
      </w:r>
    </w:p>
    <w:bookmarkEnd w:id="19"/>
    <w:bookmarkStart w:id="20" w:name="diapositive-sélection-des-indicateurs"/>
    <w:p>
      <w:pPr>
        <w:pStyle w:val="Heading2"/>
      </w:pPr>
      <w:r>
        <w:t xml:space="preserve">4. Diapositive Sélection des Indicateurs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Méthodologie : Sélection des indicateurs »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Sous-titre :</w:t>
      </w:r>
      <w:r>
        <w:t xml:space="preserve"> </w:t>
      </w:r>
      <w:r>
        <w:t xml:space="preserve">« Les indicateurs pour l’analyse de l’utilisation des services ont été sélectionnés en tenant compte des indicateurs prioritaires au niveau national. »</w:t>
      </w:r>
    </w:p>
    <w:p>
      <w:pPr>
        <w:pStyle w:val="Compact"/>
        <w:numPr>
          <w:ilvl w:val="0"/>
          <w:numId w:val="1009"/>
        </w:numPr>
      </w:pPr>
      <w:r>
        <w:t xml:space="preserve">Lister les indicateurs disponibles regroupés par catégorie depuis la plateforme</w:t>
      </w:r>
    </w:p>
    <w:p>
      <w:r>
        <w:pict>
          <v:rect style="width:0;height:1.5pt" o:hralign="center" o:hrstd="t" o:hr="t"/>
        </w:pict>
      </w:r>
    </w:p>
    <w:bookmarkEnd w:id="20"/>
    <w:bookmarkStart w:id="21" w:name="diapositive-en-tête-de-section"/>
    <w:p>
      <w:pPr>
        <w:pStyle w:val="Heading2"/>
      </w:pPr>
      <w:r>
        <w:t xml:space="preserve">5. Diapositive En-tête de Section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Section 1 : Utilisation des Services »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Sous-titre :</w:t>
      </w:r>
      <w:r>
        <w:t xml:space="preserve"> </w:t>
      </w:r>
      <w:r>
        <w:t xml:space="preserve">« Évaluation des volumes projetés basée sur les tendances historiques pour identifier les surplus et perturbations dans les services de santé »</w:t>
      </w:r>
    </w:p>
    <w:p>
      <w:r>
        <w:pict>
          <v:rect style="width:0;height:1.5pt" o:hralign="center" o:hrstd="t" o:hr="t"/>
        </w:pict>
      </w:r>
    </w:p>
    <w:bookmarkEnd w:id="21"/>
    <w:bookmarkStart w:id="24" w:name="diapositives-danalyse-nationale"/>
    <w:p>
      <w:pPr>
        <w:pStyle w:val="Heading2"/>
      </w:pPr>
      <w:r>
        <w:t xml:space="preserve">6. Diapositives d’Analyse Nationale</w:t>
      </w:r>
    </w:p>
    <w:p>
      <w:pPr>
        <w:pStyle w:val="FirstParagraph"/>
      </w:pPr>
      <w:r>
        <w:t xml:space="preserve">Créer des diapositives dans cet ordre exact par catégorie. Inclure uniquement les indicateurs qui existent dans la plateforme.</w:t>
      </w:r>
    </w:p>
    <w:p>
      <w:pPr>
        <w:pStyle w:val="BodyText"/>
      </w:pPr>
      <w:r>
        <w:rPr>
          <w:b/>
          <w:bCs/>
        </w:rPr>
        <w:t xml:space="preserve">CATÉGORIE A - SANTÉ MATERNELLE :</w:t>
      </w:r>
      <w:r>
        <w:t xml:space="preserve"> </w:t>
      </w:r>
      <w:r>
        <w:t xml:space="preserve">Créer une diapositive chacune pour : CPN1, CPN4, Accouchement institutionnel, CPoN1 (et césariennes, décès maternels, décès néonatals, mort-nés si disponibles)</w:t>
      </w:r>
    </w:p>
    <w:p>
      <w:pPr>
        <w:pStyle w:val="BodyText"/>
      </w:pPr>
      <w:r>
        <w:rPr>
          <w:b/>
          <w:bCs/>
        </w:rPr>
        <w:t xml:space="preserve">CATÉGORIE B - VACCINATION :</w:t>
      </w:r>
      <w:r>
        <w:t xml:space="preserve"> </w:t>
      </w:r>
      <w:r>
        <w:t xml:space="preserve">Créer une diapositive chacune pour : BCG, Penta1, Penta3, Rougeole 1, Rougeole 2 (et complètement vaccinés, Vitamine A si disponibles)</w:t>
      </w:r>
    </w:p>
    <w:p>
      <w:pPr>
        <w:pStyle w:val="BodyText"/>
      </w:pPr>
      <w:r>
        <w:rPr>
          <w:b/>
          <w:bCs/>
        </w:rPr>
        <w:t xml:space="preserve">CATÉGORIE C - SERVICES GÉNÉRAUX :</w:t>
      </w:r>
      <w:r>
        <w:t xml:space="preserve"> </w:t>
      </w:r>
      <w:r>
        <w:t xml:space="preserve">Créer une diapositive chacune pour : Consultations externes (et consultations &lt; 5 ans, consultations &gt; 5 ans si disponibles)</w:t>
      </w:r>
    </w:p>
    <w:p>
      <w:pPr>
        <w:pStyle w:val="BodyText"/>
      </w:pPr>
      <w:r>
        <w:rPr>
          <w:b/>
          <w:bCs/>
        </w:rPr>
        <w:t xml:space="preserve">CATÉGORIE D - AUTRES (si disponibles dans la plateforme) :</w:t>
      </w:r>
      <w:r>
        <w:t xml:space="preserve"> </w:t>
      </w:r>
      <w:r>
        <w:t xml:space="preserve">Créer des diapositives pour : Planification familiale, Paludisme, indicateurs de Nutrition</w:t>
      </w:r>
    </w:p>
    <w:bookmarkStart w:id="22" w:name="X3b79357aab30fa8a1755076e50fa7694ae62b6a"/>
    <w:p>
      <w:pPr>
        <w:pStyle w:val="Heading3"/>
      </w:pPr>
      <w:r>
        <w:t xml:space="preserve">Codes des Indicateurs (pour le paramètre selectedReplicant)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Maternelle</w:t>
            </w:r>
          </w:p>
        </w:tc>
        <w:tc>
          <w:tcPr/>
          <w:p>
            <w:pPr>
              <w:pStyle w:val="Compact"/>
            </w:pPr>
            <w:r>
              <w:t xml:space="preserve">anc1, anc4, delivery, pnc1, csection, maternal_deaths, neonatal_deaths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Vaccination</w:t>
            </w:r>
          </w:p>
        </w:tc>
        <w:tc>
          <w:tcPr/>
          <w:p>
            <w:pPr>
              <w:pStyle w:val="Compact"/>
            </w:pPr>
            <w:r>
              <w:t xml:space="preserve">bcg, penta1, penta3, fully_immunized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Consultations</w:t>
            </w:r>
          </w:p>
        </w:tc>
        <w:tc>
          <w:tcPr/>
          <w:p>
            <w:pPr>
              <w:pStyle w:val="Compact"/>
            </w:pPr>
            <w:r>
              <w:t xml:space="preserve">opd_under5, opd_over5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Planification Familiale</w:t>
            </w:r>
          </w:p>
        </w:tc>
        <w:tc>
          <w:tcPr/>
          <w:p>
            <w:pPr>
              <w:pStyle w:val="Compact"/>
            </w:pPr>
            <w:r>
              <w:t xml:space="preserve">fp_new, fp_new_and_cont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Paludisme</w:t>
            </w:r>
          </w:p>
        </w:tc>
        <w:tc>
          <w:tcPr/>
          <w:p>
            <w:pPr>
              <w:pStyle w:val="Compact"/>
            </w:pPr>
            <w:r>
              <w:t xml:space="preserve">malaria_rdt_positive, malaria_treated_less_24hrs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Santé Infantile</w:t>
            </w:r>
          </w:p>
        </w:tc>
        <w:tc>
          <w:tcPr/>
          <w:p>
            <w:pPr>
              <w:pStyle w:val="Compact"/>
            </w:pPr>
            <w:r>
              <w:t xml:space="preserve">diarrhea_cases_identified, pneumonia_cases_identified, pneumonia_treated</w:t>
            </w:r>
          </w:p>
        </w:tc>
      </w:tr>
    </w:tbl>
    <w:bookmarkEnd w:id="22"/>
    <w:bookmarkStart w:id="23" w:name="pour-chaque-diapositive"/>
    <w:p>
      <w:pPr>
        <w:pStyle w:val="Heading3"/>
      </w:pPr>
      <w:r>
        <w:t xml:space="preserve">Pour Chaque Diapositive</w:t>
      </w:r>
    </w:p>
    <w:p>
      <w:pPr>
        <w:pStyle w:val="FirstParagraph"/>
      </w:pPr>
      <w:r>
        <w:rPr>
          <w:b/>
          <w:bCs/>
        </w:rPr>
        <w:t xml:space="preserve">Titre :</w:t>
      </w:r>
      <w:r>
        <w:t xml:space="preserve"> </w:t>
      </w:r>
      <w:r>
        <w:t xml:space="preserve">Nom de l’indicateur en gras (ex : « CPN1 - Première consultation prénatale »)</w:t>
      </w:r>
    </w:p>
    <w:p>
      <w:pPr>
        <w:pStyle w:val="BodyText"/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Créer en utilisant from_metric avec ces paramètres :</w:t>
      </w:r>
      <w:r>
        <w:t xml:space="preserve"> </w:t>
      </w:r>
      <w:r>
        <w:t xml:space="preserve">- type:</w:t>
      </w:r>
      <w:r>
        <w:t xml:space="preserve"> </w:t>
      </w:r>
      <w:r>
        <w:t xml:space="preserve">“from_metric”</w:t>
      </w:r>
      <w:r>
        <w:t xml:space="preserve"> </w:t>
      </w:r>
      <w:r>
        <w:t xml:space="preserve">- metricId:</w:t>
      </w:r>
      <w:r>
        <w:t xml:space="preserve"> </w:t>
      </w:r>
      <w:r>
        <w:t xml:space="preserve">“m3-02-01”</w:t>
      </w:r>
      <w:r>
        <w:t xml:space="preserve"> </w:t>
      </w:r>
      <w:r>
        <w:t xml:space="preserve">(Volume de services réel vs attendu - National)</w:t>
      </w:r>
      <w:r>
        <w:t xml:space="preserve"> </w:t>
      </w:r>
      <w:r>
        <w:t xml:space="preserve">- vizPresetId:</w:t>
      </w:r>
      <w:r>
        <w:t xml:space="preserve"> </w:t>
      </w:r>
      <w:r>
        <w:t xml:space="preserve">“disruption-chart”</w:t>
      </w:r>
      <w:r>
        <w:t xml:space="preserve"> </w:t>
      </w:r>
      <w:r>
        <w:t xml:space="preserve">- chartTitle:</w:t>
      </w:r>
      <w:r>
        <w:t xml:space="preserve"> </w:t>
      </w:r>
      <w:r>
        <w:t xml:space="preserve">“Réel vs Attendu : [Nom de l’Indicateur]”</w:t>
      </w:r>
      <w:r>
        <w:t xml:space="preserve"> </w:t>
      </w:r>
      <w:r>
        <w:t xml:space="preserve">- selectedReplicant: Le code de l’indicateur (ex :</w:t>
      </w:r>
      <w:r>
        <w:t xml:space="preserve"> </w:t>
      </w:r>
      <w:r>
        <w:t xml:space="preserve">“anc1”</w:t>
      </w:r>
      <w:r>
        <w:t xml:space="preserve">,</w:t>
      </w:r>
      <w:r>
        <w:t xml:space="preserve"> </w:t>
      </w:r>
      <w:r>
        <w:t xml:space="preserve">“penta3”</w:t>
      </w:r>
      <w:r>
        <w:t xml:space="preserve">)</w:t>
      </w:r>
      <w:r>
        <w:t xml:space="preserve"> </w:t>
      </w:r>
      <w:r>
        <w:t xml:space="preserve">- filterOverrides: DOIT inclure un filtre pour afficher uniquement cet indicateur spécifique :</w:t>
      </w:r>
      <w:r>
        <w:t xml:space="preserve"> </w:t>
      </w:r>
      <w:r>
        <w:t xml:space="preserve">- col:</w:t>
      </w:r>
      <w:r>
        <w:t xml:space="preserve"> </w:t>
      </w:r>
      <w:r>
        <w:t xml:space="preserve">“indicator_common_id”</w:t>
      </w:r>
      <w:r>
        <w:t xml:space="preserve"> </w:t>
      </w:r>
      <w:r>
        <w:t xml:space="preserve">- vals: [le code de l’indicateur uniquement, ex : [</w:t>
      </w:r>
      <w:r>
        <w:t xml:space="preserve">“anc1”</w:t>
      </w:r>
      <w:r>
        <w:t xml:space="preserve">] ou [</w:t>
      </w:r>
      <w:r>
        <w:t xml:space="preserve">“penta3”</w:t>
      </w:r>
      <w:r>
        <w:t xml:space="preserve">]]</w:t>
      </w:r>
      <w:r>
        <w:t xml:space="preserve"> </w:t>
      </w:r>
      <w:r>
        <w:t xml:space="preserve">- periodFilterOverride: Utiliser les valeurs period_id converties :</w:t>
      </w:r>
      <w:r>
        <w:t xml:space="preserve"> </w:t>
      </w:r>
      <w:r>
        <w:t xml:space="preserve">- periodOption:</w:t>
      </w:r>
      <w:r>
        <w:t xml:space="preserve"> </w:t>
      </w:r>
      <w:r>
        <w:t xml:space="preserve">“period_id”</w:t>
      </w:r>
      <w:r>
        <w:t xml:space="preserve"> </w:t>
      </w:r>
      <w:r>
        <w:t xml:space="preserve">- min: Date de début (ex : 202501 pour Janvier 2025)</w:t>
      </w:r>
      <w:r>
        <w:t xml:space="preserve"> </w:t>
      </w:r>
      <w:r>
        <w:t xml:space="preserve">- max: Date de fin (ex : 202512 pour Décembre 2025)</w:t>
      </w:r>
    </w:p>
    <w:p>
      <w:pPr>
        <w:pStyle w:val="BodyText"/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Analyser les données affichées dans la visualisation. Décrire en phrases complètes :</w:t>
      </w:r>
      <w:r>
        <w:t xml:space="preserve"> </w:t>
      </w:r>
      <w:r>
        <w:t xml:space="preserve">- Quand les perturbations se sont produites (mois/périodes spécifiques où le réel était inférieur à l’attendu)</w:t>
      </w:r>
      <w:r>
        <w:t xml:space="preserve"> </w:t>
      </w:r>
      <w:r>
        <w:t xml:space="preserve">- Durée des perturbations (combien de mois consécutifs)</w:t>
      </w:r>
      <w:r>
        <w:t xml:space="preserve"> </w:t>
      </w:r>
      <w:r>
        <w:t xml:space="preserve">- Ampleur des écarts (différences numériques approximatives lorsque visibles)</w:t>
      </w:r>
      <w:r>
        <w:t xml:space="preserve"> </w:t>
      </w:r>
      <w:r>
        <w:t xml:space="preserve">- Quand des surplus se sont produits (mois/périodes spécifiques où le réel dépassait l’attendu)</w:t>
      </w:r>
      <w:r>
        <w:t xml:space="preserve"> </w:t>
      </w:r>
      <w:r>
        <w:t xml:space="preserve">- Tendance générale (soutenue, brève, dispersée, aucune)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IMPORTANT :</w:t>
      </w:r>
      <w:r>
        <w:t xml:space="preserve"> </w:t>
      </w:r>
      <w:r>
        <w:t xml:space="preserve">Décrire uniquement ce qui est réellement visible dans le graphique - ne pas inventer de données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X90975b1899a2754efa3612deaef598d04feb4f8"/>
    <w:p>
      <w:pPr>
        <w:pStyle w:val="Heading1"/>
      </w:pPr>
      <w:r>
        <w:t xml:space="preserve">PROMPT 2 : Analyse Régionale des Perturbations (Annexe 1)</w:t>
      </w:r>
    </w:p>
    <w:p>
      <w:pPr>
        <w:pStyle w:val="FirstParagraph"/>
      </w:pPr>
      <w:r>
        <w:t xml:space="preserve">Ajouter cette annexe après le Rapport de Perturbations principal.</w:t>
      </w:r>
    </w:p>
    <w:bookmarkStart w:id="26" w:name="diapositive-den-tête-de-lannexe"/>
    <w:p>
      <w:pPr>
        <w:pStyle w:val="Heading2"/>
      </w:pPr>
      <w:r>
        <w:t xml:space="preserve">1. Diapositive d’En-tête de l’Annexe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Annexe 1 : Perturbations de l’utilisation des services par district »</w:t>
      </w:r>
    </w:p>
    <w:bookmarkEnd w:id="26"/>
    <w:bookmarkStart w:id="27" w:name="diapositives-par-zone-sous-nationale"/>
    <w:p>
      <w:pPr>
        <w:pStyle w:val="Heading2"/>
      </w:pPr>
      <w:r>
        <w:t xml:space="preserve">2. Diapositives par Zone Sous-nationale</w:t>
      </w:r>
    </w:p>
    <w:p>
      <w:pPr>
        <w:pStyle w:val="FirstParagraph"/>
      </w:pPr>
      <w:r>
        <w:t xml:space="preserve">Pour CHAQUE zone sous-nationale dans la plateforme, créer une diapositive avec :</w:t>
      </w:r>
    </w:p>
    <w:p>
      <w:pPr>
        <w:pStyle w:val="BodyText"/>
      </w:pPr>
      <w:r>
        <w:rPr>
          <w:b/>
          <w:bCs/>
        </w:rPr>
        <w:t xml:space="preserve">Titre de la diapositive :</w:t>
      </w:r>
      <w:r>
        <w:t xml:space="preserve"> </w:t>
      </w:r>
      <w:r>
        <w:t xml:space="preserve">Nom de la zone sous-nationale</w:t>
      </w:r>
    </w:p>
    <w:p>
      <w:pPr>
        <w:pStyle w:val="BodyText"/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6. Nombre réel vs attendu de services (Zone administrative 2) » filtré pour cette zone spécifique</w:t>
      </w:r>
    </w:p>
    <w:p>
      <w:pPr>
        <w:pStyle w:val="BodyText"/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Décrire en phrases complètes :</w:t>
      </w:r>
      <w:r>
        <w:t xml:space="preserve"> </w:t>
      </w:r>
      <w:r>
        <w:t xml:space="preserve">- Quels indicateurs montrent des perturbations (en dessous des attentes) et quand</w:t>
      </w:r>
      <w:r>
        <w:t xml:space="preserve"> </w:t>
      </w:r>
      <w:r>
        <w:t xml:space="preserve">- Quels indicateurs montrent des surplus (au-dessus des attentes) et quand</w:t>
      </w:r>
      <w:r>
        <w:t xml:space="preserve"> </w:t>
      </w:r>
      <w:r>
        <w:t xml:space="preserve">- L’ampleur des écarts par rapport aux attentes</w:t>
      </w:r>
      <w:r>
        <w:t xml:space="preserve"> </w:t>
      </w:r>
      <w:r>
        <w:t xml:space="preserve">- Toute tendance entre les indicateurs (ex : tous les indicateurs maternels affectés ensemble)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4066b4afac0bc722fdd4890135f354d7eb7da1b"/>
    <w:p>
      <w:pPr>
        <w:pStyle w:val="Heading1"/>
      </w:pPr>
      <w:r>
        <w:t xml:space="preserve">PROMPT 3 : Évaluation de la Qualité des Données</w:t>
      </w:r>
    </w:p>
    <w:p>
      <w:pPr>
        <w:pStyle w:val="FirstParagraph"/>
      </w:pPr>
      <w:r>
        <w:t xml:space="preserve">Ajouter cette annexe après le Rapport de Perturbations principal.</w:t>
      </w:r>
    </w:p>
    <w:p>
      <w:pPr>
        <w:pStyle w:val="BodyText"/>
      </w:pPr>
      <w:r>
        <w:rPr>
          <w:b/>
          <w:bCs/>
        </w:rPr>
        <w:t xml:space="preserve">NUMÉROTATION DE L’ANNEXE :</w:t>
      </w:r>
      <w:r>
        <w:t xml:space="preserve"> </w:t>
      </w:r>
      <w:r>
        <w:t xml:space="preserve">Si l’Analyse Régionale des Perturbations (Annexe 1) a été incluse, numéroter celle-ci comme Annexe 2. Sinon, la numéroter comme Annexe 1.</w:t>
      </w:r>
    </w:p>
    <w:bookmarkStart w:id="29" w:name="diapositive-de-couverture-1"/>
    <w:p>
      <w:pPr>
        <w:pStyle w:val="Heading2"/>
      </w:pPr>
      <w:r>
        <w:t xml:space="preserve">1. Diapositive de Couverture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Annexe [1 ou 2] : Évaluation de la Qualité des Données 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Sous-titre :</w:t>
      </w:r>
      <w:r>
        <w:t xml:space="preserve"> </w:t>
      </w:r>
      <w:r>
        <w:t xml:space="preserve">« Les évaluations de la qualité des données — axées sur la complétude, la cohérence et les valeurs aberrantes — informent les ajustements appliqués aux données de routine pour améliorer la fiabilité des analyses présentées. »</w:t>
      </w:r>
    </w:p>
    <w:bookmarkEnd w:id="29"/>
    <w:bookmarkStart w:id="30" w:name="diapositive-complétude-des-rapports"/>
    <w:p>
      <w:pPr>
        <w:pStyle w:val="Heading2"/>
      </w:pPr>
      <w:r>
        <w:t xml:space="preserve">2. Diapositive Complétude des Rapports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Complétude des rapports 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2. Proportion de dossiers complets 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En phrases complètes, décrire :</w:t>
      </w:r>
    </w:p>
    <w:p>
      <w:pPr>
        <w:pStyle w:val="Compact"/>
        <w:numPr>
          <w:ilvl w:val="1"/>
          <w:numId w:val="1014"/>
        </w:numPr>
      </w:pPr>
      <w:r>
        <w:t xml:space="preserve">Les tendances nationales globales de complétude au fil du temps</w:t>
      </w:r>
    </w:p>
    <w:p>
      <w:pPr>
        <w:pStyle w:val="Compact"/>
        <w:numPr>
          <w:ilvl w:val="1"/>
          <w:numId w:val="1014"/>
        </w:numPr>
      </w:pPr>
      <w:r>
        <w:t xml:space="preserve">Quels indicateurs ont une faible complétude (les nommer)</w:t>
      </w:r>
    </w:p>
    <w:p>
      <w:pPr>
        <w:pStyle w:val="Compact"/>
        <w:numPr>
          <w:ilvl w:val="1"/>
          <w:numId w:val="1014"/>
        </w:numPr>
      </w:pPr>
      <w:r>
        <w:t xml:space="preserve">Quelles zones administratives ont une faible complétude (les nommer)</w:t>
      </w:r>
    </w:p>
    <w:bookmarkEnd w:id="30"/>
    <w:bookmarkStart w:id="31" w:name="diapositive-valeurs-aberrantes"/>
    <w:p>
      <w:pPr>
        <w:pStyle w:val="Heading2"/>
      </w:pPr>
      <w:r>
        <w:t xml:space="preserve">3. Diapositive Valeurs Aberrantes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Valeurs aberrantes »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1. Proportion de valeurs aberrantes »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En phrases complètes, décrire :</w:t>
      </w:r>
    </w:p>
    <w:p>
      <w:pPr>
        <w:pStyle w:val="Compact"/>
        <w:numPr>
          <w:ilvl w:val="1"/>
          <w:numId w:val="1016"/>
        </w:numPr>
      </w:pPr>
      <w:r>
        <w:t xml:space="preserve">Les tendances nationales globales des valeurs aberrantes au fil du temps</w:t>
      </w:r>
    </w:p>
    <w:p>
      <w:pPr>
        <w:pStyle w:val="Compact"/>
        <w:numPr>
          <w:ilvl w:val="1"/>
          <w:numId w:val="1016"/>
        </w:numPr>
      </w:pPr>
      <w:r>
        <w:t xml:space="preserve">Quels indicateurs ont des taux élevés de valeurs aberrantes (les nommer)</w:t>
      </w:r>
    </w:p>
    <w:p>
      <w:pPr>
        <w:pStyle w:val="Compact"/>
        <w:numPr>
          <w:ilvl w:val="1"/>
          <w:numId w:val="1016"/>
        </w:numPr>
      </w:pPr>
      <w:r>
        <w:t xml:space="preserve">Quelles zones administratives ont des taux élevés de valeurs aberrantes (les nommer)</w:t>
      </w:r>
    </w:p>
    <w:bookmarkEnd w:id="31"/>
    <w:bookmarkStart w:id="32" w:name="diapositive-cohérence-interne-première"/>
    <w:p>
      <w:pPr>
        <w:pStyle w:val="Heading2"/>
      </w:pPr>
      <w:r>
        <w:t xml:space="preserve">4. Diapositive Cohérence Interne (première)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Cohérence interne »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4. Proportion de zones sous-nationales répondant aux critères de cohérence »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En phrases complètes, décrire :</w:t>
      </w:r>
    </w:p>
    <w:p>
      <w:pPr>
        <w:pStyle w:val="Compact"/>
        <w:numPr>
          <w:ilvl w:val="1"/>
          <w:numId w:val="1018"/>
        </w:numPr>
      </w:pPr>
      <w:r>
        <w:t xml:space="preserve">Quelles comparaisons de cohérence sont effectuées</w:t>
      </w:r>
    </w:p>
    <w:p>
      <w:pPr>
        <w:pStyle w:val="Compact"/>
        <w:numPr>
          <w:ilvl w:val="1"/>
          <w:numId w:val="1018"/>
        </w:numPr>
      </w:pPr>
      <w:r>
        <w:t xml:space="preserve">Les tendances générales à travers le pays</w:t>
      </w:r>
    </w:p>
    <w:p>
      <w:pPr>
        <w:pStyle w:val="Compact"/>
        <w:numPr>
          <w:ilvl w:val="1"/>
          <w:numId w:val="1018"/>
        </w:numPr>
      </w:pPr>
      <w:r>
        <w:t xml:space="preserve">Quelles zones répondent ou échouent aux critères de cohérence</w:t>
      </w:r>
    </w:p>
    <w:bookmarkEnd w:id="32"/>
    <w:bookmarkStart w:id="33" w:name="diapositive-cohérence-interne-deuxième"/>
    <w:p>
      <w:pPr>
        <w:pStyle w:val="Heading2"/>
      </w:pPr>
      <w:r>
        <w:t xml:space="preserve">5. Diapositive Cohérence Interne (deuxième)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Cohérence interne »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4. Proportion de zones sous-nationales répondant aux critères de cohérence » (vue ou ventilation différente)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Continuer à décrire les tendances de cohérence à travers les zones administratives</w:t>
      </w:r>
    </w:p>
    <w:bookmarkEnd w:id="33"/>
    <w:bookmarkStart w:id="34" w:name="Xf485e672d27f816196b264c99379a365aae97a4"/>
    <w:p>
      <w:pPr>
        <w:pStyle w:val="Heading2"/>
      </w:pPr>
      <w:r>
        <w:t xml:space="preserve">6. Diapositive Tendances de la Qualité des Données (première)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Tendances de la qualité des données »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5. Score global de QDD »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En phrases complètes, décrire :</w:t>
      </w:r>
    </w:p>
    <w:p>
      <w:pPr>
        <w:pStyle w:val="Compact"/>
        <w:numPr>
          <w:ilvl w:val="1"/>
          <w:numId w:val="1021"/>
        </w:numPr>
      </w:pPr>
      <w:r>
        <w:t xml:space="preserve">Comment les scores de QDD ont évolué au fil des années</w:t>
      </w:r>
    </w:p>
    <w:p>
      <w:pPr>
        <w:pStyle w:val="Compact"/>
        <w:numPr>
          <w:ilvl w:val="1"/>
          <w:numId w:val="1021"/>
        </w:numPr>
      </w:pPr>
      <w:r>
        <w:t xml:space="preserve">La performance globale du pays</w:t>
      </w:r>
    </w:p>
    <w:p>
      <w:pPr>
        <w:pStyle w:val="Compact"/>
        <w:numPr>
          <w:ilvl w:val="1"/>
          <w:numId w:val="1021"/>
        </w:numPr>
      </w:pPr>
      <w:r>
        <w:t xml:space="preserve">La variation entre les zones administratives</w:t>
      </w:r>
    </w:p>
    <w:bookmarkEnd w:id="34"/>
    <w:bookmarkStart w:id="35" w:name="Xa47990534fcbc8a9ce70fd19914f39e5d7fd49e"/>
    <w:p>
      <w:pPr>
        <w:pStyle w:val="Heading2"/>
      </w:pPr>
      <w:r>
        <w:t xml:space="preserve">7. Diapositive Tendances de la Qualité des Données (deuxième)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Titre :</w:t>
      </w:r>
      <w:r>
        <w:t xml:space="preserve"> </w:t>
      </w:r>
      <w:r>
        <w:t xml:space="preserve">« Tendances de la qualité des données »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Visualisation (droite) :</w:t>
      </w:r>
      <w:r>
        <w:t xml:space="preserve"> </w:t>
      </w:r>
      <w:r>
        <w:t xml:space="preserve">Utiliser « Défaut 6. Score moyen de QDD »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Interprétation (gauche) :</w:t>
      </w:r>
      <w:r>
        <w:t xml:space="preserve"> </w:t>
      </w:r>
      <w:r>
        <w:t xml:space="preserve">En phrases complètes, décrire :</w:t>
      </w:r>
    </w:p>
    <w:p>
      <w:pPr>
        <w:pStyle w:val="Compact"/>
        <w:numPr>
          <w:ilvl w:val="1"/>
          <w:numId w:val="1023"/>
        </w:numPr>
      </w:pPr>
      <w:r>
        <w:t xml:space="preserve">Les tendances du score moyen de QDD au fil des années</w:t>
      </w:r>
    </w:p>
    <w:p>
      <w:pPr>
        <w:pStyle w:val="Compact"/>
        <w:numPr>
          <w:ilvl w:val="1"/>
          <w:numId w:val="1023"/>
        </w:numPr>
      </w:pPr>
      <w:r>
        <w:t xml:space="preserve">Quelles zones ont des scores en amélioration vs en déclin</w:t>
      </w:r>
    </w:p>
    <w:p>
      <w:pPr>
        <w:pStyle w:val="Compact"/>
        <w:numPr>
          <w:ilvl w:val="1"/>
          <w:numId w:val="1023"/>
        </w:numPr>
      </w:pPr>
      <w:r>
        <w:t xml:space="preserve">L’évaluation globale de la trajectoire de qualité des données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2026-02-10T06:21:01Z</dcterms:created>
  <dcterms:modified xsi:type="dcterms:W3CDTF">2026-02-10T06:21:01Z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