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chier-dinstructions-pour-les-rapports"/>
    <w:p>
      <w:pPr>
        <w:pStyle w:val="Heading1"/>
      </w:pPr>
      <w:r>
        <w:t xml:space="preserve">Fichier d’Instructions pour les Rapports</w:t>
      </w:r>
    </w:p>
    <w:p>
      <w:pPr>
        <w:pStyle w:val="FirstParagraph"/>
      </w:pPr>
      <w:r>
        <w:t xml:space="preserve">Téléchargez ce fichier dans votre session IA avant de générer des rapports FASTR. Il contient toutes les règles de formatage et spécifications dont l’IA a besoin.</w:t>
      </w:r>
    </w:p>
    <w:p>
      <w:r>
        <w:pict>
          <v:rect style="width:0;height:1.5pt" o:hralign="center" o:hrstd="t" o:hr="t"/>
        </w:pict>
      </w:r>
    </w:p>
    <w:bookmarkEnd w:id="9"/>
    <w:bookmarkStart w:id="10" w:name="instructions-système-flux-de-travail"/>
    <w:p>
      <w:pPr>
        <w:pStyle w:val="Heading1"/>
      </w:pPr>
      <w:r>
        <w:t xml:space="preserve">Instructions Système : Flux de Travail</w:t>
      </w:r>
    </w:p>
    <w:p>
      <w:pPr>
        <w:pStyle w:val="FirstParagraph"/>
      </w:pPr>
      <w:r>
        <w:rPr>
          <w:b/>
          <w:bCs/>
        </w:rPr>
        <w:t xml:space="preserve">IMPORTANT : Ne pas exécuter tous les prompts automatiquement.</w:t>
      </w:r>
    </w:p>
    <w:p>
      <w:pPr>
        <w:pStyle w:val="BodyText"/>
      </w:pPr>
      <w:r>
        <w:t xml:space="preserve">Ce fichier contient trois prompts de rapport distincts. Exécutez-les un à la fois selon les demandes de l’utilisateur :</w:t>
      </w:r>
    </w:p>
    <w:tbl>
      <w:tblPr>
        <w:tblStyle w:val="Table"/>
        <w:tblW w:type="pct" w:w="5000"/>
        <w:tblLayout w:type="fixed"/>
        <w:tblLook w:firstRow="1" w:lastRow="0" w:firstColumn="0" w:lastColumn="0" w:noHBand="0" w:noVBand="0" w:val="0020"/>
      </w:tblPr>
      <w:tblGrid>
        <w:gridCol w:w="1473"/>
        <w:gridCol w:w="3131"/>
        <w:gridCol w:w="3315"/>
      </w:tblGrid>
      <w:tr>
        <w:trPr>
          <w:tblHeader w:val="on"/>
        </w:trPr>
        <w:tc>
          <w:tcPr/>
          <w:p>
            <w:pPr>
              <w:pStyle w:val="Compact"/>
            </w:pPr>
            <w:r>
              <w:t xml:space="preserve">Prompt</w:t>
            </w:r>
          </w:p>
        </w:tc>
        <w:tc>
          <w:tcPr/>
          <w:p>
            <w:pPr>
              <w:pStyle w:val="Compact"/>
            </w:pPr>
            <w:r>
              <w:t xml:space="preserve">Type de rapport</w:t>
            </w:r>
          </w:p>
        </w:tc>
        <w:tc>
          <w:tcPr/>
          <w:p>
            <w:pPr>
              <w:pStyle w:val="Compact"/>
            </w:pPr>
            <w:r>
              <w:t xml:space="preserve">Quand l’utiliser</w:t>
            </w:r>
          </w:p>
        </w:tc>
      </w:tr>
      <w:tr>
        <w:tc>
          <w:tcPr/>
          <w:p>
            <w:pPr>
              <w:pStyle w:val="Compact"/>
            </w:pPr>
            <w:r>
              <w:rPr>
                <w:b/>
                <w:bCs/>
              </w:rPr>
              <w:t xml:space="preserve">Prompt 1</w:t>
            </w:r>
          </w:p>
        </w:tc>
        <w:tc>
          <w:tcPr/>
          <w:p>
            <w:pPr>
              <w:pStyle w:val="Compact"/>
            </w:pPr>
            <w:r>
              <w:t xml:space="preserve">Rapport de Perturbations FASTR</w:t>
            </w:r>
          </w:p>
        </w:tc>
        <w:tc>
          <w:tcPr/>
          <w:p>
            <w:pPr>
              <w:pStyle w:val="Compact"/>
            </w:pPr>
            <w:r>
              <w:t xml:space="preserve">Commencer ici. C’est le rapport principal.</w:t>
            </w:r>
          </w:p>
        </w:tc>
      </w:tr>
      <w:tr>
        <w:tc>
          <w:tcPr/>
          <w:p>
            <w:pPr>
              <w:pStyle w:val="Compact"/>
            </w:pPr>
            <w:r>
              <w:rPr>
                <w:b/>
                <w:bCs/>
              </w:rPr>
              <w:t xml:space="preserve">Prompt 2</w:t>
            </w:r>
          </w:p>
        </w:tc>
        <w:tc>
          <w:tcPr/>
          <w:p>
            <w:pPr>
              <w:pStyle w:val="Compact"/>
            </w:pPr>
            <w:r>
              <w:t xml:space="preserve">Analyse Régionale des Perturbations</w:t>
            </w:r>
          </w:p>
        </w:tc>
        <w:tc>
          <w:tcPr/>
          <w:p>
            <w:pPr>
              <w:pStyle w:val="Compact"/>
            </w:pPr>
            <w:r>
              <w:t xml:space="preserve">Uniquement sur demande d’analyse sous-nationale/régionale</w:t>
            </w:r>
          </w:p>
        </w:tc>
      </w:tr>
      <w:tr>
        <w:tc>
          <w:tcPr/>
          <w:p>
            <w:pPr>
              <w:pStyle w:val="Compact"/>
            </w:pPr>
            <w:r>
              <w:rPr>
                <w:b/>
                <w:bCs/>
              </w:rPr>
              <w:t xml:space="preserve">Prompt 3</w:t>
            </w:r>
          </w:p>
        </w:tc>
        <w:tc>
          <w:tcPr/>
          <w:p>
            <w:pPr>
              <w:pStyle w:val="Compact"/>
            </w:pPr>
            <w:r>
              <w:t xml:space="preserve">Évaluation de la Qualité des Données</w:t>
            </w:r>
          </w:p>
        </w:tc>
        <w:tc>
          <w:tcPr/>
          <w:p>
            <w:pPr>
              <w:pStyle w:val="Compact"/>
            </w:pPr>
            <w:r>
              <w:t xml:space="preserve">Uniquement sur demande de rapport de qualité des données</w:t>
            </w:r>
          </w:p>
        </w:tc>
      </w:tr>
    </w:tbl>
    <w:p>
      <w:pPr>
        <w:pStyle w:val="BodyText"/>
      </w:pPr>
      <w:r>
        <w:rPr>
          <w:b/>
          <w:bCs/>
        </w:rPr>
        <w:t xml:space="preserve">Flux de travail :</w:t>
      </w:r>
      <w:r>
        <w:t xml:space="preserve"> </w:t>
      </w:r>
      <w:r>
        <w:t xml:space="preserve">1. Lorsque l’utilisateur demande un rapport, générer uniquement le</w:t>
      </w:r>
      <w:r>
        <w:t xml:space="preserve"> </w:t>
      </w:r>
      <w:r>
        <w:rPr>
          <w:b/>
          <w:bCs/>
        </w:rPr>
        <w:t xml:space="preserve">Prompt 1</w:t>
      </w:r>
      <w:r>
        <w:t xml:space="preserve"> </w:t>
      </w:r>
      <w:r>
        <w:t xml:space="preserve">(Rapport de Perturbations)</w:t>
      </w:r>
      <w:r>
        <w:t xml:space="preserve"> </w:t>
      </w:r>
      <w:r>
        <w:t xml:space="preserve">2. Après avoir terminé le Prompt 1, demander à l’utilisateur :</w:t>
      </w:r>
      <w:r>
        <w:t xml:space="preserve"> </w:t>
      </w:r>
      <w:r>
        <w:rPr>
          <w:i/>
          <w:iCs/>
        </w:rPr>
        <w:t xml:space="preserve">« Souhaitez-vous que j’ajoute l’analyse régionale (Prompt 2) ou l’évaluation de la qualité des données (Prompt 3) ? »</w:t>
      </w:r>
      <w:r>
        <w:t xml:space="preserve"> </w:t>
      </w:r>
      <w:r>
        <w:t xml:space="preserve">3. Attendre que l’utilisateur demande des sections supplémentaires avant de continuer</w:t>
      </w:r>
    </w:p>
    <w:p>
      <w:r>
        <w:pict>
          <v:rect style="width:0;height:1.5pt" o:hralign="center" o:hrstd="t" o:hr="t"/>
        </w:pict>
      </w:r>
    </w:p>
    <w:bookmarkEnd w:id="10"/>
    <w:bookmarkStart w:id="11" w:name="X3a18b7c9ca88ab87726f5527b4fc499ed69afee"/>
    <w:p>
      <w:pPr>
        <w:pStyle w:val="Heading1"/>
      </w:pPr>
      <w:r>
        <w:t xml:space="preserve">Instructions Système : Regroupement des Indicateurs</w:t>
      </w:r>
    </w:p>
    <w:p>
      <w:pPr>
        <w:pStyle w:val="FirstParagraph"/>
      </w:pPr>
      <w:r>
        <w:t xml:space="preserve">Utiliser les indicateurs disponibles dans la plateforme. Les regrouper comme suit :</w:t>
      </w:r>
    </w:p>
    <w:tbl>
      <w:tblPr>
        <w:tblStyle w:val="Table"/>
        <w:tblW w:type="pct" w:w="5000"/>
        <w:tblLayout w:type="fixed"/>
        <w:tblLook w:firstRow="1" w:lastRow="0" w:firstColumn="0" w:lastColumn="0" w:noHBand="0" w:noVBand="0" w:val="0020"/>
      </w:tblPr>
      <w:tblGrid>
        <w:gridCol w:w="1161"/>
        <w:gridCol w:w="2112"/>
        <w:gridCol w:w="4646"/>
      </w:tblGrid>
      <w:tr>
        <w:trPr>
          <w:tblHeader w:val="on"/>
        </w:trPr>
        <w:tc>
          <w:tcPr/>
          <w:p>
            <w:pPr>
              <w:pStyle w:val="Compact"/>
            </w:pPr>
            <w:r>
              <w:t xml:space="preserve">Catégorie</w:t>
            </w:r>
          </w:p>
        </w:tc>
        <w:tc>
          <w:tcPr/>
          <w:p>
            <w:pPr>
              <w:pStyle w:val="Compact"/>
            </w:pPr>
            <w:r>
              <w:t xml:space="preserve">Indicateurs de base</w:t>
            </w:r>
          </w:p>
        </w:tc>
        <w:tc>
          <w:tcPr/>
          <w:p>
            <w:pPr>
              <w:pStyle w:val="Compact"/>
            </w:pPr>
            <w:r>
              <w:t xml:space="preserve">Indicateurs additionnels (si disponibles)</w:t>
            </w:r>
          </w:p>
        </w:tc>
      </w:tr>
      <w:tr>
        <w:tc>
          <w:tcPr/>
          <w:p>
            <w:pPr>
              <w:pStyle w:val="Compact"/>
            </w:pPr>
            <w:r>
              <w:rPr>
                <w:b/>
                <w:bCs/>
              </w:rPr>
              <w:t xml:space="preserve">Santé maternelle et néonatale</w:t>
            </w:r>
          </w:p>
        </w:tc>
        <w:tc>
          <w:tcPr/>
          <w:p>
            <w:pPr>
              <w:pStyle w:val="Compact"/>
            </w:pPr>
            <w:r>
              <w:t xml:space="preserve">CPN1, CPN4, Accouchement institutionnel, CPoN</w:t>
            </w:r>
          </w:p>
        </w:tc>
        <w:tc>
          <w:tcPr/>
          <w:p>
            <w:pPr>
              <w:pStyle w:val="Compact"/>
            </w:pPr>
            <w:r>
              <w:t xml:space="preserve">Césariennes, décès maternels, mort-nés, soins du nouveau-né</w:t>
            </w:r>
          </w:p>
        </w:tc>
      </w:tr>
      <w:tr>
        <w:tc>
          <w:tcPr/>
          <w:p>
            <w:pPr>
              <w:pStyle w:val="Compact"/>
            </w:pPr>
            <w:r>
              <w:rPr>
                <w:b/>
                <w:bCs/>
              </w:rPr>
              <w:t xml:space="preserve">Vaccination</w:t>
            </w:r>
          </w:p>
        </w:tc>
        <w:tc>
          <w:tcPr/>
          <w:p>
            <w:pPr>
              <w:pStyle w:val="Compact"/>
            </w:pPr>
            <w:r>
              <w:t xml:space="preserve">BCG, Penta1, Penta3</w:t>
            </w:r>
          </w:p>
        </w:tc>
        <w:tc>
          <w:tcPr/>
          <w:p>
            <w:pPr>
              <w:pStyle w:val="Compact"/>
            </w:pPr>
            <w:r>
              <w:t xml:space="preserve">Rougeole 1/2, enfants complètement vaccinés, Vitamine A</w:t>
            </w:r>
          </w:p>
        </w:tc>
      </w:tr>
      <w:tr>
        <w:tc>
          <w:tcPr/>
          <w:p>
            <w:pPr>
              <w:pStyle w:val="Compact"/>
            </w:pPr>
            <w:r>
              <w:rPr>
                <w:b/>
                <w:bCs/>
              </w:rPr>
              <w:t xml:space="preserve">Services généraux</w:t>
            </w:r>
          </w:p>
        </w:tc>
        <w:tc>
          <w:tcPr/>
          <w:p>
            <w:pPr>
              <w:pStyle w:val="Compact"/>
            </w:pPr>
            <w:r>
              <w:t xml:space="preserve">Consultations externes</w:t>
            </w:r>
          </w:p>
        </w:tc>
        <w:tc>
          <w:tcPr/>
          <w:p>
            <w:pPr>
              <w:pStyle w:val="Compact"/>
            </w:pPr>
            <w:r>
              <w:t xml:space="preserve">Consultations &lt; 5 ans, consultations &gt; 5 ans</w:t>
            </w:r>
          </w:p>
        </w:tc>
      </w:tr>
      <w:tr>
        <w:tc>
          <w:tcPr/>
          <w:p>
            <w:pPr>
              <w:pStyle w:val="Compact"/>
            </w:pPr>
            <w:r>
              <w:rPr>
                <w:b/>
                <w:bCs/>
              </w:rPr>
              <w:t xml:space="preserve">Planification familiale</w:t>
            </w:r>
          </w:p>
        </w:tc>
        <w:tc>
          <w:tcPr/>
          <w:p>
            <w:pPr>
              <w:pStyle w:val="Compact"/>
            </w:pPr>
            <w:r>
              <w:rPr>
                <w:i/>
                <w:iCs/>
              </w:rPr>
              <w:t xml:space="preserve">(si disponible)</w:t>
            </w:r>
          </w:p>
        </w:tc>
        <w:tc>
          <w:tcPr/>
          <w:p>
            <w:pPr>
              <w:pStyle w:val="Compact"/>
            </w:pPr>
            <w:r>
              <w:t xml:space="preserve">Nouvelles acceptantes PF, conseils PF, méthodes longue durée</w:t>
            </w:r>
          </w:p>
        </w:tc>
      </w:tr>
      <w:tr>
        <w:tc>
          <w:tcPr/>
          <w:p>
            <w:pPr>
              <w:pStyle w:val="Compact"/>
            </w:pPr>
            <w:r>
              <w:rPr>
                <w:b/>
                <w:bCs/>
              </w:rPr>
              <w:t xml:space="preserve">Paludisme</w:t>
            </w:r>
          </w:p>
        </w:tc>
        <w:tc>
          <w:tcPr/>
          <w:p>
            <w:pPr>
              <w:pStyle w:val="Compact"/>
            </w:pPr>
            <w:r>
              <w:rPr>
                <w:i/>
                <w:iCs/>
              </w:rPr>
              <w:t xml:space="preserve">(si disponible)</w:t>
            </w:r>
          </w:p>
        </w:tc>
        <w:tc>
          <w:tcPr/>
          <w:p>
            <w:pPr>
              <w:pStyle w:val="Compact"/>
            </w:pPr>
            <w:r>
              <w:t xml:space="preserve">TDR positif, traitement dans les 24h, traitement ACT</w:t>
            </w:r>
          </w:p>
        </w:tc>
      </w:tr>
      <w:tr>
        <w:tc>
          <w:tcPr/>
          <w:p>
            <w:pPr>
              <w:pStyle w:val="Compact"/>
            </w:pPr>
            <w:r>
              <w:rPr>
                <w:b/>
                <w:bCs/>
              </w:rPr>
              <w:t xml:space="preserve">Nutrition</w:t>
            </w:r>
          </w:p>
        </w:tc>
        <w:tc>
          <w:tcPr/>
          <w:p>
            <w:pPr>
              <w:pStyle w:val="Compact"/>
            </w:pPr>
            <w:r>
              <w:rPr>
                <w:i/>
                <w:iCs/>
              </w:rPr>
              <w:t xml:space="preserve">(si disponible)</w:t>
            </w:r>
          </w:p>
        </w:tc>
        <w:tc>
          <w:tcPr/>
          <w:p>
            <w:pPr>
              <w:pStyle w:val="Compact"/>
            </w:pPr>
            <w:r>
              <w:t xml:space="preserve">Cas de malnutrition, malnutrition aiguë prise en charge</w:t>
            </w:r>
          </w:p>
        </w:tc>
      </w:tr>
    </w:tbl>
    <w:p>
      <w:pPr>
        <w:pStyle w:val="BodyText"/>
      </w:pPr>
      <w:r>
        <w:t xml:space="preserve">Inclure uniquement les indicateurs qui existent dans la plateforme. Ignorer les catégories sans indicateurs disponibles.</w:t>
      </w:r>
    </w:p>
    <w:p>
      <w:r>
        <w:pict>
          <v:rect style="width:0;height:1.5pt" o:hralign="center" o:hrstd="t" o:hr="t"/>
        </w:pict>
      </w:r>
    </w:p>
    <w:bookmarkEnd w:id="11"/>
    <w:bookmarkStart w:id="14" w:name="instructions-système-pour-lia"/>
    <w:p>
      <w:pPr>
        <w:pStyle w:val="Heading1"/>
      </w:pPr>
      <w:r>
        <w:t xml:space="preserve">Instructions Système pour l’IA</w:t>
      </w:r>
    </w:p>
    <w:p>
      <w:pPr>
        <w:pStyle w:val="FirstParagraph"/>
      </w:pPr>
      <w:r>
        <w:t xml:space="preserve">Ces règles de formatage s’appliquent à tous les rapports FASTR.</w:t>
      </w:r>
    </w:p>
    <w:bookmarkStart w:id="12" w:name="normes-générales-des-rapports"/>
    <w:p>
      <w:pPr>
        <w:pStyle w:val="Heading2"/>
      </w:pPr>
      <w:r>
        <w:t xml:space="preserve">Normes Générales des Rapports</w:t>
      </w:r>
    </w:p>
    <w:p>
      <w:pPr>
        <w:pStyle w:val="Compact"/>
        <w:numPr>
          <w:ilvl w:val="0"/>
          <w:numId w:val="1001"/>
        </w:numPr>
      </w:pPr>
      <w:r>
        <w:t xml:space="preserve">Maintenir un langage prudent et analytique</w:t>
      </w:r>
    </w:p>
    <w:p>
      <w:pPr>
        <w:pStyle w:val="Compact"/>
        <w:numPr>
          <w:ilvl w:val="0"/>
          <w:numId w:val="1001"/>
        </w:numPr>
      </w:pPr>
      <w:r>
        <w:t xml:space="preserve">Ne pas présenter de liens de causalité</w:t>
      </w:r>
    </w:p>
    <w:p>
      <w:pPr>
        <w:pStyle w:val="Compact"/>
        <w:numPr>
          <w:ilvl w:val="0"/>
          <w:numId w:val="1001"/>
        </w:numPr>
      </w:pPr>
      <w:r>
        <w:t xml:space="preserve">Traiter tous les signaux de perturbation comme descriptifs et exploratoires</w:t>
      </w:r>
    </w:p>
    <w:p>
      <w:pPr>
        <w:pStyle w:val="Compact"/>
        <w:numPr>
          <w:ilvl w:val="0"/>
          <w:numId w:val="1001"/>
        </w:numPr>
      </w:pPr>
      <w:r>
        <w:t xml:space="preserve">Utiliser l’image de marque FASTR et le contexte du pays</w:t>
      </w:r>
    </w:p>
    <w:p>
      <w:pPr>
        <w:pStyle w:val="Compact"/>
        <w:numPr>
          <w:ilvl w:val="0"/>
          <w:numId w:val="1001"/>
        </w:numPr>
      </w:pPr>
      <w:r>
        <w:t xml:space="preserve">Structurer les descriptions narratives en phrases complètes plutôt qu’en points</w:t>
      </w:r>
    </w:p>
    <w:p>
      <w:pPr>
        <w:pStyle w:val="Compact"/>
        <w:numPr>
          <w:ilvl w:val="0"/>
          <w:numId w:val="1001"/>
        </w:numPr>
      </w:pPr>
      <w:r>
        <w:t xml:space="preserve">Mettre les titres des indicateurs en</w:t>
      </w:r>
      <w:r>
        <w:t xml:space="preserve"> </w:t>
      </w:r>
      <w:r>
        <w:rPr>
          <w:b/>
          <w:bCs/>
        </w:rPr>
        <w:t xml:space="preserve">gras</w:t>
      </w:r>
    </w:p>
    <w:p>
      <w:pPr>
        <w:pStyle w:val="Compact"/>
        <w:numPr>
          <w:ilvl w:val="0"/>
          <w:numId w:val="1001"/>
        </w:numPr>
      </w:pPr>
      <w:r>
        <w:t xml:space="preserve">Utiliser la mise en page standard : interprétation à gauche, visualisation à droite</w:t>
      </w:r>
    </w:p>
    <w:bookmarkEnd w:id="12"/>
    <w:bookmarkStart w:id="13" w:name="exigences-de-vérification"/>
    <w:p>
      <w:pPr>
        <w:pStyle w:val="Heading2"/>
      </w:pPr>
      <w:r>
        <w:t xml:space="preserve">Exigences de Vérification</w:t>
      </w:r>
    </w:p>
    <w:p>
      <w:pPr>
        <w:pStyle w:val="FirstParagraph"/>
      </w:pPr>
      <w:r>
        <w:rPr>
          <w:b/>
          <w:bCs/>
        </w:rPr>
        <w:t xml:space="preserve">Avant de finaliser toute interprétation, vérifier l’exactitude en utilisant tous les outils disponibles :</w:t>
      </w:r>
    </w:p>
    <w:p>
      <w:pPr>
        <w:pStyle w:val="Compact"/>
        <w:numPr>
          <w:ilvl w:val="0"/>
          <w:numId w:val="1002"/>
        </w:numPr>
      </w:pPr>
      <w:r>
        <w:t xml:space="preserve">Vérifier les valeurs numériques par rapport aux données ou visualisations réelles</w:t>
      </w:r>
    </w:p>
    <w:p>
      <w:pPr>
        <w:pStyle w:val="Compact"/>
        <w:numPr>
          <w:ilvl w:val="0"/>
          <w:numId w:val="1002"/>
        </w:numPr>
      </w:pPr>
      <w:r>
        <w:t xml:space="preserve">Confirmer que les périodes, noms d’indicateurs et zones géographiques sont correctement référencés</w:t>
      </w:r>
    </w:p>
    <w:p>
      <w:pPr>
        <w:pStyle w:val="Compact"/>
        <w:numPr>
          <w:ilvl w:val="0"/>
          <w:numId w:val="1002"/>
        </w:numPr>
      </w:pPr>
      <w:r>
        <w:t xml:space="preserve">Vérifier que les tendances décrites (augmentations, diminutions, perturbations) correspondent à ce que montrent les données</w:t>
      </w:r>
    </w:p>
    <w:p>
      <w:pPr>
        <w:pStyle w:val="Compact"/>
        <w:numPr>
          <w:ilvl w:val="0"/>
          <w:numId w:val="1002"/>
        </w:numPr>
      </w:pPr>
      <w:r>
        <w:t xml:space="preserve">Si vous ne pouvez pas vérifier une affirmation, l’énoncer avec l’incertitude appropriée ou l’omettre</w:t>
      </w:r>
    </w:p>
    <w:p>
      <w:pPr>
        <w:pStyle w:val="Compact"/>
        <w:numPr>
          <w:ilvl w:val="0"/>
          <w:numId w:val="1002"/>
        </w:numPr>
      </w:pPr>
      <w:r>
        <w:t xml:space="preserve">Ne pas deviner ou déduire des valeurs — rapporter uniquement ce qui peut être confirmé par les données</w:t>
      </w:r>
    </w:p>
    <w:p>
      <w:r>
        <w:pict>
          <v:rect style="width:0;height:1.5pt" o:hralign="center" o:hrstd="t" o:hr="t"/>
        </w:pict>
      </w:r>
    </w:p>
    <w:bookmarkEnd w:id="13"/>
    <w:bookmarkEnd w:id="14"/>
    <w:bookmarkStart w:id="34" w:name="prompt-1-rapport-de-perturbations-fastr"/>
    <w:p>
      <w:pPr>
        <w:pStyle w:val="Heading1"/>
      </w:pPr>
      <w:r>
        <w:t xml:space="preserve">PROMPT 1 : Rapport de Perturbations FASTR</w:t>
      </w:r>
    </w:p>
    <w:bookmarkStart w:id="17" w:name="section-couverture-et-contexte"/>
    <w:p>
      <w:pPr>
        <w:pStyle w:val="Heading2"/>
      </w:pPr>
      <w:r>
        <w:t xml:space="preserve">1. Section Couverture et Contexte</w:t>
      </w:r>
    </w:p>
    <w:bookmarkStart w:id="15" w:name="diapositive-de-couverture"/>
    <w:p>
      <w:pPr>
        <w:pStyle w:val="Heading3"/>
      </w:pPr>
      <w:r>
        <w:t xml:space="preserve">Diapositive de Couverture</w:t>
      </w:r>
    </w:p>
    <w:p>
      <w:pPr>
        <w:pStyle w:val="Compact"/>
        <w:numPr>
          <w:ilvl w:val="0"/>
          <w:numId w:val="1003"/>
        </w:numPr>
      </w:pPr>
      <w:r>
        <w:rPr>
          <w:b/>
          <w:bCs/>
        </w:rPr>
        <w:t xml:space="preserve">Titre :</w:t>
      </w:r>
      <w:r>
        <w:t xml:space="preserve"> </w:t>
      </w:r>
      <w:r>
        <w:t xml:space="preserve">« Suivi des Perturbations des Services Essentiels à partir des Données SNIS en {PAYS} »</w:t>
      </w:r>
    </w:p>
    <w:p>
      <w:pPr>
        <w:pStyle w:val="Compact"/>
        <w:numPr>
          <w:ilvl w:val="0"/>
          <w:numId w:val="1003"/>
        </w:numPr>
      </w:pPr>
      <w:r>
        <w:rPr>
          <w:b/>
          <w:bCs/>
        </w:rPr>
        <w:t xml:space="preserve">Sous-titre :</w:t>
      </w:r>
      <w:r>
        <w:t xml:space="preserve"> </w:t>
      </w:r>
      <w:r>
        <w:t xml:space="preserve">« Rapport de Perturbations : {PÉRIODE_RAPPORT} »</w:t>
      </w:r>
    </w:p>
    <w:p>
      <w:pPr>
        <w:pStyle w:val="Compact"/>
        <w:numPr>
          <w:ilvl w:val="0"/>
          <w:numId w:val="1003"/>
        </w:numPr>
      </w:pPr>
      <w:r>
        <w:rPr>
          <w:b/>
          <w:bCs/>
        </w:rPr>
        <w:t xml:space="preserve">Pied de page :</w:t>
      </w:r>
      <w:r>
        <w:t xml:space="preserve"> </w:t>
      </w:r>
      <w:r>
        <w:t xml:space="preserve">« Analyse générée en {MOIS_ANNÉE_ANALYSE} »</w:t>
      </w:r>
    </w:p>
    <w:p>
      <w:pPr>
        <w:pStyle w:val="Compact"/>
        <w:numPr>
          <w:ilvl w:val="0"/>
          <w:numId w:val="1003"/>
        </w:numPr>
      </w:pPr>
      <w:r>
        <w:t xml:space="preserve">Utiliser l’image de marque FASTR et le contexte du pays</w:t>
      </w:r>
    </w:p>
    <w:bookmarkEnd w:id="15"/>
    <w:bookmarkStart w:id="16" w:name="diapositive-dintroduction"/>
    <w:p>
      <w:pPr>
        <w:pStyle w:val="Heading3"/>
      </w:pPr>
      <w:r>
        <w:t xml:space="preserve">Diapositive d’Introduction</w:t>
      </w:r>
    </w:p>
    <w:p>
      <w:pPr>
        <w:pStyle w:val="Compact"/>
        <w:numPr>
          <w:ilvl w:val="0"/>
          <w:numId w:val="1004"/>
        </w:numPr>
      </w:pPr>
      <w:r>
        <w:rPr>
          <w:b/>
          <w:bCs/>
        </w:rPr>
        <w:t xml:space="preserve">Titre :</w:t>
      </w:r>
      <w:r>
        <w:t xml:space="preserve"> </w:t>
      </w:r>
      <w:r>
        <w:t xml:space="preserve">« Suivi des Perturbations des Services Essentiels à partir des Données SNIS »</w:t>
      </w:r>
    </w:p>
    <w:p>
      <w:pPr>
        <w:pStyle w:val="Compact"/>
        <w:numPr>
          <w:ilvl w:val="0"/>
          <w:numId w:val="1004"/>
        </w:numPr>
      </w:pPr>
      <w:r>
        <w:t xml:space="preserve">Inclure le texte descriptif fixe (50% de la diapositive) :</w:t>
      </w:r>
    </w:p>
    <w:p>
      <w:pPr>
        <w:pStyle w:val="BlockText"/>
      </w:pPr>
      <w:r>
        <w:t xml:space="preserve">« L’approche FASTR utilise les données SNIS de routine pour suivre l’évolution de la prestation de services au fil du temps. En comparant les volumes de services observés aux volumes attendus — ajustés pour la saisonnalité et les tendances historiques — nous pouvons identifier les perturbations ou les surplus dans les services de santé essentiels. Cette analyse fournit une perspective opportune à l’échelle du système, mettant en évidence où et quand l’utilisation des services s’écarte des tendances attendues. Les résultats génèrent des preuves exploitables pour guider des réponses rapides, aidant à maintenir la continuité des soins essentiels pendant les périodes d’incertitude de financement ou de changement opérationnel. »</w:t>
      </w:r>
    </w:p>
    <w:p>
      <w:pPr>
        <w:pStyle w:val="Compact"/>
        <w:numPr>
          <w:ilvl w:val="0"/>
          <w:numId w:val="1005"/>
        </w:numPr>
      </w:pPr>
      <w:r>
        <w:t xml:space="preserve">Réserver l’autre 50% de la diapositive pour l’image</w:t>
      </w:r>
    </w:p>
    <w:p>
      <w:r>
        <w:pict>
          <v:rect style="width:0;height:1.5pt" o:hralign="center" o:hrstd="t" o:hr="t"/>
        </w:pict>
      </w:r>
    </w:p>
    <w:bookmarkEnd w:id="16"/>
    <w:bookmarkEnd w:id="17"/>
    <w:bookmarkStart w:id="20" w:name="section-méthodologie"/>
    <w:p>
      <w:pPr>
        <w:pStyle w:val="Heading2"/>
      </w:pPr>
      <w:r>
        <w:t xml:space="preserve">2. Section Méthodologie</w:t>
      </w:r>
    </w:p>
    <w:bookmarkStart w:id="18" w:name="diapositive-méthodologie"/>
    <w:p>
      <w:pPr>
        <w:pStyle w:val="Heading3"/>
      </w:pPr>
      <w:r>
        <w:t xml:space="preserve">Diapositive Méthodologie</w:t>
      </w:r>
    </w:p>
    <w:p>
      <w:pPr>
        <w:pStyle w:val="Compact"/>
        <w:numPr>
          <w:ilvl w:val="0"/>
          <w:numId w:val="1006"/>
        </w:numPr>
      </w:pPr>
      <w:r>
        <w:rPr>
          <w:b/>
          <w:bCs/>
        </w:rPr>
        <w:t xml:space="preserve">Titre</w:t>
      </w:r>
      <w:r>
        <w:t xml:space="preserve"> </w:t>
      </w:r>
      <w:r>
        <w:t xml:space="preserve">(dans une zone de texte avec texte blanc) : « Méthodologie : Évaluation de l’Utilisation des Services »</w:t>
      </w:r>
    </w:p>
    <w:p>
      <w:pPr>
        <w:pStyle w:val="Compact"/>
        <w:numPr>
          <w:ilvl w:val="0"/>
          <w:numId w:val="1006"/>
        </w:numPr>
      </w:pPr>
      <w:r>
        <w:rPr>
          <w:b/>
          <w:bCs/>
        </w:rPr>
        <w:t xml:space="preserve">Description :</w:t>
      </w:r>
    </w:p>
    <w:p>
      <w:pPr>
        <w:pStyle w:val="FirstParagraph"/>
      </w:pPr>
      <w:r>
        <w:rPr>
          <w:b/>
          <w:bCs/>
        </w:rPr>
        <w:t xml:space="preserve">Objectif :</w:t>
      </w:r>
      <w:r>
        <w:t xml:space="preserve"> </w:t>
      </w:r>
      <w:r>
        <w:t xml:space="preserve">Suivre les changements dans l’utilisation des services de santé au fil du temps, en identifiant où les services sont inférieurs ou supérieurs aux tendances attendues.</w:t>
      </w:r>
    </w:p>
    <w:p>
      <w:pPr>
        <w:pStyle w:val="BodyText"/>
      </w:pPr>
      <w:r>
        <w:rPr>
          <w:b/>
          <w:bCs/>
        </w:rPr>
        <w:t xml:space="preserve">Comment ça fonctionne :</w:t>
      </w:r>
      <w:r>
        <w:t xml:space="preserve"> </w:t>
      </w:r>
      <w:r>
        <w:t xml:space="preserve">- Utilise les données SNIS de routine, nettoyées des valeurs aberrantes et des valeurs manquantes</w:t>
      </w:r>
      <w:r>
        <w:t xml:space="preserve"> </w:t>
      </w:r>
      <w:r>
        <w:t xml:space="preserve">- Construit une ligne de tendance « attendue » pour chaque service, ajustée pour la saisonnalité et les tendances historiques</w:t>
      </w:r>
      <w:r>
        <w:t xml:space="preserve"> </w:t>
      </w:r>
      <w:r>
        <w:t xml:space="preserve">- Compare les volumes de services réels aux niveaux attendus</w:t>
      </w:r>
    </w:p>
    <w:p>
      <w:pPr>
        <w:pStyle w:val="BodyText"/>
      </w:pPr>
      <w:r>
        <w:rPr>
          <w:b/>
          <w:bCs/>
        </w:rPr>
        <w:t xml:space="preserve">Mesure de l’impact :</w:t>
      </w:r>
      <w:r>
        <w:t xml:space="preserve"> </w:t>
      </w:r>
      <w:r>
        <w:t xml:space="preserve">- Les périodes de perturbation signalées sont analysées pour estimer l’ampleur des changements par rapport aux attentes</w:t>
      </w:r>
      <w:r>
        <w:t xml:space="preserve"> </w:t>
      </w:r>
      <w:r>
        <w:t xml:space="preserve">- Les résultats sont présentés aux niveaux national et sous-national, mettant en évidence les effets à l’échelle du système et les effets localisés</w:t>
      </w:r>
    </w:p>
    <w:p>
      <w:pPr>
        <w:pStyle w:val="BodyText"/>
      </w:pPr>
      <w:r>
        <w:rPr>
          <w:b/>
          <w:bCs/>
        </w:rPr>
        <w:t xml:space="preserve">Comment interpréter les figures :</w:t>
      </w:r>
      <w:r>
        <w:t xml:space="preserve"> </w:t>
      </w:r>
      <w:r>
        <w:t xml:space="preserve">- Zones rouges = perturbations potentielles (volumes de services inférieurs aux attentes)</w:t>
      </w:r>
      <w:r>
        <w:t xml:space="preserve"> </w:t>
      </w:r>
      <w:r>
        <w:t xml:space="preserve">- Zones vertes = surplus potentiels (volumes de services supérieurs aux attentes)</w:t>
      </w:r>
      <w:r>
        <w:t xml:space="preserve"> </w:t>
      </w:r>
      <w:r>
        <w:t xml:space="preserve">- Ce sont des signaux, pas des conclusions — ils indiquent quand et où les volumes s’écartent, mais nécessitent une investigation plus approfondie des raisons sous-jacentes</w:t>
      </w:r>
    </w:p>
    <w:p>
      <w:pPr>
        <w:pStyle w:val="Compact"/>
        <w:numPr>
          <w:ilvl w:val="0"/>
          <w:numId w:val="1007"/>
        </w:numPr>
      </w:pPr>
      <w:r>
        <w:rPr>
          <w:b/>
          <w:bCs/>
        </w:rPr>
        <w:t xml:space="preserve">Pied de page</w:t>
      </w:r>
      <w:r>
        <w:t xml:space="preserve"> </w:t>
      </w:r>
      <w:r>
        <w:t xml:space="preserve">(dans une zone de texte) : « Plus de détails sur la méthodologie et les approches d’ajustement de la qualité des données sont disponibles sur GitHub (https://fastr-analytics.github.io/fastr-resource-hub/). »</w:t>
      </w:r>
    </w:p>
    <w:bookmarkEnd w:id="18"/>
    <w:bookmarkStart w:id="19" w:name="diapositive-sélection-des-indicateurs"/>
    <w:p>
      <w:pPr>
        <w:pStyle w:val="Heading3"/>
      </w:pPr>
      <w:r>
        <w:t xml:space="preserve">Diapositive Sélection des Indicateurs</w:t>
      </w:r>
    </w:p>
    <w:p>
      <w:pPr>
        <w:pStyle w:val="Compact"/>
        <w:numPr>
          <w:ilvl w:val="0"/>
          <w:numId w:val="1008"/>
        </w:numPr>
      </w:pPr>
      <w:r>
        <w:rPr>
          <w:b/>
          <w:bCs/>
        </w:rPr>
        <w:t xml:space="preserve">En-tête :</w:t>
      </w:r>
      <w:r>
        <w:t xml:space="preserve"> </w:t>
      </w:r>
      <w:r>
        <w:t xml:space="preserve">« Méthodologie : Sélection des indicateurs »</w:t>
      </w:r>
    </w:p>
    <w:p>
      <w:pPr>
        <w:pStyle w:val="Compact"/>
        <w:numPr>
          <w:ilvl w:val="0"/>
          <w:numId w:val="1008"/>
        </w:numPr>
      </w:pPr>
      <w:r>
        <w:rPr>
          <w:b/>
          <w:bCs/>
        </w:rPr>
        <w:t xml:space="preserve">Sous-en-tête :</w:t>
      </w:r>
      <w:r>
        <w:t xml:space="preserve"> </w:t>
      </w:r>
      <w:r>
        <w:t xml:space="preserve">« Les indicateurs pour l’analyse de l’utilisation des services ont été sélectionnés en tenant compte des indicateurs prioritaires au niveau national. »</w:t>
      </w:r>
    </w:p>
    <w:p>
      <w:pPr>
        <w:pStyle w:val="Compact"/>
        <w:numPr>
          <w:ilvl w:val="0"/>
          <w:numId w:val="1008"/>
        </w:numPr>
      </w:pPr>
      <w:r>
        <w:rPr>
          <w:b/>
          <w:bCs/>
        </w:rPr>
        <w:t xml:space="preserve">Lister les indicateurs disponibles dans la plateforme</w:t>
      </w:r>
      <w:r>
        <w:t xml:space="preserve">, regroupés par catégorie (voir Regroupement des Indicateurs ci-dessus)</w:t>
      </w:r>
    </w:p>
    <w:p>
      <w:r>
        <w:pict>
          <v:rect style="width:0;height:1.5pt" o:hralign="center" o:hrstd="t" o:hr="t"/>
        </w:pict>
      </w:r>
    </w:p>
    <w:bookmarkEnd w:id="19"/>
    <w:bookmarkEnd w:id="20"/>
    <w:bookmarkStart w:id="21" w:name="en-tête-de-section"/>
    <w:p>
      <w:pPr>
        <w:pStyle w:val="Heading2"/>
      </w:pPr>
      <w:r>
        <w:t xml:space="preserve">3. En-tête de Section</w:t>
      </w:r>
    </w:p>
    <w:p>
      <w:pPr>
        <w:pStyle w:val="Compact"/>
        <w:numPr>
          <w:ilvl w:val="0"/>
          <w:numId w:val="1009"/>
        </w:numPr>
      </w:pPr>
      <w:r>
        <w:rPr>
          <w:b/>
          <w:bCs/>
        </w:rPr>
        <w:t xml:space="preserve">Titre :</w:t>
      </w:r>
      <w:r>
        <w:t xml:space="preserve"> </w:t>
      </w:r>
      <w:r>
        <w:t xml:space="preserve">« Section 1 : Utilisation des Services »</w:t>
      </w:r>
    </w:p>
    <w:p>
      <w:pPr>
        <w:pStyle w:val="Compact"/>
        <w:numPr>
          <w:ilvl w:val="0"/>
          <w:numId w:val="1009"/>
        </w:numPr>
      </w:pPr>
      <w:r>
        <w:rPr>
          <w:b/>
          <w:bCs/>
        </w:rPr>
        <w:t xml:space="preserve">Sous-titre :</w:t>
      </w:r>
      <w:r>
        <w:t xml:space="preserve"> </w:t>
      </w:r>
      <w:r>
        <w:t xml:space="preserve">« Évaluation des volumes projetés basée sur les tendances historiques pour identifier les surplus et perturbations dans les services de santé »</w:t>
      </w:r>
    </w:p>
    <w:p>
      <w:r>
        <w:pict>
          <v:rect style="width:0;height:1.5pt" o:hralign="center" o:hrstd="t" o:hr="t"/>
        </w:pict>
      </w:r>
    </w:p>
    <w:bookmarkEnd w:id="21"/>
    <w:bookmarkStart w:id="26" w:name="X4e1b354c7e5f090251d8410592a32765eb076c3"/>
    <w:p>
      <w:pPr>
        <w:pStyle w:val="Heading2"/>
      </w:pPr>
      <w:r>
        <w:t xml:space="preserve">4. Analyse Nationale de l’Utilisation des Services</w:t>
      </w:r>
    </w:p>
    <w:p>
      <w:pPr>
        <w:pStyle w:val="FirstParagraph"/>
      </w:pPr>
      <w:r>
        <w:t xml:space="preserve">Créer des diapositives de perturbations et surplus au niveau national couvrant {DATE_DÉBUT} à {DATE_FIN}.</w:t>
      </w:r>
    </w:p>
    <w:p>
      <w:pPr>
        <w:pStyle w:val="BodyText"/>
      </w:pPr>
      <w:r>
        <w:rPr>
          <w:b/>
          <w:bCs/>
        </w:rPr>
        <w:t xml:space="preserve">Créer des diapositives pour chaque catégorie d’indicateurs ayant des données disponibles dans la plateforme :</w:t>
      </w:r>
    </w:p>
    <w:bookmarkStart w:id="22" w:name="indicateurs-de-santé-maternelle"/>
    <w:p>
      <w:pPr>
        <w:pStyle w:val="Heading3"/>
      </w:pPr>
      <w:r>
        <w:t xml:space="preserve">Indicateurs de Santé Maternelle</w:t>
      </w:r>
    </w:p>
    <w:p>
      <w:pPr>
        <w:pStyle w:val="FirstParagraph"/>
      </w:pPr>
      <w:r>
        <w:t xml:space="preserve">Créer des diapositives pour les indicateurs de santé maternelle disponibles (ex : CPN1, CPN4, accouchement institutionnel, CPoN) :</w:t>
      </w:r>
      <w:r>
        <w:t xml:space="preserve"> </w:t>
      </w:r>
      <w:r>
        <w:t xml:space="preserve">- Insérer la visualisation appropriée</w:t>
      </w:r>
      <w:r>
        <w:t xml:space="preserve"> </w:t>
      </w:r>
      <w:r>
        <w:t xml:space="preserve">- Inclure une description narrative à gauche décrivant le moment, la durée et l’ampleur des perturbations et surplus en phrases complètes (pas en points)</w:t>
      </w:r>
      <w:r>
        <w:t xml:space="preserve"> </w:t>
      </w:r>
      <w:r>
        <w:t xml:space="preserve">- Mettre le titre de l’indicateur en</w:t>
      </w:r>
      <w:r>
        <w:t xml:space="preserve"> </w:t>
      </w:r>
      <w:r>
        <w:rPr>
          <w:b/>
          <w:bCs/>
        </w:rPr>
        <w:t xml:space="preserve">gras</w:t>
      </w:r>
    </w:p>
    <w:bookmarkEnd w:id="22"/>
    <w:bookmarkStart w:id="23" w:name="indicateurs-de-vaccination"/>
    <w:p>
      <w:pPr>
        <w:pStyle w:val="Heading3"/>
      </w:pPr>
      <w:r>
        <w:t xml:space="preserve">Indicateurs de Vaccination</w:t>
      </w:r>
    </w:p>
    <w:p>
      <w:pPr>
        <w:pStyle w:val="FirstParagraph"/>
      </w:pPr>
      <w:r>
        <w:t xml:space="preserve">Créer des diapositives pour les indicateurs de vaccination disponibles (ex : BCG, Penta1, Penta3, Rougeole) :</w:t>
      </w:r>
      <w:r>
        <w:t xml:space="preserve"> </w:t>
      </w:r>
      <w:r>
        <w:t xml:space="preserve">- Insérer la visualisation appropriée</w:t>
      </w:r>
      <w:r>
        <w:t xml:space="preserve"> </w:t>
      </w:r>
      <w:r>
        <w:t xml:space="preserve">- Inclure une description narrative à gauche décrivant le moment, la durée et l’ampleur des perturbations et surplus en phrases complètes</w:t>
      </w:r>
      <w:r>
        <w:t xml:space="preserve"> </w:t>
      </w:r>
      <w:r>
        <w:t xml:space="preserve">- Mettre le titre de l’indicateur en</w:t>
      </w:r>
      <w:r>
        <w:t xml:space="preserve"> </w:t>
      </w:r>
      <w:r>
        <w:rPr>
          <w:b/>
          <w:bCs/>
        </w:rPr>
        <w:t xml:space="preserve">gras</w:t>
      </w:r>
    </w:p>
    <w:bookmarkEnd w:id="23"/>
    <w:bookmarkStart w:id="24" w:name="services-généraux"/>
    <w:p>
      <w:pPr>
        <w:pStyle w:val="Heading3"/>
      </w:pPr>
      <w:r>
        <w:t xml:space="preserve">Services Généraux</w:t>
      </w:r>
    </w:p>
    <w:p>
      <w:pPr>
        <w:pStyle w:val="FirstParagraph"/>
      </w:pPr>
      <w:r>
        <w:t xml:space="preserve">Créer des diapositives pour les indicateurs de services généraux (ex : consultations externes) :</w:t>
      </w:r>
      <w:r>
        <w:t xml:space="preserve"> </w:t>
      </w:r>
      <w:r>
        <w:t xml:space="preserve">- Insérer la visualisation appropriée</w:t>
      </w:r>
      <w:r>
        <w:t xml:space="preserve"> </w:t>
      </w:r>
      <w:r>
        <w:t xml:space="preserve">- Inclure une description narrative à gauche décrivant le moment, la durée et l’ampleur des perturbations et surplus en phrases complètes</w:t>
      </w:r>
      <w:r>
        <w:t xml:space="preserve"> </w:t>
      </w:r>
      <w:r>
        <w:t xml:space="preserve">- Mettre le titre de l’indicateur en</w:t>
      </w:r>
      <w:r>
        <w:t xml:space="preserve"> </w:t>
      </w:r>
      <w:r>
        <w:rPr>
          <w:b/>
          <w:bCs/>
        </w:rPr>
        <w:t xml:space="preserve">gras</w:t>
      </w:r>
    </w:p>
    <w:bookmarkEnd w:id="24"/>
    <w:bookmarkStart w:id="25" w:name="Xe47b2579edc7742e3e920d4e5644875f5424f16"/>
    <w:p>
      <w:pPr>
        <w:pStyle w:val="Heading3"/>
      </w:pPr>
      <w:r>
        <w:t xml:space="preserve">Indicateurs Additionnels Spécifiques au Pays</w:t>
      </w:r>
    </w:p>
    <w:p>
      <w:pPr>
        <w:pStyle w:val="FirstParagraph"/>
      </w:pPr>
      <w:r>
        <w:t xml:space="preserve">Si votre plateforme inclut d’autres indicateurs (paludisme, planification familiale, nutrition, etc.), créer des diapositives selon le même format.</w:t>
      </w:r>
    </w:p>
    <w:p>
      <w:r>
        <w:pict>
          <v:rect style="width:0;height:1.5pt" o:hralign="center" o:hrstd="t" o:hr="t"/>
        </w:pict>
      </w:r>
    </w:p>
    <w:bookmarkEnd w:id="25"/>
    <w:bookmarkEnd w:id="26"/>
    <w:bookmarkStart w:id="29" w:name="annexe-1-analyse-sous-nationale"/>
    <w:p>
      <w:pPr>
        <w:pStyle w:val="Heading2"/>
      </w:pPr>
      <w:r>
        <w:t xml:space="preserve">5. Annexe 1 : Analyse Sous-nationale</w:t>
      </w:r>
    </w:p>
    <w:bookmarkStart w:id="27" w:name="diapositive-den-tête-de-lannexe"/>
    <w:p>
      <w:pPr>
        <w:pStyle w:val="Heading3"/>
      </w:pPr>
      <w:r>
        <w:t xml:space="preserve">Diapositive d’En-tête de l’Annexe</w:t>
      </w:r>
    </w:p>
    <w:p>
      <w:pPr>
        <w:pStyle w:val="Compact"/>
        <w:numPr>
          <w:ilvl w:val="0"/>
          <w:numId w:val="1010"/>
        </w:numPr>
      </w:pPr>
      <w:r>
        <w:rPr>
          <w:b/>
          <w:bCs/>
        </w:rPr>
        <w:t xml:space="preserve">Titre :</w:t>
      </w:r>
      <w:r>
        <w:t xml:space="preserve"> </w:t>
      </w:r>
      <w:r>
        <w:t xml:space="preserve">« Annexe 1 : Perturbations de l’utilisation des services par district »</w:t>
      </w:r>
    </w:p>
    <w:bookmarkEnd w:id="27"/>
    <w:bookmarkStart w:id="28" w:name="diapositive-de-résumé"/>
    <w:p>
      <w:pPr>
        <w:pStyle w:val="Heading3"/>
      </w:pPr>
      <w:r>
        <w:t xml:space="preserve">Diapositive de Résumé</w:t>
      </w:r>
    </w:p>
    <w:p>
      <w:pPr>
        <w:pStyle w:val="Compact"/>
        <w:numPr>
          <w:ilvl w:val="0"/>
          <w:numId w:val="1011"/>
        </w:numPr>
      </w:pPr>
      <w:r>
        <w:t xml:space="preserve">Créer une diapositive avec une zone de texte à droite intitulée : « Résumé des Tendances de Complétude {DATE_DÉBUT}-{DATE_FIN} »</w:t>
      </w:r>
    </w:p>
    <w:p>
      <w:r>
        <w:pict>
          <v:rect style="width:0;height:1.5pt" o:hralign="center" o:hrstd="t" o:hr="t"/>
        </w:pict>
      </w:r>
    </w:p>
    <w:bookmarkEnd w:id="28"/>
    <w:bookmarkEnd w:id="29"/>
    <w:bookmarkStart w:id="33" w:name="annexe-2-qualité-des-données"/>
    <w:p>
      <w:pPr>
        <w:pStyle w:val="Heading2"/>
      </w:pPr>
      <w:r>
        <w:t xml:space="preserve">6. Annexe 2 : Qualité des Données</w:t>
      </w:r>
    </w:p>
    <w:bookmarkStart w:id="30" w:name="X50a016c8ab4e41cfcc2e162befe6d8cd915bf1b"/>
    <w:p>
      <w:pPr>
        <w:pStyle w:val="Heading3"/>
      </w:pPr>
      <w:r>
        <w:t xml:space="preserve">Visualisation de la Complétude (avant l’en-tête)</w:t>
      </w:r>
    </w:p>
    <w:p>
      <w:pPr>
        <w:pStyle w:val="Compact"/>
        <w:numPr>
          <w:ilvl w:val="0"/>
          <w:numId w:val="1012"/>
        </w:numPr>
      </w:pPr>
      <w:r>
        <w:t xml:space="preserve">Créer une visualisation montrant les tendances mensuelles de complétude de {DATE_DÉBUT} à {DATE_FIN}</w:t>
      </w:r>
    </w:p>
    <w:p>
      <w:pPr>
        <w:pStyle w:val="Compact"/>
        <w:numPr>
          <w:ilvl w:val="0"/>
          <w:numId w:val="1012"/>
        </w:numPr>
      </w:pPr>
      <w:r>
        <w:t xml:space="preserve">Format en tableau type carte de chaleur : années en lignes, mois en groupes de lignes, indicateurs en colonnes</w:t>
      </w:r>
    </w:p>
    <w:p>
      <w:pPr>
        <w:pStyle w:val="Compact"/>
        <w:numPr>
          <w:ilvl w:val="0"/>
          <w:numId w:val="1012"/>
        </w:numPr>
      </w:pPr>
      <w:r>
        <w:t xml:space="preserve">Inclure tous les indicateurs</w:t>
      </w:r>
    </w:p>
    <w:bookmarkEnd w:id="30"/>
    <w:bookmarkStart w:id="31" w:name="diapositive-den-tête-de-lannexe-1"/>
    <w:p>
      <w:pPr>
        <w:pStyle w:val="Heading3"/>
      </w:pPr>
      <w:r>
        <w:t xml:space="preserve">Diapositive d’En-tête de l’Annexe</w:t>
      </w:r>
    </w:p>
    <w:p>
      <w:pPr>
        <w:pStyle w:val="Compact"/>
        <w:numPr>
          <w:ilvl w:val="0"/>
          <w:numId w:val="1013"/>
        </w:numPr>
      </w:pPr>
      <w:r>
        <w:rPr>
          <w:b/>
          <w:bCs/>
        </w:rPr>
        <w:t xml:space="preserve">Titre :</w:t>
      </w:r>
      <w:r>
        <w:t xml:space="preserve"> </w:t>
      </w:r>
      <w:r>
        <w:t xml:space="preserve">« Annexe 2 : Tendances de la complétude des rapports par indicateur »</w:t>
      </w:r>
    </w:p>
    <w:p>
      <w:pPr>
        <w:pStyle w:val="Compact"/>
        <w:numPr>
          <w:ilvl w:val="0"/>
          <w:numId w:val="1013"/>
        </w:numPr>
      </w:pPr>
      <w:r>
        <w:t xml:space="preserve">Suivre avec 3 paragraphes décrivant :</w:t>
      </w:r>
    </w:p>
    <w:p>
      <w:pPr>
        <w:pStyle w:val="Compact"/>
        <w:numPr>
          <w:ilvl w:val="1"/>
          <w:numId w:val="1014"/>
        </w:numPr>
      </w:pPr>
      <w:r>
        <w:t xml:space="preserve">Le pourcentage global de complétude pour tous les indicateurs</w:t>
      </w:r>
    </w:p>
    <w:p>
      <w:pPr>
        <w:pStyle w:val="Compact"/>
        <w:numPr>
          <w:ilvl w:val="1"/>
          <w:numId w:val="1014"/>
        </w:numPr>
      </w:pPr>
      <w:r>
        <w:t xml:space="preserve">Les zones de faible complétude</w:t>
      </w:r>
    </w:p>
    <w:p>
      <w:pPr>
        <w:pStyle w:val="Compact"/>
        <w:numPr>
          <w:ilvl w:val="1"/>
          <w:numId w:val="1014"/>
        </w:numPr>
      </w:pPr>
      <w:r>
        <w:t xml:space="preserve">Les tendances pour 2025</w:t>
      </w:r>
    </w:p>
    <w:bookmarkEnd w:id="31"/>
    <w:bookmarkStart w:id="32" w:name="texte-fixe-à-inclure"/>
    <w:p>
      <w:pPr>
        <w:pStyle w:val="Heading3"/>
      </w:pPr>
      <w:r>
        <w:t xml:space="preserve">Texte fixe à inclure :</w:t>
      </w:r>
    </w:p>
    <w:p>
      <w:pPr>
        <w:pStyle w:val="BlockText"/>
      </w:pPr>
      <w:r>
        <w:rPr>
          <w:b/>
          <w:bCs/>
        </w:rPr>
        <w:t xml:space="preserve">Pourquoi la Complétude est Importante pour l’Analyse des Perturbations</w:t>
      </w:r>
    </w:p>
    <w:p>
      <w:pPr>
        <w:pStyle w:val="BlockText"/>
      </w:pPr>
      <w:r>
        <w:rPr>
          <w:b/>
          <w:bCs/>
        </w:rPr>
        <w:t xml:space="preserve">Valeurs observées :</w:t>
      </w:r>
      <w:r>
        <w:t xml:space="preserve"> </w:t>
      </w:r>
      <w:r>
        <w:t xml:space="preserve">Celles-ci sont ajustées uniquement pour les valeurs aberrantes, donc elles reflètent les volumes de services bruts réels après suppression des pics non plausibles.</w:t>
      </w:r>
    </w:p>
    <w:p>
      <w:pPr>
        <w:pStyle w:val="BlockText"/>
      </w:pPr>
      <w:r>
        <w:rPr>
          <w:b/>
          <w:bCs/>
        </w:rPr>
        <w:t xml:space="preserve">Valeurs attendues :</w:t>
      </w:r>
      <w:r>
        <w:t xml:space="preserve"> </w:t>
      </w:r>
      <w:r>
        <w:t xml:space="preserve">Celles-ci sont ajustées pour la complétude et les valeurs aberrantes. Cela signifie que le modèle « comble » les lacunes de rapportage, construisant une ligne de tendance attendue comme si tous les établissements avaient rapporté de manière cohérente.</w:t>
      </w:r>
    </w:p>
    <w:p>
      <w:pPr>
        <w:pStyle w:val="BlockText"/>
      </w:pPr>
      <w:r>
        <w:t xml:space="preserve">Lorsque la complétude est élevée, les volumes observés et attendus sont plus comparables, et les perturbations sont plus susceptibles de refléter de vrais changements de services. Lorsque la complétude est faible, les valeurs attendues peuvent être artificiellement plus élevées que les valeurs observées, créant des « perturbations » apparentes qui reflètent en réalité des rapports manquants plutôt que de vraies baisses de la prestation de services.</w:t>
      </w:r>
    </w:p>
    <w:p>
      <w:r>
        <w:pict>
          <v:rect style="width:0;height:1.5pt" o:hralign="center" o:hrstd="t" o:hr="t"/>
        </w:pict>
      </w:r>
    </w:p>
    <w:bookmarkEnd w:id="32"/>
    <w:bookmarkEnd w:id="33"/>
    <w:bookmarkEnd w:id="34"/>
    <w:bookmarkStart w:id="37" w:name="Xc397aeacf3cd922dbc9b065543698f868d94691"/>
    <w:p>
      <w:pPr>
        <w:pStyle w:val="Heading1"/>
      </w:pPr>
      <w:r>
        <w:t xml:space="preserve">PROMPT 2 : Analyse Régionale des Perturbations</w:t>
      </w:r>
    </w:p>
    <w:p>
      <w:pPr>
        <w:pStyle w:val="FirstParagraph"/>
      </w:pPr>
      <w:r>
        <w:t xml:space="preserve">Créer les diapositives dans l’ordre suivant :</w:t>
      </w:r>
    </w:p>
    <w:bookmarkStart w:id="35" w:name="diapositive-de-couverture-1"/>
    <w:p>
      <w:pPr>
        <w:pStyle w:val="Heading3"/>
      </w:pPr>
      <w:r>
        <w:t xml:space="preserve">Diapositive de Couverture</w:t>
      </w:r>
    </w:p>
    <w:p>
      <w:pPr>
        <w:pStyle w:val="Compact"/>
        <w:numPr>
          <w:ilvl w:val="0"/>
          <w:numId w:val="1015"/>
        </w:numPr>
      </w:pPr>
      <w:r>
        <w:rPr>
          <w:b/>
          <w:bCs/>
        </w:rPr>
        <w:t xml:space="preserve">Titre :</w:t>
      </w:r>
      <w:r>
        <w:t xml:space="preserve"> </w:t>
      </w:r>
      <w:r>
        <w:t xml:space="preserve">« Perturbations de l’utilisation des services au niveau sous-national »</w:t>
      </w:r>
    </w:p>
    <w:bookmarkEnd w:id="35"/>
    <w:bookmarkStart w:id="36" w:name="diapositives-par-zone-sous-nationale"/>
    <w:p>
      <w:pPr>
        <w:pStyle w:val="Heading3"/>
      </w:pPr>
      <w:r>
        <w:t xml:space="preserve">Diapositives par Zone Sous-nationale</w:t>
      </w:r>
    </w:p>
    <w:p>
      <w:pPr>
        <w:pStyle w:val="FirstParagraph"/>
      </w:pPr>
      <w:r>
        <w:t xml:space="preserve">Pour chaque zone sous-nationale, générer une nouvelle diapositive avec :</w:t>
      </w:r>
      <w:r>
        <w:t xml:space="preserve"> </w:t>
      </w:r>
      <w:r>
        <w:t xml:space="preserve">-</w:t>
      </w:r>
      <w:r>
        <w:t xml:space="preserve"> </w:t>
      </w:r>
      <w:r>
        <w:rPr>
          <w:b/>
          <w:bCs/>
        </w:rPr>
        <w:t xml:space="preserve">Titre de la diapositive :</w:t>
      </w:r>
      <w:r>
        <w:t xml:space="preserve"> </w:t>
      </w:r>
      <w:r>
        <w:t xml:space="preserve">Nom de la zone sous-nationale</w:t>
      </w:r>
      <w:r>
        <w:t xml:space="preserve"> </w:t>
      </w:r>
      <w:r>
        <w:t xml:space="preserve">-</w:t>
      </w:r>
      <w:r>
        <w:t xml:space="preserve"> </w:t>
      </w:r>
      <w:r>
        <w:rPr>
          <w:b/>
          <w:bCs/>
        </w:rPr>
        <w:t xml:space="preserve">Visualisation :</w:t>
      </w:r>
      <w:r>
        <w:t xml:space="preserve"> </w:t>
      </w:r>
      <w:r>
        <w:t xml:space="preserve">« Défaut 6. Nombre réel vs attendu de services (Zone administrative 2) » pour la zone correspondante</w:t>
      </w:r>
    </w:p>
    <w:p>
      <w:r>
        <w:pict>
          <v:rect style="width:0;height:1.5pt" o:hralign="center" o:hrstd="t" o:hr="t"/>
        </w:pict>
      </w:r>
    </w:p>
    <w:bookmarkEnd w:id="36"/>
    <w:bookmarkEnd w:id="37"/>
    <w:bookmarkStart w:id="45" w:name="X4066b4afac0bc722fdd4890135f354d7eb7da1b"/>
    <w:p>
      <w:pPr>
        <w:pStyle w:val="Heading1"/>
      </w:pPr>
      <w:r>
        <w:t xml:space="preserve">PROMPT 3 : Évaluation de la Qualité des Données</w:t>
      </w:r>
    </w:p>
    <w:p>
      <w:pPr>
        <w:pStyle w:val="FirstParagraph"/>
      </w:pPr>
      <w:r>
        <w:t xml:space="preserve">Créer les diapositives dans l’ordre suivant :</w:t>
      </w:r>
    </w:p>
    <w:bookmarkStart w:id="38" w:name="diapositive-1---couverture"/>
    <w:p>
      <w:pPr>
        <w:pStyle w:val="Heading3"/>
      </w:pPr>
      <w:r>
        <w:t xml:space="preserve">Diapositive 1 - Couverture</w:t>
      </w:r>
    </w:p>
    <w:p>
      <w:pPr>
        <w:pStyle w:val="Compact"/>
        <w:numPr>
          <w:ilvl w:val="0"/>
          <w:numId w:val="1016"/>
        </w:numPr>
      </w:pPr>
      <w:r>
        <w:rPr>
          <w:b/>
          <w:bCs/>
        </w:rPr>
        <w:t xml:space="preserve">Titre :</w:t>
      </w:r>
      <w:r>
        <w:t xml:space="preserve"> </w:t>
      </w:r>
      <w:r>
        <w:t xml:space="preserve">« Évaluation de la Qualité des Données »</w:t>
      </w:r>
    </w:p>
    <w:p>
      <w:pPr>
        <w:pStyle w:val="Compact"/>
        <w:numPr>
          <w:ilvl w:val="0"/>
          <w:numId w:val="1016"/>
        </w:numPr>
      </w:pPr>
      <w:r>
        <w:rPr>
          <w:b/>
          <w:bCs/>
        </w:rPr>
        <w:t xml:space="preserve">Sous-titre :</w:t>
      </w:r>
      <w:r>
        <w:t xml:space="preserve"> </w:t>
      </w:r>
      <w:r>
        <w:t xml:space="preserve">« Les évaluations de la qualité des données — axées sur la complétude, la cohérence et les valeurs aberrantes — informent les ajustements appliqués aux données de routine pour améliorer la fiabilité des analyses présentées. »</w:t>
      </w:r>
    </w:p>
    <w:bookmarkEnd w:id="38"/>
    <w:bookmarkStart w:id="39" w:name="diapositive-2---complétude-des-rapports"/>
    <w:p>
      <w:pPr>
        <w:pStyle w:val="Heading3"/>
      </w:pPr>
      <w:r>
        <w:t xml:space="preserve">Diapositive 2 - Complétude des Rapports</w:t>
      </w:r>
    </w:p>
    <w:p>
      <w:pPr>
        <w:pStyle w:val="Compact"/>
        <w:numPr>
          <w:ilvl w:val="0"/>
          <w:numId w:val="1017"/>
        </w:numPr>
      </w:pPr>
      <w:r>
        <w:rPr>
          <w:b/>
          <w:bCs/>
        </w:rPr>
        <w:t xml:space="preserve">Titre :</w:t>
      </w:r>
      <w:r>
        <w:t xml:space="preserve"> </w:t>
      </w:r>
      <w:r>
        <w:t xml:space="preserve">« Complétude des rapports »</w:t>
      </w:r>
    </w:p>
    <w:p>
      <w:pPr>
        <w:pStyle w:val="Compact"/>
        <w:numPr>
          <w:ilvl w:val="0"/>
          <w:numId w:val="1017"/>
        </w:numPr>
      </w:pPr>
      <w:r>
        <w:t xml:space="preserve">Insérer la visualisation à droite : « Défaut 2. Proportion de dossiers complets »</w:t>
      </w:r>
    </w:p>
    <w:p>
      <w:pPr>
        <w:pStyle w:val="Compact"/>
        <w:numPr>
          <w:ilvl w:val="0"/>
          <w:numId w:val="1017"/>
        </w:numPr>
      </w:pPr>
      <w:r>
        <w:t xml:space="preserve">Ajouter l’interprétation à gauche incluant :</w:t>
      </w:r>
    </w:p>
    <w:p>
      <w:pPr>
        <w:pStyle w:val="Compact"/>
        <w:numPr>
          <w:ilvl w:val="1"/>
          <w:numId w:val="1018"/>
        </w:numPr>
      </w:pPr>
      <w:r>
        <w:t xml:space="preserve">Tendances nationales globales de la complétude</w:t>
      </w:r>
    </w:p>
    <w:p>
      <w:pPr>
        <w:pStyle w:val="Compact"/>
        <w:numPr>
          <w:ilvl w:val="1"/>
          <w:numId w:val="1018"/>
        </w:numPr>
      </w:pPr>
      <w:r>
        <w:t xml:space="preserve">Discussion des indicateurs avec une faible complétude</w:t>
      </w:r>
    </w:p>
    <w:p>
      <w:pPr>
        <w:pStyle w:val="Compact"/>
        <w:numPr>
          <w:ilvl w:val="1"/>
          <w:numId w:val="1018"/>
        </w:numPr>
      </w:pPr>
      <w:r>
        <w:t xml:space="preserve">Discussion des zones administratives avec une faible complétude</w:t>
      </w:r>
    </w:p>
    <w:bookmarkEnd w:id="39"/>
    <w:bookmarkStart w:id="40" w:name="diapositive-3---valeurs-aberrantes"/>
    <w:p>
      <w:pPr>
        <w:pStyle w:val="Heading3"/>
      </w:pPr>
      <w:r>
        <w:t xml:space="preserve">Diapositive 3 - Valeurs Aberrantes</w:t>
      </w:r>
    </w:p>
    <w:p>
      <w:pPr>
        <w:pStyle w:val="Compact"/>
        <w:numPr>
          <w:ilvl w:val="0"/>
          <w:numId w:val="1019"/>
        </w:numPr>
      </w:pPr>
      <w:r>
        <w:rPr>
          <w:b/>
          <w:bCs/>
        </w:rPr>
        <w:t xml:space="preserve">Titre :</w:t>
      </w:r>
      <w:r>
        <w:t xml:space="preserve"> </w:t>
      </w:r>
      <w:r>
        <w:t xml:space="preserve">« Valeurs aberrantes »</w:t>
      </w:r>
    </w:p>
    <w:p>
      <w:pPr>
        <w:pStyle w:val="Compact"/>
        <w:numPr>
          <w:ilvl w:val="0"/>
          <w:numId w:val="1019"/>
        </w:numPr>
      </w:pPr>
      <w:r>
        <w:t xml:space="preserve">Insérer la visualisation à droite : « Défaut 1. Proportion de valeurs aberrantes »</w:t>
      </w:r>
    </w:p>
    <w:p>
      <w:pPr>
        <w:pStyle w:val="Compact"/>
        <w:numPr>
          <w:ilvl w:val="0"/>
          <w:numId w:val="1019"/>
        </w:numPr>
      </w:pPr>
      <w:r>
        <w:t xml:space="preserve">Ajouter l’interprétation à gauche incluant :</w:t>
      </w:r>
    </w:p>
    <w:p>
      <w:pPr>
        <w:pStyle w:val="Compact"/>
        <w:numPr>
          <w:ilvl w:val="1"/>
          <w:numId w:val="1020"/>
        </w:numPr>
      </w:pPr>
      <w:r>
        <w:t xml:space="preserve">Tendances nationales globales des valeurs aberrantes</w:t>
      </w:r>
    </w:p>
    <w:p>
      <w:pPr>
        <w:pStyle w:val="Compact"/>
        <w:numPr>
          <w:ilvl w:val="1"/>
          <w:numId w:val="1020"/>
        </w:numPr>
      </w:pPr>
      <w:r>
        <w:t xml:space="preserve">Discussion des indicateurs avec beaucoup de valeurs aberrantes</w:t>
      </w:r>
    </w:p>
    <w:p>
      <w:pPr>
        <w:pStyle w:val="Compact"/>
        <w:numPr>
          <w:ilvl w:val="1"/>
          <w:numId w:val="1020"/>
        </w:numPr>
      </w:pPr>
      <w:r>
        <w:t xml:space="preserve">Discussion des zones administratives avec beaucoup de valeurs aberrantes</w:t>
      </w:r>
    </w:p>
    <w:bookmarkEnd w:id="40"/>
    <w:bookmarkStart w:id="41" w:name="diapositive-4---cohérence-interne"/>
    <w:p>
      <w:pPr>
        <w:pStyle w:val="Heading3"/>
      </w:pPr>
      <w:r>
        <w:t xml:space="preserve">Diapositive 4 - Cohérence Interne</w:t>
      </w:r>
    </w:p>
    <w:p>
      <w:pPr>
        <w:pStyle w:val="Compact"/>
        <w:numPr>
          <w:ilvl w:val="0"/>
          <w:numId w:val="1021"/>
        </w:numPr>
      </w:pPr>
      <w:r>
        <w:rPr>
          <w:b/>
          <w:bCs/>
        </w:rPr>
        <w:t xml:space="preserve">Titre :</w:t>
      </w:r>
      <w:r>
        <w:t xml:space="preserve"> </w:t>
      </w:r>
      <w:r>
        <w:t xml:space="preserve">« Cohérence interne »</w:t>
      </w:r>
    </w:p>
    <w:p>
      <w:pPr>
        <w:pStyle w:val="Compact"/>
        <w:numPr>
          <w:ilvl w:val="0"/>
          <w:numId w:val="1021"/>
        </w:numPr>
      </w:pPr>
      <w:r>
        <w:t xml:space="preserve">Insérer la visualisation à droite : « Défaut 4. Proportion de zones sous-nationales répondant aux critères de cohérence »</w:t>
      </w:r>
    </w:p>
    <w:p>
      <w:pPr>
        <w:pStyle w:val="Compact"/>
        <w:numPr>
          <w:ilvl w:val="0"/>
          <w:numId w:val="1021"/>
        </w:numPr>
      </w:pPr>
      <w:r>
        <w:t xml:space="preserve">Ajouter l’interprétation à gauche incluant :</w:t>
      </w:r>
    </w:p>
    <w:p>
      <w:pPr>
        <w:pStyle w:val="Compact"/>
        <w:numPr>
          <w:ilvl w:val="1"/>
          <w:numId w:val="1022"/>
        </w:numPr>
      </w:pPr>
      <w:r>
        <w:t xml:space="preserve">Description de la cohérence entre les comparaisons</w:t>
      </w:r>
    </w:p>
    <w:p>
      <w:pPr>
        <w:pStyle w:val="Compact"/>
        <w:numPr>
          <w:ilvl w:val="1"/>
          <w:numId w:val="1022"/>
        </w:numPr>
      </w:pPr>
      <w:r>
        <w:t xml:space="preserve">À travers le pays</w:t>
      </w:r>
    </w:p>
    <w:p>
      <w:pPr>
        <w:pStyle w:val="Compact"/>
        <w:numPr>
          <w:ilvl w:val="1"/>
          <w:numId w:val="1022"/>
        </w:numPr>
      </w:pPr>
      <w:r>
        <w:t xml:space="preserve">À travers les zones administratives</w:t>
      </w:r>
    </w:p>
    <w:bookmarkEnd w:id="41"/>
    <w:bookmarkStart w:id="42" w:name="diapositive-5---cohérence-interne-suite"/>
    <w:p>
      <w:pPr>
        <w:pStyle w:val="Heading3"/>
      </w:pPr>
      <w:r>
        <w:t xml:space="preserve">Diapositive 5 - Cohérence Interne (suite)</w:t>
      </w:r>
    </w:p>
    <w:p>
      <w:pPr>
        <w:pStyle w:val="Compact"/>
        <w:numPr>
          <w:ilvl w:val="0"/>
          <w:numId w:val="1023"/>
        </w:numPr>
      </w:pPr>
      <w:r>
        <w:t xml:space="preserve">Insérer la visualisation à droite : « Défaut 4. Proportion de zones sous-nationales répondant aux critères de cohérence »</w:t>
      </w:r>
    </w:p>
    <w:p>
      <w:pPr>
        <w:pStyle w:val="Compact"/>
        <w:numPr>
          <w:ilvl w:val="0"/>
          <w:numId w:val="1023"/>
        </w:numPr>
      </w:pPr>
      <w:r>
        <w:t xml:space="preserve">Ajouter l’interprétation à gauche incluant :</w:t>
      </w:r>
    </w:p>
    <w:p>
      <w:pPr>
        <w:pStyle w:val="Compact"/>
        <w:numPr>
          <w:ilvl w:val="1"/>
          <w:numId w:val="1024"/>
        </w:numPr>
      </w:pPr>
      <w:r>
        <w:t xml:space="preserve">Description de la cohérence entre les comparaisons</w:t>
      </w:r>
    </w:p>
    <w:p>
      <w:pPr>
        <w:pStyle w:val="Compact"/>
        <w:numPr>
          <w:ilvl w:val="1"/>
          <w:numId w:val="1024"/>
        </w:numPr>
      </w:pPr>
      <w:r>
        <w:t xml:space="preserve">À travers le pays</w:t>
      </w:r>
    </w:p>
    <w:p>
      <w:pPr>
        <w:pStyle w:val="Compact"/>
        <w:numPr>
          <w:ilvl w:val="1"/>
          <w:numId w:val="1024"/>
        </w:numPr>
      </w:pPr>
      <w:r>
        <w:t xml:space="preserve">À travers les zones administratives</w:t>
      </w:r>
    </w:p>
    <w:bookmarkEnd w:id="42"/>
    <w:bookmarkStart w:id="43" w:name="X2f34760799c7ac4e7ab479e309de37eeab08edf"/>
    <w:p>
      <w:pPr>
        <w:pStyle w:val="Heading3"/>
      </w:pPr>
      <w:r>
        <w:t xml:space="preserve">Diapositive 6 - Tendances de la Qualité des Données</w:t>
      </w:r>
    </w:p>
    <w:p>
      <w:pPr>
        <w:pStyle w:val="Compact"/>
        <w:numPr>
          <w:ilvl w:val="0"/>
          <w:numId w:val="1025"/>
        </w:numPr>
      </w:pPr>
      <w:r>
        <w:rPr>
          <w:b/>
          <w:bCs/>
        </w:rPr>
        <w:t xml:space="preserve">Titre :</w:t>
      </w:r>
      <w:r>
        <w:t xml:space="preserve"> </w:t>
      </w:r>
      <w:r>
        <w:t xml:space="preserve">« Tendances de la qualité des données »</w:t>
      </w:r>
    </w:p>
    <w:p>
      <w:pPr>
        <w:pStyle w:val="Compact"/>
        <w:numPr>
          <w:ilvl w:val="0"/>
          <w:numId w:val="1025"/>
        </w:numPr>
      </w:pPr>
      <w:r>
        <w:t xml:space="preserve">Insérer la visualisation à droite : « Défaut 5. Score global de QDD »</w:t>
      </w:r>
    </w:p>
    <w:p>
      <w:pPr>
        <w:pStyle w:val="Compact"/>
        <w:numPr>
          <w:ilvl w:val="0"/>
          <w:numId w:val="1025"/>
        </w:numPr>
      </w:pPr>
      <w:r>
        <w:t xml:space="preserve">Ajouter l’interprétation à gauche incluant :</w:t>
      </w:r>
    </w:p>
    <w:p>
      <w:pPr>
        <w:pStyle w:val="Compact"/>
        <w:numPr>
          <w:ilvl w:val="1"/>
          <w:numId w:val="1026"/>
        </w:numPr>
      </w:pPr>
      <w:r>
        <w:t xml:space="preserve">Description du score de QDD à travers les années</w:t>
      </w:r>
    </w:p>
    <w:p>
      <w:pPr>
        <w:pStyle w:val="Compact"/>
        <w:numPr>
          <w:ilvl w:val="1"/>
          <w:numId w:val="1026"/>
        </w:numPr>
      </w:pPr>
      <w:r>
        <w:t xml:space="preserve">À travers le pays</w:t>
      </w:r>
    </w:p>
    <w:p>
      <w:pPr>
        <w:pStyle w:val="Compact"/>
        <w:numPr>
          <w:ilvl w:val="1"/>
          <w:numId w:val="1026"/>
        </w:numPr>
      </w:pPr>
      <w:r>
        <w:t xml:space="preserve">À travers les zones administratives</w:t>
      </w:r>
    </w:p>
    <w:bookmarkEnd w:id="43"/>
    <w:bookmarkStart w:id="44" w:name="X84f7362a01c70fd47d5c5e40c2536373ccc09a7"/>
    <w:p>
      <w:pPr>
        <w:pStyle w:val="Heading3"/>
      </w:pPr>
      <w:r>
        <w:t xml:space="preserve">Diapositive 7 - Tendances de la Qualité des Données (suite)</w:t>
      </w:r>
    </w:p>
    <w:p>
      <w:pPr>
        <w:pStyle w:val="Compact"/>
        <w:numPr>
          <w:ilvl w:val="0"/>
          <w:numId w:val="1027"/>
        </w:numPr>
      </w:pPr>
      <w:r>
        <w:rPr>
          <w:b/>
          <w:bCs/>
        </w:rPr>
        <w:t xml:space="preserve">Titre :</w:t>
      </w:r>
      <w:r>
        <w:t xml:space="preserve"> </w:t>
      </w:r>
      <w:r>
        <w:t xml:space="preserve">« Tendances de la qualité des données »</w:t>
      </w:r>
    </w:p>
    <w:p>
      <w:pPr>
        <w:pStyle w:val="Compact"/>
        <w:numPr>
          <w:ilvl w:val="0"/>
          <w:numId w:val="1027"/>
        </w:numPr>
      </w:pPr>
      <w:r>
        <w:t xml:space="preserve">Insérer la visualisation à droite : « Défaut 6. Score moyen de QDD »</w:t>
      </w:r>
    </w:p>
    <w:p>
      <w:pPr>
        <w:pStyle w:val="Compact"/>
        <w:numPr>
          <w:ilvl w:val="0"/>
          <w:numId w:val="1027"/>
        </w:numPr>
      </w:pPr>
      <w:r>
        <w:t xml:space="preserve">Ajouter l’interprétation à gauche incluant :</w:t>
      </w:r>
    </w:p>
    <w:p>
      <w:pPr>
        <w:pStyle w:val="Compact"/>
        <w:numPr>
          <w:ilvl w:val="1"/>
          <w:numId w:val="1028"/>
        </w:numPr>
      </w:pPr>
      <w:r>
        <w:t xml:space="preserve">Description du score moyen de QDD à travers les années</w:t>
      </w:r>
    </w:p>
    <w:p>
      <w:pPr>
        <w:pStyle w:val="Compact"/>
        <w:numPr>
          <w:ilvl w:val="1"/>
          <w:numId w:val="1028"/>
        </w:numPr>
      </w:pPr>
      <w:r>
        <w:t xml:space="preserve">À travers le pays</w:t>
      </w:r>
    </w:p>
    <w:p>
      <w:pPr>
        <w:pStyle w:val="Compact"/>
        <w:numPr>
          <w:ilvl w:val="1"/>
          <w:numId w:val="1028"/>
        </w:numPr>
      </w:pPr>
      <w:r>
        <w:t xml:space="preserve">À travers les zones administratives</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2026-02-09T11:43:18Z</dcterms:created>
  <dcterms:modified xsi:type="dcterms:W3CDTF">2026-02-09T11:43:18Z</dcterms:modified>
</cp:coreProperties>
</file>

<file path=docProps/custom.xml><?xml version="1.0" encoding="utf-8"?>
<Properties xmlns="http://schemas.openxmlformats.org/officeDocument/2006/custom-properties" xmlns:vt="http://schemas.openxmlformats.org/officeDocument/2006/docPropsVTypes"/>
</file>