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SKILL METODOLÓGICA ALL-IN-ONE:</w:t>
        <w:br/>
        <w:t>OPTIMIZACIÓN DE TOKENS Y SERVICIO DE DISEÑO</w:t>
      </w:r>
    </w:p>
    <w:p>
      <w:pPr>
        <w:spacing w:after="360"/>
      </w:pPr>
      <w:r>
        <w:rPr>
          <w:i/>
          <w:color w:val="595959"/>
          <w:sz w:val="24"/>
        </w:rPr>
        <w:t>Framework Operativo Probado y Validado con las Mejores Prácticas de las Fuentes para GPT-6 Astra y Claude Code</w:t>
      </w:r>
    </w:p>
    <w:p>
      <w:pPr>
        <w:pStyle w:val="Heading1"/>
        <w:spacing w:before="320" w:after="120"/>
      </w:pPr>
      <w:r>
        <w:rPr>
          <w:b/>
          <w:color w:val="1F4E79"/>
          <w:sz w:val="32"/>
        </w:rPr>
        <w:t>1. Validación y Contrastación Metodológica contra las Fuentes</w:t>
      </w:r>
    </w:p>
    <w:p>
      <w:r>
        <w:rPr>
          <w:i/>
        </w:rPr>
        <w:t>Se realizó una revisión minuciosa y una contrastación completa entre las propuestas metodológicas generadas y el corpus de fuentes del proyecto (100 trascripciones especializadas en desarrollo con IA, Claude Code, GPT-6 Astra, Hermes Agent y sistemas de diseño). La evaluación confirma que la metodología planteada representa el estándar de mayor rendimiento y eficiencia comprobado en la práctica.</w:t>
      </w:r>
    </w:p>
    <w:p>
      <w:pPr>
        <w:pStyle w:val="Heading2"/>
        <w:spacing w:before="240" w:after="80"/>
      </w:pPr>
      <w:r>
        <w:rPr>
          <w:b/>
          <w:color w:val="2E75B6"/>
          <w:sz w:val="26"/>
        </w:rPr>
        <w:t>1.1. Pilares de Reducción de Tokens Validados</w:t>
      </w:r>
    </w:p>
    <w:p>
      <w:r>
        <w:t>La estrategia de minimización de tokens se fundamenta directamente en los playbooks y técnicas de compresión de contexto documentadas en las fuentes:</w:t>
      </w:r>
    </w:p>
    <w:p>
      <w:pPr>
        <w:pStyle w:val="ListBullet"/>
      </w:pPr>
      <w:r>
        <w:rPr>
          <w:b/>
          <w:color w:val="1F4E79"/>
        </w:rPr>
        <w:t xml:space="preserve">Playbooks de Compresión (Headroom, RTK, Caveman, Ponytail): </w:t>
      </w:r>
      <w:r>
        <w:t>Headroom comprime salidas de herramientas reduciendo un 20% los tokens en agentes de código; RTK recorta entre 60% y 90% del volumen de salidas en comandos de terminal bash; Caveman elimina muletillas y verbosidad reduciendo más del 50% los tokens de salida; y Ponytail aplica lógica de programador sénior para evitar código redundante.</w:t>
      </w:r>
    </w:p>
    <w:p>
      <w:pPr>
        <w:pStyle w:val="ListBullet"/>
      </w:pPr>
      <w:r>
        <w:rPr>
          <w:b/>
          <w:color w:val="1F4E79"/>
        </w:rPr>
        <w:t xml:space="preserve">Mapeo de Dependencias con Graphify (/graphify): </w:t>
      </w:r>
      <w:r>
        <w:t>La indexación mediante Graphify crea un mapa relacional de nodos clave ('god nodes') en repositorios. Esto elimina el impuesto de relectura ('rereading tax') en cada turno, ahorrando entre un 80% y 82% de consumo de contexto.</w:t>
      </w:r>
    </w:p>
    <w:p>
      <w:pPr>
        <w:pStyle w:val="ListBullet"/>
      </w:pPr>
      <w:r>
        <w:rPr>
          <w:b/>
          <w:color w:val="1F4E79"/>
        </w:rPr>
        <w:t xml:space="preserve">Ajuste Quirúrgico de Diales de Esfuerzo: </w:t>
      </w:r>
      <w:r>
        <w:t>Utilizar diales en niveles 'low' o 'medium' para el desarrollo diario e iteraciones. Fable o Astra en nivel 'medium' supera el rendimiento de Opus en modo 'high' utilizando solo una fracción de los tokens. Se reserva el nivel 'high' o 'max' exclusivamente para la primera iteración arquitectónica (1-shot).</w:t>
      </w:r>
    </w:p>
    <w:p>
      <w:pPr>
        <w:pStyle w:val="ListBullet"/>
      </w:pPr>
      <w:r>
        <w:rPr>
          <w:b/>
          <w:color w:val="1F4E79"/>
        </w:rPr>
        <w:t xml:space="preserve">Orquestación Multi-Modelo (Ministry of Experts / Triad): </w:t>
      </w:r>
      <w:r>
        <w:t>Asignar a los modelos de frontera (Fable 5.1 / GPT-6 Astra) las decisiones de dirección de arte, estrategia y arquitectura, delegando tareas repetitivas, búsquedas y refactorización pesada a modelos secundarios altamente económicos (DeepSeek V4, GLM 5.2, MiniMax M3).</w:t>
      </w:r>
    </w:p>
    <w:p>
      <w:pPr>
        <w:pStyle w:val="ListBullet"/>
      </w:pPr>
      <w:r>
        <w:rPr>
          <w:b/>
          <w:color w:val="1F4E79"/>
        </w:rPr>
        <w:t xml:space="preserve">Procesamiento Limpio Web con Firecrawl: </w:t>
      </w:r>
      <w:r>
        <w:t>Reemplazar la extracción de HTML bruto por la skill/MCP de Firecrawl, filtrando el 80%-90% del consumo inútil al extraer únicamente Markdown estructurado y tokens visuales.</w:t>
      </w:r>
    </w:p>
    <w:p>
      <w:pPr>
        <w:pStyle w:val="ListBullet"/>
      </w:pPr>
      <w:r>
        <w:rPr>
          <w:b/>
          <w:color w:val="1F4E79"/>
        </w:rPr>
        <w:t xml:space="preserve">Higiene Estricta de Sesión y Website OS: </w:t>
      </w:r>
      <w:r>
        <w:t>Ejecutar /clear al cambiar de tema, usar /compact cuando sea necesario resumir el historial y mantener archivos de contexto .md por debajo de 200 líneas. Entregar el sitio al cliente con un Website OS/CMS local para que las modificaciones de contenido no requieran re-prompts de 500,000 tokens.</w:t>
      </w:r>
    </w:p>
    <w:p>
      <w:pPr>
        <w:pStyle w:val="Heading2"/>
        <w:spacing w:before="240" w:after="80"/>
      </w:pPr>
      <w:r>
        <w:rPr>
          <w:b/>
          <w:color w:val="2E75B6"/>
          <w:sz w:val="26"/>
        </w:rPr>
        <w:t>1.2. Pilares de Entrega de Servicios de Diseño Validados</w:t>
      </w:r>
    </w:p>
    <w:p>
      <w:r>
        <w:t>El flujo de entrega de servicios de diseño para clientes se alinea punto por punto con la metodología de desarrollo de sitios web de $10,000 documentada en las fuentes:</w:t>
      </w:r>
    </w:p>
    <w:p>
      <w:pPr>
        <w:pStyle w:val="ListBullet"/>
      </w:pPr>
      <w:r>
        <w:rPr>
          <w:b/>
          <w:color w:val="1F4E79"/>
        </w:rPr>
        <w:t xml:space="preserve">Extracción de ADN Visual y UI Sniping: </w:t>
      </w:r>
      <w:r>
        <w:t>Uso de Firecrawl y la skill design-blueprint-extractor para capturar quirúrgicamente paletas de colores, fuentes, componentes y maquetaciones de sitios web líderes, evitando diseñar desde cero.</w:t>
      </w:r>
    </w:p>
    <w:p>
      <w:pPr>
        <w:pStyle w:val="ListBullet"/>
      </w:pPr>
      <w:r>
        <w:rPr>
          <w:b/>
          <w:color w:val="1F4E79"/>
        </w:rPr>
        <w:t xml:space="preserve">Codificación del Sistema de Diseño (design.md): </w:t>
      </w:r>
      <w:r>
        <w:t>Definición estricta de tokens de color (regla 60-30-10), jerarquía tipográfica (máximo 4 tamaños por vista), espacio blanco (&gt;= 40%) y la regla de lectura en 3 segundos.</w:t>
      </w:r>
    </w:p>
    <w:p>
      <w:pPr>
        <w:pStyle w:val="ListBullet"/>
      </w:pPr>
      <w:r>
        <w:rPr>
          <w:b/>
          <w:color w:val="1F4E79"/>
        </w:rPr>
        <w:t xml:space="preserve">Bucle de Evaluación Adversaria (Gauntlet / Design Loop): </w:t>
      </w:r>
      <w:r>
        <w:t>Implementación de 3 críticos independientes (Brief, System, Craft) que evalúan autónomamente el renderizado antes de la entrega final.</w:t>
      </w:r>
    </w:p>
    <w:p>
      <w:pPr>
        <w:pStyle w:val="ListBullet"/>
      </w:pPr>
      <w:r>
        <w:rPr>
          <w:b/>
          <w:color w:val="1F4E79"/>
        </w:rPr>
        <w:t xml:space="preserve">Generación de Assets 2K/4K y Motion vía API/CLI: </w:t>
      </w:r>
      <w:r>
        <w:t>Conexión directa con Kia API (Nano Banana 2), Higsfield u OpenArt para generar imágenes de alta resolución y animaciones de scroll sin estética genérica de IA.</w:t>
      </w:r>
    </w:p>
    <w:p>
      <w:pPr>
        <w:pStyle w:val="ListBullet"/>
      </w:pPr>
      <w:r>
        <w:rPr>
          <w:b/>
          <w:color w:val="1F4E79"/>
        </w:rPr>
        <w:t xml:space="preserve">Protocolo Anti-AI Slop (De-slopification): </w:t>
      </w:r>
      <w:r>
        <w:t>Humanización estricta del copy destruyendo muletillas típicas de IA, manteniendo oraciones por debajo de 60 caracteres y aplicando psicología de conversión ('Don't Make Me Think').</w:t>
      </w:r>
    </w:p>
    <w:p>
      <w:pPr>
        <w:pStyle w:val="ListBullet"/>
      </w:pPr>
      <w:r>
        <w:rPr>
          <w:b/>
          <w:color w:val="1F4E79"/>
        </w:rPr>
        <w:t xml:space="preserve">Entrega e Integración en Website OS + Vercel: </w:t>
      </w:r>
      <w:r>
        <w:t>Vinculación del código a un CMS/JSON local e integración con GitHub/Vercel CLI, garantizando un sitio de producción rápido y editable por el cliente sin gastos recurrentes de tokens.</w:t>
      </w:r>
    </w:p>
    <w:p>
      <w:pPr>
        <w:pStyle w:val="Heading1"/>
        <w:spacing w:before="320" w:after="120"/>
      </w:pPr>
      <w:r>
        <w:rPr>
          <w:b/>
          <w:color w:val="1F4E79"/>
          <w:sz w:val="32"/>
        </w:rPr>
        <w:t>2. Skill Metodológica All-In-One (System Prompt para Cada Sesión)</w:t>
      </w:r>
    </w:p>
    <w:p>
      <w:r>
        <w:rPr>
          <w:i/>
        </w:rPr>
        <w:t xml:space="preserve">Guarde el siguiente bloque en un archivo denominado </w:t>
      </w:r>
      <w:r>
        <w:rPr>
          <w:b/>
        </w:rPr>
        <w:t>token-design-optimizer.md</w:t>
      </w:r>
      <w:r>
        <w:rPr>
          <w:i/>
        </w:rPr>
        <w:t xml:space="preserve"> o péguelo al inicio de cada sesión para cargar las reglas metodológicas de optimización de tokens y diseño: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1E1E1E"/>
                <w:sz w:val="19"/>
              </w:rPr>
              <w:t># SKILL: TOKEN_REDUCTION_AND_DESIGN_OPTIMIZER</w:t>
              <w:br/>
              <w:br/>
              <w:t>## OBJETIVO</w:t>
              <w:br/>
              <w:t>Ejecutar la entrega de servicios de diseño y desarrollo web reduciendo el consumo de tokens hasta en un 80% mediante ruteo inteligente, compresión de contexto y sistemas de diseño codificados.</w:t>
              <w:br/>
              <w:br/>
              <w:t>## REGLAS DE OPTIMIZACIÓN DE TOKENS (ESTRICTAS)</w:t>
              <w:br/>
              <w:t>1. COMPRESIÓN DE ENTRADA Y SALIDA:</w:t>
              <w:br/>
              <w:t xml:space="preserve">   - Aplica respuestas concisas y directas estilo Caveman/Headroom: elimina texto introductorio, felicitaciones o explicaciones innecesarias.</w:t>
              <w:br/>
              <w:t xml:space="preserve">   - En respuestas de código, genera únicamente los bloques modificados quirúrgicamente (no reescribas archivos completos inalterados).</w:t>
              <w:br/>
              <w:t xml:space="preserve">   - Utiliza la herramienta Firecrawl para scraping web; jamás proceses HTML bruto.</w:t>
              <w:br/>
              <w:br/>
              <w:t>2. GESTIÓN DE DIALES DE ESFUERZO Y MODELOS:</w:t>
              <w:br/>
              <w:t xml:space="preserve">   - Configura el dial de esfuerzo en LOW o MEDIUM para la ejecución de código diaria. Reservar HIGH/MAX únicamente para el turno inicial de arquitectura (1-shot).</w:t>
              <w:br/>
              <w:t xml:space="preserve">   - Utiliza un enfoque de orquestación (Triad): usa Fable/Astra para dirección de arte y arquitectura; delega tareas repetitivas, refactorizaciones y búsquedas masivas a modelos secundarios más económicos (DeepSeek V4, GLM 5.2, MiniMax M3).</w:t>
              <w:br/>
              <w:br/>
              <w:t>3. MAPEO DE CÓDIGO E HIGIENE:</w:t>
              <w:br/>
              <w:t xml:space="preserve">   - Ejecuta indexación /graphify al cargar cualquier repositorio para navegar por dependencias sin releer el proyecto completo.</w:t>
              <w:br/>
              <w:t xml:space="preserve">   - Mantén los archivos .md de contexto por debajo de 200 líneas.</w:t>
              <w:br/>
              <w:t xml:space="preserve">   - Si la conversación cambia de tema, ejecuta /clear inmediatamente. Si requieres modificar una orden previa, EDITA el mensaje original en lugar de enviar un mensaje de corrección nuevo.</w:t>
              <w:br/>
              <w:br/>
              <w:t>## ESTÁNDARES DE DISEÑO Y CÓDIGO (ANTI-AI SLOP)</w:t>
              <w:br/>
              <w:t>1. ARQUITECTURA DE DISEÑO:</w:t>
              <w:br/>
              <w:t xml:space="preserve">   - Todo diseño debe basarse en un archivo design.md codificado (paleta de colores tokenizada, escala tipográfica estricta, regla 60-30-10, proporción áurea y espaciado blanco &gt;= 40%).</w:t>
              <w:br/>
              <w:t xml:space="preserve">   - Ejecuta un bucle interno de 3 críticos (Brief, System, Craft) antes de dar por finalizada la UI.</w:t>
              <w:br/>
              <w:br/>
              <w:t>2. TEXTO Y COPYWRITING:</w:t>
              <w:br/>
              <w:t xml:space="preserve">   - Filtra todo el copy mediante el protocolo Anti-Slop: elimina palabrería genérica de IA (p. ej., "el espacio cambiante de...", "desbloquea tu potencial"), aplica oraciones de máximo 60 caracteres y enfócate en beneficios concretos y directos ("Don't Make Me Think").</w:t>
              <w:br/>
              <w:br/>
              <w:t>3. ENTREGABLE:</w:t>
              <w:br/>
              <w:t xml:space="preserve">   - Toda salida debe ser código listo para producción (HTML/Tailwind/React) o preparado para desplegar en un panel Website OS.</w:t>
            </w:r>
          </w:p>
        </w:tc>
      </w:tr>
    </w:tbl>
    <w:p>
      <w:pPr>
        <w:pStyle w:val="Heading1"/>
        <w:spacing w:before="320" w:after="120"/>
      </w:pPr>
      <w:r>
        <w:rPr>
          <w:b/>
          <w:color w:val="1F4E79"/>
          <w:sz w:val="32"/>
        </w:rPr>
        <w:t>3. Tutorial Operativo y Prompt Maestro de Ejecución Paso a Paso</w:t>
      </w:r>
    </w:p>
    <w:p>
      <w:r>
        <w:rPr>
          <w:i/>
        </w:rPr>
        <w:t xml:space="preserve">A continuación se presenta el prompt maestro listo para ser copiado directamente en </w:t>
      </w:r>
      <w:r>
        <w:rPr>
          <w:b/>
        </w:rPr>
        <w:t>Claude Code</w:t>
      </w:r>
      <w:r>
        <w:rPr>
          <w:i/>
        </w:rPr>
        <w:t xml:space="preserve"> o </w:t>
      </w:r>
      <w:r>
        <w:rPr>
          <w:b/>
        </w:rPr>
        <w:t>GPT-6 Astra</w:t>
      </w:r>
      <w:r>
        <w:rPr>
          <w:i/>
        </w:rPr>
        <w:t xml:space="preserve"> para ejecutar el proyecto del cliente paso a paso desde el UI Sniping hasta la entrega final: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1E1E1E"/>
                <w:sz w:val="19"/>
              </w:rPr>
              <w:t>Actúa como un Arquitecto de Software y Director de Arte Sénior. Vas a ejecutar la metodología completa de desarrollo web y diseño para mi cliente aplicando optimización máxima de tokens.</w:t>
              <w:br/>
              <w:br/>
              <w:t>Paso 1: Extracción del ADN y UI Sniping</w:t>
              <w:br/>
              <w:t>- Utiliza la herramienta Firecrawl (o la skill design-blueprint-extractor) para analizar la URL de referencia: [INSERTAR URL DE REFERENCIA].</w:t>
              <w:br/>
              <w:t>- Extrae la paleta de colores (tokens), tipografía, escala de fuentes, componentes de UI, espaciado y estructura de la maquetación.</w:t>
              <w:br/>
              <w:t>- Si no hay URL disponible, utiliza una biblioteca de diseño predeterminada (p. ej., estilo Apple, Stripe o Linear).</w:t>
              <w:br/>
              <w:br/>
              <w:t>Paso 2: Generación del Archivo design.md</w:t>
              <w:br/>
              <w:t>- Crea un archivo design.md en la raíz del proyecto.</w:t>
              <w:br/>
              <w:t>- Codifica las reglas de diseño: sistema de colores (60-30-10), jerarquía tipográfica (máximo 4 tamaños por vista), uso de espacio blanco (&gt;= 40%), regla de 3 segundos de lectura y alineación estricta de rejilla.</w:t>
              <w:br/>
              <w:br/>
              <w:t>Paso 3: Bucle de Generación y Evaluación Adversaria (Design Loop)</w:t>
              <w:br/>
              <w:t>- Genera la primera versión de la página/aplicación en HTML/Tailwind/React en una sola pasada usando Fable/Astra en nivel de esfuerzo adecuado.</w:t>
              <w:br/>
              <w:t>- Integra las llamadas a API/CLI necesarias (Kia API / Higsfield) para reemplazar placeholders con assets visuales 2K/4K de alta calidad.</w:t>
              <w:br/>
              <w:t>- Ejecuta internamente el bucle de 3 críticos (Crítico de Brief, Crítico de Sistema y Crítico de Arte) para refactorizar la interfaz automáticamente y eliminar errores de alineación o jerarquía.</w:t>
              <w:br/>
              <w:br/>
              <w:t>Paso 4: Filtro Anti-AI Slop (De-slopification de Copy)</w:t>
              <w:br/>
              <w:t>- Audita todo el texto del sitio web con el sistema Slop Monster.</w:t>
              <w:br/>
              <w:t>- Elimina todo lenguaje corporativo o genérico de IA. Reemplázalo por copy directo, conciso y basado en conversión ("Don't Make Me Think", máx. 60 caracteres por línea).</w:t>
              <w:br/>
              <w:br/>
              <w:t>Paso 5: Despliegue en Website OS y Entrega</w:t>
              <w:br/>
              <w:t>- Estructura el proyecto para que los textos, botones y metadatos SEO estén vinculados a un archivo JSON/Markdown de configuración local (Website OS).</w:t>
              <w:br/>
              <w:t>- Conecta el proyecto a GitHub/Vercel CLI para publicar el sitio.</w:t>
              <w:br/>
              <w:t>- Entrega el enlace en vivo junto com el panel local Website OS para que el cliente pueda modificar el contenido sin gastar tokens adicionales de API.</w:t>
              <w:br/>
              <w:br/>
              <w:t>Por favor, confirma que has entendido esta metodología, solicita la URL de referencia y la información básica del cliente, y comienza con la Fase 1.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SKILL METODOLÓGICA ALL-IN-ONE | GPT-6 ASTRA &amp; CLAUDE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