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HapBlockR Breeder's Guide</w:t>
      </w:r>
    </w:p>
    <w:p>
      <w:pPr>
        <w:pStyle w:val="Subtitle"/>
        <w:jc w:val="center"/>
      </w:pPr>
      <w:r>
        <w:t>Choosing parents and crosses with haplotype-aware tools</w:t>
      </w:r>
    </w:p>
    <w:p>
      <w:pPr>
        <w:spacing w:after="100"/>
        <w:jc w:val="center"/>
      </w:pPr>
      <w:r>
        <w:t>Document ID: HBR-GUIDE-001</w:t>
      </w:r>
    </w:p>
    <w:p>
      <w:pPr>
        <w:spacing w:after="100"/>
        <w:jc w:val="center"/>
      </w:pPr>
      <w:r>
        <w:t>Edition: 6</w:t>
      </w:r>
    </w:p>
    <w:p>
      <w:pPr>
        <w:spacing w:after="100"/>
        <w:jc w:val="center"/>
      </w:pPr>
      <w:r>
        <w:t>Compatible package version: 0.3.12.9000</w:t>
      </w:r>
    </w:p>
    <w:p>
      <w:pPr>
        <w:spacing w:after="100"/>
        <w:jc w:val="center"/>
      </w:pPr>
      <w:r>
        <w:t>Release date: 26 July 2026</w:t>
      </w:r>
    </w:p>
    <w:p>
      <w:pPr>
        <w:spacing w:after="100"/>
        <w:jc w:val="center"/>
      </w:pPr>
      <w:r>
        <w:t>Author: Félicien Akohoue, PhD</w:t>
      </w:r>
    </w:p>
    <w:p>
      <w:pPr>
        <w:spacing w:after="100"/>
        <w:jc w:val="center"/>
      </w:pPr>
      <w:r>
        <w:t>Source: inst/guide/HapBlockR_Breeder_Guide.md</w:t>
      </w:r>
    </w:p>
    <w:p>
      <w:pPr>
        <w:spacing w:after="100"/>
        <w:jc w:val="center"/>
      </w:pPr>
      <w:r>
        <w:t>HapBlockR converts the breeder's data, objectives and constraints into traceable parent, cross and mating recommendations. Their relevance is driven principally by the quality and representativeness of the supplied data and by how accurately the specified parameters describe the programme. Keep the package result object with the signed decision record so that this basis remains explicit.</w:t>
      </w:r>
    </w:p>
    <w:p>
      <w:r>
        <w:br w:type="page"/>
      </w:r>
    </w:p>
    <w:p>
      <w:pPr>
        <w:pStyle w:val="Heading1"/>
      </w:pPr>
      <w:r>
        <w:t>Contents</w:t>
      </w:r>
    </w:p>
    <w:p>
      <w:pPr>
        <w:pStyle w:val="ListNumber"/>
        <w:numPr>
          <w:ilvl w:val="0"/>
          <w:numId w:val="10"/>
        </w:numPr>
      </w:pPr>
      <w:r>
        <w:t>Purpose and scope</w:t>
      </w:r>
    </w:p>
    <w:p>
      <w:pPr>
        <w:pStyle w:val="ListNumber"/>
        <w:numPr>
          <w:ilvl w:val="0"/>
          <w:numId w:val="10"/>
        </w:numPr>
      </w:pPr>
      <w:r>
        <w:t>Before any recommendation</w:t>
      </w:r>
    </w:p>
    <w:p>
      <w:pPr>
        <w:pStyle w:val="ListNumber"/>
        <w:numPr>
          <w:ilvl w:val="0"/>
          <w:numId w:val="10"/>
        </w:numPr>
      </w:pPr>
      <w:r>
        <w:t>The nine decision tools and their variants</w:t>
      </w:r>
    </w:p>
    <w:p>
      <w:pPr>
        <w:pStyle w:val="ListNumber"/>
        <w:numPr>
          <w:ilvl w:val="0"/>
          <w:numId w:val="10"/>
        </w:numPr>
      </w:pPr>
      <w:r>
        <w:t>Worked crossing decision</w:t>
      </w:r>
    </w:p>
    <w:p>
      <w:pPr>
        <w:pStyle w:val="ListNumber"/>
        <w:numPr>
          <w:ilvl w:val="0"/>
          <w:numId w:val="10"/>
        </w:numPr>
      </w:pPr>
      <w:r>
        <w:t>Interpreting quality control and uncertainty</w:t>
      </w:r>
    </w:p>
    <w:p>
      <w:pPr>
        <w:pStyle w:val="ListNumber"/>
        <w:numPr>
          <w:ilvl w:val="0"/>
          <w:numId w:val="10"/>
        </w:numPr>
      </w:pPr>
      <w:r>
        <w:t>Interpreting results and defining their scope</w:t>
      </w:r>
    </w:p>
    <w:p>
      <w:pPr>
        <w:pStyle w:val="ListNumber"/>
        <w:numPr>
          <w:ilvl w:val="0"/>
          <w:numId w:val="10"/>
        </w:numPr>
      </w:pPr>
      <w:r>
        <w:t>Decision sign-off</w:t>
      </w:r>
    </w:p>
    <w:p>
      <w:pPr>
        <w:pStyle w:val="ListNumber"/>
        <w:numPr>
          <w:ilvl w:val="0"/>
          <w:numId w:val="10"/>
        </w:numPr>
      </w:pPr>
      <w:r>
        <w:t>Supporting tools and complete function map</w:t>
      </w:r>
    </w:p>
    <w:p>
      <w:pPr>
        <w:pStyle w:val="ListNumber"/>
        <w:numPr>
          <w:ilvl w:val="0"/>
          <w:numId w:val="10"/>
        </w:numPr>
      </w:pPr>
      <w:r>
        <w:t>References and change history</w:t>
      </w:r>
    </w:p>
    <w:p>
      <w:pPr>
        <w:pStyle w:val="Heading1"/>
      </w:pPr>
      <w:r>
        <w:t>1. Purpose and scope</w:t>
      </w:r>
    </w:p>
    <w:p>
      <w:r>
        <w:t>HapBlockR connects genomic evidence to a parent shortlist, cross ranking, mating plan, or diversity collection. The nine tools answer different questions. They are not a ladder in which the last tool is always best.</w:t>
      </w:r>
    </w:p>
    <w:tbl>
      <w:tblPr>
        <w:tblStyle w:val="TableGrid"/>
        <w:tblW w:type="dxa" w:w="10091"/>
        <w:jc w:val="left"/>
        <w:tblLayout w:type="fixed"/>
        <w:tblLook w:firstColumn="1" w:firstRow="1" w:lastColumn="0" w:lastRow="0" w:noHBand="0" w:noVBand="1" w:val="04A0"/>
        <w:tblInd w:w="120" w:type="dxa"/>
      </w:tblPr>
      <w:tblGrid>
        <w:gridCol w:w="3608"/>
        <w:gridCol w:w="2652"/>
        <w:gridCol w:w="3831"/>
      </w:tblGrid>
      <w:tr>
        <w:trPr>
          <w:cantSplit/>
          <w:tblHeader w:val="true"/>
        </w:trPr>
        <w:tc>
          <w:tcPr>
            <w:tcW w:type="dxa" w:w="3608"/>
            <w:vAlign w:val="center"/>
            <w:tcMar>
              <w:top w:w="60" w:type="dxa"/>
              <w:start w:w="120" w:type="dxa"/>
              <w:bottom w:w="60" w:type="dxa"/>
              <w:end w:w="120" w:type="dxa"/>
            </w:tcMar>
            <w:shd w:fill="E8EEF5"/>
          </w:tcPr>
          <w:p>
            <w:pPr>
              <w:keepNext/>
              <w:spacing w:after="0" w:line="240" w:lineRule="auto"/>
            </w:pPr>
            <w:r>
              <w:rPr>
                <w:b/>
                <w:color w:val="1F4D78"/>
                <w:sz w:val="16"/>
              </w:rPr>
              <w:t>Decision need</w:t>
            </w:r>
          </w:p>
        </w:tc>
        <w:tc>
          <w:tcPr>
            <w:tcW w:type="dxa" w:w="2652"/>
            <w:vAlign w:val="center"/>
            <w:tcMar>
              <w:top w:w="60" w:type="dxa"/>
              <w:start w:w="120" w:type="dxa"/>
              <w:bottom w:w="60" w:type="dxa"/>
              <w:end w:w="120" w:type="dxa"/>
            </w:tcMar>
            <w:shd w:fill="E8EEF5"/>
          </w:tcPr>
          <w:p>
            <w:pPr>
              <w:keepNext/>
              <w:spacing w:after="0" w:line="240" w:lineRule="auto"/>
            </w:pPr>
            <w:r>
              <w:rPr>
                <w:b/>
                <w:color w:val="1F4D78"/>
                <w:sz w:val="16"/>
              </w:rPr>
              <w:t>Tool</w:t>
            </w:r>
          </w:p>
        </w:tc>
        <w:tc>
          <w:tcPr>
            <w:tcW w:type="dxa" w:w="3831"/>
            <w:vAlign w:val="center"/>
            <w:tcMar>
              <w:top w:w="60" w:type="dxa"/>
              <w:start w:w="120" w:type="dxa"/>
              <w:bottom w:w="60" w:type="dxa"/>
              <w:end w:w="120" w:type="dxa"/>
            </w:tcMar>
            <w:shd w:fill="E8EEF5"/>
          </w:tcPr>
          <w:p>
            <w:pPr>
              <w:keepNext/>
              <w:spacing w:after="0" w:line="240" w:lineRule="auto"/>
            </w:pPr>
            <w:r>
              <w:rPr>
                <w:b/>
                <w:color w:val="1F4D78"/>
                <w:sz w:val="16"/>
              </w:rPr>
              <w:t>Primary output</w:t>
            </w:r>
          </w:p>
        </w:tc>
      </w:tr>
      <w:tr>
        <w:trPr>
          <w:cantSplit/>
        </w:trPr>
        <w:tc>
          <w:tcPr>
            <w:tcW w:type="dxa" w:w="3608"/>
            <w:vAlign w:val="center"/>
            <w:tcMar>
              <w:top w:w="60" w:type="dxa"/>
              <w:start w:w="120" w:type="dxa"/>
              <w:bottom w:w="60" w:type="dxa"/>
              <w:end w:w="120" w:type="dxa"/>
            </w:tcMar>
          </w:tcPr>
          <w:p>
            <w:pPr>
              <w:keepNext/>
              <w:spacing w:after="0" w:line="240" w:lineRule="auto"/>
            </w:pPr>
            <w:r>
              <w:rPr>
                <w:sz w:val="16"/>
              </w:rPr>
              <w:t>Transparent merit baseline</w:t>
            </w:r>
          </w:p>
        </w:tc>
        <w:tc>
          <w:tcPr>
            <w:tcW w:type="dxa" w:w="2652"/>
            <w:vAlign w:val="center"/>
            <w:tcMar>
              <w:top w:w="60" w:type="dxa"/>
              <w:start w:w="120" w:type="dxa"/>
              <w:bottom w:w="60" w:type="dxa"/>
              <w:end w:w="120" w:type="dxa"/>
            </w:tcMar>
          </w:tcPr>
          <w:p>
            <w:pPr>
              <w:keepNext/>
              <w:spacing w:after="0" w:line="240" w:lineRule="auto"/>
            </w:pPr>
            <w:r>
              <w:rPr>
                <w:sz w:val="16"/>
              </w:rPr>
              <w:t>Truncation selection</w:t>
            </w:r>
          </w:p>
        </w:tc>
        <w:tc>
          <w:tcPr>
            <w:tcW w:type="dxa" w:w="3831"/>
            <w:vAlign w:val="center"/>
            <w:tcMar>
              <w:top w:w="60" w:type="dxa"/>
              <w:start w:w="120" w:type="dxa"/>
              <w:bottom w:w="60" w:type="dxa"/>
              <w:end w:w="120" w:type="dxa"/>
            </w:tcMar>
          </w:tcPr>
          <w:p>
            <w:pPr>
              <w:keepNext/>
              <w:spacing w:after="0" w:line="240" w:lineRule="auto"/>
            </w:pPr>
            <w:r>
              <w:rPr>
                <w:sz w:val="16"/>
              </w:rPr>
              <w:t>Top candidates by a trusted score</w:t>
            </w:r>
          </w:p>
        </w:tc>
      </w:tr>
      <w:tr>
        <w:trPr>
          <w:cantSplit/>
        </w:trPr>
        <w:tc>
          <w:tcPr>
            <w:tcW w:type="dxa" w:w="3608"/>
            <w:vAlign w:val="center"/>
            <w:tcMar>
              <w:top w:w="60" w:type="dxa"/>
              <w:start w:w="120" w:type="dxa"/>
              <w:bottom w:w="60" w:type="dxa"/>
              <w:end w:w="120" w:type="dxa"/>
            </w:tcMar>
          </w:tcPr>
          <w:p>
            <w:pPr>
              <w:keepNext/>
              <w:spacing w:after="0" w:line="240" w:lineRule="auto"/>
            </w:pPr>
            <w:r>
              <w:rPr>
                <w:sz w:val="16"/>
              </w:rPr>
              <w:t>Complementary block coverage</w:t>
            </w:r>
          </w:p>
        </w:tc>
        <w:tc>
          <w:tcPr>
            <w:tcW w:type="dxa" w:w="2652"/>
            <w:vAlign w:val="center"/>
            <w:tcMar>
              <w:top w:w="60" w:type="dxa"/>
              <w:start w:w="120" w:type="dxa"/>
              <w:bottom w:w="60" w:type="dxa"/>
              <w:end w:w="120" w:type="dxa"/>
            </w:tcMar>
          </w:tcPr>
          <w:p>
            <w:pPr>
              <w:keepNext/>
              <w:spacing w:after="0" w:line="240" w:lineRule="auto"/>
            </w:pPr>
            <w:r>
              <w:rPr>
                <w:sz w:val="16"/>
              </w:rPr>
              <w:t>GA parent selection</w:t>
            </w:r>
          </w:p>
        </w:tc>
        <w:tc>
          <w:tcPr>
            <w:tcW w:type="dxa" w:w="3831"/>
            <w:vAlign w:val="center"/>
            <w:tcMar>
              <w:top w:w="60" w:type="dxa"/>
              <w:start w:w="120" w:type="dxa"/>
              <w:bottom w:w="60" w:type="dxa"/>
              <w:end w:w="120" w:type="dxa"/>
            </w:tcMar>
          </w:tcPr>
          <w:p>
            <w:pPr>
              <w:keepNext/>
              <w:spacing w:after="0" w:line="240" w:lineRule="auto"/>
            </w:pPr>
            <w:r>
              <w:rPr>
                <w:sz w:val="16"/>
              </w:rPr>
              <w:t>A fixed-size parent set</w:t>
            </w:r>
          </w:p>
        </w:tc>
      </w:tr>
      <w:tr>
        <w:trPr>
          <w:cantSplit/>
        </w:trPr>
        <w:tc>
          <w:tcPr>
            <w:tcW w:type="dxa" w:w="3608"/>
            <w:vAlign w:val="center"/>
            <w:tcMar>
              <w:top w:w="60" w:type="dxa"/>
              <w:start w:w="120" w:type="dxa"/>
              <w:bottom w:w="60" w:type="dxa"/>
              <w:end w:w="120" w:type="dxa"/>
            </w:tcMar>
          </w:tcPr>
          <w:p>
            <w:pPr>
              <w:keepNext/>
              <w:spacing w:after="0" w:line="240" w:lineRule="auto"/>
            </w:pPr>
            <w:r>
              <w:rPr>
                <w:sz w:val="16"/>
              </w:rPr>
              <w:t>Complementary coverage plus whole-genome merit</w:t>
            </w:r>
          </w:p>
        </w:tc>
        <w:tc>
          <w:tcPr>
            <w:tcW w:type="dxa" w:w="2652"/>
            <w:vAlign w:val="center"/>
            <w:tcMar>
              <w:top w:w="60" w:type="dxa"/>
              <w:start w:w="120" w:type="dxa"/>
              <w:bottom w:w="60" w:type="dxa"/>
              <w:end w:w="120" w:type="dxa"/>
            </w:tcMar>
          </w:tcPr>
          <w:p>
            <w:pPr>
              <w:keepNext/>
              <w:spacing w:after="0" w:line="240" w:lineRule="auto"/>
            </w:pPr>
            <w:r>
              <w:rPr>
                <w:sz w:val="16"/>
              </w:rPr>
              <w:t>Joint GA+TS parent selection</w:t>
            </w:r>
          </w:p>
        </w:tc>
        <w:tc>
          <w:tcPr>
            <w:tcW w:type="dxa" w:w="3831"/>
            <w:vAlign w:val="center"/>
            <w:tcMar>
              <w:top w:w="60" w:type="dxa"/>
              <w:start w:w="120" w:type="dxa"/>
              <w:bottom w:w="60" w:type="dxa"/>
              <w:end w:w="120" w:type="dxa"/>
            </w:tcMar>
          </w:tcPr>
          <w:p>
            <w:pPr>
              <w:keepNext/>
              <w:spacing w:after="0" w:line="240" w:lineRule="auto"/>
            </w:pPr>
            <w:r>
              <w:rPr>
                <w:sz w:val="16"/>
              </w:rPr>
              <w:t>A fixed-size parent set optimised for both signals</w:t>
            </w:r>
          </w:p>
        </w:tc>
      </w:tr>
      <w:tr>
        <w:trPr>
          <w:cantSplit/>
        </w:trPr>
        <w:tc>
          <w:tcPr>
            <w:tcW w:type="dxa" w:w="3608"/>
            <w:vAlign w:val="center"/>
            <w:tcMar>
              <w:top w:w="60" w:type="dxa"/>
              <w:start w:w="120" w:type="dxa"/>
              <w:bottom w:w="60" w:type="dxa"/>
              <w:end w:w="120" w:type="dxa"/>
            </w:tcMar>
          </w:tcPr>
          <w:p>
            <w:pPr>
              <w:keepNext/>
              <w:spacing w:after="0" w:line="240" w:lineRule="auto"/>
            </w:pPr>
            <w:r>
              <w:rPr>
                <w:sz w:val="16"/>
              </w:rPr>
              <w:t>Representation across groups</w:t>
            </w:r>
          </w:p>
        </w:tc>
        <w:tc>
          <w:tcPr>
            <w:tcW w:type="dxa" w:w="2652"/>
            <w:vAlign w:val="center"/>
            <w:tcMar>
              <w:top w:w="60" w:type="dxa"/>
              <w:start w:w="120" w:type="dxa"/>
              <w:bottom w:w="60" w:type="dxa"/>
              <w:end w:w="120" w:type="dxa"/>
            </w:tcMar>
          </w:tcPr>
          <w:p>
            <w:pPr>
              <w:keepNext/>
              <w:spacing w:after="0" w:line="240" w:lineRule="auto"/>
            </w:pPr>
            <w:r>
              <w:rPr>
                <w:sz w:val="16"/>
              </w:rPr>
              <w:t>Family or cluster quota</w:t>
            </w:r>
          </w:p>
        </w:tc>
        <w:tc>
          <w:tcPr>
            <w:tcW w:type="dxa" w:w="3831"/>
            <w:vAlign w:val="center"/>
            <w:tcMar>
              <w:top w:w="60" w:type="dxa"/>
              <w:start w:w="120" w:type="dxa"/>
              <w:bottom w:w="60" w:type="dxa"/>
              <w:end w:w="120" w:type="dxa"/>
            </w:tcMar>
          </w:tcPr>
          <w:p>
            <w:pPr>
              <w:keepNext/>
              <w:spacing w:after="0" w:line="240" w:lineRule="auto"/>
            </w:pPr>
            <w:r>
              <w:rPr>
                <w:sz w:val="16"/>
              </w:rPr>
              <w:t>Group-balanced parent set</w:t>
            </w:r>
          </w:p>
        </w:tc>
      </w:tr>
      <w:tr>
        <w:trPr>
          <w:cantSplit/>
        </w:trPr>
        <w:tc>
          <w:tcPr>
            <w:tcW w:type="dxa" w:w="3608"/>
            <w:vAlign w:val="center"/>
            <w:tcMar>
              <w:top w:w="60" w:type="dxa"/>
              <w:start w:w="120" w:type="dxa"/>
              <w:bottom w:w="60" w:type="dxa"/>
              <w:end w:w="120" w:type="dxa"/>
            </w:tcMar>
          </w:tcPr>
          <w:p>
            <w:pPr>
              <w:keepNext/>
              <w:spacing w:after="0" w:line="240" w:lineRule="auto"/>
            </w:pPr>
            <w:r>
              <w:rPr>
                <w:sz w:val="16"/>
              </w:rPr>
              <w:t>Promising individual crosses</w:t>
            </w:r>
          </w:p>
        </w:tc>
        <w:tc>
          <w:tcPr>
            <w:tcW w:type="dxa" w:w="2652"/>
            <w:vAlign w:val="center"/>
            <w:tcMar>
              <w:top w:w="60" w:type="dxa"/>
              <w:start w:w="120" w:type="dxa"/>
              <w:bottom w:w="60" w:type="dxa"/>
              <w:end w:w="120" w:type="dxa"/>
            </w:tcMar>
          </w:tcPr>
          <w:p>
            <w:pPr>
              <w:keepNext/>
              <w:spacing w:after="0" w:line="240" w:lineRule="auto"/>
            </w:pPr>
            <w:r>
              <w:rPr>
                <w:sz w:val="16"/>
              </w:rPr>
              <w:t>Usefulness criterion</w:t>
            </w:r>
          </w:p>
        </w:tc>
        <w:tc>
          <w:tcPr>
            <w:tcW w:type="dxa" w:w="3831"/>
            <w:vAlign w:val="center"/>
            <w:tcMar>
              <w:top w:w="60" w:type="dxa"/>
              <w:start w:w="120" w:type="dxa"/>
              <w:bottom w:w="60" w:type="dxa"/>
              <w:end w:w="120" w:type="dxa"/>
            </w:tcMar>
          </w:tcPr>
          <w:p>
            <w:pPr>
              <w:keepNext/>
              <w:spacing w:after="0" w:line="240" w:lineRule="auto"/>
            </w:pPr>
            <w:r>
              <w:rPr>
                <w:sz w:val="16"/>
              </w:rPr>
              <w:t>Cross mean, variance, downside risk</w:t>
            </w:r>
          </w:p>
        </w:tc>
      </w:tr>
      <w:tr>
        <w:trPr>
          <w:cantSplit/>
        </w:trPr>
        <w:tc>
          <w:tcPr>
            <w:tcW w:type="dxa" w:w="3608"/>
            <w:vAlign w:val="center"/>
            <w:tcMar>
              <w:top w:w="60" w:type="dxa"/>
              <w:start w:w="120" w:type="dxa"/>
              <w:bottom w:w="60" w:type="dxa"/>
              <w:end w:w="120" w:type="dxa"/>
            </w:tcMar>
          </w:tcPr>
          <w:p>
            <w:pPr>
              <w:keepNext/>
              <w:spacing w:after="0" w:line="240" w:lineRule="auto"/>
            </w:pPr>
            <w:r>
              <w:rPr>
                <w:sz w:val="16"/>
              </w:rPr>
              <w:t>Gain under coancestry control</w:t>
            </w:r>
          </w:p>
        </w:tc>
        <w:tc>
          <w:tcPr>
            <w:tcW w:type="dxa" w:w="2652"/>
            <w:vAlign w:val="center"/>
            <w:tcMar>
              <w:top w:w="60" w:type="dxa"/>
              <w:start w:w="120" w:type="dxa"/>
              <w:bottom w:w="60" w:type="dxa"/>
              <w:end w:w="120" w:type="dxa"/>
            </w:tcMar>
          </w:tcPr>
          <w:p>
            <w:pPr>
              <w:keepNext/>
              <w:spacing w:after="0" w:line="240" w:lineRule="auto"/>
            </w:pPr>
            <w:r>
              <w:rPr>
                <w:sz w:val="16"/>
              </w:rPr>
              <w:t>Optimal contribution selection</w:t>
            </w:r>
          </w:p>
        </w:tc>
        <w:tc>
          <w:tcPr>
            <w:tcW w:type="dxa" w:w="3831"/>
            <w:vAlign w:val="center"/>
            <w:tcMar>
              <w:top w:w="60" w:type="dxa"/>
              <w:start w:w="120" w:type="dxa"/>
              <w:bottom w:w="60" w:type="dxa"/>
              <w:end w:w="120" w:type="dxa"/>
            </w:tcMar>
          </w:tcPr>
          <w:p>
            <w:pPr>
              <w:keepNext/>
              <w:spacing w:after="0" w:line="240" w:lineRule="auto"/>
            </w:pPr>
            <w:r>
              <w:rPr>
                <w:sz w:val="16"/>
              </w:rPr>
              <w:t>Contributions and mating plan</w:t>
            </w:r>
          </w:p>
        </w:tc>
      </w:tr>
      <w:tr>
        <w:trPr>
          <w:cantSplit/>
        </w:trPr>
        <w:tc>
          <w:tcPr>
            <w:tcW w:type="dxa" w:w="3608"/>
            <w:vAlign w:val="center"/>
            <w:tcMar>
              <w:top w:w="60" w:type="dxa"/>
              <w:start w:w="120" w:type="dxa"/>
              <w:bottom w:w="60" w:type="dxa"/>
              <w:end w:w="120" w:type="dxa"/>
            </w:tcMar>
          </w:tcPr>
          <w:p>
            <w:pPr>
              <w:keepNext/>
              <w:spacing w:after="0" w:line="240" w:lineRule="auto"/>
            </w:pPr>
            <w:r>
              <w:rPr>
                <w:sz w:val="16"/>
              </w:rPr>
              <w:t>Visible gain-diversity trade-off</w:t>
            </w:r>
          </w:p>
        </w:tc>
        <w:tc>
          <w:tcPr>
            <w:tcW w:type="dxa" w:w="2652"/>
            <w:vAlign w:val="center"/>
            <w:tcMar>
              <w:top w:w="60" w:type="dxa"/>
              <w:start w:w="120" w:type="dxa"/>
              <w:bottom w:w="60" w:type="dxa"/>
              <w:end w:w="120" w:type="dxa"/>
            </w:tcMar>
          </w:tcPr>
          <w:p>
            <w:pPr>
              <w:keepNext/>
              <w:spacing w:after="0" w:line="240" w:lineRule="auto"/>
            </w:pPr>
            <w:r>
              <w:rPr>
                <w:sz w:val="16"/>
              </w:rPr>
              <w:t>Pareto frontier</w:t>
            </w:r>
          </w:p>
        </w:tc>
        <w:tc>
          <w:tcPr>
            <w:tcW w:type="dxa" w:w="3831"/>
            <w:vAlign w:val="center"/>
            <w:tcMar>
              <w:top w:w="60" w:type="dxa"/>
              <w:start w:w="120" w:type="dxa"/>
              <w:bottom w:w="60" w:type="dxa"/>
              <w:end w:w="120" w:type="dxa"/>
            </w:tcMar>
          </w:tcPr>
          <w:p>
            <w:pPr>
              <w:keepNext/>
              <w:spacing w:after="0" w:line="240" w:lineRule="auto"/>
            </w:pPr>
            <w:r>
              <w:rPr>
                <w:sz w:val="16"/>
              </w:rPr>
              <w:t>Non-dominated alternatives</w:t>
            </w:r>
          </w:p>
        </w:tc>
      </w:tr>
      <w:tr>
        <w:trPr>
          <w:cantSplit/>
        </w:trPr>
        <w:tc>
          <w:tcPr>
            <w:tcW w:type="dxa" w:w="3608"/>
            <w:vAlign w:val="center"/>
            <w:tcMar>
              <w:top w:w="60" w:type="dxa"/>
              <w:start w:w="120" w:type="dxa"/>
              <w:bottom w:w="60" w:type="dxa"/>
              <w:end w:w="120" w:type="dxa"/>
            </w:tcMar>
          </w:tcPr>
          <w:p>
            <w:pPr>
              <w:keepNext/>
              <w:spacing w:after="0" w:line="240" w:lineRule="auto"/>
            </w:pPr>
            <w:r>
              <w:rPr>
                <w:sz w:val="16"/>
              </w:rPr>
              <w:t>Independent small-problem check</w:t>
            </w:r>
          </w:p>
        </w:tc>
        <w:tc>
          <w:tcPr>
            <w:tcW w:type="dxa" w:w="2652"/>
            <w:vAlign w:val="center"/>
            <w:tcMar>
              <w:top w:w="60" w:type="dxa"/>
              <w:start w:w="120" w:type="dxa"/>
              <w:bottom w:w="60" w:type="dxa"/>
              <w:end w:w="120" w:type="dxa"/>
            </w:tcMar>
          </w:tcPr>
          <w:p>
            <w:pPr>
              <w:keepNext/>
              <w:spacing w:after="0" w:line="240" w:lineRule="auto"/>
            </w:pPr>
            <w:r>
              <w:rPr>
                <w:sz w:val="16"/>
              </w:rPr>
              <w:t>Exact validation</w:t>
            </w:r>
          </w:p>
        </w:tc>
        <w:tc>
          <w:tcPr>
            <w:tcW w:type="dxa" w:w="3831"/>
            <w:vAlign w:val="center"/>
            <w:tcMar>
              <w:top w:w="60" w:type="dxa"/>
              <w:start w:w="120" w:type="dxa"/>
              <w:bottom w:w="60" w:type="dxa"/>
              <w:end w:w="120" w:type="dxa"/>
            </w:tcMar>
          </w:tcPr>
          <w:p>
            <w:pPr>
              <w:keepNext/>
              <w:spacing w:after="0" w:line="240" w:lineRule="auto"/>
            </w:pPr>
            <w:r>
              <w:rPr>
                <w:sz w:val="16"/>
              </w:rPr>
              <w:t>Optimality gap and feasibility</w:t>
            </w:r>
          </w:p>
        </w:tc>
      </w:tr>
      <w:tr>
        <w:trPr>
          <w:cantSplit/>
        </w:trPr>
        <w:tc>
          <w:tcPr>
            <w:tcW w:type="dxa" w:w="3608"/>
            <w:vAlign w:val="center"/>
            <w:tcMar>
              <w:top w:w="60" w:type="dxa"/>
              <w:start w:w="120" w:type="dxa"/>
              <w:bottom w:w="60" w:type="dxa"/>
              <w:end w:w="120" w:type="dxa"/>
            </w:tcMar>
          </w:tcPr>
          <w:p>
            <w:pPr>
              <w:spacing w:after="0" w:line="240" w:lineRule="auto"/>
            </w:pPr>
            <w:r>
              <w:rPr>
                <w:sz w:val="16"/>
              </w:rPr>
              <w:t>Diversity-first sampling</w:t>
            </w:r>
          </w:p>
        </w:tc>
        <w:tc>
          <w:tcPr>
            <w:tcW w:type="dxa" w:w="2652"/>
            <w:vAlign w:val="center"/>
            <w:tcMar>
              <w:top w:w="60" w:type="dxa"/>
              <w:start w:w="120" w:type="dxa"/>
              <w:bottom w:w="60" w:type="dxa"/>
              <w:end w:w="120" w:type="dxa"/>
            </w:tcMar>
          </w:tcPr>
          <w:p>
            <w:pPr>
              <w:spacing w:after="0" w:line="240" w:lineRule="auto"/>
            </w:pPr>
            <w:r>
              <w:rPr>
                <w:sz w:val="16"/>
              </w:rPr>
              <w:t>Core collection</w:t>
            </w:r>
          </w:p>
        </w:tc>
        <w:tc>
          <w:tcPr>
            <w:tcW w:type="dxa" w:w="3831"/>
            <w:vAlign w:val="center"/>
            <w:tcMar>
              <w:top w:w="60" w:type="dxa"/>
              <w:start w:w="120" w:type="dxa"/>
              <w:bottom w:w="60" w:type="dxa"/>
              <w:end w:w="120" w:type="dxa"/>
            </w:tcMar>
          </w:tcPr>
          <w:p>
            <w:pPr>
              <w:spacing w:after="0" w:line="240" w:lineRule="auto"/>
            </w:pPr>
            <w:r>
              <w:rPr>
                <w:sz w:val="16"/>
              </w:rPr>
              <w:t>A genetically dispersed subset</w:t>
            </w:r>
          </w:p>
        </w:tc>
      </w:tr>
    </w:tbl>
    <w:p>
      <w:pPr>
        <w:spacing w:after="20"/>
      </w:pPr>
    </w:p>
    <w:p>
      <w:r>
        <w:t>Truncation selection, coverage-only GA, joint GA+TS, and family or cluster quota selection are alternative shortlisting methods. Usefulness criterion and optimal contribution selection take a candidate set and answer different downstream questions. Pareto analysis exposes policy trade-offs. Exact validation is a quality-assurance tool. Core collection is appropriate when diversity itself is the objective.</w:t>
      </w:r>
    </w:p>
    <w:p>
      <w:r>
        <w:br w:type="page"/>
      </w:r>
    </w:p>
    <w:p>
      <w:pPr>
        <w:pStyle w:val="Heading1"/>
      </w:pPr>
      <w:r>
        <w:t>2. Before any recommendation</w:t>
      </w:r>
    </w:p>
    <w:p>
      <w:pPr>
        <w:pStyle w:val="Heading2"/>
      </w:pPr>
      <w:r>
        <w:t>2.1 Minimum evidence</w:t>
      </w:r>
    </w:p>
    <w:p>
      <w:pPr>
        <w:pStyle w:val="ListBullet"/>
      </w:pPr>
      <w:r>
        <w:t>Define the target population of environments and the breeding objective.</w:t>
      </w:r>
    </w:p>
    <w:p>
      <w:pPr>
        <w:pStyle w:val="ListBullet"/>
      </w:pPr>
      <w:r>
        <w:t>Confirm immutable candidate, sample, variant, study, and environment IDs.</w:t>
      </w:r>
    </w:p>
    <w:p>
      <w:pPr>
        <w:pStyle w:val="ListBullet"/>
      </w:pPr>
      <w:r>
        <w:t>Confirm the target estimand, estimation basis, direction of improvement,</w:t>
      </w:r>
      <w:r>
        <w:t xml:space="preserve"> </w:t>
      </w:r>
      <w:r>
        <w:t>uncertainty source, missing-data rules, and exclusions. Units are retained</w:t>
      </w:r>
      <w:r>
        <w:t xml:space="preserve"> </w:t>
      </w:r>
      <w:r>
        <w:t>when supplied but are not mandatory.</w:t>
      </w:r>
    </w:p>
    <w:p>
      <w:pPr>
        <w:pStyle w:val="ListBullet"/>
      </w:pPr>
      <w:r>
        <w:t>Match cross-validation to the intended use: random folds for interpolation</w:t>
      </w:r>
      <w:r>
        <w:t xml:space="preserve"> </w:t>
      </w:r>
      <w:r>
        <w:t>within a population, grouped folds for new families or populations, and</w:t>
      </w:r>
      <w:r>
        <w:t xml:space="preserve"> </w:t>
      </w:r>
      <w:r>
        <w:t>forward validation for future years, cycles or environments.</w:t>
      </w:r>
    </w:p>
    <w:p>
      <w:pPr>
        <w:pStyle w:val="ListBullet"/>
      </w:pPr>
      <w:r>
        <w:t>Record the random seed, software versions, input hashes, transformations,</w:t>
      </w:r>
      <w:r>
        <w:t xml:space="preserve"> </w:t>
      </w:r>
      <w:r>
        <w:t>warnings, fallback modes, and external-tool checksums.</w:t>
      </w:r>
    </w:p>
    <w:p>
      <w:pPr>
        <w:pStyle w:val="ListBullet"/>
      </w:pPr>
      <w:r>
        <w:t>Require a validation status of pass before promoting an output to a</w:t>
      </w:r>
      <w:r>
        <w:t xml:space="preserve"> </w:t>
      </w:r>
      <w:r>
        <w:t>recommendation.</w:t>
      </w:r>
    </w:p>
    <w:p>
      <w:pPr>
        <w:pStyle w:val="Heading2"/>
      </w:pPr>
      <w:r>
        <w:t>2.2 Externally analysed target values</w:t>
      </w:r>
    </w:p>
    <w:p>
      <w:r>
        <w:t>HapBlockR begins after the field-trial or genetic-evaluation analysis. It does not accept raw plot observations, inspect replicate, block, row or column factors, or fit the field design. The approved external analysis must produce one genotype-level estimate per trait and, when relevant, environment. HapBlockR then uses that estimate as the response in its internal marker, haplotype, block, multi-trait or genotype-by-environment model.</w:t>
      </w:r>
    </w:p>
    <w:p>
      <w:r>
        <w:rPr>
          <w:rFonts w:ascii="Consolas" w:hAnsi="Consolas" w:eastAsia="Consolas"/>
          <w:sz w:val="21"/>
          <w:shd w:fill="F2F4F7"/>
        </w:rPr>
        <w:t>prepare_breeding_targets()</w:t>
      </w:r>
      <w:r>
        <w:t xml:space="preserve"> separates two concepts that must not be confounded:</w:t>
      </w:r>
    </w:p>
    <w:p>
      <w:pPr>
        <w:pStyle w:val="ListNumber"/>
        <w:numPr>
          <w:ilvl w:val="0"/>
          <w:numId w:val="11"/>
        </w:numPr>
      </w:pPr>
      <w:r>
        <w:t xml:space="preserve">the </w:t>
      </w:r>
      <w:r>
        <w:rPr>
          <w:b/>
        </w:rPr>
        <w:t>estimand</w:t>
      </w:r>
      <w:r>
        <w:t xml:space="preserve"> states what biological or statistical quantity is being</w:t>
      </w:r>
      <w:r>
        <w:t xml:space="preserve"> </w:t>
      </w:r>
      <w:r>
        <w:t>supplied; and</w:t>
      </w:r>
    </w:p>
    <w:p>
      <w:pPr>
        <w:pStyle w:val="ListNumber"/>
        <w:numPr>
          <w:ilvl w:val="0"/>
          <w:numId w:val="11"/>
        </w:numPr>
      </w:pPr>
      <w:r>
        <w:t xml:space="preserve">the </w:t>
      </w:r>
      <w:r>
        <w:rPr>
          <w:b/>
        </w:rPr>
        <w:t>estimation basis</w:t>
      </w:r>
      <w:r>
        <w:t xml:space="preserve"> states how that quantity was estimated.</w:t>
      </w:r>
    </w:p>
    <w:p>
      <w:r>
        <w:t>For example, breeding value is an estimand. It may have been estimated with an identity or pedigree covariance model. Conversely, a Best Linear Unbiased Prediction (BLUP) describes an estimation method and must still be linked to the genetic quantity that was predicted.</w:t>
      </w:r>
    </w:p>
    <w:tbl>
      <w:tblPr>
        <w:tblStyle w:val="TableGrid"/>
        <w:tblW w:type="dxa" w:w="10091"/>
        <w:jc w:val="left"/>
        <w:tblLayout w:type="fixed"/>
        <w:tblLook w:firstColumn="1" w:firstRow="1" w:lastColumn="0" w:lastRow="0" w:noHBand="0" w:noVBand="1" w:val="04A0"/>
        <w:tblInd w:w="120" w:type="dxa"/>
      </w:tblPr>
      <w:tblGrid>
        <w:gridCol w:w="1784"/>
        <w:gridCol w:w="4154"/>
        <w:gridCol w:w="4153"/>
      </w:tblGrid>
      <w:tr>
        <w:trPr>
          <w:cantSplit/>
          <w:tblHeader w:val="true"/>
        </w:trPr>
        <w:tc>
          <w:tcPr>
            <w:tcW w:type="dxa" w:w="1784"/>
            <w:vAlign w:val="center"/>
            <w:tcMar>
              <w:top w:w="60" w:type="dxa"/>
              <w:start w:w="120" w:type="dxa"/>
              <w:bottom w:w="60" w:type="dxa"/>
              <w:end w:w="120" w:type="dxa"/>
            </w:tcMar>
            <w:shd w:fill="E8EEF5"/>
          </w:tcPr>
          <w:p>
            <w:pPr>
              <w:keepNext/>
              <w:spacing w:after="0" w:line="240" w:lineRule="auto"/>
            </w:pPr>
            <w:r>
              <w:rPr>
                <w:rFonts w:ascii="Consolas" w:hAnsi="Consolas" w:eastAsia="Consolas"/>
                <w:b/>
                <w:color w:val="1F4D78"/>
                <w:sz w:val="15"/>
                <w:shd w:fill="F2F4F7"/>
              </w:rPr>
              <w:t>input_type</w:t>
            </w:r>
          </w:p>
        </w:tc>
        <w:tc>
          <w:tcPr>
            <w:tcW w:type="dxa" w:w="4154"/>
            <w:vAlign w:val="center"/>
            <w:tcMar>
              <w:top w:w="60" w:type="dxa"/>
              <w:start w:w="120" w:type="dxa"/>
              <w:bottom w:w="60" w:type="dxa"/>
              <w:end w:w="120" w:type="dxa"/>
            </w:tcMar>
            <w:shd w:fill="E8EEF5"/>
          </w:tcPr>
          <w:p>
            <w:pPr>
              <w:keepNext/>
              <w:spacing w:after="0" w:line="240" w:lineRule="auto"/>
            </w:pPr>
            <w:r>
              <w:rPr>
                <w:b/>
                <w:color w:val="1F4D78"/>
                <w:sz w:val="16"/>
              </w:rPr>
              <w:t>Definition</w:t>
            </w:r>
          </w:p>
        </w:tc>
        <w:tc>
          <w:tcPr>
            <w:tcW w:type="dxa" w:w="4153"/>
            <w:vAlign w:val="center"/>
            <w:tcMar>
              <w:top w:w="60" w:type="dxa"/>
              <w:start w:w="120" w:type="dxa"/>
              <w:bottom w:w="60" w:type="dxa"/>
              <w:end w:w="120" w:type="dxa"/>
            </w:tcMar>
            <w:shd w:fill="E8EEF5"/>
          </w:tcPr>
          <w:p>
            <w:pPr>
              <w:keepNext/>
              <w:spacing w:after="0" w:line="240" w:lineRule="auto"/>
            </w:pPr>
            <w:r>
              <w:rPr>
                <w:b/>
                <w:color w:val="1F4D78"/>
                <w:sz w:val="16"/>
              </w:rPr>
              <w:t>Required uncertainty and treatment</w:t>
            </w:r>
          </w:p>
        </w:tc>
      </w:tr>
      <w:tr>
        <w:trPr>
          <w:cantSplit/>
        </w:trPr>
        <w:tc>
          <w:tcPr>
            <w:tcW w:type="dxa" w:w="1784"/>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"adjusted_mean"</w:t>
            </w:r>
          </w:p>
        </w:tc>
        <w:tc>
          <w:tcPr>
            <w:tcW w:type="dxa" w:w="4154"/>
            <w:vAlign w:val="center"/>
            <w:tcMar>
              <w:top w:w="60" w:type="dxa"/>
              <w:start w:w="120" w:type="dxa"/>
              <w:bottom w:w="60" w:type="dxa"/>
              <w:end w:w="120" w:type="dxa"/>
            </w:tcMar>
          </w:tcPr>
          <w:p>
            <w:pPr>
              <w:keepNext/>
              <w:spacing w:after="0" w:line="240" w:lineRule="auto"/>
            </w:pPr>
            <w:r>
              <w:rPr>
                <w:sz w:val="16"/>
              </w:rPr>
              <w:t>A model-adjusted entry mean. This includes a Bayesian posterior adjusted mean when the analysis does not use the Best Linear Unbiased Estimate (BLUE)/BLUP distinction. It is not a raw arithmetic mean.</w:t>
            </w:r>
          </w:p>
        </w:tc>
        <w:tc>
          <w:tcPr>
            <w:tcW w:type="dxa" w:w="4153"/>
            <w:vAlign w:val="center"/>
            <w:tcMar>
              <w:top w:w="60" w:type="dxa"/>
              <w:start w:w="120" w:type="dxa"/>
              <w:bottom w:w="60" w:type="dxa"/>
              <w:end w:w="120" w:type="dxa"/>
            </w:tcMar>
          </w:tcPr>
          <w:p>
            <w:pPr>
              <w:keepNext/>
              <w:spacing w:after="0" w:line="240" w:lineRule="auto"/>
            </w:pPr>
            <w:r>
              <w:rPr>
                <w:sz w:val="16"/>
              </w:rPr>
              <w:t>Supply standard error, posterior standard deviation, precision or full sampling covariance. The value is not deregressed.</w:t>
            </w:r>
          </w:p>
        </w:tc>
      </w:tr>
      <w:tr>
        <w:trPr>
          <w:cantSplit/>
        </w:trPr>
        <w:tc>
          <w:tcPr>
            <w:tcW w:type="dxa" w:w="1784"/>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"BLUE"</w:t>
            </w:r>
          </w:p>
        </w:tc>
        <w:tc>
          <w:tcPr>
            <w:tcW w:type="dxa" w:w="4154"/>
            <w:vAlign w:val="center"/>
            <w:tcMar>
              <w:top w:w="60" w:type="dxa"/>
              <w:start w:w="120" w:type="dxa"/>
              <w:bottom w:w="60" w:type="dxa"/>
              <w:end w:w="120" w:type="dxa"/>
            </w:tcMar>
          </w:tcPr>
          <w:p>
            <w:pPr>
              <w:keepNext/>
              <w:spacing w:after="0" w:line="240" w:lineRule="auto"/>
            </w:pPr>
            <w:r>
              <w:rPr>
                <w:sz w:val="16"/>
              </w:rPr>
              <w:t>Best Linear Unbiased Estimate of an entry fitted as a fixed effect. It is not shrunk towards a population mean.</w:t>
            </w:r>
          </w:p>
        </w:tc>
        <w:tc>
          <w:tcPr>
            <w:tcW w:type="dxa" w:w="4153"/>
            <w:vAlign w:val="center"/>
            <w:tcMar>
              <w:top w:w="60" w:type="dxa"/>
              <w:start w:w="120" w:type="dxa"/>
              <w:bottom w:w="60" w:type="dxa"/>
              <w:end w:w="120" w:type="dxa"/>
            </w:tcMar>
          </w:tcPr>
          <w:p>
            <w:pPr>
              <w:keepNext/>
              <w:spacing w:after="0" w:line="240" w:lineRule="auto"/>
            </w:pPr>
            <w:r>
              <w:rPr>
                <w:sz w:val="16"/>
              </w:rPr>
              <w:t>Supply standard error, precision or full sampling covariance. The value is not deregressed.</w:t>
            </w:r>
          </w:p>
        </w:tc>
      </w:tr>
      <w:tr>
        <w:trPr>
          <w:cantSplit/>
        </w:trPr>
        <w:tc>
          <w:tcPr>
            <w:tcW w:type="dxa" w:w="1784"/>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"BLUP_identity"</w:t>
            </w:r>
          </w:p>
        </w:tc>
        <w:tc>
          <w:tcPr>
            <w:tcW w:type="dxa" w:w="4154"/>
            <w:vAlign w:val="center"/>
            <w:tcMar>
              <w:top w:w="60" w:type="dxa"/>
              <w:start w:w="120" w:type="dxa"/>
              <w:bottom w:w="60" w:type="dxa"/>
              <w:end w:w="120" w:type="dxa"/>
            </w:tcMar>
          </w:tcPr>
          <w:p>
            <w:pPr>
              <w:keepNext/>
              <w:spacing w:after="0" w:line="240" w:lineRule="auto"/>
            </w:pPr>
            <w:r>
              <w:rPr>
                <w:sz w:val="16"/>
              </w:rPr>
              <w:t xml:space="preserve">Random genotype or entry effect with covariance </w:t>
            </w:r>
            <w:r>
              <w:rPr>
                <w:rFonts w:ascii="Consolas" w:hAnsi="Consolas" w:eastAsia="Consolas"/>
                <w:sz w:val="15"/>
                <w:shd w:fill="F2F4F7"/>
              </w:rPr>
              <w:t>I × genetic variance</w:t>
            </w:r>
            <w:r>
              <w:rPr>
                <w:sz w:val="16"/>
              </w:rPr>
              <w:t>. The identity matrix describes the assumed covariance; it does not assert that the genotypes are biologically unrelated.</w:t>
            </w:r>
          </w:p>
        </w:tc>
        <w:tc>
          <w:tcPr>
            <w:tcW w:type="dxa" w:w="4153"/>
            <w:vAlign w:val="center"/>
            <w:tcMar>
              <w:top w:w="60" w:type="dxa"/>
              <w:start w:w="120" w:type="dxa"/>
              <w:bottom w:w="60" w:type="dxa"/>
              <w:end w:w="120" w:type="dxa"/>
            </w:tcMar>
          </w:tcPr>
          <w:p>
            <w:pPr>
              <w:keepNext/>
              <w:spacing w:after="0" w:line="240" w:lineRule="auto"/>
            </w:pPr>
            <w:r>
              <w:rPr>
                <w:sz w:val="16"/>
              </w:rPr>
              <w:t>Supply reliability, or prediction error variance (PEV) and genetic variance. HapBlockR deregresses the prediction.</w:t>
            </w:r>
          </w:p>
        </w:tc>
      </w:tr>
      <w:tr>
        <w:trPr>
          <w:cantSplit/>
        </w:trPr>
        <w:tc>
          <w:tcPr>
            <w:tcW w:type="dxa" w:w="1784"/>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"PBLUP"</w:t>
            </w:r>
          </w:p>
        </w:tc>
        <w:tc>
          <w:tcPr>
            <w:tcW w:type="dxa" w:w="4154"/>
            <w:vAlign w:val="center"/>
            <w:tcMar>
              <w:top w:w="60" w:type="dxa"/>
              <w:start w:w="120" w:type="dxa"/>
              <w:bottom w:w="60" w:type="dxa"/>
              <w:end w:w="120" w:type="dxa"/>
            </w:tcMar>
          </w:tcPr>
          <w:p>
            <w:pPr>
              <w:keepNext/>
              <w:spacing w:after="0" w:line="240" w:lineRule="auto"/>
            </w:pPr>
            <w:r>
              <w:rPr>
                <w:sz w:val="16"/>
              </w:rPr>
              <w:t xml:space="preserve">Pedigree BLUP of additive breeding value with covariance </w:t>
            </w:r>
            <w:r>
              <w:rPr>
                <w:rFonts w:ascii="Consolas" w:hAnsi="Consolas" w:eastAsia="Consolas"/>
                <w:sz w:val="15"/>
                <w:shd w:fill="F2F4F7"/>
              </w:rPr>
              <w:t>A × additive genetic variance</w:t>
            </w:r>
            <w:r>
              <w:rPr>
                <w:sz w:val="16"/>
              </w:rPr>
              <w:t xml:space="preserve">, where </w:t>
            </w:r>
            <w:r>
              <w:rPr>
                <w:rFonts w:ascii="Consolas" w:hAnsi="Consolas" w:eastAsia="Consolas"/>
                <w:sz w:val="15"/>
                <w:shd w:fill="F2F4F7"/>
              </w:rPr>
              <w:t>A</w:t>
            </w:r>
            <w:r>
              <w:rPr>
                <w:sz w:val="16"/>
              </w:rPr>
              <w:t xml:space="preserve"> is the numerator relationship matrix.</w:t>
            </w:r>
          </w:p>
        </w:tc>
        <w:tc>
          <w:tcPr>
            <w:tcW w:type="dxa" w:w="4153"/>
            <w:vAlign w:val="center"/>
            <w:tcMar>
              <w:top w:w="60" w:type="dxa"/>
              <w:start w:w="120" w:type="dxa"/>
              <w:bottom w:w="60" w:type="dxa"/>
              <w:end w:w="120" w:type="dxa"/>
            </w:tcMar>
          </w:tcPr>
          <w:p>
            <w:pPr>
              <w:keepNext/>
              <w:spacing w:after="0" w:line="240" w:lineRule="auto"/>
            </w:pPr>
            <w:r>
              <w:rPr>
                <w:sz w:val="16"/>
              </w:rPr>
              <w:t xml:space="preserve">Supply reliability, or PEV and additive genetic variance, plus the complete named </w:t>
            </w:r>
            <w:r>
              <w:rPr>
                <w:rFonts w:ascii="Consolas" w:hAnsi="Consolas" w:eastAsia="Consolas"/>
                <w:sz w:val="15"/>
                <w:shd w:fill="F2F4F7"/>
              </w:rPr>
              <w:t>A</w:t>
            </w:r>
            <w:r>
              <w:rPr>
                <w:sz w:val="16"/>
              </w:rPr>
              <w:t xml:space="preserve"> matrix. HapBlockR deregresses the prediction.</w:t>
            </w:r>
          </w:p>
        </w:tc>
      </w:tr>
      <w:tr>
        <w:trPr>
          <w:cantSplit/>
        </w:trPr>
        <w:tc>
          <w:tcPr>
            <w:tcW w:type="dxa" w:w="1784"/>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"BV"</w:t>
            </w:r>
          </w:p>
        </w:tc>
        <w:tc>
          <w:tcPr>
            <w:tcW w:type="dxa" w:w="4154"/>
            <w:vAlign w:val="center"/>
            <w:tcMar>
              <w:top w:w="60" w:type="dxa"/>
              <w:start w:w="120" w:type="dxa"/>
              <w:bottom w:w="60" w:type="dxa"/>
              <w:end w:w="120" w:type="dxa"/>
            </w:tcMar>
          </w:tcPr>
          <w:p>
            <w:pPr>
              <w:keepNext/>
              <w:spacing w:after="0" w:line="240" w:lineRule="auto"/>
            </w:pPr>
            <w:r>
              <w:rPr>
                <w:sz w:val="16"/>
              </w:rPr>
              <w:t>Additive, transmissible breeding value. This is an estimand rather than an estimation method.</w:t>
            </w:r>
          </w:p>
        </w:tc>
        <w:tc>
          <w:tcPr>
            <w:tcW w:type="dxa" w:w="4153"/>
            <w:vAlign w:val="center"/>
            <w:tcMar>
              <w:top w:w="60" w:type="dxa"/>
              <w:start w:w="120" w:type="dxa"/>
              <w:bottom w:w="60" w:type="dxa"/>
              <w:end w:w="120" w:type="dxa"/>
            </w:tcMar>
          </w:tcPr>
          <w:p>
            <w:pPr>
              <w:keepNext/>
              <w:spacing w:after="0" w:line="240" w:lineRule="auto"/>
            </w:pPr>
            <w:r>
              <w:rPr>
                <w:sz w:val="16"/>
              </w:rPr>
              <w:t xml:space="preserve">Declare </w:t>
            </w:r>
            <w:r>
              <w:rPr>
                <w:rFonts w:ascii="Consolas" w:hAnsi="Consolas" w:eastAsia="Consolas"/>
                <w:sz w:val="15"/>
                <w:shd w:fill="F2F4F7"/>
              </w:rPr>
              <w:t>estimation_basis = "fixed"</w:t>
            </w:r>
            <w:r>
              <w:rPr>
                <w:sz w:val="16"/>
              </w:rPr>
              <w:t xml:space="preserve">, </w:t>
            </w:r>
            <w:r>
              <w:rPr>
                <w:rFonts w:ascii="Consolas" w:hAnsi="Consolas" w:eastAsia="Consolas"/>
                <w:sz w:val="15"/>
                <w:shd w:fill="F2F4F7"/>
              </w:rPr>
              <w:t>"identity"</w:t>
            </w:r>
            <w:r>
              <w:rPr>
                <w:sz w:val="16"/>
              </w:rPr>
              <w:t xml:space="preserve"> or </w:t>
            </w:r>
            <w:r>
              <w:rPr>
                <w:rFonts w:ascii="Consolas" w:hAnsi="Consolas" w:eastAsia="Consolas"/>
                <w:sz w:val="15"/>
                <w:shd w:fill="F2F4F7"/>
              </w:rPr>
              <w:t>"pedigree"</w:t>
            </w:r>
            <w:r>
              <w:rPr>
                <w:sz w:val="16"/>
              </w:rPr>
              <w:t xml:space="preserve"> and supply the corresponding uncertainty. An external genomic basis is rejected.</w:t>
            </w:r>
          </w:p>
        </w:tc>
      </w:tr>
      <w:tr>
        <w:trPr>
          <w:cantSplit/>
        </w:trPr>
        <w:tc>
          <w:tcPr>
            <w:tcW w:type="dxa" w:w="1784"/>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"GCA"</w:t>
            </w:r>
          </w:p>
        </w:tc>
        <w:tc>
          <w:tcPr>
            <w:tcW w:type="dxa" w:w="4154"/>
            <w:vAlign w:val="center"/>
            <w:tcMar>
              <w:top w:w="60" w:type="dxa"/>
              <w:start w:w="120" w:type="dxa"/>
              <w:bottom w:w="60" w:type="dxa"/>
              <w:end w:w="120" w:type="dxa"/>
            </w:tcMar>
          </w:tcPr>
          <w:p>
            <w:pPr>
              <w:keepNext/>
              <w:spacing w:after="0" w:line="240" w:lineRule="auto"/>
            </w:pPr>
            <w:r>
              <w:rPr>
                <w:sz w:val="16"/>
              </w:rPr>
              <w:t>General combining ability in a defined tester or mate population.</w:t>
            </w:r>
          </w:p>
        </w:tc>
        <w:tc>
          <w:tcPr>
            <w:tcW w:type="dxa" w:w="4153"/>
            <w:vAlign w:val="center"/>
            <w:tcMar>
              <w:top w:w="60" w:type="dxa"/>
              <w:start w:w="120" w:type="dxa"/>
              <w:bottom w:w="60" w:type="dxa"/>
              <w:end w:w="120" w:type="dxa"/>
            </w:tcMar>
          </w:tcPr>
          <w:p>
            <w:pPr>
              <w:keepNext/>
              <w:spacing w:after="0" w:line="240" w:lineRule="auto"/>
            </w:pPr>
            <w:r>
              <w:rPr>
                <w:sz w:val="16"/>
              </w:rPr>
              <w:t>Name the tester population and state whether GCA was fixed or random. Fixed GCA follows BLUE treatment; random GCA is deregressed.</w:t>
            </w:r>
          </w:p>
        </w:tc>
      </w:tr>
      <w:tr>
        <w:trPr>
          <w:cantSplit/>
        </w:trPr>
        <w:tc>
          <w:tcPr>
            <w:tcW w:type="dxa" w:w="1784"/>
            <w:vAlign w:val="center"/>
            <w:tcMar>
              <w:top w:w="60" w:type="dxa"/>
              <w:start w:w="120" w:type="dxa"/>
              <w:bottom w:w="60" w:type="dxa"/>
              <w:end w:w="120" w:type="dxa"/>
            </w:tcMar>
          </w:tcPr>
          <w:p>
            <w:pPr>
              <w:spacing w:after="0" w:line="240" w:lineRule="auto"/>
            </w:pPr>
            <w:r>
              <w:rPr>
                <w:rFonts w:ascii="Consolas" w:hAnsi="Consolas" w:eastAsia="Consolas"/>
                <w:sz w:val="15"/>
                <w:shd w:fill="F2F4F7"/>
              </w:rPr>
              <w:t>"TGV"</w:t>
            </w:r>
          </w:p>
        </w:tc>
        <w:tc>
          <w:tcPr>
            <w:tcW w:type="dxa" w:w="4154"/>
            <w:vAlign w:val="center"/>
            <w:tcMar>
              <w:top w:w="60" w:type="dxa"/>
              <w:start w:w="120" w:type="dxa"/>
              <w:bottom w:w="60" w:type="dxa"/>
              <w:end w:w="120" w:type="dxa"/>
            </w:tcMar>
          </w:tcPr>
          <w:p>
            <w:pPr>
              <w:spacing w:after="0" w:line="240" w:lineRule="auto"/>
            </w:pPr>
            <w:r>
              <w:rPr>
                <w:sz w:val="16"/>
              </w:rPr>
              <w:t>Total genetic value, including additive and dominance components.</w:t>
            </w:r>
          </w:p>
        </w:tc>
        <w:tc>
          <w:tcPr>
            <w:tcW w:type="dxa" w:w="4153"/>
            <w:vAlign w:val="center"/>
            <w:tcMar>
              <w:top w:w="60" w:type="dxa"/>
              <w:start w:w="120" w:type="dxa"/>
              <w:bottom w:w="60" w:type="dxa"/>
              <w:end w:w="120" w:type="dxa"/>
            </w:tcMar>
          </w:tcPr>
          <w:p>
            <w:pPr>
              <w:spacing w:after="0" w:line="240" w:lineRule="auto"/>
            </w:pPr>
            <w:r>
              <w:rPr>
                <w:sz w:val="16"/>
              </w:rPr>
              <w:t>Supply additive and dominance values in separate columns, declare their estimation basis and supply the corresponding uncertainty.</w:t>
            </w:r>
          </w:p>
        </w:tc>
      </w:tr>
    </w:tbl>
    <w:p>
      <w:pPr>
        <w:spacing w:after="20"/>
      </w:pPr>
    </w:p>
    <w:p>
      <w:r>
        <w:t xml:space="preserve">Declared trait units are optional. However, the direction of improvement is mandatory for interpretation. </w:t>
      </w:r>
      <w:r>
        <w:rPr>
          <w:rFonts w:ascii="Consolas" w:hAnsi="Consolas" w:eastAsia="Consolas"/>
          <w:sz w:val="21"/>
          <w:shd w:fill="F2F4F7"/>
        </w:rPr>
        <w:t>lower_is_better</w:t>
      </w:r>
      <w:r>
        <w:t xml:space="preserve"> reverses a trait once during target preparation. Every downstream </w:t>
      </w:r>
      <w:r>
        <w:rPr>
          <w:rFonts w:ascii="Consolas" w:hAnsi="Consolas" w:eastAsia="Consolas"/>
          <w:sz w:val="21"/>
          <w:shd w:fill="F2F4F7"/>
        </w:rPr>
        <w:t>model_value</w:t>
      </w:r>
      <w:r>
        <w:t xml:space="preserve">, internal index and </w:t>
      </w:r>
      <w:r>
        <w:rPr>
          <w:rFonts w:ascii="Consolas" w:hAnsi="Consolas" w:eastAsia="Consolas"/>
          <w:sz w:val="21"/>
          <w:shd w:fill="F2F4F7"/>
        </w:rPr>
        <w:t>merit_score</w:t>
      </w:r>
      <w:r>
        <w:t xml:space="preserve"> then uses one convention: larger is better.</w:t>
      </w:r>
    </w:p>
    <w:p>
      <w:r>
        <w:t xml:space="preserve">For a standard error </w:t>
      </w:r>
      <w:r>
        <w:rPr>
          <w:rFonts w:ascii="Consolas" w:hAnsi="Consolas" w:eastAsia="Consolas"/>
          <w:sz w:val="21"/>
          <w:shd w:fill="F2F4F7"/>
        </w:rPr>
        <w:t>SE</w:t>
      </w:r>
      <w:r>
        <w:t xml:space="preserve">, raw precision is </w:t>
      </w:r>
      <w:r>
        <w:rPr>
          <w:rFonts w:ascii="Consolas" w:hAnsi="Consolas" w:eastAsia="Consolas"/>
          <w:sz w:val="21"/>
          <w:shd w:fill="F2F4F7"/>
        </w:rPr>
        <w:t>1 / SE²</w:t>
      </w:r>
      <w:r>
        <w:t xml:space="preserve">. HapBlockR normalises this precision to a mean of one within the trait-analysis group before it enters the residual model. For an identity BLUP, </w:t>
      </w:r>
      <w:r>
        <w:rPr>
          <w:rFonts w:ascii="Consolas" w:hAnsi="Consolas" w:eastAsia="Consolas"/>
          <w:sz w:val="21"/>
          <w:shd w:fill="F2F4F7"/>
        </w:rPr>
        <w:t>reliability = 1 - PEV / genetic variance</w:t>
      </w:r>
      <w:r>
        <w:t xml:space="preserve">. For a pedigree BLUP, </w:t>
      </w:r>
      <w:r>
        <w:rPr>
          <w:rFonts w:ascii="Consolas" w:hAnsi="Consolas" w:eastAsia="Consolas"/>
          <w:sz w:val="21"/>
          <w:shd w:fill="F2F4F7"/>
        </w:rPr>
        <w:t>reliability = 1 - PEV / (A_ii × additive genetic variance)</w:t>
      </w:r>
      <w:r>
        <w:t>. A standard error of difference is not a PEV and is rejected for deregression.</w:t>
      </w:r>
    </w:p>
    <w:p>
      <w:r>
        <w:t>External genomic BLUPs, genomic estimated breeding values and external selection-index values are not accepted as target types. Accepting them would duplicate genomic information and obscure the origin of marker, block and haplotype effects. HapBlockR instead fits those effects internally and builds the selection index from the resulting trait predictions.</w:t>
      </w:r>
    </w:p>
    <w:p>
      <w:pPr>
        <w:pStyle w:val="Heading2"/>
      </w:pPr>
      <w:r>
        <w:t>2.3 Reliability gate</w:t>
      </w:r>
    </w:p>
    <w:p>
      <w:r>
        <w:t>HapBlockR reports reliability whenever the fitted model provides prediction error variance. Set a programme-specific minimum before seeing the final ranking. Candidates and crosses that meet the gate form the recommendation; those below it remain clearly identified for exploratory use. Where a method does not estimate uncertainty, the result records that fact rather than substituting an artificial value.</w:t>
      </w:r>
    </w:p>
    <w:p>
      <w:pPr>
        <w:pStyle w:val="Heading2"/>
      </w:pPr>
      <w:r>
        <w:t>2.4 Operational feasibility</w:t>
      </w:r>
    </w:p>
    <w:p>
      <w:r>
        <w:t>Before optimisation, assemble a candidate-status table covering:</w:t>
      </w:r>
    </w:p>
    <w:p>
      <w:pPr>
        <w:pStyle w:val="ListBullet"/>
      </w:pPr>
      <w:r>
        <w:t>permitted female and male roles;</w:t>
      </w:r>
    </w:p>
    <w:p>
      <w:pPr>
        <w:pStyle w:val="ListBullet"/>
      </w:pPr>
      <w:r>
        <w:t>flowering windows and synchrony;</w:t>
      </w:r>
    </w:p>
    <w:p>
      <w:pPr>
        <w:pStyle w:val="ListBullet"/>
      </w:pPr>
      <w:r>
        <w:t>fertility and reciprocal-cross restrictions;</w:t>
      </w:r>
    </w:p>
    <w:p>
      <w:pPr>
        <w:pStyle w:val="ListBullet"/>
      </w:pPr>
      <w:r>
        <w:t>seed or pollen availability;</w:t>
      </w:r>
    </w:p>
    <w:p>
      <w:pPr>
        <w:pStyle w:val="ListBullet"/>
      </w:pPr>
      <w:r>
        <w:t>crossing capacity by parent and period;</w:t>
      </w:r>
    </w:p>
    <w:p>
      <w:pPr>
        <w:pStyle w:val="ListBullet"/>
      </w:pPr>
      <w:r>
        <w:t>forbidden and required pairs;</w:t>
      </w:r>
    </w:p>
    <w:p>
      <w:pPr>
        <w:pStyle w:val="ListBullet"/>
      </w:pPr>
      <w:r>
        <w:t>heterotic groups and subpopulation quotas;</w:t>
      </w:r>
    </w:p>
    <w:p>
      <w:pPr>
        <w:pStyle w:val="ListBullet"/>
      </w:pPr>
      <w:r>
        <w:t>quarantine or movement restrictions; and</w:t>
      </w:r>
    </w:p>
    <w:p>
      <w:pPr>
        <w:pStyle w:val="ListBullet"/>
      </w:pPr>
      <w:r>
        <w:t>minimum viable family size.</w:t>
      </w:r>
    </w:p>
    <w:p>
      <w:r>
        <w:t xml:space="preserve">The final plan must include a feasibility certificate, excluded records, and binding constraints. A mathematically attractive but infeasible plan is not a breeding recommendation. Use </w:t>
      </w:r>
      <w:r>
        <w:rPr>
          <w:rFonts w:ascii="Consolas" w:hAnsi="Consolas" w:eastAsia="Consolas"/>
          <w:sz w:val="21"/>
          <w:shd w:fill="F2F4F7"/>
        </w:rPr>
        <w:t>screen_candidate_crosses()</w:t>
      </w:r>
      <w:r>
        <w:t xml:space="preserve"> before ranking and </w:t>
      </w:r>
      <w:r>
        <w:rPr>
          <w:rFonts w:ascii="Consolas" w:hAnsi="Consolas" w:eastAsia="Consolas"/>
          <w:sz w:val="21"/>
          <w:shd w:fill="F2F4F7"/>
        </w:rPr>
        <w:t>certify_mating_plan()</w:t>
      </w:r>
      <w:r>
        <w:t xml:space="preserve"> before sign-off.</w:t>
      </w:r>
    </w:p>
    <w:p>
      <w:r>
        <w:br w:type="page"/>
      </w:r>
    </w:p>
    <w:p>
      <w:pPr>
        <w:pStyle w:val="Heading1"/>
      </w:pPr>
      <w:r>
        <w:t>3. The nine decision tools and their variants</w:t>
      </w:r>
    </w:p>
    <w:p>
      <w:r>
        <w:t>This chapter describes the nine principal breeder-facing decision tools. For each tool, distinguish the biological question from the optimisation method. A technically more elaborate method is not automatically more appropriate. Use the simplest method that represents the programme's actual objective and constraints.</w:t>
      </w:r>
    </w:p>
    <w:p>
      <w:r>
        <w:t>Each promoted result should answer five questions:</w:t>
      </w:r>
    </w:p>
    <w:p>
      <w:pPr>
        <w:pStyle w:val="ListNumber"/>
        <w:numPr>
          <w:ilvl w:val="0"/>
          <w:numId w:val="12"/>
        </w:numPr>
      </w:pPr>
      <w:r>
        <w:t>What candidate population and evidence release were analysed?</w:t>
      </w:r>
    </w:p>
    <w:p>
      <w:pPr>
        <w:pStyle w:val="ListNumber"/>
        <w:numPr>
          <w:ilvl w:val="0"/>
          <w:numId w:val="12"/>
        </w:numPr>
      </w:pPr>
      <w:r>
        <w:t>What objective, direction and constraints were declared before optimisation?</w:t>
      </w:r>
    </w:p>
    <w:p>
      <w:pPr>
        <w:pStyle w:val="ListNumber"/>
        <w:numPr>
          <w:ilvl w:val="0"/>
          <w:numId w:val="12"/>
        </w:numPr>
      </w:pPr>
      <w:r>
        <w:t>Which variant or engine was used, and why?</w:t>
      </w:r>
    </w:p>
    <w:p>
      <w:pPr>
        <w:pStyle w:val="ListNumber"/>
        <w:numPr>
          <w:ilvl w:val="0"/>
          <w:numId w:val="12"/>
        </w:numPr>
      </w:pPr>
      <w:r>
        <w:t>What recommendation did the package return automatically?</w:t>
      </w:r>
    </w:p>
    <w:p>
      <w:pPr>
        <w:pStyle w:val="ListNumber"/>
        <w:numPr>
          <w:ilvl w:val="0"/>
          <w:numId w:val="12"/>
        </w:numPr>
      </w:pPr>
      <w:r>
        <w:t>Which diagnostics, scope assumptions and reserve choices accompany it?</w:t>
      </w:r>
    </w:p>
    <w:p>
      <w:pPr>
        <w:pStyle w:val="Heading2"/>
      </w:pPr>
      <w:r>
        <w:t>3.1 Truncation selection</w:t>
      </w:r>
    </w:p>
    <w:p>
      <w:r>
        <w:t xml:space="preserve">Function: </w:t>
      </w:r>
      <w:r>
        <w:rPr>
          <w:rFonts w:ascii="Consolas" w:hAnsi="Consolas" w:eastAsia="Consolas"/>
          <w:sz w:val="21"/>
          <w:shd w:fill="F2F4F7"/>
        </w:rPr>
        <w:t>truncation_selection()</w:t>
      </w:r>
    </w:p>
    <w:p>
      <w:r>
        <w:t>Question: Which candidates have the highest trusted merit score?</w:t>
      </w:r>
    </w:p>
    <w:p>
      <w:pPr>
        <w:pStyle w:val="Heading3"/>
      </w:pPr>
      <w:r>
        <w:t>Appropriate use</w:t>
      </w:r>
    </w:p>
    <w:p>
      <w:r>
        <w:t>Use truncation selection as the transparent baseline for every more complex method. It is often adequate when the breeding objective is represented by one validated score, candidates are not excessively related, no target haplotype must be recovered, and operational restrictions can be applied before ranking.</w:t>
      </w:r>
    </w:p>
    <w:p>
      <w:r>
        <w:t xml:space="preserve">The input </w:t>
      </w:r>
      <w:r>
        <w:rPr>
          <w:rFonts w:ascii="Consolas" w:hAnsi="Consolas" w:eastAsia="Consolas"/>
          <w:sz w:val="21"/>
          <w:shd w:fill="F2F4F7"/>
        </w:rPr>
        <w:t>score</w:t>
      </w:r>
      <w:r>
        <w:t xml:space="preserve"> is a named numeric vector. Its names are immutable candidate IDs. Every selection function uses one unambiguous direction: </w:t>
      </w:r>
      <w:r>
        <w:rPr>
          <w:b/>
        </w:rPr>
        <w:t>larger values always mean greater breeding merit</w:t>
      </w:r>
      <w:r>
        <w:t xml:space="preserve">. Reverse the sign of a lower-is-better trait, such as disease severity, maturity duration or plant height where reduction is desired, or assign it a negative selection-index weight before constructing </w:t>
      </w:r>
      <w:r>
        <w:rPr>
          <w:rFonts w:ascii="Consolas" w:hAnsi="Consolas" w:eastAsia="Consolas"/>
          <w:sz w:val="21"/>
          <w:shd w:fill="F2F4F7"/>
        </w:rPr>
        <w:t>score</w:t>
      </w:r>
      <w:r>
        <w:t xml:space="preserve">. Eligibility thresholds must be applied to this directional merit score, not to an untransformed raw phenotype. </w:t>
      </w:r>
      <w:r>
        <w:rPr>
          <w:rFonts w:ascii="Consolas" w:hAnsi="Consolas" w:eastAsia="Consolas"/>
          <w:sz w:val="21"/>
          <w:shd w:fill="F2F4F7"/>
        </w:rPr>
        <w:t>n_founders</w:t>
      </w:r>
      <w:r>
        <w:t xml:space="preserve"> specifies the required shortlist size.</w:t>
      </w:r>
    </w:p>
    <w:p>
      <w:pPr>
        <w:pStyle w:val="Heading3"/>
      </w:pPr>
      <w:r>
        <w:t>Eligibility-floor variants</w:t>
      </w:r>
    </w:p>
    <w:p>
      <w:r>
        <w:rPr>
          <w:rFonts w:ascii="Consolas" w:hAnsi="Consolas" w:eastAsia="Consolas"/>
          <w:sz w:val="21"/>
          <w:shd w:fill="F2F4F7"/>
        </w:rPr>
        <w:t>min_sel_value</w:t>
      </w:r>
      <w:r>
        <w:t xml:space="preserve"> is optional. </w:t>
      </w:r>
      <w:r>
        <w:rPr>
          <w:rFonts w:ascii="Consolas" w:hAnsi="Consolas" w:eastAsia="Consolas"/>
          <w:sz w:val="21"/>
          <w:shd w:fill="F2F4F7"/>
        </w:rPr>
        <w:t>min_sel_mode</w:t>
      </w:r>
      <w:r>
        <w:t xml:space="preserve"> determines its meaning:</w:t>
      </w:r>
    </w:p>
    <w:tbl>
      <w:tblPr>
        <w:tblStyle w:val="TableGrid"/>
        <w:tblW w:type="dxa" w:w="10091"/>
        <w:jc w:val="left"/>
        <w:tblLayout w:type="fixed"/>
        <w:tblLook w:firstColumn="1" w:firstRow="1" w:lastColumn="0" w:lastRow="0" w:noHBand="0" w:noVBand="1" w:val="04A0"/>
        <w:tblInd w:w="120" w:type="dxa"/>
      </w:tblPr>
      <w:tblGrid>
        <w:gridCol w:w="1784"/>
        <w:gridCol w:w="4154"/>
        <w:gridCol w:w="4153"/>
      </w:tblGrid>
      <w:tr>
        <w:trPr>
          <w:cantSplit/>
          <w:tblHeader w:val="true"/>
        </w:trPr>
        <w:tc>
          <w:tcPr>
            <w:tcW w:type="dxa" w:w="1784"/>
            <w:vAlign w:val="center"/>
            <w:tcMar>
              <w:top w:w="60" w:type="dxa"/>
              <w:start w:w="120" w:type="dxa"/>
              <w:bottom w:w="60" w:type="dxa"/>
              <w:end w:w="120" w:type="dxa"/>
            </w:tcMar>
            <w:shd w:fill="E8EEF5"/>
          </w:tcPr>
          <w:p>
            <w:pPr>
              <w:keepNext/>
              <w:spacing w:after="0" w:line="240" w:lineRule="auto"/>
            </w:pPr>
            <w:r>
              <w:rPr>
                <w:b/>
                <w:color w:val="1F4D78"/>
                <w:sz w:val="16"/>
              </w:rPr>
              <w:t>Variant</w:t>
            </w:r>
          </w:p>
        </w:tc>
        <w:tc>
          <w:tcPr>
            <w:tcW w:type="dxa" w:w="4154"/>
            <w:vAlign w:val="center"/>
            <w:tcMar>
              <w:top w:w="60" w:type="dxa"/>
              <w:start w:w="120" w:type="dxa"/>
              <w:bottom w:w="60" w:type="dxa"/>
              <w:end w:w="120" w:type="dxa"/>
            </w:tcMar>
            <w:shd w:fill="E8EEF5"/>
          </w:tcPr>
          <w:p>
            <w:pPr>
              <w:keepNext/>
              <w:spacing w:after="0" w:line="240" w:lineRule="auto"/>
            </w:pPr>
            <w:r>
              <w:rPr>
                <w:b/>
                <w:color w:val="1F4D78"/>
                <w:sz w:val="16"/>
              </w:rPr>
              <w:t>Interpretation</w:t>
            </w:r>
          </w:p>
        </w:tc>
        <w:tc>
          <w:tcPr>
            <w:tcW w:type="dxa" w:w="4153"/>
            <w:vAlign w:val="center"/>
            <w:tcMar>
              <w:top w:w="60" w:type="dxa"/>
              <w:start w:w="120" w:type="dxa"/>
              <w:bottom w:w="60" w:type="dxa"/>
              <w:end w:w="120" w:type="dxa"/>
            </w:tcMar>
            <w:shd w:fill="E8EEF5"/>
          </w:tcPr>
          <w:p>
            <w:pPr>
              <w:keepNext/>
              <w:spacing w:after="0" w:line="240" w:lineRule="auto"/>
            </w:pPr>
            <w:r>
              <w:rPr>
                <w:b/>
                <w:color w:val="1F4D78"/>
                <w:sz w:val="16"/>
              </w:rPr>
              <w:t>Example use</w:t>
            </w:r>
          </w:p>
        </w:tc>
      </w:tr>
      <w:tr>
        <w:trPr>
          <w:cantSplit/>
        </w:trPr>
        <w:tc>
          <w:tcPr>
            <w:tcW w:type="dxa" w:w="1784"/>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"value"</w:t>
            </w:r>
          </w:p>
        </w:tc>
        <w:tc>
          <w:tcPr>
            <w:tcW w:type="dxa" w:w="4154"/>
            <w:vAlign w:val="center"/>
            <w:tcMar>
              <w:top w:w="60" w:type="dxa"/>
              <w:start w:w="120" w:type="dxa"/>
              <w:bottom w:w="60" w:type="dxa"/>
              <w:end w:w="120" w:type="dxa"/>
            </w:tcMar>
          </w:tcPr>
          <w:p>
            <w:pPr>
              <w:keepNext/>
              <w:spacing w:after="0" w:line="240" w:lineRule="auto"/>
            </w:pPr>
            <w:r>
              <w:rPr>
                <w:sz w:val="16"/>
              </w:rPr>
              <w:t>Retain candidates whose score is at least the stated value</w:t>
            </w:r>
          </w:p>
        </w:tc>
        <w:tc>
          <w:tcPr>
            <w:tcW w:type="dxa" w:w="4153"/>
            <w:vAlign w:val="center"/>
            <w:tcMar>
              <w:top w:w="60" w:type="dxa"/>
              <w:start w:w="120" w:type="dxa"/>
              <w:bottom w:w="60" w:type="dxa"/>
              <w:end w:w="120" w:type="dxa"/>
            </w:tcMar>
          </w:tcPr>
          <w:p>
            <w:pPr>
              <w:keepNext/>
              <w:spacing w:after="0" w:line="240" w:lineRule="auto"/>
            </w:pPr>
            <w:r>
              <w:rPr>
                <w:sz w:val="16"/>
              </w:rPr>
              <w:t>A validated minimum disease-resistance index</w:t>
            </w:r>
          </w:p>
        </w:tc>
      </w:tr>
      <w:tr>
        <w:trPr>
          <w:cantSplit/>
        </w:trPr>
        <w:tc>
          <w:tcPr>
            <w:tcW w:type="dxa" w:w="1784"/>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"percentile"</w:t>
            </w:r>
          </w:p>
        </w:tc>
        <w:tc>
          <w:tcPr>
            <w:tcW w:type="dxa" w:w="4154"/>
            <w:vAlign w:val="center"/>
            <w:tcMar>
              <w:top w:w="60" w:type="dxa"/>
              <w:start w:w="120" w:type="dxa"/>
              <w:bottom w:w="60" w:type="dxa"/>
              <w:end w:w="120" w:type="dxa"/>
            </w:tcMar>
          </w:tcPr>
          <w:p>
            <w:pPr>
              <w:keepNext/>
              <w:spacing w:after="0" w:line="240" w:lineRule="auto"/>
            </w:pPr>
            <w:r>
              <w:rPr>
                <w:sz w:val="16"/>
              </w:rPr>
              <w:t>Retain the stated fraction of candidates from the top of the directional score</w:t>
            </w:r>
          </w:p>
        </w:tc>
        <w:tc>
          <w:tcPr>
            <w:tcW w:type="dxa" w:w="4153"/>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0.40</w:t>
            </w:r>
            <w:r>
              <w:rPr>
                <w:sz w:val="16"/>
              </w:rPr>
              <w:t xml:space="preserve"> retains the best 40%</w:t>
            </w:r>
          </w:p>
        </w:tc>
      </w:tr>
      <w:tr>
        <w:trPr>
          <w:cantSplit/>
        </w:trPr>
        <w:tc>
          <w:tcPr>
            <w:tcW w:type="dxa" w:w="1784"/>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"sd_above_mean"</w:t>
            </w:r>
          </w:p>
        </w:tc>
        <w:tc>
          <w:tcPr>
            <w:tcW w:type="dxa" w:w="4154"/>
            <w:vAlign w:val="center"/>
            <w:tcMar>
              <w:top w:w="60" w:type="dxa"/>
              <w:start w:w="120" w:type="dxa"/>
              <w:bottom w:w="60" w:type="dxa"/>
              <w:end w:w="120" w:type="dxa"/>
            </w:tcMar>
          </w:tcPr>
          <w:p>
            <w:pPr>
              <w:keepNext/>
              <w:spacing w:after="0" w:line="240" w:lineRule="auto"/>
            </w:pPr>
            <w:r>
              <w:rPr>
                <w:sz w:val="16"/>
              </w:rPr>
              <w:t>Retain candidates with directional merit at least the stated number of SD above the mean</w:t>
            </w:r>
          </w:p>
        </w:tc>
        <w:tc>
          <w:tcPr>
            <w:tcW w:type="dxa" w:w="4153"/>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0</w:t>
            </w:r>
            <w:r>
              <w:rPr>
                <w:sz w:val="16"/>
              </w:rPr>
              <w:t xml:space="preserve"> retains candidates at or above the mean; </w:t>
            </w:r>
            <w:r>
              <w:rPr>
                <w:rFonts w:ascii="Consolas" w:hAnsi="Consolas" w:eastAsia="Consolas"/>
                <w:sz w:val="15"/>
                <w:shd w:fill="F2F4F7"/>
              </w:rPr>
              <w:t>1</w:t>
            </w:r>
            <w:r>
              <w:rPr>
                <w:sz w:val="16"/>
              </w:rPr>
              <w:t xml:space="preserve"> requires at least one SD superiority</w:t>
            </w:r>
          </w:p>
        </w:tc>
      </w:tr>
      <w:tr>
        <w:trPr>
          <w:cantSplit/>
        </w:trPr>
        <w:tc>
          <w:tcPr>
            <w:tcW w:type="dxa" w:w="1784"/>
            <w:vAlign w:val="center"/>
            <w:tcMar>
              <w:top w:w="60" w:type="dxa"/>
              <w:start w:w="120" w:type="dxa"/>
              <w:bottom w:w="60" w:type="dxa"/>
              <w:end w:w="120" w:type="dxa"/>
            </w:tcMar>
          </w:tcPr>
          <w:p>
            <w:pPr>
              <w:spacing w:after="0" w:line="240" w:lineRule="auto"/>
            </w:pPr>
            <w:r>
              <w:rPr>
                <w:rFonts w:ascii="Consolas" w:hAnsi="Consolas" w:eastAsia="Consolas"/>
                <w:sz w:val="15"/>
                <w:shd w:fill="F2F4F7"/>
              </w:rPr>
              <w:t>"relaxed_pool"</w:t>
            </w:r>
          </w:p>
        </w:tc>
        <w:tc>
          <w:tcPr>
            <w:tcW w:type="dxa" w:w="4154"/>
            <w:vAlign w:val="center"/>
            <w:tcMar>
              <w:top w:w="60" w:type="dxa"/>
              <w:start w:w="120" w:type="dxa"/>
              <w:bottom w:w="60" w:type="dxa"/>
              <w:end w:w="120" w:type="dxa"/>
            </w:tcMar>
          </w:tcPr>
          <w:p>
            <w:pPr>
              <w:spacing w:after="0" w:line="240" w:lineRule="auto"/>
            </w:pPr>
            <w:r>
              <w:rPr>
                <w:sz w:val="16"/>
              </w:rPr>
              <w:t xml:space="preserve">Deliberately broad-pool rule: retain candidates above </w:t>
            </w:r>
            <w:r>
              <w:rPr>
                <w:rFonts w:ascii="Consolas" w:hAnsi="Consolas" w:eastAsia="Consolas"/>
                <w:sz w:val="15"/>
                <w:shd w:fill="F2F4F7"/>
              </w:rPr>
              <w:t>mean(score) - k × SD(score)</w:t>
            </w:r>
          </w:p>
        </w:tc>
        <w:tc>
          <w:tcPr>
            <w:tcW w:type="dxa" w:w="4153"/>
            <w:vAlign w:val="center"/>
            <w:tcMar>
              <w:top w:w="60" w:type="dxa"/>
              <w:start w:w="120" w:type="dxa"/>
              <w:bottom w:w="60" w:type="dxa"/>
              <w:end w:w="120" w:type="dxa"/>
            </w:tcMar>
          </w:tcPr>
          <w:p>
            <w:pPr>
              <w:spacing w:after="0" w:line="240" w:lineRule="auto"/>
            </w:pPr>
            <w:r>
              <w:rPr>
                <w:sz w:val="16"/>
              </w:rPr>
              <w:t>Preserve a broader pool for haplotype complementarity or diversity</w:t>
            </w:r>
          </w:p>
        </w:tc>
      </w:tr>
    </w:tbl>
    <w:p>
      <w:pPr>
        <w:spacing w:after="20"/>
      </w:pPr>
    </w:p>
    <w:p>
      <w:r>
        <w:t xml:space="preserve">For routine selection of superior candidates on a scale that varies between cycles, use </w:t>
      </w:r>
      <w:r>
        <w:rPr>
          <w:rFonts w:ascii="Consolas" w:hAnsi="Consolas" w:eastAsia="Consolas"/>
          <w:sz w:val="21"/>
          <w:shd w:fill="F2F4F7"/>
        </w:rPr>
        <w:t>"sd_above_mean"</w:t>
      </w:r>
      <w:r>
        <w:t xml:space="preserve">. The </w:t>
      </w:r>
      <w:r>
        <w:rPr>
          <w:rFonts w:ascii="Consolas" w:hAnsi="Consolas" w:eastAsia="Consolas"/>
          <w:sz w:val="21"/>
          <w:shd w:fill="F2F4F7"/>
        </w:rPr>
        <w:t>"relaxed_pool"</w:t>
      </w:r>
      <w:r>
        <w:t xml:space="preserve"> mode does not mean that low scores are preferred: all candidates are still ranked from highest to lowest. It exists for programmes that intentionally admit some below-population-average candidates into the search because they carry complementary favourable haplotypes or preserve useful diversity.</w:t>
      </w:r>
    </w:p>
    <w:p>
      <w:r>
        <w:t xml:space="preserve">The floor defines eligibility; it does not change the order among eligible candidates. If fewer eligible candidates remain than </w:t>
      </w:r>
      <w:r>
        <w:rPr>
          <w:rFonts w:ascii="Consolas" w:hAnsi="Consolas" w:eastAsia="Consolas"/>
          <w:sz w:val="21"/>
          <w:shd w:fill="F2F4F7"/>
        </w:rPr>
        <w:t>n_founders</w:t>
      </w:r>
      <w:r>
        <w:t>, the function reports that fact and returns all candidates who passed the declared floor; it never weakens the threshold automatically.</w:t>
      </w:r>
    </w:p>
    <w:p>
      <w:pPr>
        <w:pStyle w:val="Heading3"/>
      </w:pPr>
      <w:r>
        <w:t>Automatic recommendation and review</w:t>
      </w:r>
    </w:p>
    <w:p>
      <w:r>
        <w:t xml:space="preserve">The package sorts eligible candidates by decreasing score and returns the top </w:t>
      </w:r>
      <w:r>
        <w:rPr>
          <w:rFonts w:ascii="Consolas" w:hAnsi="Consolas" w:eastAsia="Consolas"/>
          <w:sz w:val="21"/>
          <w:shd w:fill="F2F4F7"/>
        </w:rPr>
        <w:t>n_founders</w:t>
      </w:r>
      <w:r>
        <w:t xml:space="preserve"> in </w:t>
      </w:r>
      <w:r>
        <w:rPr>
          <w:rFonts w:ascii="Consolas" w:hAnsi="Consolas" w:eastAsia="Consolas"/>
          <w:sz w:val="21"/>
          <w:shd w:fill="F2F4F7"/>
        </w:rPr>
        <w:t>$selected</w:t>
      </w:r>
      <w:r>
        <w:t>. There is no stochastic search and no need for replicated runs. Retain the effective cut-off and identify ties around the last selected position.</w:t>
      </w:r>
    </w:p>
    <w:p>
      <w:r>
        <w:t>Review:</w:t>
      </w:r>
    </w:p>
    <w:p>
      <w:pPr>
        <w:pStyle w:val="ListBullet"/>
      </w:pPr>
      <w:r>
        <w:t>score construction, units and direction;</w:t>
      </w:r>
    </w:p>
    <w:p>
      <w:pPr>
        <w:pStyle w:val="ListBullet"/>
      </w:pPr>
      <w:r>
        <w:t>prediction reliability and validation accuracy;</w:t>
      </w:r>
    </w:p>
    <w:p>
      <w:pPr>
        <w:pStyle w:val="ListBullet"/>
      </w:pPr>
      <w:r>
        <w:t>the eligibility rule and excluded candidates;</w:t>
      </w:r>
    </w:p>
    <w:p>
      <w:pPr>
        <w:pStyle w:val="ListBullet"/>
      </w:pPr>
      <w:r>
        <w:t>family, genomic-cluster and relationship concentration;</w:t>
      </w:r>
    </w:p>
    <w:p>
      <w:pPr>
        <w:pStyle w:val="ListBullet"/>
      </w:pPr>
      <w:r>
        <w:t>whether the last selected and first reserve candidate are practically</w:t>
      </w:r>
      <w:r>
        <w:t xml:space="preserve"> </w:t>
      </w:r>
      <w:r>
        <w:t>distinguishable; and</w:t>
      </w:r>
    </w:p>
    <w:p>
      <w:pPr>
        <w:pStyle w:val="ListBullet"/>
      </w:pPr>
      <w:r>
        <w:t>whether the result remains stable when uncertain weights or thresholds vary.</w:t>
      </w:r>
    </w:p>
    <w:p>
      <w:r>
        <w:t>Move from truncation to family selection, GA selection or optimal contribution selection when the objective includes group representation, favourable-block complementarity, differential contributions or long-term coancestry.</w:t>
      </w:r>
    </w:p>
    <w:p>
      <w:pPr>
        <w:pStyle w:val="CodeBlock"/>
        <w:shd w:fill="F2F4F7"/>
      </w:pPr>
      <w:r>
        <w:rPr>
          <w:sz w:val="18"/>
        </w:rPr>
        <w:t>ts &lt;- truncation_selection(</w:t>
        <w:br/>
        <w:t xml:space="preserve">  score = prediction$gebv,</w:t>
        <w:br/>
        <w:t xml:space="preserve">  n_founders = 20,</w:t>
        <w:br/>
        <w:t xml:space="preserve">  min_sel_value = 0.40,</w:t>
        <w:br/>
        <w:t xml:space="preserve">  min_sel_mode = "percentile"</w:t>
        <w:br/>
        <w:t>)</w:t>
        <w:br/>
        <w:t>ts$selected</w:t>
      </w:r>
    </w:p>
    <w:p>
      <w:pPr>
        <w:pStyle w:val="Heading2"/>
      </w:pPr>
      <w:r>
        <w:t>3.2 Coverage-only genetic-algorithm parent selection</w:t>
      </w:r>
    </w:p>
    <w:p>
      <w:r>
        <w:t xml:space="preserve">Function: </w:t>
      </w:r>
      <w:r>
        <w:rPr>
          <w:rFonts w:ascii="Consolas" w:hAnsi="Consolas" w:eastAsia="Consolas"/>
          <w:sz w:val="21"/>
          <w:shd w:fill="F2F4F7"/>
        </w:rPr>
        <w:t>select_parents_ga()</w:t>
      </w:r>
    </w:p>
    <w:p>
      <w:r>
        <w:t>Question: Which fixed-size set jointly covers favourable values across target blocks?</w:t>
      </w:r>
    </w:p>
    <w:p>
      <w:pPr>
        <w:pStyle w:val="Heading3"/>
      </w:pPr>
      <w:r>
        <w:t>Required evidence and core objective</w:t>
      </w:r>
    </w:p>
    <w:p>
      <w:r>
        <w:rPr>
          <w:rFonts w:ascii="Consolas" w:hAnsi="Consolas" w:eastAsia="Consolas"/>
          <w:sz w:val="21"/>
          <w:shd w:fill="F2F4F7"/>
        </w:rPr>
        <w:t>value_matrix</w:t>
      </w:r>
      <w:r>
        <w:t xml:space="preserve"> contains candidates in rows and target blocks in columns. Entries normally represent local GEBV or another comparable favourable-value score. Row names and column names must identify candidates and blocks. </w:t>
      </w:r>
      <w:r>
        <w:rPr>
          <w:rFonts w:ascii="Consolas" w:hAnsi="Consolas" w:eastAsia="Consolas"/>
          <w:sz w:val="21"/>
          <w:shd w:fill="F2F4F7"/>
        </w:rPr>
        <w:t>block_weights</w:t>
      </w:r>
      <w:r>
        <w:t xml:space="preserve"> can give greater influence to pre-declared priority blocks.</w:t>
      </w:r>
    </w:p>
    <w:p>
      <w:r>
        <w:t xml:space="preserve">For a proposed founder set, the GA sums the best attainable value at every target block. It therefore optimises the set's complementarity, not merely the individual ranking of its members. Use </w:t>
      </w:r>
      <w:r>
        <w:rPr>
          <w:rFonts w:ascii="Consolas" w:hAnsi="Consolas" w:eastAsia="Consolas"/>
          <w:sz w:val="21"/>
          <w:shd w:fill="F2F4F7"/>
        </w:rPr>
        <w:t>top_candidates</w:t>
      </w:r>
      <w:r>
        <w:t xml:space="preserve"> only as a documented computational pre-filter; an omitted candidate cannot be recovered by the GA.</w:t>
      </w:r>
    </w:p>
    <w:p>
      <w:pPr>
        <w:pStyle w:val="Heading3"/>
      </w:pPr>
      <w:r>
        <w:t>Crossing-scheme variants</w:t>
      </w:r>
    </w:p>
    <w:p>
      <w:r>
        <w:t xml:space="preserve">Optimal Haplotype Selection (OHS) seeks a complementary parent set in which distinct selected parents contribute the favourable haplotypes required across target segments. Optimal Population Value (OPV) evaluates the value available from the selected population, allowing one selected parent to supply the best state at a segment. </w:t>
      </w:r>
      <w:r>
        <w:rPr>
          <w:rFonts w:ascii="Consolas" w:hAnsi="Consolas" w:eastAsia="Consolas"/>
          <w:sz w:val="21"/>
          <w:shd w:fill="F2F4F7"/>
        </w:rPr>
        <w:t>Haploid_OHS</w:t>
      </w:r>
      <w:r>
        <w:t xml:space="preserve"> is the haploid single-parent-donation formulation of OHS.</w:t>
      </w:r>
    </w:p>
    <w:tbl>
      <w:tblPr>
        <w:tblStyle w:val="TableGrid"/>
        <w:tblW w:type="dxa" w:w="10091"/>
        <w:jc w:val="left"/>
        <w:tblLayout w:type="fixed"/>
        <w:tblLook w:firstColumn="1" w:firstRow="1" w:lastColumn="0" w:lastRow="0" w:noHBand="0" w:noVBand="1" w:val="04A0"/>
        <w:tblInd w:w="120" w:type="dxa"/>
      </w:tblPr>
      <w:tblGrid>
        <w:gridCol w:w="1655"/>
        <w:gridCol w:w="4218"/>
        <w:gridCol w:w="4218"/>
      </w:tblGrid>
      <w:tr>
        <w:trPr>
          <w:cantSplit/>
          <w:tblHeader w:val="true"/>
        </w:trPr>
        <w:tc>
          <w:tcPr>
            <w:tcW w:type="dxa" w:w="1655"/>
            <w:vAlign w:val="center"/>
            <w:tcMar>
              <w:top w:w="60" w:type="dxa"/>
              <w:start w:w="120" w:type="dxa"/>
              <w:bottom w:w="60" w:type="dxa"/>
              <w:end w:w="120" w:type="dxa"/>
            </w:tcMar>
            <w:shd w:fill="E8EEF5"/>
          </w:tcPr>
          <w:p>
            <w:pPr>
              <w:keepNext/>
              <w:spacing w:after="0" w:line="240" w:lineRule="auto"/>
            </w:pPr>
            <w:r>
              <w:rPr>
                <w:rFonts w:ascii="Consolas" w:hAnsi="Consolas" w:eastAsia="Consolas"/>
                <w:b/>
                <w:color w:val="1F4D78"/>
                <w:sz w:val="15"/>
                <w:shd w:fill="F2F4F7"/>
              </w:rPr>
              <w:t>strategy</w:t>
            </w:r>
          </w:p>
        </w:tc>
        <w:tc>
          <w:tcPr>
            <w:tcW w:type="dxa" w:w="4218"/>
            <w:vAlign w:val="center"/>
            <w:tcMar>
              <w:top w:w="60" w:type="dxa"/>
              <w:start w:w="120" w:type="dxa"/>
              <w:bottom w:w="60" w:type="dxa"/>
              <w:end w:w="120" w:type="dxa"/>
            </w:tcMar>
            <w:shd w:fill="E8EEF5"/>
          </w:tcPr>
          <w:p>
            <w:pPr>
              <w:keepNext/>
              <w:spacing w:after="0" w:line="240" w:lineRule="auto"/>
            </w:pPr>
            <w:r>
              <w:rPr>
                <w:b/>
                <w:color w:val="1F4D78"/>
                <w:sz w:val="16"/>
              </w:rPr>
              <w:t>Block value used by the objective</w:t>
            </w:r>
          </w:p>
        </w:tc>
        <w:tc>
          <w:tcPr>
            <w:tcW w:type="dxa" w:w="4218"/>
            <w:vAlign w:val="center"/>
            <w:tcMar>
              <w:top w:w="60" w:type="dxa"/>
              <w:start w:w="120" w:type="dxa"/>
              <w:bottom w:w="60" w:type="dxa"/>
              <w:end w:w="120" w:type="dxa"/>
            </w:tcMar>
            <w:shd w:fill="E8EEF5"/>
          </w:tcPr>
          <w:p>
            <w:pPr>
              <w:keepNext/>
              <w:spacing w:after="0" w:line="240" w:lineRule="auto"/>
            </w:pPr>
            <w:r>
              <w:rPr>
                <w:b/>
                <w:color w:val="1F4D78"/>
                <w:sz w:val="16"/>
              </w:rPr>
              <w:t>Breeding interpretation</w:t>
            </w:r>
          </w:p>
        </w:tc>
      </w:tr>
      <w:tr>
        <w:trPr>
          <w:cantSplit/>
        </w:trPr>
        <w:tc>
          <w:tcPr>
            <w:tcW w:type="dxa" w:w="1655"/>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"no_selfing"</w:t>
            </w:r>
          </w:p>
        </w:tc>
        <w:tc>
          <w:tcPr>
            <w:tcW w:type="dxa" w:w="4218"/>
            <w:vAlign w:val="center"/>
            <w:tcMar>
              <w:top w:w="60" w:type="dxa"/>
              <w:start w:w="120" w:type="dxa"/>
              <w:bottom w:w="60" w:type="dxa"/>
              <w:end w:w="120" w:type="dxa"/>
            </w:tcMar>
          </w:tcPr>
          <w:p>
            <w:pPr>
              <w:keepNext/>
              <w:spacing w:after="0" w:line="240" w:lineRule="auto"/>
            </w:pPr>
            <w:r>
              <w:rPr>
                <w:sz w:val="16"/>
              </w:rPr>
              <w:t>Mean of the two largest values from distinct selected parents</w:t>
            </w:r>
          </w:p>
        </w:tc>
        <w:tc>
          <w:tcPr>
            <w:tcW w:type="dxa" w:w="4218"/>
            <w:vAlign w:val="center"/>
            <w:tcMar>
              <w:top w:w="60" w:type="dxa"/>
              <w:start w:w="120" w:type="dxa"/>
              <w:bottom w:w="60" w:type="dxa"/>
              <w:end w:w="120" w:type="dxa"/>
            </w:tcMar>
          </w:tcPr>
          <w:p>
            <w:pPr>
              <w:keepNext/>
              <w:spacing w:after="0" w:line="240" w:lineRule="auto"/>
            </w:pPr>
            <w:r>
              <w:rPr>
                <w:sz w:val="16"/>
              </w:rPr>
              <w:t>Two parents must jointly realise the block value</w:t>
            </w:r>
          </w:p>
        </w:tc>
      </w:tr>
      <w:tr>
        <w:trPr>
          <w:cantSplit/>
        </w:trPr>
        <w:tc>
          <w:tcPr>
            <w:tcW w:type="dxa" w:w="1655"/>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"OHS"</w:t>
            </w:r>
          </w:p>
        </w:tc>
        <w:tc>
          <w:tcPr>
            <w:tcW w:type="dxa" w:w="4218"/>
            <w:vAlign w:val="center"/>
            <w:tcMar>
              <w:top w:w="60" w:type="dxa"/>
              <w:start w:w="120" w:type="dxa"/>
              <w:bottom w:w="60" w:type="dxa"/>
              <w:end w:w="120" w:type="dxa"/>
            </w:tcMar>
          </w:tcPr>
          <w:p>
            <w:pPr>
              <w:keepNext/>
              <w:spacing w:after="0" w:line="240" w:lineRule="auto"/>
            </w:pPr>
            <w:r>
              <w:rPr>
                <w:sz w:val="16"/>
              </w:rPr>
              <w:t xml:space="preserve">Same calculation as </w:t>
            </w:r>
            <w:r>
              <w:rPr>
                <w:rFonts w:ascii="Consolas" w:hAnsi="Consolas" w:eastAsia="Consolas"/>
                <w:sz w:val="15"/>
                <w:shd w:fill="F2F4F7"/>
              </w:rPr>
              <w:t>"no_selfing"</w:t>
            </w:r>
          </w:p>
        </w:tc>
        <w:tc>
          <w:tcPr>
            <w:tcW w:type="dxa" w:w="4218"/>
            <w:vAlign w:val="center"/>
            <w:tcMar>
              <w:top w:w="60" w:type="dxa"/>
              <w:start w:w="120" w:type="dxa"/>
              <w:bottom w:w="60" w:type="dxa"/>
              <w:end w:w="120" w:type="dxa"/>
            </w:tcMar>
          </w:tcPr>
          <w:p>
            <w:pPr>
              <w:keepNext/>
              <w:spacing w:after="0" w:line="240" w:lineRule="auto"/>
            </w:pPr>
            <w:r>
              <w:rPr>
                <w:sz w:val="16"/>
              </w:rPr>
              <w:t>Haplotype-mode description in which distinct parents each contribute a copy</w:t>
            </w:r>
          </w:p>
        </w:tc>
      </w:tr>
      <w:tr>
        <w:trPr>
          <w:cantSplit/>
        </w:trPr>
        <w:tc>
          <w:tcPr>
            <w:tcW w:type="dxa" w:w="1655"/>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"selfing"</w:t>
            </w:r>
          </w:p>
        </w:tc>
        <w:tc>
          <w:tcPr>
            <w:tcW w:type="dxa" w:w="4218"/>
            <w:vAlign w:val="center"/>
            <w:tcMar>
              <w:top w:w="60" w:type="dxa"/>
              <w:start w:w="120" w:type="dxa"/>
              <w:bottom w:w="60" w:type="dxa"/>
              <w:end w:w="120" w:type="dxa"/>
            </w:tcMar>
          </w:tcPr>
          <w:p>
            <w:pPr>
              <w:keepNext/>
              <w:spacing w:after="0" w:line="240" w:lineRule="auto"/>
            </w:pPr>
            <w:r>
              <w:rPr>
                <w:sz w:val="16"/>
              </w:rPr>
              <w:t>Largest value among selected parents</w:t>
            </w:r>
          </w:p>
        </w:tc>
        <w:tc>
          <w:tcPr>
            <w:tcW w:type="dxa" w:w="4218"/>
            <w:vAlign w:val="center"/>
            <w:tcMar>
              <w:top w:w="60" w:type="dxa"/>
              <w:start w:w="120" w:type="dxa"/>
              <w:bottom w:w="60" w:type="dxa"/>
              <w:end w:w="120" w:type="dxa"/>
            </w:tcMar>
          </w:tcPr>
          <w:p>
            <w:pPr>
              <w:keepNext/>
              <w:spacing w:after="0" w:line="240" w:lineRule="auto"/>
            </w:pPr>
            <w:r>
              <w:rPr>
                <w:sz w:val="16"/>
              </w:rPr>
              <w:t>A parent may realise its value without a complementary parent</w:t>
            </w:r>
          </w:p>
        </w:tc>
      </w:tr>
      <w:tr>
        <w:trPr>
          <w:cantSplit/>
        </w:trPr>
        <w:tc>
          <w:tcPr>
            <w:tcW w:type="dxa" w:w="1655"/>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"OPV"</w:t>
            </w:r>
          </w:p>
        </w:tc>
        <w:tc>
          <w:tcPr>
            <w:tcW w:type="dxa" w:w="4218"/>
            <w:vAlign w:val="center"/>
            <w:tcMar>
              <w:top w:w="60" w:type="dxa"/>
              <w:start w:w="120" w:type="dxa"/>
              <w:bottom w:w="60" w:type="dxa"/>
              <w:end w:w="120" w:type="dxa"/>
            </w:tcMar>
          </w:tcPr>
          <w:p>
            <w:pPr>
              <w:keepNext/>
              <w:spacing w:after="0" w:line="240" w:lineRule="auto"/>
            </w:pPr>
            <w:r>
              <w:rPr>
                <w:sz w:val="16"/>
              </w:rPr>
              <w:t xml:space="preserve">Same calculation as </w:t>
            </w:r>
            <w:r>
              <w:rPr>
                <w:rFonts w:ascii="Consolas" w:hAnsi="Consolas" w:eastAsia="Consolas"/>
                <w:sz w:val="15"/>
                <w:shd w:fill="F2F4F7"/>
              </w:rPr>
              <w:t>"selfing"</w:t>
            </w:r>
          </w:p>
        </w:tc>
        <w:tc>
          <w:tcPr>
            <w:tcW w:type="dxa" w:w="4218"/>
            <w:vAlign w:val="center"/>
            <w:tcMar>
              <w:top w:w="60" w:type="dxa"/>
              <w:start w:w="120" w:type="dxa"/>
              <w:bottom w:w="60" w:type="dxa"/>
              <w:end w:w="120" w:type="dxa"/>
            </w:tcMar>
          </w:tcPr>
          <w:p>
            <w:pPr>
              <w:keepNext/>
              <w:spacing w:after="0" w:line="240" w:lineRule="auto"/>
            </w:pPr>
            <w:r>
              <w:rPr>
                <w:sz w:val="16"/>
              </w:rPr>
              <w:t>One founder carrying the favourable state is sufficient for the population</w:t>
            </w:r>
          </w:p>
        </w:tc>
      </w:tr>
      <w:tr>
        <w:trPr>
          <w:cantSplit/>
        </w:trPr>
        <w:tc>
          <w:tcPr>
            <w:tcW w:type="dxa" w:w="1655"/>
            <w:vAlign w:val="center"/>
            <w:tcMar>
              <w:top w:w="60" w:type="dxa"/>
              <w:start w:w="120" w:type="dxa"/>
              <w:bottom w:w="60" w:type="dxa"/>
              <w:end w:w="120" w:type="dxa"/>
            </w:tcMar>
          </w:tcPr>
          <w:p>
            <w:pPr>
              <w:spacing w:after="0" w:line="240" w:lineRule="auto"/>
            </w:pPr>
            <w:r>
              <w:rPr>
                <w:rFonts w:ascii="Consolas" w:hAnsi="Consolas" w:eastAsia="Consolas"/>
                <w:sz w:val="15"/>
                <w:shd w:fill="F2F4F7"/>
              </w:rPr>
              <w:t>"Haploid_OHS"</w:t>
            </w:r>
          </w:p>
        </w:tc>
        <w:tc>
          <w:tcPr>
            <w:tcW w:type="dxa" w:w="4218"/>
            <w:vAlign w:val="center"/>
            <w:tcMar>
              <w:top w:w="60" w:type="dxa"/>
              <w:start w:w="120" w:type="dxa"/>
              <w:bottom w:w="60" w:type="dxa"/>
              <w:end w:w="120" w:type="dxa"/>
            </w:tcMar>
          </w:tcPr>
          <w:p>
            <w:pPr>
              <w:spacing w:after="0" w:line="240" w:lineRule="auto"/>
            </w:pPr>
            <w:r>
              <w:rPr>
                <w:sz w:val="16"/>
              </w:rPr>
              <w:t xml:space="preserve">Same calculation as </w:t>
            </w:r>
            <w:r>
              <w:rPr>
                <w:rFonts w:ascii="Consolas" w:hAnsi="Consolas" w:eastAsia="Consolas"/>
                <w:sz w:val="15"/>
                <w:shd w:fill="F2F4F7"/>
              </w:rPr>
              <w:t>"selfing"</w:t>
            </w:r>
          </w:p>
        </w:tc>
        <w:tc>
          <w:tcPr>
            <w:tcW w:type="dxa" w:w="4218"/>
            <w:vAlign w:val="center"/>
            <w:tcMar>
              <w:top w:w="60" w:type="dxa"/>
              <w:start w:w="120" w:type="dxa"/>
              <w:bottom w:w="60" w:type="dxa"/>
              <w:end w:w="120" w:type="dxa"/>
            </w:tcMar>
          </w:tcPr>
          <w:p>
            <w:pPr>
              <w:spacing w:after="0" w:line="240" w:lineRule="auto"/>
            </w:pPr>
            <w:r>
              <w:rPr>
                <w:sz w:val="16"/>
              </w:rPr>
              <w:t>A single heterozygous parent may donate non-homologous gametes</w:t>
            </w:r>
          </w:p>
        </w:tc>
      </w:tr>
    </w:tbl>
    <w:p>
      <w:pPr>
        <w:spacing w:after="20"/>
      </w:pPr>
    </w:p>
    <w:p>
      <w:r>
        <w:t>The last three strategies are mathematically identical under the present maximum-value formulation. Their names preserve different breeding interpretations; they are not three different numerical algorithms.</w:t>
      </w:r>
    </w:p>
    <w:p>
      <w:pPr>
        <w:pStyle w:val="Heading3"/>
      </w:pPr>
      <w:r>
        <w:t>Objective variants</w:t>
      </w:r>
    </w:p>
    <w:p>
      <w:r>
        <w:rPr>
          <w:rFonts w:ascii="Consolas" w:hAnsi="Consolas" w:eastAsia="Consolas"/>
          <w:sz w:val="21"/>
          <w:shd w:fill="F2F4F7"/>
        </w:rPr>
        <w:t>select_parents_ga()</w:t>
      </w:r>
      <w:r>
        <w:t xml:space="preserve"> is deliberately the coverage-only tool. It accepts two optional relationship controls:</w:t>
      </w:r>
    </w:p>
    <w:p>
      <w:pPr>
        <w:pStyle w:val="ListBullet"/>
      </w:pPr>
      <w:r>
        <w:rPr>
          <w:rFonts w:ascii="Consolas" w:hAnsi="Consolas" w:eastAsia="Consolas"/>
          <w:sz w:val="21"/>
          <w:shd w:fill="F2F4F7"/>
        </w:rPr>
        <w:t>coancestry_weight &gt; 0</w:t>
      </w:r>
      <w:r>
        <w:t xml:space="preserve"> subtracts a weighted mean pairwise relationship</w:t>
      </w:r>
      <w:r>
        <w:t xml:space="preserve"> </w:t>
      </w:r>
      <w:r>
        <w:t>from the coverage objective.</w:t>
      </w:r>
    </w:p>
    <w:p>
      <w:pPr>
        <w:pStyle w:val="ListBullet"/>
      </w:pPr>
      <w:r>
        <w:rPr>
          <w:rFonts w:ascii="Consolas" w:hAnsi="Consolas" w:eastAsia="Consolas"/>
          <w:sz w:val="21"/>
          <w:shd w:fill="F2F4F7"/>
        </w:rPr>
        <w:t>target_degree</w:t>
      </w:r>
      <w:r>
        <w:t xml:space="preserve"> specifies the gain-to-diversity position on a 0–90 scale and</w:t>
      </w:r>
      <w:r>
        <w:t xml:space="preserve"> </w:t>
      </w:r>
      <w:r>
        <w:t xml:space="preserve">derives a relationship ceiling from the supplied </w:t>
      </w:r>
      <w:r>
        <w:rPr>
          <w:rFonts w:ascii="Consolas" w:hAnsi="Consolas" w:eastAsia="Consolas"/>
          <w:sz w:val="21"/>
          <w:shd w:fill="F2F4F7"/>
        </w:rPr>
        <w:t>G</w:t>
      </w:r>
      <w:r>
        <w:t>.</w:t>
      </w:r>
    </w:p>
    <w:p>
      <w:r>
        <w:t xml:space="preserve">Do not supply both controls in one call. Use </w:t>
      </w:r>
      <w:r>
        <w:rPr>
          <w:rFonts w:ascii="Consolas" w:hAnsi="Consolas" w:eastAsia="Consolas"/>
          <w:sz w:val="21"/>
          <w:shd w:fill="F2F4F7"/>
        </w:rPr>
        <w:t>select_parents_ga_ts()</w:t>
      </w:r>
      <w:r>
        <w:t xml:space="preserve"> when whole-genome merit must influence eligibility or the continuous objective. Keeping the functions separate makes the declared breeding objective visible from the function name and prevents coverage-only and joint GA+TS analyses from being confused.</w:t>
      </w:r>
    </w:p>
    <w:p>
      <w:pPr>
        <w:pStyle w:val="Heading3"/>
      </w:pPr>
      <w:r>
        <w:t>Replicated search and the automatic recommendation</w:t>
      </w:r>
    </w:p>
    <w:p>
      <w:r>
        <w:t xml:space="preserve">The breeder does </w:t>
      </w:r>
      <w:r>
        <w:rPr>
          <w:b/>
        </w:rPr>
        <w:t>not</w:t>
      </w:r>
      <w:r>
        <w:t xml:space="preserve"> run several calls and inspect every run manually. Both </w:t>
      </w:r>
      <w:r>
        <w:rPr>
          <w:rFonts w:ascii="Consolas" w:hAnsi="Consolas" w:eastAsia="Consolas"/>
          <w:sz w:val="21"/>
          <w:shd w:fill="F2F4F7"/>
        </w:rPr>
        <w:t>select_parents_ga()</w:t>
      </w:r>
      <w:r>
        <w:t xml:space="preserve"> and </w:t>
      </w:r>
      <w:r>
        <w:rPr>
          <w:rFonts w:ascii="Consolas" w:hAnsi="Consolas" w:eastAsia="Consolas"/>
          <w:sz w:val="21"/>
          <w:shd w:fill="F2F4F7"/>
        </w:rPr>
        <w:t>select_parents_ga_ts()</w:t>
      </w:r>
      <w:r>
        <w:t xml:space="preserve"> perform replicated optimisation:</w:t>
      </w:r>
    </w:p>
    <w:p>
      <w:pPr>
        <w:pStyle w:val="ListBullet"/>
      </w:pPr>
      <w:r>
        <w:rPr>
          <w:rFonts w:ascii="Consolas" w:hAnsi="Consolas" w:eastAsia="Consolas"/>
          <w:sz w:val="21"/>
          <w:shd w:fill="F2F4F7"/>
        </w:rPr>
        <w:t>n_reps = 5</w:t>
      </w:r>
      <w:r>
        <w:t xml:space="preserve"> by default;</w:t>
      </w:r>
    </w:p>
    <w:p>
      <w:pPr>
        <w:pStyle w:val="ListBullet"/>
      </w:pPr>
      <w:r>
        <w:t xml:space="preserve">replicate seeds are derived reproducibly as </w:t>
      </w:r>
      <w:r>
        <w:rPr>
          <w:rFonts w:ascii="Consolas" w:hAnsi="Consolas" w:eastAsia="Consolas"/>
          <w:sz w:val="21"/>
          <w:shd w:fill="F2F4F7"/>
        </w:rPr>
        <w:t>seed</w:t>
      </w:r>
      <w:r>
        <w:t xml:space="preserve">, </w:t>
      </w:r>
      <w:r>
        <w:rPr>
          <w:rFonts w:ascii="Consolas" w:hAnsi="Consolas" w:eastAsia="Consolas"/>
          <w:sz w:val="21"/>
          <w:shd w:fill="F2F4F7"/>
        </w:rPr>
        <w:t>seed + 1</w:t>
      </w:r>
      <w:r>
        <w:t>, and so on;</w:t>
      </w:r>
    </w:p>
    <w:p>
      <w:pPr>
        <w:pStyle w:val="ListBullet"/>
      </w:pPr>
      <w:r>
        <w:t>each replicate is repaired and checked for exact founder count and hard</w:t>
      </w:r>
      <w:r>
        <w:t xml:space="preserve"> </w:t>
      </w:r>
      <w:r>
        <w:t>relationship feasibility;</w:t>
      </w:r>
    </w:p>
    <w:p>
      <w:pPr>
        <w:pStyle w:val="ListBullet"/>
      </w:pPr>
      <w:r>
        <w:t>the complete objective is calculated for every replicate; and</w:t>
      </w:r>
    </w:p>
    <w:p>
      <w:pPr>
        <w:pStyle w:val="ListBullet"/>
      </w:pPr>
      <w:r>
        <w:t>the feasible replicate with the greatest complete objective is selected</w:t>
      </w:r>
      <w:r>
        <w:t xml:space="preserve"> </w:t>
      </w:r>
      <w:r>
        <w:t>automatically.</w:t>
      </w:r>
    </w:p>
    <w:p>
      <w:r>
        <w:t xml:space="preserve">The returned </w:t>
      </w:r>
      <w:r>
        <w:rPr>
          <w:rFonts w:ascii="Consolas" w:hAnsi="Consolas" w:eastAsia="Consolas"/>
          <w:sz w:val="21"/>
          <w:shd w:fill="F2F4F7"/>
        </w:rPr>
        <w:t>$selected</w:t>
      </w:r>
      <w:r>
        <w:t xml:space="preserve">, </w:t>
      </w:r>
      <w:r>
        <w:rPr>
          <w:rFonts w:ascii="Consolas" w:hAnsi="Consolas" w:eastAsia="Consolas"/>
          <w:sz w:val="21"/>
          <w:shd w:fill="F2F4F7"/>
        </w:rPr>
        <w:t>$fitness</w:t>
      </w:r>
      <w:r>
        <w:t xml:space="preserve">, </w:t>
      </w:r>
      <w:r>
        <w:rPr>
          <w:rFonts w:ascii="Consolas" w:hAnsi="Consolas" w:eastAsia="Consolas"/>
          <w:sz w:val="21"/>
          <w:shd w:fill="F2F4F7"/>
        </w:rPr>
        <w:t>$per_block</w:t>
      </w:r>
      <w:r>
        <w:t xml:space="preserve">, </w:t>
      </w:r>
      <w:r>
        <w:rPr>
          <w:rFonts w:ascii="Consolas" w:hAnsi="Consolas" w:eastAsia="Consolas"/>
          <w:sz w:val="21"/>
          <w:shd w:fill="F2F4F7"/>
        </w:rPr>
        <w:t>$ga_fit</w:t>
      </w:r>
      <w:r>
        <w:t xml:space="preserve">, </w:t>
      </w:r>
      <w:r>
        <w:rPr>
          <w:rFonts w:ascii="Consolas" w:hAnsi="Consolas" w:eastAsia="Consolas"/>
          <w:sz w:val="21"/>
          <w:shd w:fill="F2F4F7"/>
        </w:rPr>
        <w:t>$run_id</w:t>
      </w:r>
      <w:r>
        <w:t xml:space="preserve"> and </w:t>
      </w:r>
      <w:r>
        <w:rPr>
          <w:rFonts w:ascii="Consolas" w:hAnsi="Consolas" w:eastAsia="Consolas"/>
          <w:sz w:val="21"/>
          <w:shd w:fill="F2F4F7"/>
        </w:rPr>
        <w:t>$seed</w:t>
      </w:r>
      <w:r>
        <w:t xml:space="preserve"> all belong to that automatically selected replicate. </w:t>
      </w:r>
      <w:r>
        <w:rPr>
          <w:rFonts w:ascii="Consolas" w:hAnsi="Consolas" w:eastAsia="Consolas"/>
          <w:sz w:val="21"/>
          <w:shd w:fill="F2F4F7"/>
        </w:rPr>
        <w:t>$stability$best_rep</w:t>
      </w:r>
      <w:r>
        <w:t xml:space="preserve"> identifies it and </w:t>
      </w:r>
      <w:r>
        <w:rPr>
          <w:rFonts w:ascii="Consolas" w:hAnsi="Consolas" w:eastAsia="Consolas"/>
          <w:sz w:val="21"/>
          <w:shd w:fill="F2F4F7"/>
        </w:rPr>
        <w:t>$stability$fitness_values</w:t>
      </w:r>
      <w:r>
        <w:t xml:space="preserve"> records the comparison. The implementation uses each tool's complete declared objective: coverage and any coancestry term for coverage-only GA, and coverage, merit and any coancestry term for joint GA+TS.</w:t>
      </w:r>
    </w:p>
    <w:p>
      <w:r>
        <w:t xml:space="preserve">The breeder reviews the </w:t>
      </w:r>
      <w:r>
        <w:rPr>
          <w:i/>
        </w:rPr>
        <w:t>summary diagnostics</w:t>
      </w:r>
      <w:r>
        <w:t>, not every run:</w:t>
      </w:r>
    </w:p>
    <w:p>
      <w:pPr>
        <w:pStyle w:val="ListBullet"/>
      </w:pPr>
      <w:r>
        <w:rPr>
          <w:rFonts w:ascii="Consolas" w:hAnsi="Consolas" w:eastAsia="Consolas"/>
          <w:sz w:val="21"/>
          <w:shd w:fill="F2F4F7"/>
        </w:rPr>
        <w:t>$converged</w:t>
      </w:r>
      <w:r>
        <w:t xml:space="preserve"> reports whether the selected replicate reached the GA plateau</w:t>
      </w:r>
      <w:r>
        <w:t xml:space="preserve"> </w:t>
      </w:r>
      <w:r>
        <w:t xml:space="preserve">rule before </w:t>
      </w:r>
      <w:r>
        <w:rPr>
          <w:rFonts w:ascii="Consolas" w:hAnsi="Consolas" w:eastAsia="Consolas"/>
          <w:sz w:val="21"/>
          <w:shd w:fill="F2F4F7"/>
        </w:rPr>
        <w:t>maxiter</w:t>
      </w:r>
      <w:r>
        <w:t>;</w:t>
      </w:r>
    </w:p>
    <w:p>
      <w:pPr>
        <w:pStyle w:val="ListBullet"/>
      </w:pPr>
      <w:r>
        <w:rPr>
          <w:rFonts w:ascii="Consolas" w:hAnsi="Consolas" w:eastAsia="Consolas"/>
          <w:sz w:val="21"/>
          <w:shd w:fill="F2F4F7"/>
        </w:rPr>
        <w:t>$stability$converged</w:t>
      </w:r>
      <w:r>
        <w:t xml:space="preserve"> reports this for all replicates;</w:t>
      </w:r>
    </w:p>
    <w:p>
      <w:pPr>
        <w:pStyle w:val="ListBullet"/>
      </w:pPr>
      <w:r>
        <w:rPr>
          <w:rFonts w:ascii="Consolas" w:hAnsi="Consolas" w:eastAsia="Consolas"/>
          <w:sz w:val="21"/>
          <w:shd w:fill="F2F4F7"/>
        </w:rPr>
        <w:t>$stability$fitness_range</w:t>
      </w:r>
      <w:r>
        <w:t xml:space="preserve"> shows whether independent searches reached</w:t>
      </w:r>
      <w:r>
        <w:t xml:space="preserve"> </w:t>
      </w:r>
      <w:r>
        <w:t>materially different objective values;</w:t>
      </w:r>
    </w:p>
    <w:p>
      <w:pPr>
        <w:pStyle w:val="ListBullet"/>
      </w:pPr>
      <w:r>
        <w:rPr>
          <w:rFonts w:ascii="Consolas" w:hAnsi="Consolas" w:eastAsia="Consolas"/>
          <w:sz w:val="21"/>
          <w:shd w:fill="F2F4F7"/>
        </w:rPr>
        <w:t>$stability$selection_freq</w:t>
      </w:r>
      <w:r>
        <w:t xml:space="preserve"> shows how often each candidate occurred;</w:t>
      </w:r>
    </w:p>
    <w:p>
      <w:pPr>
        <w:pStyle w:val="ListBullet"/>
      </w:pPr>
      <w:r>
        <w:rPr>
          <w:rFonts w:ascii="Consolas" w:hAnsi="Consolas" w:eastAsia="Consolas"/>
          <w:sz w:val="21"/>
          <w:shd w:fill="F2F4F7"/>
        </w:rPr>
        <w:t>$stability$mean_relationship</w:t>
      </w:r>
      <w:r>
        <w:t xml:space="preserve"> and </w:t>
      </w:r>
      <w:r>
        <w:rPr>
          <w:rFonts w:ascii="Consolas" w:hAnsi="Consolas" w:eastAsia="Consolas"/>
          <w:sz w:val="21"/>
          <w:shd w:fill="F2F4F7"/>
        </w:rPr>
        <w:t>$stability$mean_merit</w:t>
      </w:r>
      <w:r>
        <w:t xml:space="preserve"> show variation</w:t>
      </w:r>
      <w:r>
        <w:t xml:space="preserve"> </w:t>
      </w:r>
      <w:r>
        <w:t>among replicate solutions; and</w:t>
      </w:r>
    </w:p>
    <w:p>
      <w:pPr>
        <w:pStyle w:val="ListBullet"/>
      </w:pPr>
      <w:r>
        <w:rPr>
          <w:rFonts w:ascii="Consolas" w:hAnsi="Consolas" w:eastAsia="Consolas"/>
          <w:sz w:val="21"/>
          <w:shd w:fill="F2F4F7"/>
        </w:rPr>
        <w:t>$feasible</w:t>
      </w:r>
      <w:r>
        <w:t xml:space="preserve"> and the result-contract quality gates confirm that the returned</w:t>
      </w:r>
      <w:r>
        <w:t xml:space="preserve"> </w:t>
      </w:r>
      <w:r>
        <w:t>set satisfies hard postconditions.</w:t>
      </w:r>
    </w:p>
    <w:p>
      <w:r>
        <w:t xml:space="preserve">High selection frequency is evidence that the same parents are repeatedly supported. Low frequency does not require the breeder to choose another run by eye. It indicates alternative near-equivalent founder sets or inadequate search stability. In that case, increase </w:t>
      </w:r>
      <w:r>
        <w:rPr>
          <w:rFonts w:ascii="Consolas" w:hAnsi="Consolas" w:eastAsia="Consolas"/>
          <w:sz w:val="21"/>
          <w:shd w:fill="F2F4F7"/>
        </w:rPr>
        <w:t>popSize</w:t>
      </w:r>
      <w:r>
        <w:t xml:space="preserve">, </w:t>
      </w:r>
      <w:r>
        <w:rPr>
          <w:rFonts w:ascii="Consolas" w:hAnsi="Consolas" w:eastAsia="Consolas"/>
          <w:sz w:val="21"/>
          <w:shd w:fill="F2F4F7"/>
        </w:rPr>
        <w:t>maxiter</w:t>
      </w:r>
      <w:r>
        <w:t xml:space="preserve">, </w:t>
      </w:r>
      <w:r>
        <w:rPr>
          <w:rFonts w:ascii="Consolas" w:hAnsi="Consolas" w:eastAsia="Consolas"/>
          <w:sz w:val="21"/>
          <w:shd w:fill="F2F4F7"/>
        </w:rPr>
        <w:t>run</w:t>
      </w:r>
      <w:r>
        <w:t xml:space="preserve"> or </w:t>
      </w:r>
      <w:r>
        <w:rPr>
          <w:rFonts w:ascii="Consolas" w:hAnsi="Consolas" w:eastAsia="Consolas"/>
          <w:sz w:val="21"/>
          <w:shd w:fill="F2F4F7"/>
        </w:rPr>
        <w:t>n_reps</w:t>
      </w:r>
      <w:r>
        <w:t>, examine the objective and candidate evidence, and rerun the package. If the programme applies an additional rule after optimisation, record that rule and the resulting selection as a separate decision.</w:t>
      </w:r>
    </w:p>
    <w:p>
      <w:pPr>
        <w:pStyle w:val="CodeBlock"/>
        <w:shd w:fill="F2F4F7"/>
      </w:pPr>
      <w:r>
        <w:rPr>
          <w:sz w:val="18"/>
        </w:rPr>
        <w:t>ga &lt;- select_parents_ga(</w:t>
        <w:br/>
        <w:t xml:space="preserve">  value_matrix = prediction$local_gebv[, target_blocks, drop = FALSE],</w:t>
        <w:br/>
        <w:t xml:space="preserve">  n_founders = 20,</w:t>
        <w:br/>
        <w:t xml:space="preserve">  strategy = "no_selfing",</w:t>
        <w:br/>
        <w:t xml:space="preserve">  G = prediction$G,</w:t>
        <w:br/>
        <w:t xml:space="preserve">  target_degree = 45,</w:t>
        <w:br/>
        <w:t xml:space="preserve">  n_reps = 10,</w:t>
        <w:br/>
        <w:t xml:space="preserve">  popSize = 200,</w:t>
        <w:br/>
        <w:t xml:space="preserve">  maxiter = 400,</w:t>
        <w:br/>
        <w:t xml:space="preserve">  run = 80,</w:t>
        <w:br/>
        <w:t xml:space="preserve">  seed = 20260725</w:t>
        <w:br/>
        <w:t>)</w:t>
        <w:br/>
        <w:br/>
        <w:t>ga$selected                    # automatic recommendation</w:t>
        <w:br/>
        <w:t>ga$stability$best_rep          # replicate used for the recommendation</w:t>
        <w:br/>
        <w:t>ga$stability$fitness_values    # objective values from all searches</w:t>
        <w:br/>
        <w:t>ga$stability$selection_freq    # compact parent-stability diagnostic</w:t>
      </w:r>
    </w:p>
    <w:p>
      <w:r>
        <w:t>Compare the automatic GA set with truncation selection and inspect genomic-cluster representation. The returned set is the best feasible result found for the declared objective and parameters; adding operational or biological requirements to those inputs brings them into the optimisation and validation record.</w:t>
      </w:r>
    </w:p>
    <w:p>
      <w:pPr>
        <w:pStyle w:val="Heading2"/>
      </w:pPr>
      <w:r>
        <w:t>3.3 Joint GA+TS parent selection</w:t>
      </w:r>
    </w:p>
    <w:p>
      <w:r>
        <w:t xml:space="preserve">Function: </w:t>
      </w:r>
      <w:r>
        <w:rPr>
          <w:rFonts w:ascii="Consolas" w:hAnsi="Consolas" w:eastAsia="Consolas"/>
          <w:sz w:val="21"/>
          <w:shd w:fill="F2F4F7"/>
        </w:rPr>
        <w:t>select_parents_ga_ts()</w:t>
      </w:r>
    </w:p>
    <w:p>
      <w:r>
        <w:t>Question: Which fixed-size parent set provides complementary favourable-block coverage while also maintaining high whole-genome merit?</w:t>
      </w:r>
    </w:p>
    <w:p>
      <w:pPr>
        <w:pStyle w:val="Heading3"/>
      </w:pPr>
      <w:r>
        <w:t>What GA+TS means</w:t>
      </w:r>
    </w:p>
    <w:p>
      <w:r>
        <w:t xml:space="preserve">GA+TS is a joint objective, not a sequential procedure that truncates the population and then applies a separate GA. For every proposed parent set </w:t>
      </w:r>
      <w:r>
        <w:rPr>
          <w:rFonts w:ascii="Consolas" w:hAnsi="Consolas" w:eastAsia="Consolas"/>
          <w:sz w:val="21"/>
          <w:shd w:fill="F2F4F7"/>
        </w:rPr>
        <w:t>S</w:t>
      </w:r>
      <w:r>
        <w:t>, the tool evaluates:</w:t>
      </w:r>
    </w:p>
    <w:p>
      <w:r>
        <w:rPr>
          <w:rFonts w:ascii="Consolas" w:hAnsi="Consolas" w:eastAsia="Consolas"/>
          <w:sz w:val="21"/>
          <w:shd w:fill="F2F4F7"/>
        </w:rPr>
        <w:t>objective(S) = coverage(S) + lambda * mean_merit(S) - gamma * mean_relationship(S)</w:t>
      </w:r>
    </w:p>
    <w:p>
      <w:r>
        <w:t xml:space="preserve">The coverage term is the same strategy-specific OHS or OPV calculation used by </w:t>
      </w:r>
      <w:r>
        <w:rPr>
          <w:rFonts w:ascii="Consolas" w:hAnsi="Consolas" w:eastAsia="Consolas"/>
          <w:sz w:val="21"/>
          <w:shd w:fill="F2F4F7"/>
        </w:rPr>
        <w:t>select_parents_ga()</w:t>
      </w:r>
      <w:r>
        <w:t xml:space="preserve">. The merit term is the mean directional whole-genome score of the selected parents. The relationship term is included only when </w:t>
      </w:r>
      <w:r>
        <w:rPr>
          <w:rFonts w:ascii="Consolas" w:hAnsi="Consolas" w:eastAsia="Consolas"/>
          <w:sz w:val="21"/>
          <w:shd w:fill="F2F4F7"/>
        </w:rPr>
        <w:t>coancestry_weight</w:t>
      </w:r>
      <w:r>
        <w:t xml:space="preserve"> is positive; </w:t>
      </w:r>
      <w:r>
        <w:rPr>
          <w:rFonts w:ascii="Consolas" w:hAnsi="Consolas" w:eastAsia="Consolas"/>
          <w:sz w:val="21"/>
          <w:shd w:fill="F2F4F7"/>
        </w:rPr>
        <w:t>target_degree</w:t>
      </w:r>
      <w:r>
        <w:t xml:space="preserve"> may instead impose an internally calibrated relationship ceiling. Because every solution has exactly </w:t>
      </w:r>
      <w:r>
        <w:rPr>
          <w:rFonts w:ascii="Consolas" w:hAnsi="Consolas" w:eastAsia="Consolas"/>
          <w:sz w:val="21"/>
          <w:shd w:fill="F2F4F7"/>
        </w:rPr>
        <w:t>n_founders</w:t>
      </w:r>
      <w:r>
        <w:t>, maximising mean merit and maximising total merit produce the same ranking of candidate sets.</w:t>
      </w:r>
    </w:p>
    <w:p>
      <w:pPr>
        <w:pStyle w:val="Heading3"/>
      </w:pPr>
      <w:r>
        <w:t>Merit input</w:t>
      </w:r>
    </w:p>
    <w:p>
      <w:r>
        <w:rPr>
          <w:rFonts w:ascii="Consolas" w:hAnsi="Consolas" w:eastAsia="Consolas"/>
          <w:sz w:val="21"/>
          <w:shd w:fill="F2F4F7"/>
        </w:rPr>
        <w:t>merit_score</w:t>
      </w:r>
      <w:r>
        <w:t xml:space="preserve"> is mandatory and must be a named finite numeric vector covering every candidate in </w:t>
      </w:r>
      <w:r>
        <w:rPr>
          <w:rFonts w:ascii="Consolas" w:hAnsi="Consolas" w:eastAsia="Consolas"/>
          <w:sz w:val="21"/>
          <w:shd w:fill="F2F4F7"/>
        </w:rPr>
        <w:t>value_matrix</w:t>
      </w:r>
      <w:r>
        <w:t>. Larger values must always represent greater breeding merit. Appropriate inputs include a HapBlockR GEBV or an internal Smith–Hazel, Pešek–Baker, desired-gain selection index (DGSI), or quadratic genomic selection index (QGSI) produced after the relevant internal modelling. Do not provide a raw phenotype or an externally calculated selection index directly at this selection stage.</w:t>
      </w:r>
    </w:p>
    <w:p>
      <w:pPr>
        <w:pStyle w:val="Heading3"/>
      </w:pPr>
      <w:r>
        <w:t>Merit-control variants</w:t>
      </w:r>
    </w:p>
    <w:p>
      <w:r>
        <w:t>Exactly one merit-control form is active:</w:t>
      </w:r>
    </w:p>
    <w:tbl>
      <w:tblPr>
        <w:tblStyle w:val="TableGrid"/>
        <w:tblW w:type="dxa" w:w="10091"/>
        <w:jc w:val="left"/>
        <w:tblLayout w:type="fixed"/>
        <w:tblLook w:firstColumn="1" w:firstRow="1" w:lastColumn="0" w:lastRow="0" w:noHBand="0" w:noVBand="1" w:val="04A0"/>
        <w:tblInd w:w="120" w:type="dxa"/>
      </w:tblPr>
      <w:tblGrid>
        <w:gridCol w:w="1720"/>
        <w:gridCol w:w="4185"/>
        <w:gridCol w:w="4186"/>
      </w:tblGrid>
      <w:tr>
        <w:trPr>
          <w:cantSplit/>
          <w:tblHeader w:val="true"/>
        </w:trPr>
        <w:tc>
          <w:tcPr>
            <w:tcW w:type="dxa" w:w="1720"/>
            <w:vAlign w:val="center"/>
            <w:tcMar>
              <w:top w:w="60" w:type="dxa"/>
              <w:start w:w="120" w:type="dxa"/>
              <w:bottom w:w="60" w:type="dxa"/>
              <w:end w:w="120" w:type="dxa"/>
            </w:tcMar>
            <w:shd w:fill="E8EEF5"/>
          </w:tcPr>
          <w:p>
            <w:pPr>
              <w:keepNext/>
              <w:spacing w:after="0" w:line="240" w:lineRule="auto"/>
            </w:pPr>
            <w:r>
              <w:rPr>
                <w:b/>
                <w:color w:val="1F4D78"/>
                <w:sz w:val="16"/>
              </w:rPr>
              <w:t>Control</w:t>
            </w:r>
          </w:p>
        </w:tc>
        <w:tc>
          <w:tcPr>
            <w:tcW w:type="dxa" w:w="4185"/>
            <w:vAlign w:val="center"/>
            <w:tcMar>
              <w:top w:w="60" w:type="dxa"/>
              <w:start w:w="120" w:type="dxa"/>
              <w:bottom w:w="60" w:type="dxa"/>
              <w:end w:w="120" w:type="dxa"/>
            </w:tcMar>
            <w:shd w:fill="E8EEF5"/>
          </w:tcPr>
          <w:p>
            <w:pPr>
              <w:keepNext/>
              <w:spacing w:after="0" w:line="240" w:lineRule="auto"/>
            </w:pPr>
            <w:r>
              <w:rPr>
                <w:b/>
                <w:color w:val="1F4D78"/>
                <w:sz w:val="16"/>
              </w:rPr>
              <w:t>Meaning</w:t>
            </w:r>
          </w:p>
        </w:tc>
        <w:tc>
          <w:tcPr>
            <w:tcW w:type="dxa" w:w="4186"/>
            <w:vAlign w:val="center"/>
            <w:tcMar>
              <w:top w:w="60" w:type="dxa"/>
              <w:start w:w="120" w:type="dxa"/>
              <w:bottom w:w="60" w:type="dxa"/>
              <w:end w:w="120" w:type="dxa"/>
            </w:tcMar>
            <w:shd w:fill="E8EEF5"/>
          </w:tcPr>
          <w:p>
            <w:pPr>
              <w:keepNext/>
              <w:spacing w:after="0" w:line="240" w:lineRule="auto"/>
            </w:pPr>
            <w:r>
              <w:rPr>
                <w:b/>
                <w:color w:val="1F4D78"/>
                <w:sz w:val="16"/>
              </w:rPr>
              <w:t>Recommended use</w:t>
            </w:r>
          </w:p>
        </w:tc>
      </w:tr>
      <w:tr>
        <w:trPr>
          <w:cantSplit/>
        </w:trPr>
        <w:tc>
          <w:tcPr>
            <w:tcW w:type="dxa" w:w="172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merit_priority</w:t>
            </w:r>
          </w:p>
        </w:tc>
        <w:tc>
          <w:tcPr>
            <w:tcW w:type="dxa" w:w="4185"/>
            <w:vAlign w:val="center"/>
            <w:tcMar>
              <w:top w:w="60" w:type="dxa"/>
              <w:start w:w="120" w:type="dxa"/>
              <w:bottom w:w="60" w:type="dxa"/>
              <w:end w:w="120" w:type="dxa"/>
            </w:tcMar>
          </w:tcPr>
          <w:p>
            <w:pPr>
              <w:keepNext/>
              <w:spacing w:after="0" w:line="240" w:lineRule="auto"/>
            </w:pPr>
            <w:r>
              <w:rPr>
                <w:sz w:val="16"/>
              </w:rPr>
              <w:t xml:space="preserve">Breeder-facing relative merit emphasis in </w:t>
            </w:r>
            <w:r>
              <w:rPr>
                <w:rFonts w:ascii="Consolas" w:hAnsi="Consolas" w:eastAsia="Consolas"/>
                <w:sz w:val="15"/>
                <w:shd w:fill="F2F4F7"/>
              </w:rPr>
              <w:t>(0, 100]</w:t>
            </w:r>
            <w:r>
              <w:rPr>
                <w:sz w:val="16"/>
              </w:rPr>
              <w:t>; default 50</w:t>
            </w:r>
          </w:p>
        </w:tc>
        <w:tc>
          <w:tcPr>
            <w:tcW w:type="dxa" w:w="4186"/>
            <w:vAlign w:val="center"/>
            <w:tcMar>
              <w:top w:w="60" w:type="dxa"/>
              <w:start w:w="120" w:type="dxa"/>
              <w:bottom w:w="60" w:type="dxa"/>
              <w:end w:w="120" w:type="dxa"/>
            </w:tcMar>
          </w:tcPr>
          <w:p>
            <w:pPr>
              <w:keepNext/>
              <w:spacing w:after="0" w:line="240" w:lineRule="auto"/>
            </w:pPr>
            <w:r>
              <w:rPr>
                <w:sz w:val="16"/>
              </w:rPr>
              <w:t>Routine analyses because HapBlockR calibrates the corresponding raw weight from the actual candidate pool</w:t>
            </w:r>
          </w:p>
        </w:tc>
      </w:tr>
      <w:tr>
        <w:trPr>
          <w:cantSplit/>
        </w:trPr>
        <w:tc>
          <w:tcPr>
            <w:tcW w:type="dxa" w:w="1720"/>
            <w:vAlign w:val="center"/>
            <w:tcMar>
              <w:top w:w="60" w:type="dxa"/>
              <w:start w:w="120" w:type="dxa"/>
              <w:bottom w:w="60" w:type="dxa"/>
              <w:end w:w="120" w:type="dxa"/>
            </w:tcMar>
          </w:tcPr>
          <w:p>
            <w:pPr>
              <w:spacing w:after="0" w:line="240" w:lineRule="auto"/>
            </w:pPr>
            <w:r>
              <w:rPr>
                <w:rFonts w:ascii="Consolas" w:hAnsi="Consolas" w:eastAsia="Consolas"/>
                <w:sz w:val="15"/>
                <w:shd w:fill="F2F4F7"/>
              </w:rPr>
              <w:t>merit_weight</w:t>
            </w:r>
          </w:p>
        </w:tc>
        <w:tc>
          <w:tcPr>
            <w:tcW w:type="dxa" w:w="4185"/>
            <w:vAlign w:val="center"/>
            <w:tcMar>
              <w:top w:w="60" w:type="dxa"/>
              <w:start w:w="120" w:type="dxa"/>
              <w:bottom w:w="60" w:type="dxa"/>
              <w:end w:w="120" w:type="dxa"/>
            </w:tcMar>
          </w:tcPr>
          <w:p>
            <w:pPr>
              <w:spacing w:after="0" w:line="240" w:lineRule="auto"/>
            </w:pPr>
            <w:r>
              <w:rPr>
                <w:sz w:val="16"/>
              </w:rPr>
              <w:t>Positive raw multiplier on mean merit</w:t>
            </w:r>
          </w:p>
        </w:tc>
        <w:tc>
          <w:tcPr>
            <w:tcW w:type="dxa" w:w="4186"/>
            <w:vAlign w:val="center"/>
            <w:tcMar>
              <w:top w:w="60" w:type="dxa"/>
              <w:start w:w="120" w:type="dxa"/>
              <w:bottom w:w="60" w:type="dxa"/>
              <w:end w:w="120" w:type="dxa"/>
            </w:tcMar>
          </w:tcPr>
          <w:p>
            <w:pPr>
              <w:spacing w:after="0" w:line="240" w:lineRule="auto"/>
            </w:pPr>
            <w:r>
              <w:rPr>
                <w:sz w:val="16"/>
              </w:rPr>
              <w:t>Advanced analyses in which the programme has justified and documented the raw scale</w:t>
            </w:r>
          </w:p>
        </w:tc>
      </w:tr>
    </w:tbl>
    <w:p>
      <w:pPr>
        <w:spacing w:after="20"/>
      </w:pPr>
    </w:p>
    <w:p>
      <w:r>
        <w:rPr>
          <w:rFonts w:ascii="Consolas" w:hAnsi="Consolas" w:eastAsia="Consolas"/>
          <w:sz w:val="21"/>
          <w:shd w:fill="F2F4F7"/>
        </w:rPr>
        <w:t>merit_priority = 100</w:t>
      </w:r>
      <w:r>
        <w:t xml:space="preserve"> scales the empirically attainable merit contrast to the attainable coverage contrast. A value of 50 gives the merit term half that reference span. It does not mean that 50% of the parents come from truncation selection. </w:t>
      </w:r>
      <w:r>
        <w:rPr>
          <w:rFonts w:ascii="Consolas" w:hAnsi="Consolas" w:eastAsia="Consolas"/>
          <w:sz w:val="21"/>
          <w:shd w:fill="F2F4F7"/>
        </w:rPr>
        <w:t>suggest_merit_weight()</w:t>
      </w:r>
      <w:r>
        <w:t xml:space="preserve"> exposes the same calibration and returns the coverage span, merit span and resulting raw weight.</w:t>
      </w:r>
    </w:p>
    <w:p>
      <w:r>
        <w:t xml:space="preserve">Zero is deliberately excluded from the hybrid function because it would silently remove merit from the objective. Use </w:t>
      </w:r>
      <w:r>
        <w:rPr>
          <w:rFonts w:ascii="Consolas" w:hAnsi="Consolas" w:eastAsia="Consolas"/>
          <w:sz w:val="21"/>
          <w:shd w:fill="F2F4F7"/>
        </w:rPr>
        <w:t>select_parents_ga()</w:t>
      </w:r>
      <w:r>
        <w:t xml:space="preserve"> for coverage-only selection.</w:t>
      </w:r>
    </w:p>
    <w:p>
      <w:pPr>
        <w:pStyle w:val="Heading3"/>
      </w:pPr>
      <w:r>
        <w:t>Eligibility-floor variants</w:t>
      </w:r>
    </w:p>
    <w:p>
      <w:r>
        <w:rPr>
          <w:rFonts w:ascii="Consolas" w:hAnsi="Consolas" w:eastAsia="Consolas"/>
          <w:sz w:val="21"/>
          <w:shd w:fill="F2F4F7"/>
        </w:rPr>
        <w:t>min_sel_value</w:t>
      </w:r>
      <w:r>
        <w:t xml:space="preserve"> is optional and defines a hard eligibility rule before the joint GA+TS search. It is distinct from the continuous merit term: the floor decides who may enter the search, while </w:t>
      </w:r>
      <w:r>
        <w:rPr>
          <w:rFonts w:ascii="Consolas" w:hAnsi="Consolas" w:eastAsia="Consolas"/>
          <w:sz w:val="21"/>
          <w:shd w:fill="F2F4F7"/>
        </w:rPr>
        <w:t>merit_priority</w:t>
      </w:r>
      <w:r>
        <w:t xml:space="preserve"> or </w:t>
      </w:r>
      <w:r>
        <w:rPr>
          <w:rFonts w:ascii="Consolas" w:hAnsi="Consolas" w:eastAsia="Consolas"/>
          <w:sz w:val="21"/>
          <w:shd w:fill="F2F4F7"/>
        </w:rPr>
        <w:t>merit_weight</w:t>
      </w:r>
      <w:r>
        <w:t xml:space="preserve"> continues to distinguish all eligible candidates.</w:t>
      </w:r>
    </w:p>
    <w:tbl>
      <w:tblPr>
        <w:tblStyle w:val="TableGrid"/>
        <w:tblW w:type="dxa" w:w="10091"/>
        <w:jc w:val="left"/>
        <w:tblLayout w:type="fixed"/>
        <w:tblLook w:firstColumn="1" w:firstRow="1" w:lastColumn="0" w:lastRow="0" w:noHBand="0" w:noVBand="1" w:val="04A0"/>
        <w:tblInd w:w="120" w:type="dxa"/>
      </w:tblPr>
      <w:tblGrid>
        <w:gridCol w:w="3031"/>
        <w:gridCol w:w="7060"/>
      </w:tblGrid>
      <w:tr>
        <w:trPr>
          <w:cantSplit/>
          <w:tblHeader w:val="true"/>
        </w:trPr>
        <w:tc>
          <w:tcPr>
            <w:tcW w:type="dxa" w:w="3031"/>
            <w:vAlign w:val="center"/>
            <w:tcMar>
              <w:top w:w="60" w:type="dxa"/>
              <w:start w:w="120" w:type="dxa"/>
              <w:bottom w:w="60" w:type="dxa"/>
              <w:end w:w="120" w:type="dxa"/>
            </w:tcMar>
            <w:shd w:fill="E8EEF5"/>
          </w:tcPr>
          <w:p>
            <w:pPr>
              <w:keepNext/>
              <w:spacing w:after="0" w:line="240" w:lineRule="auto"/>
            </w:pPr>
            <w:r>
              <w:rPr>
                <w:rFonts w:ascii="Consolas" w:hAnsi="Consolas" w:eastAsia="Consolas"/>
                <w:b/>
                <w:color w:val="1F4D78"/>
                <w:sz w:val="15"/>
                <w:shd w:fill="F2F4F7"/>
              </w:rPr>
              <w:t>min_sel_mode</w:t>
            </w:r>
          </w:p>
        </w:tc>
        <w:tc>
          <w:tcPr>
            <w:tcW w:type="dxa" w:w="7060"/>
            <w:vAlign w:val="center"/>
            <w:tcMar>
              <w:top w:w="60" w:type="dxa"/>
              <w:start w:w="120" w:type="dxa"/>
              <w:bottom w:w="60" w:type="dxa"/>
              <w:end w:w="120" w:type="dxa"/>
            </w:tcMar>
            <w:shd w:fill="E8EEF5"/>
          </w:tcPr>
          <w:p>
            <w:pPr>
              <w:keepNext/>
              <w:spacing w:after="0" w:line="240" w:lineRule="auto"/>
            </w:pPr>
            <w:r>
              <w:rPr>
                <w:b/>
                <w:color w:val="1F4D78"/>
                <w:sz w:val="16"/>
              </w:rPr>
              <w:t>Rule</w:t>
            </w:r>
          </w:p>
        </w:tc>
      </w:tr>
      <w:tr>
        <w:trPr>
          <w:cantSplit/>
        </w:trPr>
        <w:tc>
          <w:tcPr>
            <w:tcW w:type="dxa" w:w="303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"value"</w:t>
            </w:r>
          </w:p>
        </w:tc>
        <w:tc>
          <w:tcPr>
            <w:tcW w:type="dxa" w:w="7060"/>
            <w:vAlign w:val="center"/>
            <w:tcMar>
              <w:top w:w="60" w:type="dxa"/>
              <w:start w:w="120" w:type="dxa"/>
              <w:bottom w:w="60" w:type="dxa"/>
              <w:end w:w="120" w:type="dxa"/>
            </w:tcMar>
          </w:tcPr>
          <w:p>
            <w:pPr>
              <w:keepNext/>
              <w:spacing w:after="0" w:line="240" w:lineRule="auto"/>
            </w:pPr>
            <w:r>
              <w:rPr>
                <w:sz w:val="16"/>
              </w:rPr>
              <w:t xml:space="preserve">Keep </w:t>
            </w:r>
            <w:r>
              <w:rPr>
                <w:rFonts w:ascii="Consolas" w:hAnsi="Consolas" w:eastAsia="Consolas"/>
                <w:sz w:val="15"/>
                <w:shd w:fill="F2F4F7"/>
              </w:rPr>
              <w:t>merit_score &gt;= min_sel_value</w:t>
            </w:r>
          </w:p>
        </w:tc>
      </w:tr>
      <w:tr>
        <w:trPr>
          <w:cantSplit/>
        </w:trPr>
        <w:tc>
          <w:tcPr>
            <w:tcW w:type="dxa" w:w="303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"percentile"</w:t>
            </w:r>
          </w:p>
        </w:tc>
        <w:tc>
          <w:tcPr>
            <w:tcW w:type="dxa" w:w="7060"/>
            <w:vAlign w:val="center"/>
            <w:tcMar>
              <w:top w:w="60" w:type="dxa"/>
              <w:start w:w="120" w:type="dxa"/>
              <w:bottom w:w="60" w:type="dxa"/>
              <w:end w:w="120" w:type="dxa"/>
            </w:tcMar>
          </w:tcPr>
          <w:p>
            <w:pPr>
              <w:keepNext/>
              <w:spacing w:after="0" w:line="240" w:lineRule="auto"/>
            </w:pPr>
            <w:r>
              <w:rPr>
                <w:sz w:val="16"/>
              </w:rPr>
              <w:t xml:space="preserve">Keep the stated fraction from the top of </w:t>
            </w:r>
            <w:r>
              <w:rPr>
                <w:rFonts w:ascii="Consolas" w:hAnsi="Consolas" w:eastAsia="Consolas"/>
                <w:sz w:val="15"/>
                <w:shd w:fill="F2F4F7"/>
              </w:rPr>
              <w:t>merit_score</w:t>
            </w:r>
          </w:p>
        </w:tc>
      </w:tr>
      <w:tr>
        <w:trPr>
          <w:cantSplit/>
        </w:trPr>
        <w:tc>
          <w:tcPr>
            <w:tcW w:type="dxa" w:w="303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"sd_above_mean"</w:t>
            </w:r>
          </w:p>
        </w:tc>
        <w:tc>
          <w:tcPr>
            <w:tcW w:type="dxa" w:w="7060"/>
            <w:vAlign w:val="center"/>
            <w:tcMar>
              <w:top w:w="60" w:type="dxa"/>
              <w:start w:w="120" w:type="dxa"/>
              <w:bottom w:w="60" w:type="dxa"/>
              <w:end w:w="120" w:type="dxa"/>
            </w:tcMar>
          </w:tcPr>
          <w:p>
            <w:pPr>
              <w:keepNext/>
              <w:spacing w:after="0" w:line="240" w:lineRule="auto"/>
            </w:pPr>
            <w:r>
              <w:rPr>
                <w:sz w:val="16"/>
              </w:rPr>
              <w:t>Keep scores at least the stated number of SD above the mean; 0 retains candidates at or above the mean</w:t>
            </w:r>
          </w:p>
        </w:tc>
      </w:tr>
      <w:tr>
        <w:trPr>
          <w:cantSplit/>
        </w:trPr>
        <w:tc>
          <w:tcPr>
            <w:tcW w:type="dxa" w:w="3031"/>
            <w:vAlign w:val="center"/>
            <w:tcMar>
              <w:top w:w="60" w:type="dxa"/>
              <w:start w:w="120" w:type="dxa"/>
              <w:bottom w:w="60" w:type="dxa"/>
              <w:end w:w="120" w:type="dxa"/>
            </w:tcMar>
          </w:tcPr>
          <w:p>
            <w:pPr>
              <w:spacing w:after="0" w:line="240" w:lineRule="auto"/>
            </w:pPr>
            <w:r>
              <w:rPr>
                <w:rFonts w:ascii="Consolas" w:hAnsi="Consolas" w:eastAsia="Consolas"/>
                <w:sz w:val="15"/>
                <w:shd w:fill="F2F4F7"/>
              </w:rPr>
              <w:t>"relaxed_pool"</w:t>
            </w:r>
          </w:p>
        </w:tc>
        <w:tc>
          <w:tcPr>
            <w:tcW w:type="dxa" w:w="7060"/>
            <w:vAlign w:val="center"/>
            <w:tcMar>
              <w:top w:w="60" w:type="dxa"/>
              <w:start w:w="120" w:type="dxa"/>
              <w:bottom w:w="60" w:type="dxa"/>
              <w:end w:w="120" w:type="dxa"/>
            </w:tcMar>
          </w:tcPr>
          <w:p>
            <w:pPr>
              <w:spacing w:after="0" w:line="240" w:lineRule="auto"/>
            </w:pPr>
            <w:r>
              <w:rPr>
                <w:sz w:val="16"/>
              </w:rPr>
              <w:t xml:space="preserve">Keep scores above </w:t>
            </w:r>
            <w:r>
              <w:rPr>
                <w:rFonts w:ascii="Consolas" w:hAnsi="Consolas" w:eastAsia="Consolas"/>
                <w:sz w:val="15"/>
                <w:shd w:fill="F2F4F7"/>
              </w:rPr>
              <w:t>mean(score) - k × SD(score)</w:t>
            </w:r>
            <w:r>
              <w:rPr>
                <w:sz w:val="16"/>
              </w:rPr>
              <w:t xml:space="preserve"> when the programme deliberately wants a broader pool</w:t>
            </w:r>
          </w:p>
        </w:tc>
      </w:tr>
    </w:tbl>
    <w:p>
      <w:pPr>
        <w:spacing w:after="20"/>
      </w:pPr>
    </w:p>
    <w:p>
      <w:r>
        <w:rPr>
          <w:rFonts w:ascii="Consolas" w:hAnsi="Consolas" w:eastAsia="Consolas"/>
          <w:sz w:val="21"/>
          <w:shd w:fill="F2F4F7"/>
        </w:rPr>
        <w:t>"relaxed_pool"</w:t>
      </w:r>
      <w:r>
        <w:t xml:space="preserve"> does not reverse selection direction. Higher merit remains better throughout the objective. The deprecated name </w:t>
      </w:r>
      <w:r>
        <w:rPr>
          <w:rFonts w:ascii="Consolas" w:hAnsi="Consolas" w:eastAsia="Consolas"/>
          <w:sz w:val="21"/>
          <w:shd w:fill="F2F4F7"/>
        </w:rPr>
        <w:t>"sd_below_mean"</w:t>
      </w:r>
      <w:r>
        <w:t xml:space="preserve"> maps to this broad-pool rule only for compatibility.</w:t>
      </w:r>
    </w:p>
    <w:p>
      <w:pPr>
        <w:pStyle w:val="Heading3"/>
      </w:pPr>
      <w:r>
        <w:t>Relationship controls and automatic recommendation</w:t>
      </w:r>
    </w:p>
    <w:p>
      <w:r>
        <w:t xml:space="preserve">The hybrid tool accepts the same </w:t>
      </w:r>
      <w:r>
        <w:rPr>
          <w:rFonts w:ascii="Consolas" w:hAnsi="Consolas" w:eastAsia="Consolas"/>
          <w:sz w:val="21"/>
          <w:shd w:fill="F2F4F7"/>
        </w:rPr>
        <w:t>G</w:t>
      </w:r>
      <w:r>
        <w:t xml:space="preserve">, </w:t>
      </w:r>
      <w:r>
        <w:rPr>
          <w:rFonts w:ascii="Consolas" w:hAnsi="Consolas" w:eastAsia="Consolas"/>
          <w:sz w:val="21"/>
          <w:shd w:fill="F2F4F7"/>
        </w:rPr>
        <w:t>coancestry_weight</w:t>
      </w:r>
      <w:r>
        <w:t xml:space="preserve"> and </w:t>
      </w:r>
      <w:r>
        <w:rPr>
          <w:rFonts w:ascii="Consolas" w:hAnsi="Consolas" w:eastAsia="Consolas"/>
          <w:sz w:val="21"/>
          <w:shd w:fill="F2F4F7"/>
        </w:rPr>
        <w:t>target_degree</w:t>
      </w:r>
      <w:r>
        <w:t xml:space="preserve"> controls as coverage-only GA. Do not combine </w:t>
      </w:r>
      <w:r>
        <w:rPr>
          <w:rFonts w:ascii="Consolas" w:hAnsi="Consolas" w:eastAsia="Consolas"/>
          <w:sz w:val="21"/>
          <w:shd w:fill="F2F4F7"/>
        </w:rPr>
        <w:t>coancestry_weight</w:t>
      </w:r>
      <w:r>
        <w:t xml:space="preserve"> and </w:t>
      </w:r>
      <w:r>
        <w:rPr>
          <w:rFonts w:ascii="Consolas" w:hAnsi="Consolas" w:eastAsia="Consolas"/>
          <w:sz w:val="21"/>
          <w:shd w:fill="F2F4F7"/>
        </w:rPr>
        <w:t>target_degree</w:t>
      </w:r>
      <w:r>
        <w:t xml:space="preserve">. It also uses the same replicated search: all runs are evaluated automatically, and the best feasible complete-objective solution is returned. </w:t>
      </w:r>
      <w:r>
        <w:rPr>
          <w:rFonts w:ascii="Consolas" w:hAnsi="Consolas" w:eastAsia="Consolas"/>
          <w:sz w:val="21"/>
          <w:shd w:fill="F2F4F7"/>
        </w:rPr>
        <w:t>$objective_components</w:t>
      </w:r>
      <w:r>
        <w:t xml:space="preserve"> reports coverage, merit bonus, coancestry penalty and total objective separately. </w:t>
      </w:r>
      <w:r>
        <w:rPr>
          <w:rFonts w:ascii="Consolas" w:hAnsi="Consolas" w:eastAsia="Consolas"/>
          <w:sz w:val="21"/>
          <w:shd w:fill="F2F4F7"/>
        </w:rPr>
        <w:t>$mean_merit</w:t>
      </w:r>
      <w:r>
        <w:t xml:space="preserve">, </w:t>
      </w:r>
      <w:r>
        <w:rPr>
          <w:rFonts w:ascii="Consolas" w:hAnsi="Consolas" w:eastAsia="Consolas"/>
          <w:sz w:val="21"/>
          <w:shd w:fill="F2F4F7"/>
        </w:rPr>
        <w:t>$mean_relationship</w:t>
      </w:r>
      <w:r>
        <w:t xml:space="preserve">, </w:t>
      </w:r>
      <w:r>
        <w:rPr>
          <w:rFonts w:ascii="Consolas" w:hAnsi="Consolas" w:eastAsia="Consolas"/>
          <w:sz w:val="21"/>
          <w:shd w:fill="F2F4F7"/>
        </w:rPr>
        <w:t>$stability</w:t>
      </w:r>
      <w:r>
        <w:t xml:space="preserve"> and </w:t>
      </w:r>
      <w:r>
        <w:rPr>
          <w:rFonts w:ascii="Consolas" w:hAnsi="Consolas" w:eastAsia="Consolas"/>
          <w:sz w:val="21"/>
          <w:shd w:fill="F2F4F7"/>
        </w:rPr>
        <w:t>$result_contract</w:t>
      </w:r>
      <w:r>
        <w:t xml:space="preserve"> provide the corresponding evidence and provenance.</w:t>
      </w:r>
    </w:p>
    <w:p>
      <w:pPr>
        <w:pStyle w:val="CodeBlock"/>
        <w:shd w:fill="F2F4F7"/>
      </w:pPr>
      <w:r>
        <w:rPr>
          <w:sz w:val="18"/>
        </w:rPr>
        <w:t>ga_ts &lt;- select_parents_ga_ts(</w:t>
        <w:br/>
        <w:t xml:space="preserve">  value_matrix = prediction$local_gebv[, target_blocks, drop = FALSE],</w:t>
        <w:br/>
        <w:t xml:space="preserve">  n_founders = 20,</w:t>
        <w:br/>
        <w:t xml:space="preserve">  merit_score = prediction$gebv,</w:t>
        <w:br/>
        <w:t xml:space="preserve">  strategy = "OHS",</w:t>
        <w:br/>
        <w:t xml:space="preserve">  merit_priority = 50,</w:t>
        <w:br/>
        <w:t xml:space="preserve">  min_sel_value = 0,</w:t>
        <w:br/>
        <w:t xml:space="preserve">  min_sel_mode = "sd_above_mean",</w:t>
        <w:br/>
        <w:t xml:space="preserve">  G = prediction$G,</w:t>
        <w:br/>
        <w:t xml:space="preserve">  target_degree = 30,</w:t>
        <w:br/>
        <w:t xml:space="preserve">  n_reps = 10,</w:t>
        <w:br/>
        <w:t xml:space="preserve">  popSize = 200,</w:t>
        <w:br/>
        <w:t xml:space="preserve">  maxiter = 400,</w:t>
        <w:br/>
        <w:t xml:space="preserve">  run = 80,</w:t>
        <w:br/>
        <w:t xml:space="preserve">  seed = 20260726</w:t>
        <w:br/>
        <w:t>)</w:t>
        <w:br/>
        <w:br/>
        <w:t>ga_ts$selected</w:t>
        <w:br/>
        <w:t>ga_ts$objective_components</w:t>
        <w:br/>
        <w:t>ga_ts$stability$best_rep</w:t>
        <w:br/>
        <w:t>ga_ts$stability$selection_freq</w:t>
      </w:r>
    </w:p>
    <w:p>
      <w:pPr>
        <w:pStyle w:val="Heading2"/>
      </w:pPr>
      <w:r>
        <w:t>3.4 Family or genetic-cluster quota selection</w:t>
      </w:r>
    </w:p>
    <w:p>
      <w:r>
        <w:t xml:space="preserve">Function: </w:t>
      </w:r>
      <w:r>
        <w:rPr>
          <w:rFonts w:ascii="Consolas" w:hAnsi="Consolas" w:eastAsia="Consolas"/>
          <w:sz w:val="21"/>
          <w:shd w:fill="F2F4F7"/>
        </w:rPr>
        <w:t>select_parents_by_family()</w:t>
      </w:r>
    </w:p>
    <w:p>
      <w:r>
        <w:t>Question: Which groups, and which candidates within them, should be represented?</w:t>
      </w:r>
    </w:p>
    <w:p>
      <w:pPr>
        <w:pStyle w:val="Heading3"/>
      </w:pPr>
      <w:r>
        <w:t>Group-definition variants</w:t>
      </w:r>
    </w:p>
    <w:tbl>
      <w:tblPr>
        <w:tblStyle w:val="TableGrid"/>
        <w:tblW w:type="dxa" w:w="10091"/>
        <w:jc w:val="left"/>
        <w:tblLayout w:type="fixed"/>
        <w:tblLook w:firstColumn="1" w:firstRow="1" w:lastColumn="0" w:lastRow="0" w:noHBand="0" w:noVBand="1" w:val="04A0"/>
        <w:tblInd w:w="120" w:type="dxa"/>
      </w:tblPr>
      <w:tblGrid>
        <w:gridCol w:w="2073"/>
        <w:gridCol w:w="4040"/>
        <w:gridCol w:w="3978"/>
      </w:tblGrid>
      <w:tr>
        <w:trPr>
          <w:cantSplit/>
          <w:tblHeader w:val="true"/>
        </w:trPr>
        <w:tc>
          <w:tcPr>
            <w:tcW w:type="dxa" w:w="2073"/>
            <w:vAlign w:val="center"/>
            <w:tcMar>
              <w:top w:w="60" w:type="dxa"/>
              <w:start w:w="120" w:type="dxa"/>
              <w:bottom w:w="60" w:type="dxa"/>
              <w:end w:w="120" w:type="dxa"/>
            </w:tcMar>
            <w:shd w:fill="E8EEF5"/>
          </w:tcPr>
          <w:p>
            <w:pPr>
              <w:keepNext/>
              <w:spacing w:after="0" w:line="240" w:lineRule="auto"/>
            </w:pPr>
            <w:r>
              <w:rPr>
                <w:rFonts w:ascii="Consolas" w:hAnsi="Consolas" w:eastAsia="Consolas"/>
                <w:b/>
                <w:color w:val="1F4D78"/>
                <w:sz w:val="15"/>
                <w:shd w:fill="F2F4F7"/>
              </w:rPr>
              <w:t>group_by</w:t>
            </w:r>
          </w:p>
        </w:tc>
        <w:tc>
          <w:tcPr>
            <w:tcW w:type="dxa" w:w="4040"/>
            <w:vAlign w:val="center"/>
            <w:tcMar>
              <w:top w:w="60" w:type="dxa"/>
              <w:start w:w="120" w:type="dxa"/>
              <w:bottom w:w="60" w:type="dxa"/>
              <w:end w:w="120" w:type="dxa"/>
            </w:tcMar>
            <w:shd w:fill="E8EEF5"/>
          </w:tcPr>
          <w:p>
            <w:pPr>
              <w:keepNext/>
              <w:spacing w:after="0" w:line="240" w:lineRule="auto"/>
            </w:pPr>
            <w:r>
              <w:rPr>
                <w:b/>
                <w:color w:val="1F4D78"/>
                <w:sz w:val="16"/>
              </w:rPr>
              <w:t>Required evidence</w:t>
            </w:r>
          </w:p>
        </w:tc>
        <w:tc>
          <w:tcPr>
            <w:tcW w:type="dxa" w:w="3978"/>
            <w:vAlign w:val="center"/>
            <w:tcMar>
              <w:top w:w="60" w:type="dxa"/>
              <w:start w:w="120" w:type="dxa"/>
              <w:bottom w:w="60" w:type="dxa"/>
              <w:end w:w="120" w:type="dxa"/>
            </w:tcMar>
            <w:shd w:fill="E8EEF5"/>
          </w:tcPr>
          <w:p>
            <w:pPr>
              <w:keepNext/>
              <w:spacing w:after="0" w:line="240" w:lineRule="auto"/>
            </w:pPr>
            <w:r>
              <w:rPr>
                <w:b/>
                <w:color w:val="1F4D78"/>
                <w:sz w:val="16"/>
              </w:rPr>
              <w:t>Interpretation</w:t>
            </w:r>
          </w:p>
        </w:tc>
      </w:tr>
      <w:tr>
        <w:trPr>
          <w:cantSplit/>
        </w:trPr>
        <w:tc>
          <w:tcPr>
            <w:tcW w:type="dxa" w:w="2073"/>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"family"</w:t>
            </w:r>
          </w:p>
        </w:tc>
        <w:tc>
          <w:tcPr>
            <w:tcW w:type="dxa" w:w="4040"/>
            <w:vAlign w:val="center"/>
            <w:tcMar>
              <w:top w:w="60" w:type="dxa"/>
              <w:start w:w="120" w:type="dxa"/>
              <w:bottom w:w="60" w:type="dxa"/>
              <w:end w:w="120" w:type="dxa"/>
            </w:tcMar>
          </w:tcPr>
          <w:p>
            <w:pPr>
              <w:keepNext/>
              <w:spacing w:after="0" w:line="240" w:lineRule="auto"/>
            </w:pPr>
            <w:r>
              <w:rPr>
                <w:sz w:val="16"/>
              </w:rPr>
              <w:t xml:space="preserve">Trustworthy family labels in </w:t>
            </w:r>
            <w:r>
              <w:rPr>
                <w:rFonts w:ascii="Consolas" w:hAnsi="Consolas" w:eastAsia="Consolas"/>
                <w:sz w:val="15"/>
                <w:shd w:fill="F2F4F7"/>
              </w:rPr>
              <w:t>family</w:t>
            </w:r>
          </w:p>
        </w:tc>
        <w:tc>
          <w:tcPr>
            <w:tcW w:type="dxa" w:w="3978"/>
            <w:vAlign w:val="center"/>
            <w:tcMar>
              <w:top w:w="60" w:type="dxa"/>
              <w:start w:w="120" w:type="dxa"/>
              <w:bottom w:w="60" w:type="dxa"/>
              <w:end w:w="120" w:type="dxa"/>
            </w:tcMar>
          </w:tcPr>
          <w:p>
            <w:pPr>
              <w:keepNext/>
              <w:spacing w:after="0" w:line="240" w:lineRule="auto"/>
            </w:pPr>
            <w:r>
              <w:rPr>
                <w:sz w:val="16"/>
              </w:rPr>
              <w:t>Protects recorded pedigree groups</w:t>
            </w:r>
          </w:p>
        </w:tc>
      </w:tr>
      <w:tr>
        <w:trPr>
          <w:cantSplit/>
        </w:trPr>
        <w:tc>
          <w:tcPr>
            <w:tcW w:type="dxa" w:w="2073"/>
            <w:vAlign w:val="center"/>
            <w:tcMar>
              <w:top w:w="60" w:type="dxa"/>
              <w:start w:w="120" w:type="dxa"/>
              <w:bottom w:w="60" w:type="dxa"/>
              <w:end w:w="120" w:type="dxa"/>
            </w:tcMar>
          </w:tcPr>
          <w:p>
            <w:pPr>
              <w:spacing w:after="0" w:line="240" w:lineRule="auto"/>
            </w:pPr>
            <w:r>
              <w:rPr>
                <w:rFonts w:ascii="Consolas" w:hAnsi="Consolas" w:eastAsia="Consolas"/>
                <w:sz w:val="15"/>
                <w:shd w:fill="F2F4F7"/>
              </w:rPr>
              <w:t>"genetic_cluster"</w:t>
            </w:r>
          </w:p>
        </w:tc>
        <w:tc>
          <w:tcPr>
            <w:tcW w:type="dxa" w:w="4040"/>
            <w:vAlign w:val="center"/>
            <w:tcMar>
              <w:top w:w="60" w:type="dxa"/>
              <w:start w:w="120" w:type="dxa"/>
              <w:bottom w:w="60" w:type="dxa"/>
              <w:end w:w="120" w:type="dxa"/>
            </w:tcMar>
          </w:tcPr>
          <w:p>
            <w:pPr>
              <w:spacing w:after="0" w:line="240" w:lineRule="auto"/>
            </w:pPr>
            <w:r>
              <w:rPr>
                <w:sz w:val="16"/>
              </w:rPr>
              <w:t xml:space="preserve">Genomic relationship matrix </w:t>
            </w:r>
            <w:r>
              <w:rPr>
                <w:rFonts w:ascii="Consolas" w:hAnsi="Consolas" w:eastAsia="Consolas"/>
                <w:sz w:val="15"/>
                <w:shd w:fill="F2F4F7"/>
              </w:rPr>
              <w:t>G</w:t>
            </w:r>
            <w:r>
              <w:rPr>
                <w:sz w:val="16"/>
              </w:rPr>
              <w:t xml:space="preserve"> and </w:t>
            </w:r>
            <w:r>
              <w:rPr>
                <w:rFonts w:ascii="Consolas" w:hAnsi="Consolas" w:eastAsia="Consolas"/>
                <w:sz w:val="15"/>
                <w:shd w:fill="F2F4F7"/>
              </w:rPr>
              <w:t>n_clusters</w:t>
            </w:r>
          </w:p>
        </w:tc>
        <w:tc>
          <w:tcPr>
            <w:tcW w:type="dxa" w:w="3978"/>
            <w:vAlign w:val="center"/>
            <w:tcMar>
              <w:top w:w="60" w:type="dxa"/>
              <w:start w:w="120" w:type="dxa"/>
              <w:bottom w:w="60" w:type="dxa"/>
              <w:end w:w="120" w:type="dxa"/>
            </w:tcMar>
          </w:tcPr>
          <w:p>
            <w:pPr>
              <w:spacing w:after="0" w:line="240" w:lineRule="auto"/>
            </w:pPr>
            <w:r>
              <w:rPr>
                <w:sz w:val="16"/>
              </w:rPr>
              <w:t>Defines groups from realised genomic similarity</w:t>
            </w:r>
          </w:p>
        </w:tc>
      </w:tr>
    </w:tbl>
    <w:p>
      <w:pPr>
        <w:spacing w:after="20"/>
      </w:pPr>
    </w:p>
    <w:p>
      <w:r>
        <w:t>Use family mode when the recorded pedigree is the programme's policy unit. Use genetic-cluster mode when labels are absent, uncertain, or less relevant than realised structure. Report those memberships as realised genetic clusters, while recorded families retain their pedigree interpretation.</w:t>
      </w:r>
    </w:p>
    <w:p>
      <w:pPr>
        <w:pStyle w:val="Heading3"/>
      </w:pPr>
      <w:r>
        <w:t>Within-group selection variants</w:t>
      </w:r>
    </w:p>
    <w:tbl>
      <w:tblPr>
        <w:tblStyle w:val="TableGrid"/>
        <w:tblW w:type="dxa" w:w="10091"/>
        <w:jc w:val="left"/>
        <w:tblLayout w:type="fixed"/>
        <w:tblLook w:firstColumn="1" w:firstRow="1" w:lastColumn="0" w:lastRow="0" w:noHBand="0" w:noVBand="1" w:val="04A0"/>
        <w:tblInd w:w="120" w:type="dxa"/>
      </w:tblPr>
      <w:tblGrid>
        <w:gridCol w:w="3285"/>
        <w:gridCol w:w="6806"/>
      </w:tblGrid>
      <w:tr>
        <w:trPr>
          <w:cantSplit/>
          <w:tblHeader w:val="true"/>
        </w:trPr>
        <w:tc>
          <w:tcPr>
            <w:tcW w:type="dxa" w:w="3285"/>
            <w:vAlign w:val="center"/>
            <w:tcMar>
              <w:top w:w="60" w:type="dxa"/>
              <w:start w:w="120" w:type="dxa"/>
              <w:bottom w:w="60" w:type="dxa"/>
              <w:end w:w="120" w:type="dxa"/>
            </w:tcMar>
            <w:shd w:fill="E8EEF5"/>
          </w:tcPr>
          <w:p>
            <w:pPr>
              <w:keepNext/>
              <w:spacing w:after="0" w:line="240" w:lineRule="auto"/>
            </w:pPr>
            <w:r>
              <w:rPr>
                <w:rFonts w:ascii="Consolas" w:hAnsi="Consolas" w:eastAsia="Consolas"/>
                <w:b/>
                <w:color w:val="1F4D78"/>
                <w:sz w:val="15"/>
                <w:shd w:fill="F2F4F7"/>
              </w:rPr>
              <w:t>family_select_mode</w:t>
            </w:r>
          </w:p>
        </w:tc>
        <w:tc>
          <w:tcPr>
            <w:tcW w:type="dxa" w:w="6806"/>
            <w:vAlign w:val="center"/>
            <w:tcMar>
              <w:top w:w="60" w:type="dxa"/>
              <w:start w:w="120" w:type="dxa"/>
              <w:bottom w:w="60" w:type="dxa"/>
              <w:end w:w="120" w:type="dxa"/>
            </w:tcMar>
            <w:shd w:fill="E8EEF5"/>
          </w:tcPr>
          <w:p>
            <w:pPr>
              <w:keepNext/>
              <w:spacing w:after="0" w:line="240" w:lineRule="auto"/>
            </w:pPr>
            <w:r>
              <w:rPr>
                <w:b/>
                <w:color w:val="1F4D78"/>
                <w:sz w:val="16"/>
              </w:rPr>
              <w:t>Rule</w:t>
            </w:r>
          </w:p>
        </w:tc>
      </w:tr>
      <w:tr>
        <w:trPr>
          <w:cantSplit/>
        </w:trPr>
        <w:tc>
          <w:tcPr>
            <w:tcW w:type="dxa" w:w="3285"/>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"count"</w:t>
            </w:r>
          </w:p>
        </w:tc>
        <w:tc>
          <w:tcPr>
            <w:tcW w:type="dxa" w:w="6806"/>
            <w:vAlign w:val="center"/>
            <w:tcMar>
              <w:top w:w="60" w:type="dxa"/>
              <w:start w:w="120" w:type="dxa"/>
              <w:bottom w:w="60" w:type="dxa"/>
              <w:end w:w="120" w:type="dxa"/>
            </w:tcMar>
          </w:tcPr>
          <w:p>
            <w:pPr>
              <w:keepNext/>
              <w:spacing w:after="0" w:line="240" w:lineRule="auto"/>
            </w:pPr>
            <w:r>
              <w:rPr>
                <w:sz w:val="16"/>
              </w:rPr>
              <w:t xml:space="preserve">Select </w:t>
            </w:r>
            <w:r>
              <w:rPr>
                <w:rFonts w:ascii="Consolas" w:hAnsi="Consolas" w:eastAsia="Consolas"/>
                <w:sz w:val="15"/>
                <w:shd w:fill="F2F4F7"/>
              </w:rPr>
              <w:t>n_per_family</w:t>
            </w:r>
            <w:r>
              <w:rPr>
                <w:sz w:val="16"/>
              </w:rPr>
              <w:t xml:space="preserve"> candidates from each retained group</w:t>
            </w:r>
          </w:p>
        </w:tc>
      </w:tr>
      <w:tr>
        <w:trPr>
          <w:cantSplit/>
        </w:trPr>
        <w:tc>
          <w:tcPr>
            <w:tcW w:type="dxa" w:w="3285"/>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"percentage"</w:t>
            </w:r>
          </w:p>
        </w:tc>
        <w:tc>
          <w:tcPr>
            <w:tcW w:type="dxa" w:w="6806"/>
            <w:vAlign w:val="center"/>
            <w:tcMar>
              <w:top w:w="60" w:type="dxa"/>
              <w:start w:w="120" w:type="dxa"/>
              <w:bottom w:w="60" w:type="dxa"/>
              <w:end w:w="120" w:type="dxa"/>
            </w:tcMar>
          </w:tcPr>
          <w:p>
            <w:pPr>
              <w:keepNext/>
              <w:spacing w:after="0" w:line="240" w:lineRule="auto"/>
            </w:pPr>
            <w:r>
              <w:rPr>
                <w:sz w:val="16"/>
              </w:rPr>
              <w:t xml:space="preserve">Select the declared </w:t>
            </w:r>
            <w:r>
              <w:rPr>
                <w:rFonts w:ascii="Consolas" w:hAnsi="Consolas" w:eastAsia="Consolas"/>
                <w:sz w:val="15"/>
                <w:shd w:fill="F2F4F7"/>
              </w:rPr>
              <w:t>pct_per_family</w:t>
            </w:r>
            <w:r>
              <w:rPr>
                <w:sz w:val="16"/>
              </w:rPr>
              <w:t xml:space="preserve"> from each group</w:t>
            </w:r>
          </w:p>
        </w:tc>
      </w:tr>
      <w:tr>
        <w:trPr>
          <w:cantSplit/>
        </w:trPr>
        <w:tc>
          <w:tcPr>
            <w:tcW w:type="dxa" w:w="3285"/>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"sd_threshold"</w:t>
            </w:r>
          </w:p>
        </w:tc>
        <w:tc>
          <w:tcPr>
            <w:tcW w:type="dxa" w:w="6806"/>
            <w:vAlign w:val="center"/>
            <w:tcMar>
              <w:top w:w="60" w:type="dxa"/>
              <w:start w:w="120" w:type="dxa"/>
              <w:bottom w:w="60" w:type="dxa"/>
              <w:end w:w="120" w:type="dxa"/>
            </w:tcMar>
          </w:tcPr>
          <w:p>
            <w:pPr>
              <w:keepNext/>
              <w:spacing w:after="0" w:line="240" w:lineRule="auto"/>
            </w:pPr>
            <w:r>
              <w:rPr>
                <w:sz w:val="16"/>
              </w:rPr>
              <w:t xml:space="preserve">Select candidates with directional merit at least </w:t>
            </w:r>
            <w:r>
              <w:rPr>
                <w:rFonts w:ascii="Consolas" w:hAnsi="Consolas" w:eastAsia="Consolas"/>
                <w:sz w:val="15"/>
                <w:shd w:fill="F2F4F7"/>
              </w:rPr>
              <w:t>mean(score) + sd_threshold × SD(score)</w:t>
            </w:r>
            <w:r>
              <w:rPr>
                <w:sz w:val="16"/>
              </w:rPr>
              <w:t>, calculated across the eligible candidate population</w:t>
            </w:r>
          </w:p>
        </w:tc>
      </w:tr>
      <w:tr>
        <w:trPr>
          <w:cantSplit/>
        </w:trPr>
        <w:tc>
          <w:tcPr>
            <w:tcW w:type="dxa" w:w="3285"/>
            <w:vAlign w:val="center"/>
            <w:tcMar>
              <w:top w:w="60" w:type="dxa"/>
              <w:start w:w="120" w:type="dxa"/>
              <w:bottom w:w="60" w:type="dxa"/>
              <w:end w:w="120" w:type="dxa"/>
            </w:tcMar>
          </w:tcPr>
          <w:p>
            <w:pPr>
              <w:spacing w:after="0" w:line="240" w:lineRule="auto"/>
            </w:pPr>
            <w:r>
              <w:rPr>
                <w:rFonts w:ascii="Consolas" w:hAnsi="Consolas" w:eastAsia="Consolas"/>
                <w:sz w:val="15"/>
                <w:shd w:fill="F2F4F7"/>
              </w:rPr>
              <w:t>"check_relative"</w:t>
            </w:r>
          </w:p>
        </w:tc>
        <w:tc>
          <w:tcPr>
            <w:tcW w:type="dxa" w:w="6806"/>
            <w:vAlign w:val="center"/>
            <w:tcMar>
              <w:top w:w="60" w:type="dxa"/>
              <w:start w:w="120" w:type="dxa"/>
              <w:bottom w:w="60" w:type="dxa"/>
              <w:end w:w="120" w:type="dxa"/>
            </w:tcMar>
          </w:tcPr>
          <w:p>
            <w:pPr>
              <w:spacing w:after="0" w:line="240" w:lineRule="auto"/>
            </w:pPr>
            <w:r>
              <w:rPr>
                <w:sz w:val="16"/>
              </w:rPr>
              <w:t>Select relative to a declared check candidate or check value and margin</w:t>
            </w:r>
          </w:p>
        </w:tc>
      </w:tr>
    </w:tbl>
    <w:p>
      <w:pPr>
        <w:spacing w:after="20"/>
      </w:pPr>
    </w:p>
    <w:p>
      <w:r>
        <w:t xml:space="preserve">For </w:t>
      </w:r>
      <w:r>
        <w:rPr>
          <w:rFonts w:ascii="Consolas" w:hAnsi="Consolas" w:eastAsia="Consolas"/>
          <w:sz w:val="21"/>
          <w:shd w:fill="F2F4F7"/>
        </w:rPr>
        <w:t>"sd_threshold"</w:t>
      </w:r>
      <w:r>
        <w:t xml:space="preserve">, </w:t>
      </w:r>
      <w:r>
        <w:rPr>
          <w:rFonts w:ascii="Consolas" w:hAnsi="Consolas" w:eastAsia="Consolas"/>
          <w:sz w:val="21"/>
          <w:shd w:fill="F2F4F7"/>
        </w:rPr>
        <w:t>0</w:t>
      </w:r>
      <w:r>
        <w:t xml:space="preserve"> retains candidates at or above the population mean and </w:t>
      </w:r>
      <w:r>
        <w:rPr>
          <w:rFonts w:ascii="Consolas" w:hAnsi="Consolas" w:eastAsia="Consolas"/>
          <w:sz w:val="21"/>
          <w:shd w:fill="F2F4F7"/>
        </w:rPr>
        <w:t>1</w:t>
      </w:r>
      <w:r>
        <w:t xml:space="preserve"> requires at least one SD superiority. Negative thresholds deliberately broaden the eligible pool. As elsewhere, construct </w:t>
      </w:r>
      <w:r>
        <w:rPr>
          <w:rFonts w:ascii="Consolas" w:hAnsi="Consolas" w:eastAsia="Consolas"/>
          <w:sz w:val="21"/>
          <w:shd w:fill="F2F4F7"/>
        </w:rPr>
        <w:t>score</w:t>
      </w:r>
      <w:r>
        <w:t xml:space="preserve"> so that larger always means better before applying this rule.</w:t>
      </w:r>
    </w:p>
    <w:p>
      <w:r>
        <w:t xml:space="preserve">Group ranking can use </w:t>
      </w:r>
      <w:r>
        <w:rPr>
          <w:rFonts w:ascii="Consolas" w:hAnsi="Consolas" w:eastAsia="Consolas"/>
          <w:sz w:val="21"/>
          <w:shd w:fill="F2F4F7"/>
        </w:rPr>
        <w:t>"shrunk_topk_mean"</w:t>
      </w:r>
      <w:r>
        <w:t xml:space="preserve"> or </w:t>
      </w:r>
      <w:r>
        <w:rPr>
          <w:rFonts w:ascii="Consolas" w:hAnsi="Consolas" w:eastAsia="Consolas"/>
          <w:sz w:val="21"/>
          <w:shd w:fill="F2F4F7"/>
        </w:rPr>
        <w:t>"topk_mean"</w:t>
      </w:r>
      <w:r>
        <w:t xml:space="preserve">. Shrinkage is preferred when group sizes are unequal because a small group with one extreme observation should not automatically outrank a well-supported group. Variance estimation can use </w:t>
      </w:r>
      <w:r>
        <w:rPr>
          <w:rFonts w:ascii="Consolas" w:hAnsi="Consolas" w:eastAsia="Consolas"/>
          <w:sz w:val="21"/>
          <w:shd w:fill="F2F4F7"/>
        </w:rPr>
        <w:t>"reml"</w:t>
      </w:r>
      <w:r>
        <w:t xml:space="preserve"> or </w:t>
      </w:r>
      <w:r>
        <w:rPr>
          <w:rFonts w:ascii="Consolas" w:hAnsi="Consolas" w:eastAsia="Consolas"/>
          <w:sz w:val="21"/>
          <w:shd w:fill="F2F4F7"/>
        </w:rPr>
        <w:t>"anova"</w:t>
      </w:r>
      <w:r>
        <w:t xml:space="preserve">, and </w:t>
      </w:r>
      <w:r>
        <w:rPr>
          <w:rFonts w:ascii="Consolas" w:hAnsi="Consolas" w:eastAsia="Consolas"/>
          <w:sz w:val="21"/>
          <w:shd w:fill="F2F4F7"/>
        </w:rPr>
        <w:t>bias_correction = "order_stats"</w:t>
      </w:r>
      <w:r>
        <w:t xml:space="preserve"> reduces winner's-curse distortion in top-order summaries.</w:t>
      </w:r>
    </w:p>
    <w:p>
      <w:pPr>
        <w:pStyle w:val="Heading3"/>
      </w:pPr>
      <w:r>
        <w:t>Haplotype-diversity variants</w:t>
      </w:r>
    </w:p>
    <w:p>
      <w:r>
        <w:t xml:space="preserve">With </w:t>
      </w:r>
      <w:r>
        <w:rPr>
          <w:rFonts w:ascii="Consolas" w:hAnsi="Consolas" w:eastAsia="Consolas"/>
          <w:sz w:val="21"/>
          <w:shd w:fill="F2F4F7"/>
        </w:rPr>
        <w:t>ensure_haplotype_diversity = TRUE</w:t>
      </w:r>
      <w:r>
        <w:t>, the within-group choice can be adjusted using:</w:t>
      </w:r>
    </w:p>
    <w:p>
      <w:pPr>
        <w:pStyle w:val="ListBullet"/>
      </w:pPr>
      <w:r>
        <w:rPr>
          <w:rFonts w:ascii="Consolas" w:hAnsi="Consolas" w:eastAsia="Consolas"/>
          <w:sz w:val="21"/>
          <w:shd w:fill="F2F4F7"/>
        </w:rPr>
        <w:t>"coverage_gain"</w:t>
      </w:r>
      <w:r>
        <w:t>: prefer candidates that add favourable block coverage to</w:t>
      </w:r>
      <w:r>
        <w:t xml:space="preserve"> </w:t>
      </w:r>
      <w:r>
        <w:t>the growing selected set; or</w:t>
      </w:r>
    </w:p>
    <w:p>
      <w:pPr>
        <w:pStyle w:val="ListBullet"/>
      </w:pPr>
      <w:r>
        <w:rPr>
          <w:rFonts w:ascii="Consolas" w:hAnsi="Consolas" w:eastAsia="Consolas"/>
          <w:sz w:val="21"/>
          <w:shd w:fill="F2F4F7"/>
        </w:rPr>
        <w:t>"dominant_block"</w:t>
      </w:r>
      <w:r>
        <w:t>: prefer complementary dominant haplotype states using</w:t>
      </w:r>
      <w:r>
        <w:t xml:space="preserve"> </w:t>
      </w:r>
      <w:r>
        <w:t>supplied phased haplotypes.</w:t>
      </w:r>
    </w:p>
    <w:p>
      <w:r>
        <w:rPr>
          <w:rFonts w:ascii="Consolas" w:hAnsi="Consolas" w:eastAsia="Consolas"/>
          <w:sz w:val="21"/>
          <w:shd w:fill="F2F4F7"/>
        </w:rPr>
        <w:t>within_group_target_degree</w:t>
      </w:r>
      <w:r>
        <w:t xml:space="preserve"> and </w:t>
      </w:r>
      <w:r>
        <w:rPr>
          <w:rFonts w:ascii="Consolas" w:hAnsi="Consolas" w:eastAsia="Consolas"/>
          <w:sz w:val="21"/>
          <w:shd w:fill="F2F4F7"/>
        </w:rPr>
        <w:t>G</w:t>
      </w:r>
      <w:r>
        <w:t xml:space="preserve"> can impose relationship control inside each group. This is not a substitute for a whole-plan OCS analysis.</w:t>
      </w:r>
    </w:p>
    <w:p>
      <w:r>
        <w:t>Review group sizes, eligibility, shrinkage, the within-group rule and groups receiving no contribution. A quota deliberately protects representation; the reported group scores and uncertainty show the genetic evidence supporting each allocation.</w:t>
      </w:r>
    </w:p>
    <w:p>
      <w:pPr>
        <w:pStyle w:val="Heading2"/>
      </w:pPr>
      <w:r>
        <w:t>3.5 Usefulness criterion</w:t>
      </w:r>
    </w:p>
    <w:p>
      <w:r>
        <w:t xml:space="preserve">Function: </w:t>
      </w:r>
      <w:r>
        <w:rPr>
          <w:rFonts w:ascii="Consolas" w:hAnsi="Consolas" w:eastAsia="Consolas"/>
          <w:sz w:val="21"/>
          <w:shd w:fill="F2F4F7"/>
        </w:rPr>
        <w:t>usefulness_criterion()</w:t>
      </w:r>
    </w:p>
    <w:p>
      <w:r>
        <w:t>Question: Which pairings combine expected progeny mean with useful segregation?</w:t>
      </w:r>
    </w:p>
    <w:p>
      <w:r>
        <w:t>The usefulness criterion is:</w:t>
      </w:r>
    </w:p>
    <w:p>
      <w:r>
        <w:rPr>
          <w:rFonts w:ascii="Consolas" w:hAnsi="Consolas" w:eastAsia="Consolas"/>
          <w:sz w:val="21"/>
          <w:shd w:fill="F2F4F7"/>
        </w:rPr>
        <w:t>UC = expected cross mean + selection intensity × predicted progeny SD</w:t>
      </w:r>
      <w:r>
        <w:t>.</w:t>
      </w:r>
    </w:p>
    <w:p>
      <w:r>
        <w:t xml:space="preserve">The function accepts either </w:t>
      </w:r>
      <w:r>
        <w:rPr>
          <w:rFonts w:ascii="Consolas" w:hAnsi="Consolas" w:eastAsia="Consolas"/>
          <w:sz w:val="21"/>
          <w:shd w:fill="F2F4F7"/>
        </w:rPr>
        <w:t>parent_ids</w:t>
      </w:r>
      <w:r>
        <w:t xml:space="preserve">, which generates all permitted pairs, or an explicit </w:t>
      </w:r>
      <w:r>
        <w:rPr>
          <w:rFonts w:ascii="Consolas" w:hAnsi="Consolas" w:eastAsia="Consolas"/>
          <w:sz w:val="21"/>
          <w:shd w:fill="F2F4F7"/>
        </w:rPr>
        <w:t>cross_pairs</w:t>
      </w:r>
      <w:r>
        <w:t xml:space="preserve"> table, which is preferred after operational screening. </w:t>
      </w:r>
      <w:r>
        <w:rPr>
          <w:rFonts w:ascii="Consolas" w:hAnsi="Consolas" w:eastAsia="Consolas"/>
          <w:sz w:val="21"/>
          <w:shd w:fill="F2F4F7"/>
        </w:rPr>
        <w:t>selected_proportion</w:t>
      </w:r>
      <w:r>
        <w:t xml:space="preserve"> determines selection intensity. When </w:t>
      </w:r>
      <w:r>
        <w:rPr>
          <w:rFonts w:ascii="Consolas" w:hAnsi="Consolas" w:eastAsia="Consolas"/>
          <w:sz w:val="21"/>
          <w:shd w:fill="F2F4F7"/>
        </w:rPr>
        <w:t>n_progeny</w:t>
      </w:r>
      <w:r>
        <w:t xml:space="preserve"> is supplied, finite-family selection intensity is estimated from simulation rather than treated as an infinite-population approximation.</w:t>
      </w:r>
    </w:p>
    <w:p>
      <w:pPr>
        <w:pStyle w:val="Heading3"/>
      </w:pPr>
      <w:r>
        <w:t>Variance-model variants</w:t>
      </w:r>
    </w:p>
    <w:tbl>
      <w:tblPr>
        <w:tblStyle w:val="TableGrid"/>
        <w:tblW w:type="dxa" w:w="10091"/>
        <w:jc w:val="left"/>
        <w:tblLayout w:type="fixed"/>
        <w:tblLook w:firstColumn="1" w:firstRow="1" w:lastColumn="0" w:lastRow="0" w:noHBand="0" w:noVBand="1" w:val="04A0"/>
        <w:tblInd w:w="120" w:type="dxa"/>
      </w:tblPr>
      <w:tblGrid>
        <w:gridCol w:w="1458"/>
        <w:gridCol w:w="2801"/>
        <w:gridCol w:w="2916"/>
        <w:gridCol w:w="2916"/>
      </w:tblGrid>
      <w:tr>
        <w:trPr>
          <w:cantSplit/>
          <w:tblHeader w:val="true"/>
        </w:trPr>
        <w:tc>
          <w:tcPr>
            <w:tcW w:type="dxa" w:w="1458"/>
            <w:vAlign w:val="center"/>
            <w:tcMar>
              <w:top w:w="60" w:type="dxa"/>
              <w:start w:w="120" w:type="dxa"/>
              <w:bottom w:w="60" w:type="dxa"/>
              <w:end w:w="120" w:type="dxa"/>
            </w:tcMar>
            <w:shd w:fill="E8EEF5"/>
          </w:tcPr>
          <w:p>
            <w:pPr>
              <w:keepNext/>
              <w:spacing w:after="0" w:line="240" w:lineRule="auto"/>
            </w:pPr>
            <w:r>
              <w:rPr>
                <w:rFonts w:ascii="Consolas" w:hAnsi="Consolas" w:eastAsia="Consolas"/>
                <w:b/>
                <w:color w:val="1F4D78"/>
                <w:sz w:val="15"/>
                <w:shd w:fill="F2F4F7"/>
              </w:rPr>
              <w:t>variance_model</w:t>
            </w:r>
          </w:p>
        </w:tc>
        <w:tc>
          <w:tcPr>
            <w:tcW w:type="dxa" w:w="2801"/>
            <w:vAlign w:val="center"/>
            <w:tcMar>
              <w:top w:w="60" w:type="dxa"/>
              <w:start w:w="120" w:type="dxa"/>
              <w:bottom w:w="60" w:type="dxa"/>
              <w:end w:w="120" w:type="dxa"/>
            </w:tcMar>
            <w:shd w:fill="E8EEF5"/>
          </w:tcPr>
          <w:p>
            <w:pPr>
              <w:keepNext/>
              <w:spacing w:after="0" w:line="240" w:lineRule="auto"/>
            </w:pPr>
            <w:r>
              <w:rPr>
                <w:b/>
                <w:color w:val="1F4D78"/>
                <w:sz w:val="16"/>
              </w:rPr>
              <w:t>Required inputs</w:t>
            </w:r>
          </w:p>
        </w:tc>
        <w:tc>
          <w:tcPr>
            <w:tcW w:type="dxa" w:w="2916"/>
            <w:vAlign w:val="center"/>
            <w:tcMar>
              <w:top w:w="60" w:type="dxa"/>
              <w:start w:w="120" w:type="dxa"/>
              <w:bottom w:w="60" w:type="dxa"/>
              <w:end w:w="120" w:type="dxa"/>
            </w:tcMar>
            <w:shd w:fill="E8EEF5"/>
          </w:tcPr>
          <w:p>
            <w:pPr>
              <w:keepNext/>
              <w:spacing w:after="0" w:line="240" w:lineRule="auto"/>
            </w:pPr>
            <w:r>
              <w:rPr>
                <w:b/>
                <w:color w:val="1F4D78"/>
                <w:sz w:val="16"/>
              </w:rPr>
              <w:t>What is represented</w:t>
            </w:r>
          </w:p>
        </w:tc>
        <w:tc>
          <w:tcPr>
            <w:tcW w:type="dxa" w:w="2916"/>
            <w:vAlign w:val="center"/>
            <w:tcMar>
              <w:top w:w="60" w:type="dxa"/>
              <w:start w:w="120" w:type="dxa"/>
              <w:bottom w:w="60" w:type="dxa"/>
              <w:end w:w="120" w:type="dxa"/>
            </w:tcMar>
            <w:shd w:fill="E8EEF5"/>
          </w:tcPr>
          <w:p>
            <w:pPr>
              <w:keepNext/>
              <w:spacing w:after="0" w:line="240" w:lineRule="auto"/>
            </w:pPr>
            <w:r>
              <w:rPr>
                <w:b/>
                <w:color w:val="1F4D78"/>
                <w:sz w:val="16"/>
              </w:rPr>
              <w:t>Modelling scope</w:t>
            </w:r>
          </w:p>
        </w:tc>
      </w:tr>
      <w:tr>
        <w:trPr>
          <w:cantSplit/>
        </w:trPr>
        <w:tc>
          <w:tcPr>
            <w:tcW w:type="dxa" w:w="1458"/>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"block_independent"</w:t>
            </w:r>
          </w:p>
        </w:tc>
        <w:tc>
          <w:tcPr>
            <w:tcW w:type="dxa" w:w="280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local_gebv</w:t>
            </w:r>
            <w:r>
              <w:rPr>
                <w:sz w:val="16"/>
              </w:rPr>
              <w:t xml:space="preserve"> and target blocks</w:t>
            </w:r>
          </w:p>
        </w:tc>
        <w:tc>
          <w:tcPr>
            <w:tcW w:type="dxa" w:w="2916"/>
            <w:vAlign w:val="center"/>
            <w:tcMar>
              <w:top w:w="60" w:type="dxa"/>
              <w:start w:w="120" w:type="dxa"/>
              <w:bottom w:w="60" w:type="dxa"/>
              <w:end w:w="120" w:type="dxa"/>
            </w:tcMar>
          </w:tcPr>
          <w:p>
            <w:pPr>
              <w:keepNext/>
              <w:spacing w:after="0" w:line="240" w:lineRule="auto"/>
            </w:pPr>
            <w:r>
              <w:rPr>
                <w:sz w:val="16"/>
              </w:rPr>
              <w:t>Sum of independent block segregation variances</w:t>
            </w:r>
          </w:p>
        </w:tc>
        <w:tc>
          <w:tcPr>
            <w:tcW w:type="dxa" w:w="2916"/>
            <w:vAlign w:val="center"/>
            <w:tcMar>
              <w:top w:w="60" w:type="dxa"/>
              <w:start w:w="120" w:type="dxa"/>
              <w:bottom w:w="60" w:type="dxa"/>
              <w:end w:w="120" w:type="dxa"/>
            </w:tcMar>
          </w:tcPr>
          <w:p>
            <w:pPr>
              <w:keepNext/>
              <w:spacing w:after="0" w:line="240" w:lineRule="auto"/>
            </w:pPr>
            <w:r>
              <w:rPr>
                <w:sz w:val="16"/>
              </w:rPr>
              <w:t>Ignores linkage between blocks</w:t>
            </w:r>
          </w:p>
        </w:tc>
      </w:tr>
      <w:tr>
        <w:trPr>
          <w:cantSplit/>
        </w:trPr>
        <w:tc>
          <w:tcPr>
            <w:tcW w:type="dxa" w:w="1458"/>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"phased"</w:t>
            </w:r>
          </w:p>
        </w:tc>
        <w:tc>
          <w:tcPr>
            <w:tcW w:type="dxa" w:w="2801"/>
            <w:vAlign w:val="center"/>
            <w:tcMar>
              <w:top w:w="60" w:type="dxa"/>
              <w:start w:w="120" w:type="dxa"/>
              <w:bottom w:w="60" w:type="dxa"/>
              <w:end w:w="120" w:type="dxa"/>
            </w:tcMar>
          </w:tcPr>
          <w:p>
            <w:pPr>
              <w:keepNext/>
              <w:spacing w:after="0" w:line="240" w:lineRule="auto"/>
            </w:pPr>
            <w:r>
              <w:rPr>
                <w:sz w:val="16"/>
              </w:rPr>
              <w:t>Phased haplotypes and effects</w:t>
            </w:r>
          </w:p>
        </w:tc>
        <w:tc>
          <w:tcPr>
            <w:tcW w:type="dxa" w:w="2916"/>
            <w:vAlign w:val="center"/>
            <w:tcMar>
              <w:top w:w="60" w:type="dxa"/>
              <w:start w:w="120" w:type="dxa"/>
              <w:bottom w:w="60" w:type="dxa"/>
              <w:end w:w="120" w:type="dxa"/>
            </w:tcMar>
          </w:tcPr>
          <w:p>
            <w:pPr>
              <w:keepNext/>
              <w:spacing w:after="0" w:line="240" w:lineRule="auto"/>
            </w:pPr>
            <w:r>
              <w:rPr>
                <w:sz w:val="16"/>
              </w:rPr>
              <w:t>Exact within-block four-gamete enumeration</w:t>
            </w:r>
          </w:p>
        </w:tc>
        <w:tc>
          <w:tcPr>
            <w:tcW w:type="dxa" w:w="2916"/>
            <w:vAlign w:val="center"/>
            <w:tcMar>
              <w:top w:w="60" w:type="dxa"/>
              <w:start w:w="120" w:type="dxa"/>
              <w:bottom w:w="60" w:type="dxa"/>
              <w:end w:w="120" w:type="dxa"/>
            </w:tcMar>
          </w:tcPr>
          <w:p>
            <w:pPr>
              <w:keepNext/>
              <w:spacing w:after="0" w:line="240" w:lineRule="auto"/>
            </w:pPr>
            <w:r>
              <w:rPr>
                <w:sz w:val="16"/>
              </w:rPr>
              <w:t>Blocks remain independent</w:t>
            </w:r>
          </w:p>
        </w:tc>
      </w:tr>
      <w:tr>
        <w:trPr>
          <w:cantSplit/>
        </w:trPr>
        <w:tc>
          <w:tcPr>
            <w:tcW w:type="dxa" w:w="1458"/>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"linked"</w:t>
            </w:r>
          </w:p>
        </w:tc>
        <w:tc>
          <w:tcPr>
            <w:tcW w:type="dxa" w:w="2801"/>
            <w:vAlign w:val="center"/>
            <w:tcMar>
              <w:top w:w="60" w:type="dxa"/>
              <w:start w:w="120" w:type="dxa"/>
              <w:bottom w:w="60" w:type="dxa"/>
              <w:end w:w="120" w:type="dxa"/>
            </w:tcMar>
          </w:tcPr>
          <w:p>
            <w:pPr>
              <w:keepNext/>
              <w:spacing w:after="0" w:line="240" w:lineRule="auto"/>
            </w:pPr>
            <w:r>
              <w:rPr>
                <w:sz w:val="16"/>
              </w:rPr>
              <w:t>Phased haplotypes plus genetic map or LD information</w:t>
            </w:r>
          </w:p>
        </w:tc>
        <w:tc>
          <w:tcPr>
            <w:tcW w:type="dxa" w:w="2916"/>
            <w:vAlign w:val="center"/>
            <w:tcMar>
              <w:top w:w="60" w:type="dxa"/>
              <w:start w:w="120" w:type="dxa"/>
              <w:bottom w:w="60" w:type="dxa"/>
              <w:end w:w="120" w:type="dxa"/>
            </w:tcMar>
          </w:tcPr>
          <w:p>
            <w:pPr>
              <w:keepNext/>
              <w:spacing w:after="0" w:line="240" w:lineRule="auto"/>
            </w:pPr>
            <w:r>
              <w:rPr>
                <w:sz w:val="16"/>
              </w:rPr>
              <w:t>Monte Carlo inheritance with block-to-block recombination</w:t>
            </w:r>
          </w:p>
        </w:tc>
        <w:tc>
          <w:tcPr>
            <w:tcW w:type="dxa" w:w="2916"/>
            <w:vAlign w:val="center"/>
            <w:tcMar>
              <w:top w:w="60" w:type="dxa"/>
              <w:start w:w="120" w:type="dxa"/>
              <w:bottom w:w="60" w:type="dxa"/>
              <w:end w:w="120" w:type="dxa"/>
            </w:tcMar>
          </w:tcPr>
          <w:p>
            <w:pPr>
              <w:keepNext/>
              <w:spacing w:after="0" w:line="240" w:lineRule="auto"/>
            </w:pPr>
            <w:r>
              <w:rPr>
                <w:sz w:val="16"/>
              </w:rPr>
              <w:t>Accuracy depends on phase, map and simulation size</w:t>
            </w:r>
          </w:p>
        </w:tc>
      </w:tr>
      <w:tr>
        <w:trPr>
          <w:cantSplit/>
        </w:trPr>
        <w:tc>
          <w:tcPr>
            <w:tcW w:type="dxa" w:w="1458"/>
            <w:vAlign w:val="center"/>
            <w:tcMar>
              <w:top w:w="60" w:type="dxa"/>
              <w:start w:w="120" w:type="dxa"/>
              <w:bottom w:w="60" w:type="dxa"/>
              <w:end w:w="120" w:type="dxa"/>
            </w:tcMar>
          </w:tcPr>
          <w:p>
            <w:pPr>
              <w:spacing w:after="0" w:line="240" w:lineRule="auto"/>
            </w:pPr>
            <w:r>
              <w:rPr>
                <w:rFonts w:ascii="Consolas" w:hAnsi="Consolas" w:eastAsia="Consolas"/>
                <w:sz w:val="15"/>
                <w:shd w:fill="F2F4F7"/>
              </w:rPr>
              <w:t>"simplemating"</w:t>
            </w:r>
          </w:p>
        </w:tc>
        <w:tc>
          <w:tcPr>
            <w:tcW w:type="dxa" w:w="2801"/>
            <w:vAlign w:val="center"/>
            <w:tcMar>
              <w:top w:w="60" w:type="dxa"/>
              <w:start w:w="120" w:type="dxa"/>
              <w:bottom w:w="60" w:type="dxa"/>
              <w:end w:w="120" w:type="dxa"/>
            </w:tcMar>
          </w:tcPr>
          <w:p>
            <w:pPr>
              <w:spacing w:after="0" w:line="240" w:lineRule="auto"/>
            </w:pPr>
            <w:r>
              <w:rPr>
                <w:sz w:val="16"/>
              </w:rPr>
              <w:t>Suitable genotype coding and SimpleMating inputs</w:t>
            </w:r>
          </w:p>
        </w:tc>
        <w:tc>
          <w:tcPr>
            <w:tcW w:type="dxa" w:w="2916"/>
            <w:vAlign w:val="center"/>
            <w:tcMar>
              <w:top w:w="60" w:type="dxa"/>
              <w:start w:w="120" w:type="dxa"/>
              <w:bottom w:w="60" w:type="dxa"/>
              <w:end w:w="120" w:type="dxa"/>
            </w:tcMar>
          </w:tcPr>
          <w:p>
            <w:pPr>
              <w:spacing w:after="0" w:line="240" w:lineRule="auto"/>
            </w:pPr>
            <w:r>
              <w:rPr>
                <w:sz w:val="16"/>
              </w:rPr>
              <w:t>Multi-locus progeny variance for RIL or DH designs</w:t>
            </w:r>
          </w:p>
        </w:tc>
        <w:tc>
          <w:tcPr>
            <w:tcW w:type="dxa" w:w="2916"/>
            <w:vAlign w:val="center"/>
            <w:tcMar>
              <w:top w:w="60" w:type="dxa"/>
              <w:start w:w="120" w:type="dxa"/>
              <w:bottom w:w="60" w:type="dxa"/>
              <w:end w:w="120" w:type="dxa"/>
            </w:tcMar>
          </w:tcPr>
          <w:p>
            <w:pPr>
              <w:spacing w:after="0" w:line="240" w:lineRule="auto"/>
            </w:pPr>
            <w:r>
              <w:rPr>
                <w:sz w:val="16"/>
              </w:rPr>
              <w:t>Optional dependency and method-specific data assumptions</w:t>
            </w:r>
          </w:p>
        </w:tc>
      </w:tr>
    </w:tbl>
    <w:p>
      <w:pPr>
        <w:spacing w:after="20"/>
      </w:pPr>
    </w:p>
    <w:p>
      <w:r>
        <w:t xml:space="preserve">For </w:t>
      </w:r>
      <w:r>
        <w:rPr>
          <w:rFonts w:ascii="Consolas" w:hAnsi="Consolas" w:eastAsia="Consolas"/>
          <w:sz w:val="21"/>
          <w:shd w:fill="F2F4F7"/>
        </w:rPr>
        <w:t>"linked"</w:t>
      </w:r>
      <w:r>
        <w:t xml:space="preserve">, increase </w:t>
      </w:r>
      <w:r>
        <w:rPr>
          <w:rFonts w:ascii="Consolas" w:hAnsi="Consolas" w:eastAsia="Consolas"/>
          <w:sz w:val="21"/>
          <w:shd w:fill="F2F4F7"/>
        </w:rPr>
        <w:t>n_sim_linked</w:t>
      </w:r>
      <w:r>
        <w:t xml:space="preserve"> until cross rankings are stable. </w:t>
      </w:r>
      <w:r>
        <w:rPr>
          <w:rFonts w:ascii="Consolas" w:hAnsi="Consolas" w:eastAsia="Consolas"/>
          <w:sz w:val="21"/>
          <w:shd w:fill="F2F4F7"/>
        </w:rPr>
        <w:t>type = "RIL"</w:t>
      </w:r>
      <w:r>
        <w:t xml:space="preserve"> and </w:t>
      </w:r>
      <w:r>
        <w:rPr>
          <w:rFonts w:ascii="Consolas" w:hAnsi="Consolas" w:eastAsia="Consolas"/>
          <w:sz w:val="21"/>
          <w:shd w:fill="F2F4F7"/>
        </w:rPr>
        <w:t>"DH"</w:t>
      </w:r>
      <w:r>
        <w:t xml:space="preserve"> represent different progeny-development systems; </w:t>
      </w:r>
      <w:r>
        <w:rPr>
          <w:rFonts w:ascii="Consolas" w:hAnsi="Consolas" w:eastAsia="Consolas"/>
          <w:sz w:val="21"/>
          <w:shd w:fill="F2F4F7"/>
        </w:rPr>
        <w:t>generation</w:t>
      </w:r>
      <w:r>
        <w:t xml:space="preserve"> must match the proposed breeding stage. </w:t>
      </w:r>
      <w:r>
        <w:rPr>
          <w:rFonts w:ascii="Consolas" w:hAnsi="Consolas" w:eastAsia="Consolas"/>
          <w:sz w:val="21"/>
          <w:shd w:fill="F2F4F7"/>
        </w:rPr>
        <w:t>het_to_na</w:t>
      </w:r>
      <w:r>
        <w:t xml:space="preserve"> should be used only when its genotype-coding assumption is appropriate.</w:t>
      </w:r>
    </w:p>
    <w:p>
      <w:pPr>
        <w:pStyle w:val="Heading3"/>
      </w:pPr>
      <w:r>
        <w:t>Reliability and downside risk</w:t>
      </w:r>
    </w:p>
    <w:p>
      <w:r>
        <w:t xml:space="preserve">Pass </w:t>
      </w:r>
      <w:r>
        <w:rPr>
          <w:rFonts w:ascii="Consolas" w:hAnsi="Consolas" w:eastAsia="Consolas"/>
          <w:sz w:val="21"/>
          <w:shd w:fill="F2F4F7"/>
        </w:rPr>
        <w:t>gebv_se</w:t>
      </w:r>
      <w:r>
        <w:t xml:space="preserve">, </w:t>
      </w:r>
      <w:r>
        <w:rPr>
          <w:rFonts w:ascii="Consolas" w:hAnsi="Consolas" w:eastAsia="Consolas"/>
          <w:sz w:val="21"/>
          <w:shd w:fill="F2F4F7"/>
        </w:rPr>
        <w:t>gebv_reliability</w:t>
      </w:r>
      <w:r>
        <w:t xml:space="preserve"> and </w:t>
      </w:r>
      <w:r>
        <w:rPr>
          <w:rFonts w:ascii="Consolas" w:hAnsi="Consolas" w:eastAsia="Consolas"/>
          <w:sz w:val="21"/>
          <w:shd w:fill="F2F4F7"/>
        </w:rPr>
        <w:t>phasing_reliability</w:t>
      </w:r>
      <w:r>
        <w:t xml:space="preserve"> whenever available. The function reports uncertainty, a downside quantile and recommendation reasons. </w:t>
      </w:r>
      <w:r>
        <w:rPr>
          <w:rFonts w:ascii="Consolas" w:hAnsi="Consolas" w:eastAsia="Consolas"/>
          <w:sz w:val="21"/>
          <w:shd w:fill="F2F4F7"/>
        </w:rPr>
        <w:t>min_reliability</w:t>
      </w:r>
      <w:r>
        <w:t xml:space="preserve"> makes the programme's evidence threshold operational. Review:</w:t>
      </w:r>
    </w:p>
    <w:p>
      <w:pPr>
        <w:pStyle w:val="ListBullet"/>
      </w:pPr>
      <w:r>
        <w:t>expected cross mean;</w:t>
      </w:r>
    </w:p>
    <w:p>
      <w:pPr>
        <w:pStyle w:val="ListBullet"/>
      </w:pPr>
      <w:r>
        <w:t>predicted variance and its model;</w:t>
      </w:r>
    </w:p>
    <w:p>
      <w:pPr>
        <w:pStyle w:val="ListBullet"/>
      </w:pPr>
      <w:r>
        <w:t>UC and the declared selection intensity;</w:t>
      </w:r>
    </w:p>
    <w:p>
      <w:pPr>
        <w:pStyle w:val="ListBullet"/>
      </w:pPr>
      <w:r>
        <w:t>downside quantile;</w:t>
      </w:r>
    </w:p>
    <w:p>
      <w:pPr>
        <w:pStyle w:val="ListBullet"/>
      </w:pPr>
      <w:r>
        <w:t>uncertainty interval;</w:t>
      </w:r>
    </w:p>
    <w:p>
      <w:pPr>
        <w:pStyle w:val="ListBullet"/>
      </w:pPr>
      <w:r>
        <w:t>parental and phasing reliability;</w:t>
      </w:r>
    </w:p>
    <w:p>
      <w:pPr>
        <w:pStyle w:val="ListBullet"/>
      </w:pPr>
      <w:r>
        <w:t>number of simulated progeny or inheritance replicates; and</w:t>
      </w:r>
    </w:p>
    <w:p>
      <w:pPr>
        <w:pStyle w:val="ListBullet"/>
      </w:pPr>
      <w:r>
        <w:t>practical feasibility.</w:t>
      </w:r>
    </w:p>
    <w:p>
      <w:r>
        <w:t>Promotion can therefore require a specified UC, downside-risk and reliability threshold. When phase is used in the variance model, its reported accuracy becomes part of that decision rule.</w:t>
      </w:r>
    </w:p>
    <w:p>
      <w:pPr>
        <w:pStyle w:val="Heading2"/>
      </w:pPr>
      <w:r>
        <w:t>3.6 Optimal contribution selection</w:t>
      </w:r>
    </w:p>
    <w:p>
      <w:r>
        <w:t xml:space="preserve">Function: </w:t>
      </w:r>
      <w:r>
        <w:rPr>
          <w:rFonts w:ascii="Consolas" w:hAnsi="Consolas" w:eastAsia="Consolas"/>
          <w:sz w:val="21"/>
          <w:shd w:fill="F2F4F7"/>
        </w:rPr>
        <w:t>select_parents_ocs()</w:t>
      </w:r>
    </w:p>
    <w:p>
      <w:r>
        <w:t>Question: How much should each parent contribute while expected gain is balanced against coancestry?</w:t>
      </w:r>
    </w:p>
    <w:p>
      <w:r>
        <w:t xml:space="preserve">Inputs are a named merit vector and a genomic relationship matrix </w:t>
      </w:r>
      <w:r>
        <w:rPr>
          <w:rFonts w:ascii="Consolas" w:hAnsi="Consolas" w:eastAsia="Consolas"/>
          <w:sz w:val="21"/>
          <w:shd w:fill="F2F4F7"/>
        </w:rPr>
        <w:t>G</w:t>
      </w:r>
      <w:r>
        <w:t xml:space="preserve">. </w:t>
      </w:r>
      <w:r>
        <w:rPr>
          <w:rFonts w:ascii="Consolas" w:hAnsi="Consolas" w:eastAsia="Consolas"/>
          <w:sz w:val="21"/>
          <w:shd w:fill="F2F4F7"/>
        </w:rPr>
        <w:t>n_crosses</w:t>
      </w:r>
      <w:r>
        <w:t xml:space="preserve">, </w:t>
      </w:r>
      <w:r>
        <w:rPr>
          <w:rFonts w:ascii="Consolas" w:hAnsi="Consolas" w:eastAsia="Consolas"/>
          <w:sz w:val="21"/>
          <w:shd w:fill="F2F4F7"/>
        </w:rPr>
        <w:t>max_contrib_per_parent</w:t>
      </w:r>
      <w:r>
        <w:t xml:space="preserve">, selfing and repeated-mating rules translate contributions into an operational mating plan. </w:t>
      </w:r>
      <w:r>
        <w:rPr>
          <w:rFonts w:ascii="Consolas" w:hAnsi="Consolas" w:eastAsia="Consolas"/>
          <w:sz w:val="21"/>
          <w:shd w:fill="F2F4F7"/>
        </w:rPr>
        <w:t>target_degree</w:t>
      </w:r>
      <w:r>
        <w:t xml:space="preserve"> ranges from 0, which prioritises gain, to 90, which prioritises diversity.</w:t>
      </w:r>
    </w:p>
    <w:p>
      <w:pPr>
        <w:pStyle w:val="Heading3"/>
      </w:pPr>
      <w:r>
        <w:t>Engine variants</w:t>
      </w:r>
    </w:p>
    <w:tbl>
      <w:tblPr>
        <w:tblStyle w:val="TableGrid"/>
        <w:tblW w:type="dxa" w:w="10091"/>
        <w:jc w:val="left"/>
        <w:tblLayout w:type="fixed"/>
        <w:tblLook w:firstColumn="1" w:firstRow="1" w:lastColumn="0" w:lastRow="0" w:noHBand="0" w:noVBand="1" w:val="04A0"/>
        <w:tblInd w:w="120" w:type="dxa"/>
      </w:tblPr>
      <w:tblGrid>
        <w:gridCol w:w="1720"/>
        <w:gridCol w:w="4185"/>
        <w:gridCol w:w="4186"/>
      </w:tblGrid>
      <w:tr>
        <w:trPr>
          <w:cantSplit/>
          <w:tblHeader w:val="true"/>
        </w:trPr>
        <w:tc>
          <w:tcPr>
            <w:tcW w:type="dxa" w:w="1720"/>
            <w:vAlign w:val="center"/>
            <w:tcMar>
              <w:top w:w="60" w:type="dxa"/>
              <w:start w:w="120" w:type="dxa"/>
              <w:bottom w:w="60" w:type="dxa"/>
              <w:end w:w="120" w:type="dxa"/>
            </w:tcMar>
            <w:shd w:fill="E8EEF5"/>
          </w:tcPr>
          <w:p>
            <w:pPr>
              <w:keepNext/>
              <w:spacing w:after="0" w:line="240" w:lineRule="auto"/>
            </w:pPr>
            <w:r>
              <w:rPr>
                <w:rFonts w:ascii="Consolas" w:hAnsi="Consolas" w:eastAsia="Consolas"/>
                <w:b/>
                <w:color w:val="1F4D78"/>
                <w:sz w:val="15"/>
                <w:shd w:fill="F2F4F7"/>
              </w:rPr>
              <w:t>engine</w:t>
            </w:r>
          </w:p>
        </w:tc>
        <w:tc>
          <w:tcPr>
            <w:tcW w:type="dxa" w:w="4185"/>
            <w:vAlign w:val="center"/>
            <w:tcMar>
              <w:top w:w="60" w:type="dxa"/>
              <w:start w:w="120" w:type="dxa"/>
              <w:bottom w:w="60" w:type="dxa"/>
              <w:end w:w="120" w:type="dxa"/>
            </w:tcMar>
            <w:shd w:fill="E8EEF5"/>
          </w:tcPr>
          <w:p>
            <w:pPr>
              <w:keepNext/>
              <w:spacing w:after="0" w:line="240" w:lineRule="auto"/>
            </w:pPr>
            <w:r>
              <w:rPr>
                <w:b/>
                <w:color w:val="1F4D78"/>
                <w:sz w:val="16"/>
              </w:rPr>
              <w:t>Role</w:t>
            </w:r>
          </w:p>
        </w:tc>
        <w:tc>
          <w:tcPr>
            <w:tcW w:type="dxa" w:w="4186"/>
            <w:vAlign w:val="center"/>
            <w:tcMar>
              <w:top w:w="60" w:type="dxa"/>
              <w:start w:w="120" w:type="dxa"/>
              <w:bottom w:w="60" w:type="dxa"/>
              <w:end w:w="120" w:type="dxa"/>
            </w:tcMar>
            <w:shd w:fill="E8EEF5"/>
          </w:tcPr>
          <w:p>
            <w:pPr>
              <w:keepNext/>
              <w:spacing w:after="0" w:line="240" w:lineRule="auto"/>
            </w:pPr>
            <w:r>
              <w:rPr>
                <w:b/>
                <w:color w:val="1F4D78"/>
                <w:sz w:val="16"/>
              </w:rPr>
              <w:t>Implementation and use</w:t>
            </w:r>
          </w:p>
        </w:tc>
      </w:tr>
      <w:tr>
        <w:trPr>
          <w:cantSplit/>
        </w:trPr>
        <w:tc>
          <w:tcPr>
            <w:tcW w:type="dxa" w:w="172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"auto"</w:t>
            </w:r>
          </w:p>
        </w:tc>
        <w:tc>
          <w:tcPr>
            <w:tcW w:type="dxa" w:w="4185"/>
            <w:vAlign w:val="center"/>
            <w:tcMar>
              <w:top w:w="60" w:type="dxa"/>
              <w:start w:w="120" w:type="dxa"/>
              <w:bottom w:w="60" w:type="dxa"/>
              <w:end w:w="120" w:type="dxa"/>
            </w:tcMar>
          </w:tcPr>
          <w:p>
            <w:pPr>
              <w:keepNext/>
              <w:spacing w:after="0" w:line="240" w:lineRule="auto"/>
            </w:pPr>
            <w:r>
              <w:rPr>
                <w:sz w:val="16"/>
              </w:rPr>
              <w:t>Selects an available supported engine according to documented precedence</w:t>
            </w:r>
          </w:p>
        </w:tc>
        <w:tc>
          <w:tcPr>
            <w:tcW w:type="dxa" w:w="4186"/>
            <w:vAlign w:val="center"/>
            <w:tcMar>
              <w:top w:w="60" w:type="dxa"/>
              <w:start w:w="120" w:type="dxa"/>
              <w:bottom w:w="60" w:type="dxa"/>
              <w:end w:w="120" w:type="dxa"/>
            </w:tcMar>
          </w:tcPr>
          <w:p>
            <w:pPr>
              <w:keepNext/>
              <w:spacing w:after="0" w:line="240" w:lineRule="auto"/>
            </w:pPr>
            <w:r>
              <w:rPr>
                <w:sz w:val="16"/>
              </w:rPr>
              <w:t>The result records the resolved engine</w:t>
            </w:r>
          </w:p>
        </w:tc>
      </w:tr>
      <w:tr>
        <w:trPr>
          <w:cantSplit/>
        </w:trPr>
        <w:tc>
          <w:tcPr>
            <w:tcW w:type="dxa" w:w="172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"optisel"</w:t>
            </w:r>
          </w:p>
        </w:tc>
        <w:tc>
          <w:tcPr>
            <w:tcW w:type="dxa" w:w="4185"/>
            <w:vAlign w:val="center"/>
            <w:tcMar>
              <w:top w:w="60" w:type="dxa"/>
              <w:start w:w="120" w:type="dxa"/>
              <w:bottom w:w="60" w:type="dxa"/>
              <w:end w:w="120" w:type="dxa"/>
            </w:tcMar>
          </w:tcPr>
          <w:p>
            <w:pPr>
              <w:keepNext/>
              <w:spacing w:after="0" w:line="240" w:lineRule="auto"/>
            </w:pPr>
            <w:r>
              <w:rPr>
                <w:sz w:val="16"/>
              </w:rPr>
              <w:t>Solves optimal contributions and derives matings using optiSel</w:t>
            </w:r>
          </w:p>
        </w:tc>
        <w:tc>
          <w:tcPr>
            <w:tcW w:type="dxa" w:w="4186"/>
            <w:vAlign w:val="center"/>
            <w:tcMar>
              <w:top w:w="60" w:type="dxa"/>
              <w:start w:w="120" w:type="dxa"/>
              <w:bottom w:w="60" w:type="dxa"/>
              <w:end w:w="120" w:type="dxa"/>
            </w:tcMar>
          </w:tcPr>
          <w:p>
            <w:pPr>
              <w:keepNext/>
              <w:spacing w:after="0" w:line="240" w:lineRule="auto"/>
            </w:pPr>
            <w:r>
              <w:rPr>
                <w:sz w:val="16"/>
              </w:rPr>
              <w:t xml:space="preserve">No external executable; re-solves on the retained subset when </w:t>
            </w:r>
            <w:r>
              <w:rPr>
                <w:rFonts w:ascii="Consolas" w:hAnsi="Consolas" w:eastAsia="Consolas"/>
                <w:sz w:val="15"/>
                <w:shd w:fill="F2F4F7"/>
              </w:rPr>
              <w:t>n_parents_max</w:t>
            </w:r>
            <w:r>
              <w:rPr>
                <w:sz w:val="16"/>
              </w:rPr>
              <w:t xml:space="preserve"> is active</w:t>
            </w:r>
          </w:p>
        </w:tc>
      </w:tr>
      <w:tr>
        <w:trPr>
          <w:cantSplit/>
        </w:trPr>
        <w:tc>
          <w:tcPr>
            <w:tcW w:type="dxa" w:w="172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"alphamate"</w:t>
            </w:r>
          </w:p>
        </w:tc>
        <w:tc>
          <w:tcPr>
            <w:tcW w:type="dxa" w:w="4185"/>
            <w:vAlign w:val="center"/>
            <w:tcMar>
              <w:top w:w="60" w:type="dxa"/>
              <w:start w:w="120" w:type="dxa"/>
              <w:bottom w:w="60" w:type="dxa"/>
              <w:end w:w="120" w:type="dxa"/>
            </w:tcMar>
          </w:tcPr>
          <w:p>
            <w:pPr>
              <w:keepNext/>
              <w:spacing w:after="0" w:line="240" w:lineRule="auto"/>
            </w:pPr>
            <w:r>
              <w:rPr>
                <w:sz w:val="16"/>
              </w:rPr>
              <w:t>Uses the external AlphaMate optimisation programme</w:t>
            </w:r>
          </w:p>
        </w:tc>
        <w:tc>
          <w:tcPr>
            <w:tcW w:type="dxa" w:w="4186"/>
            <w:vAlign w:val="center"/>
            <w:tcMar>
              <w:top w:w="60" w:type="dxa"/>
              <w:start w:w="120" w:type="dxa"/>
              <w:bottom w:w="60" w:type="dxa"/>
              <w:end w:w="120" w:type="dxa"/>
            </w:tcMar>
          </w:tcPr>
          <w:p>
            <w:pPr>
              <w:keepNext/>
              <w:spacing w:after="0" w:line="240" w:lineRule="auto"/>
            </w:pPr>
            <w:r>
              <w:rPr>
                <w:sz w:val="16"/>
              </w:rPr>
              <w:t>Requires an independently acquired executable and retained external provenance</w:t>
            </w:r>
          </w:p>
        </w:tc>
      </w:tr>
      <w:tr>
        <w:trPr>
          <w:cantSplit/>
        </w:trPr>
        <w:tc>
          <w:tcPr>
            <w:tcW w:type="dxa" w:w="1720"/>
            <w:vAlign w:val="center"/>
            <w:tcMar>
              <w:top w:w="60" w:type="dxa"/>
              <w:start w:w="120" w:type="dxa"/>
              <w:bottom w:w="60" w:type="dxa"/>
              <w:end w:w="120" w:type="dxa"/>
            </w:tcMar>
          </w:tcPr>
          <w:p>
            <w:pPr>
              <w:spacing w:after="0" w:line="240" w:lineRule="auto"/>
            </w:pPr>
            <w:r>
              <w:rPr>
                <w:rFonts w:ascii="Consolas" w:hAnsi="Consolas" w:eastAsia="Consolas"/>
                <w:sz w:val="15"/>
                <w:shd w:fill="F2F4F7"/>
              </w:rPr>
              <w:t>"simplemating"</w:t>
            </w:r>
          </w:p>
        </w:tc>
        <w:tc>
          <w:tcPr>
            <w:tcW w:type="dxa" w:w="4185"/>
            <w:vAlign w:val="center"/>
            <w:tcMar>
              <w:top w:w="60" w:type="dxa"/>
              <w:start w:w="120" w:type="dxa"/>
              <w:bottom w:w="60" w:type="dxa"/>
              <w:end w:w="120" w:type="dxa"/>
            </w:tcMar>
          </w:tcPr>
          <w:p>
            <w:pPr>
              <w:spacing w:after="0" w:line="240" w:lineRule="auto"/>
            </w:pPr>
            <w:r>
              <w:rPr>
                <w:sz w:val="16"/>
              </w:rPr>
              <w:t>Selects discrete crosses through SimpleMating</w:t>
            </w:r>
          </w:p>
        </w:tc>
        <w:tc>
          <w:tcPr>
            <w:tcW w:type="dxa" w:w="4186"/>
            <w:vAlign w:val="center"/>
            <w:tcMar>
              <w:top w:w="60" w:type="dxa"/>
              <w:start w:w="120" w:type="dxa"/>
              <w:bottom w:w="60" w:type="dxa"/>
              <w:end w:w="120" w:type="dxa"/>
            </w:tcMar>
          </w:tcPr>
          <w:p>
            <w:pPr>
              <w:spacing w:after="0" w:line="240" w:lineRule="auto"/>
            </w:pPr>
            <w:r>
              <w:rPr>
                <w:sz w:val="16"/>
              </w:rPr>
              <w:t>Related cross-selection route, not mathematically identical to contribution-level OCS</w:t>
            </w:r>
          </w:p>
        </w:tc>
      </w:tr>
    </w:tbl>
    <w:p>
      <w:pPr>
        <w:spacing w:after="20"/>
      </w:pPr>
    </w:p>
    <w:p>
      <w:r>
        <w:t xml:space="preserve">AlphaMate enforces </w:t>
      </w:r>
      <w:r>
        <w:rPr>
          <w:rFonts w:ascii="Consolas" w:hAnsi="Consolas" w:eastAsia="Consolas"/>
          <w:sz w:val="21"/>
          <w:shd w:fill="F2F4F7"/>
        </w:rPr>
        <w:t>n_parents_max</w:t>
      </w:r>
      <w:r>
        <w:t xml:space="preserve"> natively during allocation. The optiSel route retains the leading contributors and re-solves the OCS frontier and constrained optimum on that subset before constructing the mating plan. SimpleMating reports the control as unsupported because its discrete cross-selection interface has no corresponding argument. </w:t>
      </w:r>
      <w:r>
        <w:rPr>
          <w:rFonts w:ascii="Consolas" w:hAnsi="Consolas" w:eastAsia="Consolas"/>
          <w:sz w:val="21"/>
          <w:shd w:fill="F2F4F7"/>
        </w:rPr>
        <w:t>rescale_nrm</w:t>
      </w:r>
      <w:r>
        <w:t xml:space="preserve"> controls relationship-matrix scaling; use the same convention across cycles.</w:t>
      </w:r>
    </w:p>
    <w:p>
      <w:r>
        <w:t>Review:</w:t>
      </w:r>
    </w:p>
    <w:p>
      <w:pPr>
        <w:pStyle w:val="ListBullet"/>
      </w:pPr>
      <w:r>
        <w:t>contributions are non-negative and sum to one;</w:t>
      </w:r>
    </w:p>
    <w:p>
      <w:pPr>
        <w:pStyle w:val="ListBullet"/>
      </w:pPr>
      <w:r>
        <w:t>realised expected gain and coancestry;</w:t>
      </w:r>
    </w:p>
    <w:p>
      <w:pPr>
        <w:pStyle w:val="ListBullet"/>
      </w:pPr>
      <w:r>
        <w:t>active and binding constraints;</w:t>
      </w:r>
    </w:p>
    <w:p>
      <w:pPr>
        <w:pStyle w:val="ListBullet"/>
      </w:pPr>
      <w:r>
        <w:t>number of contributing parents;</w:t>
      </w:r>
    </w:p>
    <w:p>
      <w:pPr>
        <w:pStyle w:val="ListBullet"/>
      </w:pPr>
      <w:r>
        <w:t>solver status and any fallback;</w:t>
      </w:r>
    </w:p>
    <w:p>
      <w:pPr>
        <w:pStyle w:val="ListBullet"/>
      </w:pPr>
      <w:r>
        <w:t>integer offspring allocation;</w:t>
      </w:r>
    </w:p>
    <w:p>
      <w:pPr>
        <w:pStyle w:val="ListBullet"/>
      </w:pPr>
      <w:r>
        <w:t>selfing and repeated-mating compliance; and</w:t>
      </w:r>
    </w:p>
    <w:p>
      <w:pPr>
        <w:pStyle w:val="ListBullet"/>
      </w:pPr>
      <w:r>
        <w:t>the feasibility certificate for the resulting crossing plan.</w:t>
      </w:r>
    </w:p>
    <w:p>
      <w:r>
        <w:t>Use OCS for recurrent programmes, population improvement and any decision in which both contribution amount and long-term inbreeding matter. For a small set of one-off exploratory crosses, the UC ranking may already provide the required cross-level decision.</w:t>
      </w:r>
    </w:p>
    <w:p>
      <w:pPr>
        <w:pStyle w:val="Heading2"/>
      </w:pPr>
      <w:r>
        <w:t>3.7 Pareto frontier</w:t>
      </w:r>
    </w:p>
    <w:p>
      <w:r>
        <w:t xml:space="preserve">Function: </w:t>
      </w:r>
      <w:r>
        <w:rPr>
          <w:rFonts w:ascii="Consolas" w:hAnsi="Consolas" w:eastAsia="Consolas"/>
          <w:sz w:val="21"/>
          <w:shd w:fill="F2F4F7"/>
        </w:rPr>
        <w:t>select_parents_pareto()</w:t>
      </w:r>
    </w:p>
    <w:p>
      <w:r>
        <w:t>Question: Which founder sets are non-dominated for block coverage, merit and relationship?</w:t>
      </w:r>
    </w:p>
    <w:p>
      <w:r>
        <w:t xml:space="preserve">The function reruns GA selection across </w:t>
      </w:r>
      <w:r>
        <w:rPr>
          <w:rFonts w:ascii="Consolas" w:hAnsi="Consolas" w:eastAsia="Consolas"/>
          <w:sz w:val="21"/>
          <w:shd w:fill="F2F4F7"/>
        </w:rPr>
        <w:t>coancestry_weights</w:t>
      </w:r>
      <w:r>
        <w:t xml:space="preserve">. Each grid point is itself a replicated stochastic search controlled by </w:t>
      </w:r>
      <w:r>
        <w:rPr>
          <w:rFonts w:ascii="Consolas" w:hAnsi="Consolas" w:eastAsia="Consolas"/>
          <w:sz w:val="21"/>
          <w:shd w:fill="F2F4F7"/>
        </w:rPr>
        <w:t>n_reps</w:t>
      </w:r>
      <w:r>
        <w:t>. The output contains all runs and a non-dominated frontier.</w:t>
      </w:r>
    </w:p>
    <w:p>
      <w:r>
        <w:rPr>
          <w:rFonts w:ascii="Consolas" w:hAnsi="Consolas" w:eastAsia="Consolas"/>
          <w:sz w:val="21"/>
          <w:shd w:fill="F2F4F7"/>
        </w:rPr>
        <w:t>pareto_front()</w:t>
      </w:r>
      <w:r>
        <w:t xml:space="preserve"> is the general supporting function that identifies non-dominated rows in a table of competing objectives. Use </w:t>
      </w:r>
      <w:r>
        <w:rPr>
          <w:rFonts w:ascii="Consolas" w:hAnsi="Consolas" w:eastAsia="Consolas"/>
          <w:sz w:val="21"/>
          <w:shd w:fill="F2F4F7"/>
        </w:rPr>
        <w:t>select_parents_pareto()</w:t>
      </w:r>
      <w:r>
        <w:t xml:space="preserve"> for the complete breeder-facing GA sweep and use </w:t>
      </w:r>
      <w:r>
        <w:rPr>
          <w:rFonts w:ascii="Consolas" w:hAnsi="Consolas" w:eastAsia="Consolas"/>
          <w:sz w:val="21"/>
          <w:shd w:fill="F2F4F7"/>
        </w:rPr>
        <w:t>pareto_front()</w:t>
      </w:r>
      <w:r>
        <w:t xml:space="preserve"> when an already constructed scenario table needs the same dominance calculation.</w:t>
      </w:r>
    </w:p>
    <w:p>
      <w:r>
        <w:rPr>
          <w:rFonts w:ascii="Consolas" w:hAnsi="Consolas" w:eastAsia="Consolas"/>
          <w:sz w:val="21"/>
          <w:shd w:fill="F2F4F7"/>
        </w:rPr>
        <w:t>strategy</w:t>
      </w:r>
      <w:r>
        <w:t xml:space="preserve"> has the same five variants as </w:t>
      </w:r>
      <w:r>
        <w:rPr>
          <w:rFonts w:ascii="Consolas" w:hAnsi="Consolas" w:eastAsia="Consolas"/>
          <w:sz w:val="21"/>
          <w:shd w:fill="F2F4F7"/>
        </w:rPr>
        <w:t>select_parents_ga()</w:t>
      </w:r>
      <w:r>
        <w:t xml:space="preserve">. </w:t>
      </w:r>
      <w:r>
        <w:rPr>
          <w:rFonts w:ascii="Consolas" w:hAnsi="Consolas" w:eastAsia="Consolas"/>
          <w:sz w:val="21"/>
          <w:shd w:fill="F2F4F7"/>
        </w:rPr>
        <w:t>block_weights</w:t>
      </w:r>
      <w:r>
        <w:t xml:space="preserve">, </w:t>
      </w:r>
      <w:r>
        <w:rPr>
          <w:rFonts w:ascii="Consolas" w:hAnsi="Consolas" w:eastAsia="Consolas"/>
          <w:sz w:val="21"/>
          <w:shd w:fill="F2F4F7"/>
        </w:rPr>
        <w:t>top_candidates</w:t>
      </w:r>
      <w:r>
        <w:t xml:space="preserve"> and GA controls have the same meaning. When </w:t>
      </w:r>
      <w:r>
        <w:rPr>
          <w:rFonts w:ascii="Consolas" w:hAnsi="Consolas" w:eastAsia="Consolas"/>
          <w:sz w:val="21"/>
          <w:shd w:fill="F2F4F7"/>
        </w:rPr>
        <w:t>merit</w:t>
      </w:r>
      <w:r>
        <w:t xml:space="preserve"> is supplied, the result reports the merit of each candidate solution; the principal sweep remains the coverage–coancestry trade-off.</w:t>
      </w:r>
    </w:p>
    <w:p>
      <w:r>
        <w:t>The function returns the complete non-dominated frontier. Selection from that frontier is governed by the programme's declared gain, diversity and operational policy. A breeder should:</w:t>
      </w:r>
    </w:p>
    <w:p>
      <w:pPr>
        <w:pStyle w:val="ListNumber"/>
        <w:numPr>
          <w:ilvl w:val="0"/>
          <w:numId w:val="13"/>
        </w:numPr>
      </w:pPr>
      <w:r>
        <w:t>remove dominated and infeasible solutions;</w:t>
      </w:r>
    </w:p>
    <w:p>
      <w:pPr>
        <w:pStyle w:val="ListNumber"/>
        <w:numPr>
          <w:ilvl w:val="0"/>
          <w:numId w:val="13"/>
        </w:numPr>
      </w:pPr>
      <w:r>
        <w:t>reject solutions outside pre-declared gain or diversity limits;</w:t>
      </w:r>
    </w:p>
    <w:p>
      <w:pPr>
        <w:pStyle w:val="ListNumber"/>
        <w:numPr>
          <w:ilvl w:val="0"/>
          <w:numId w:val="13"/>
        </w:numPr>
      </w:pPr>
      <w:r>
        <w:t>compare the remaining points for stability and operational feasibility;</w:t>
      </w:r>
    </w:p>
    <w:p>
      <w:pPr>
        <w:pStyle w:val="ListNumber"/>
        <w:numPr>
          <w:ilvl w:val="0"/>
          <w:numId w:val="13"/>
        </w:numPr>
      </w:pPr>
      <w:r>
        <w:t>select one point using the programme's stated policy; and</w:t>
      </w:r>
    </w:p>
    <w:p>
      <w:pPr>
        <w:pStyle w:val="ListNumber"/>
        <w:numPr>
          <w:ilvl w:val="0"/>
          <w:numId w:val="13"/>
        </w:numPr>
      </w:pPr>
      <w:r>
        <w:t>retain at least one neighbouring frontier point as a reserve.</w:t>
      </w:r>
    </w:p>
    <w:p>
      <w:r>
        <w:t xml:space="preserve">Select the point by applying the declared programme policy, then record the chosen </w:t>
      </w:r>
      <w:r>
        <w:rPr>
          <w:rFonts w:ascii="Consolas" w:hAnsi="Consolas" w:eastAsia="Consolas"/>
          <w:sz w:val="21"/>
          <w:shd w:fill="F2F4F7"/>
        </w:rPr>
        <w:t>run_index</w:t>
      </w:r>
      <w:r>
        <w:t>, parent set, neighbouring alternatives and reason for accepting the selected gain–risk balance.</w:t>
      </w:r>
    </w:p>
    <w:p>
      <w:pPr>
        <w:pStyle w:val="Heading2"/>
      </w:pPr>
      <w:r>
        <w:t>3.8 Exact validation</w:t>
      </w:r>
    </w:p>
    <w:p>
      <w:r>
        <w:t xml:space="preserve">Function: </w:t>
      </w:r>
      <w:r>
        <w:rPr>
          <w:rFonts w:ascii="Consolas" w:hAnsi="Consolas" w:eastAsia="Consolas"/>
          <w:sz w:val="21"/>
          <w:shd w:fill="F2F4F7"/>
        </w:rPr>
        <w:t>validate_crosses_exact()</w:t>
      </w:r>
    </w:p>
    <w:p>
      <w:r>
        <w:t>Question: How close is a heuristic discrete cross plan to the best attainable plan under the same candidate set and constraints?</w:t>
      </w:r>
    </w:p>
    <w:p>
      <w:r>
        <w:t xml:space="preserve">The function performs exact integer optimisation on a tractable candidate cross table. </w:t>
      </w:r>
      <w:r>
        <w:rPr>
          <w:rFonts w:ascii="Consolas" w:hAnsi="Consolas" w:eastAsia="Consolas"/>
          <w:sz w:val="21"/>
          <w:shd w:fill="F2F4F7"/>
        </w:rPr>
        <w:t>criterion_col</w:t>
      </w:r>
      <w:r>
        <w:t xml:space="preserve"> identifies the quantity to maximise, normally UC. Relationship can be supplied as an existing cross column or calculated from </w:t>
      </w:r>
      <w:r>
        <w:rPr>
          <w:rFonts w:ascii="Consolas" w:hAnsi="Consolas" w:eastAsia="Consolas"/>
          <w:sz w:val="21"/>
          <w:shd w:fill="F2F4F7"/>
        </w:rPr>
        <w:t>G</w:t>
      </w:r>
      <w:r>
        <w:t xml:space="preserve">. </w:t>
      </w:r>
      <w:r>
        <w:rPr>
          <w:rFonts w:ascii="Consolas" w:hAnsi="Consolas" w:eastAsia="Consolas"/>
          <w:sz w:val="21"/>
          <w:shd w:fill="F2F4F7"/>
        </w:rPr>
        <w:t>n_cross</w:t>
      </w:r>
      <w:r>
        <w:t xml:space="preserve"> fixes the number of selected crosses and </w:t>
      </w:r>
      <w:r>
        <w:rPr>
          <w:rFonts w:ascii="Consolas" w:hAnsi="Consolas" w:eastAsia="Consolas"/>
          <w:sz w:val="21"/>
          <w:shd w:fill="F2F4F7"/>
        </w:rPr>
        <w:t>max_cross</w:t>
      </w:r>
      <w:r>
        <w:t xml:space="preserve"> limits the number assigned to one parent.</w:t>
      </w:r>
    </w:p>
    <w:p>
      <w:pPr>
        <w:pStyle w:val="Heading3"/>
      </w:pPr>
      <w:r>
        <w:t>Validation variants</w:t>
      </w:r>
    </w:p>
    <w:p>
      <w:pPr>
        <w:pStyle w:val="ListBullet"/>
      </w:pPr>
      <w:r>
        <w:t xml:space="preserve">With </w:t>
      </w:r>
      <w:r>
        <w:rPr>
          <w:rFonts w:ascii="Consolas" w:hAnsi="Consolas" w:eastAsia="Consolas"/>
          <w:sz w:val="21"/>
          <w:shd w:fill="F2F4F7"/>
        </w:rPr>
        <w:t>heuristic_plan</w:t>
      </w:r>
      <w:r>
        <w:t>, the result reports its objective and optimality gap</w:t>
      </w:r>
      <w:r>
        <w:t xml:space="preserve"> </w:t>
      </w:r>
      <w:r>
        <w:t>against the exact solution.</w:t>
      </w:r>
    </w:p>
    <w:p>
      <w:pPr>
        <w:pStyle w:val="ListBullet"/>
      </w:pPr>
      <w:r>
        <w:rPr>
          <w:rFonts w:ascii="Consolas" w:hAnsi="Consolas" w:eastAsia="Consolas"/>
          <w:sz w:val="21"/>
          <w:shd w:fill="F2F4F7"/>
        </w:rPr>
        <w:t>culling_pairwise_k</w:t>
      </w:r>
      <w:r>
        <w:t xml:space="preserve"> restricts the candidate set before exact optimisation;</w:t>
      </w:r>
      <w:r>
        <w:t xml:space="preserve"> </w:t>
      </w:r>
      <w:r>
        <w:t>it is a declared approximation and must be recorded.</w:t>
      </w:r>
    </w:p>
    <w:p>
      <w:pPr>
        <w:pStyle w:val="ListBullet"/>
      </w:pPr>
      <w:r>
        <w:rPr>
          <w:rFonts w:ascii="Consolas" w:hAnsi="Consolas" w:eastAsia="Consolas"/>
          <w:sz w:val="21"/>
          <w:shd w:fill="F2F4F7"/>
        </w:rPr>
        <w:t>max_vars</w:t>
      </w:r>
      <w:r>
        <w:t xml:space="preserve"> protects the exact solver from an intractably large candidate</w:t>
      </w:r>
      <w:r>
        <w:t xml:space="preserve"> </w:t>
      </w:r>
      <w:r>
        <w:t>problem.</w:t>
      </w:r>
    </w:p>
    <w:p>
      <w:r>
        <w:t>Exact validation establishes the best attainable plan for the supplied candidate set, criterion and constraints. A like-for-like comparison therefore keeps those inputs fixed. Phenotype quality, prediction accuracy, the UC model and practical restrictions enter through the candidate cross table and constraints supplied by the user.</w:t>
      </w:r>
    </w:p>
    <w:p>
      <w:pPr>
        <w:pStyle w:val="Heading2"/>
      </w:pPr>
      <w:r>
        <w:t>3.9 Core collection</w:t>
      </w:r>
    </w:p>
    <w:p>
      <w:r>
        <w:t xml:space="preserve">Function: </w:t>
      </w:r>
      <w:r>
        <w:rPr>
          <w:rFonts w:ascii="Consolas" w:hAnsi="Consolas" w:eastAsia="Consolas"/>
          <w:sz w:val="21"/>
          <w:shd w:fill="F2F4F7"/>
        </w:rPr>
        <w:t>select_core_collection()</w:t>
      </w:r>
    </w:p>
    <w:p>
      <w:r>
        <w:t>Question: Which subset best represents genetic diversity?</w:t>
      </w:r>
    </w:p>
    <w:p>
      <w:r>
        <w:rPr>
          <w:rFonts w:ascii="Consolas" w:hAnsi="Consolas" w:eastAsia="Consolas"/>
          <w:sz w:val="21"/>
          <w:shd w:fill="F2F4F7"/>
        </w:rPr>
        <w:t>G</w:t>
      </w:r>
      <w:r>
        <w:t xml:space="preserve"> may be supplied as a relationship matrix or as a distance matrix, controlled by </w:t>
      </w:r>
      <w:r>
        <w:rPr>
          <w:rFonts w:ascii="Consolas" w:hAnsi="Consolas" w:eastAsia="Consolas"/>
          <w:sz w:val="21"/>
          <w:shd w:fill="F2F4F7"/>
        </w:rPr>
        <w:t>type</w:t>
      </w:r>
      <w:r>
        <w:t>. Relationship input is converted to square-root Euclidean distance. Before claiming a metric-distance guarantee, HapBlockR checks symmetry, non-negativity, zero diagonal and the triangle inequality.</w:t>
      </w:r>
    </w:p>
    <w:p>
      <w:pPr>
        <w:pStyle w:val="Heading3"/>
      </w:pPr>
      <w:r>
        <w:t>Selection-strategy variants</w:t>
      </w:r>
    </w:p>
    <w:tbl>
      <w:tblPr>
        <w:tblStyle w:val="TableGrid"/>
        <w:tblW w:type="dxa" w:w="10091"/>
        <w:jc w:val="left"/>
        <w:tblLayout w:type="fixed"/>
        <w:tblLook w:firstColumn="1" w:firstRow="1" w:lastColumn="0" w:lastRow="0" w:noHBand="0" w:noVBand="1" w:val="04A0"/>
        <w:tblInd w:w="120" w:type="dxa"/>
      </w:tblPr>
      <w:tblGrid>
        <w:gridCol w:w="1823"/>
        <w:gridCol w:w="4022"/>
        <w:gridCol w:w="4246"/>
      </w:tblGrid>
      <w:tr>
        <w:trPr>
          <w:cantSplit/>
          <w:tblHeader w:val="true"/>
        </w:trPr>
        <w:tc>
          <w:tcPr>
            <w:tcW w:type="dxa" w:w="1823"/>
            <w:vAlign w:val="center"/>
            <w:tcMar>
              <w:top w:w="60" w:type="dxa"/>
              <w:start w:w="120" w:type="dxa"/>
              <w:bottom w:w="60" w:type="dxa"/>
              <w:end w:w="120" w:type="dxa"/>
            </w:tcMar>
            <w:shd w:fill="E8EEF5"/>
          </w:tcPr>
          <w:p>
            <w:pPr>
              <w:keepNext/>
              <w:spacing w:after="0" w:line="240" w:lineRule="auto"/>
            </w:pPr>
            <w:r>
              <w:rPr>
                <w:rFonts w:ascii="Consolas" w:hAnsi="Consolas" w:eastAsia="Consolas"/>
                <w:b/>
                <w:color w:val="1F4D78"/>
                <w:sz w:val="15"/>
                <w:shd w:fill="F2F4F7"/>
              </w:rPr>
              <w:t>strategy</w:t>
            </w:r>
          </w:p>
        </w:tc>
        <w:tc>
          <w:tcPr>
            <w:tcW w:type="dxa" w:w="4022"/>
            <w:vAlign w:val="center"/>
            <w:tcMar>
              <w:top w:w="60" w:type="dxa"/>
              <w:start w:w="120" w:type="dxa"/>
              <w:bottom w:w="60" w:type="dxa"/>
              <w:end w:w="120" w:type="dxa"/>
            </w:tcMar>
            <w:shd w:fill="E8EEF5"/>
          </w:tcPr>
          <w:p>
            <w:pPr>
              <w:keepNext/>
              <w:spacing w:after="0" w:line="240" w:lineRule="auto"/>
            </w:pPr>
            <w:r>
              <w:rPr>
                <w:b/>
                <w:color w:val="1F4D78"/>
                <w:sz w:val="16"/>
              </w:rPr>
              <w:t>Objective</w:t>
            </w:r>
          </w:p>
        </w:tc>
        <w:tc>
          <w:tcPr>
            <w:tcW w:type="dxa" w:w="4246"/>
            <w:vAlign w:val="center"/>
            <w:tcMar>
              <w:top w:w="60" w:type="dxa"/>
              <w:start w:w="120" w:type="dxa"/>
              <w:bottom w:w="60" w:type="dxa"/>
              <w:end w:w="120" w:type="dxa"/>
            </w:tcMar>
            <w:shd w:fill="E8EEF5"/>
          </w:tcPr>
          <w:p>
            <w:pPr>
              <w:keepNext/>
              <w:spacing w:after="0" w:line="240" w:lineRule="auto"/>
            </w:pPr>
            <w:r>
              <w:rPr>
                <w:b/>
                <w:color w:val="1F4D78"/>
                <w:sz w:val="16"/>
              </w:rPr>
              <w:t>Appropriate use</w:t>
            </w:r>
          </w:p>
        </w:tc>
      </w:tr>
      <w:tr>
        <w:trPr>
          <w:cantSplit/>
        </w:trPr>
        <w:tc>
          <w:tcPr>
            <w:tcW w:type="dxa" w:w="1823"/>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"maximin"</w:t>
            </w:r>
          </w:p>
        </w:tc>
        <w:tc>
          <w:tcPr>
            <w:tcW w:type="dxa" w:w="4022"/>
            <w:vAlign w:val="center"/>
            <w:tcMar>
              <w:top w:w="60" w:type="dxa"/>
              <w:start w:w="120" w:type="dxa"/>
              <w:bottom w:w="60" w:type="dxa"/>
              <w:end w:w="120" w:type="dxa"/>
            </w:tcMar>
          </w:tcPr>
          <w:p>
            <w:pPr>
              <w:keepNext/>
              <w:spacing w:after="0" w:line="240" w:lineRule="auto"/>
            </w:pPr>
            <w:r>
              <w:rPr>
                <w:sz w:val="16"/>
              </w:rPr>
              <w:t>Maximise the minimum distance from the growing core</w:t>
            </w:r>
          </w:p>
        </w:tc>
        <w:tc>
          <w:tcPr>
            <w:tcW w:type="dxa" w:w="4246"/>
            <w:vAlign w:val="center"/>
            <w:tcMar>
              <w:top w:w="60" w:type="dxa"/>
              <w:start w:w="120" w:type="dxa"/>
              <w:bottom w:w="60" w:type="dxa"/>
              <w:end w:w="120" w:type="dxa"/>
            </w:tcMar>
          </w:tcPr>
          <w:p>
            <w:pPr>
              <w:keepNext/>
              <w:spacing w:after="0" w:line="240" w:lineRule="auto"/>
            </w:pPr>
            <w:r>
              <w:rPr>
                <w:sz w:val="16"/>
              </w:rPr>
              <w:t>Protects against leaving a distinct accession unrepresented</w:t>
            </w:r>
          </w:p>
        </w:tc>
      </w:tr>
      <w:tr>
        <w:trPr>
          <w:cantSplit/>
        </w:trPr>
        <w:tc>
          <w:tcPr>
            <w:tcW w:type="dxa" w:w="1823"/>
            <w:vAlign w:val="center"/>
            <w:tcMar>
              <w:top w:w="60" w:type="dxa"/>
              <w:start w:w="120" w:type="dxa"/>
              <w:bottom w:w="60" w:type="dxa"/>
              <w:end w:w="120" w:type="dxa"/>
            </w:tcMar>
          </w:tcPr>
          <w:p>
            <w:pPr>
              <w:spacing w:after="0" w:line="240" w:lineRule="auto"/>
            </w:pPr>
            <w:r>
              <w:rPr>
                <w:rFonts w:ascii="Consolas" w:hAnsi="Consolas" w:eastAsia="Consolas"/>
                <w:sz w:val="15"/>
                <w:shd w:fill="F2F4F7"/>
              </w:rPr>
              <w:t>"mean_distance"</w:t>
            </w:r>
          </w:p>
        </w:tc>
        <w:tc>
          <w:tcPr>
            <w:tcW w:type="dxa" w:w="4022"/>
            <w:vAlign w:val="center"/>
            <w:tcMar>
              <w:top w:w="60" w:type="dxa"/>
              <w:start w:w="120" w:type="dxa"/>
              <w:bottom w:w="60" w:type="dxa"/>
              <w:end w:w="120" w:type="dxa"/>
            </w:tcMar>
          </w:tcPr>
          <w:p>
            <w:pPr>
              <w:spacing w:after="0" w:line="240" w:lineRule="auto"/>
            </w:pPr>
            <w:r>
              <w:rPr>
                <w:sz w:val="16"/>
              </w:rPr>
              <w:t>Favour high average distance from the selected set</w:t>
            </w:r>
          </w:p>
        </w:tc>
        <w:tc>
          <w:tcPr>
            <w:tcW w:type="dxa" w:w="4246"/>
            <w:vAlign w:val="center"/>
            <w:tcMar>
              <w:top w:w="60" w:type="dxa"/>
              <w:start w:w="120" w:type="dxa"/>
              <w:bottom w:w="60" w:type="dxa"/>
              <w:end w:w="120" w:type="dxa"/>
            </w:tcMar>
          </w:tcPr>
          <w:p>
            <w:pPr>
              <w:spacing w:after="0" w:line="240" w:lineRule="auto"/>
            </w:pPr>
            <w:r>
              <w:rPr>
                <w:sz w:val="16"/>
              </w:rPr>
              <w:t>Seeks broad average dispersion but may protect extremes less strongly</w:t>
            </w:r>
          </w:p>
        </w:tc>
      </w:tr>
    </w:tbl>
    <w:p>
      <w:pPr>
        <w:spacing w:after="20"/>
      </w:pPr>
    </w:p>
    <w:p>
      <w:r>
        <w:rPr>
          <w:rFonts w:ascii="Consolas" w:hAnsi="Consolas" w:eastAsia="Consolas"/>
          <w:sz w:val="21"/>
          <w:shd w:fill="F2F4F7"/>
        </w:rPr>
        <w:t>seed</w:t>
      </w:r>
      <w:r>
        <w:t xml:space="preserve"> controls the initial accession where the method requires one. </w:t>
      </w:r>
      <w:r>
        <w:rPr>
          <w:rFonts w:ascii="Consolas" w:hAnsi="Consolas" w:eastAsia="Consolas"/>
          <w:sz w:val="21"/>
          <w:shd w:fill="F2F4F7"/>
        </w:rPr>
        <w:t>metric_tolerance</w:t>
      </w:r>
      <w:r>
        <w:t xml:space="preserve"> controls numerical validation, not biological similarity.</w:t>
      </w:r>
    </w:p>
    <w:p>
      <w:r>
        <w:rPr>
          <w:rFonts w:ascii="Consolas" w:hAnsi="Consolas" w:eastAsia="Consolas"/>
          <w:sz w:val="21"/>
          <w:shd w:fill="F2F4F7"/>
        </w:rPr>
        <w:t>merit</w:t>
      </w:r>
      <w:r>
        <w:t xml:space="preserve"> with </w:t>
      </w:r>
      <w:r>
        <w:rPr>
          <w:rFonts w:ascii="Consolas" w:hAnsi="Consolas" w:eastAsia="Consolas"/>
          <w:sz w:val="21"/>
          <w:shd w:fill="F2F4F7"/>
        </w:rPr>
        <w:t>min_sel_value</w:t>
      </w:r>
      <w:r>
        <w:t xml:space="preserve"> applies an eligibility floor using the same </w:t>
      </w:r>
      <w:r>
        <w:rPr>
          <w:rFonts w:ascii="Consolas" w:hAnsi="Consolas" w:eastAsia="Consolas"/>
          <w:sz w:val="21"/>
          <w:shd w:fill="F2F4F7"/>
        </w:rPr>
        <w:t>"value"</w:t>
      </w:r>
      <w:r>
        <w:t xml:space="preserve">, </w:t>
      </w:r>
      <w:r>
        <w:rPr>
          <w:rFonts w:ascii="Consolas" w:hAnsi="Consolas" w:eastAsia="Consolas"/>
          <w:sz w:val="21"/>
          <w:shd w:fill="F2F4F7"/>
        </w:rPr>
        <w:t>"percentile"</w:t>
      </w:r>
      <w:r>
        <w:t xml:space="preserve">, </w:t>
      </w:r>
      <w:r>
        <w:rPr>
          <w:rFonts w:ascii="Consolas" w:hAnsi="Consolas" w:eastAsia="Consolas"/>
          <w:sz w:val="21"/>
          <w:shd w:fill="F2F4F7"/>
        </w:rPr>
        <w:t>"sd_above_mean"</w:t>
      </w:r>
      <w:r>
        <w:t xml:space="preserve"> and </w:t>
      </w:r>
      <w:r>
        <w:rPr>
          <w:rFonts w:ascii="Consolas" w:hAnsi="Consolas" w:eastAsia="Consolas"/>
          <w:sz w:val="21"/>
          <w:shd w:fill="F2F4F7"/>
        </w:rPr>
        <w:t>"relaxed_pool"</w:t>
      </w:r>
      <w:r>
        <w:t xml:space="preserve"> modes as truncation selection. Supply directional merit for which larger is better; reverse lower-is-better traits before setting the floor. The core objective remains diversity-first; the floor is not a hidden merit term.</w:t>
      </w:r>
    </w:p>
    <w:p>
      <w:r>
        <w:t>Use this tool for germplasm banks, diversity panels and representative training populations. When the same subset will also serve as a crossing shortlist, combine the diversity objective with an appropriate merit floor or evaluate the retained accessions with a parent-selection tool.</w:t>
      </w:r>
    </w:p>
    <w:p>
      <w:r>
        <w:br w:type="page"/>
      </w:r>
    </w:p>
    <w:p>
      <w:pPr>
        <w:pStyle w:val="Heading1"/>
      </w:pPr>
      <w:r>
        <w:t>4. Worked crossing decision</w:t>
      </w:r>
    </w:p>
    <w:p>
      <w:r>
        <w:t>This synthetic example illustrates the decision record. Values are deliberately simple and are not universal thresholds.</w:t>
      </w:r>
    </w:p>
    <w:p>
      <w:pPr>
        <w:pStyle w:val="Heading2"/>
      </w:pPr>
      <w:r>
        <w:t>4.1 Candidate evidence</w:t>
      </w:r>
    </w:p>
    <w:tbl>
      <w:tblPr>
        <w:tblStyle w:val="TableGrid"/>
        <w:tblW w:type="dxa" w:w="10091"/>
        <w:jc w:val="left"/>
        <w:tblLayout w:type="fixed"/>
        <w:tblLook w:firstColumn="1" w:firstRow="1" w:lastColumn="0" w:lastRow="0" w:noHBand="0" w:noVBand="1" w:val="04A0"/>
        <w:tblInd w:w="120" w:type="dxa"/>
      </w:tblPr>
      <w:tblGrid>
        <w:gridCol w:w="1442"/>
        <w:gridCol w:w="1442"/>
        <w:gridCol w:w="1442"/>
        <w:gridCol w:w="1442"/>
        <w:gridCol w:w="1442"/>
        <w:gridCol w:w="1442"/>
        <w:gridCol w:w="1439"/>
      </w:tblGrid>
      <w:tr>
        <w:trPr>
          <w:cantSplit/>
          <w:tblHeader w:val="true"/>
        </w:trPr>
        <w:tc>
          <w:tcPr>
            <w:tcW w:type="dxa" w:w="1442"/>
            <w:vAlign w:val="center"/>
            <w:tcMar>
              <w:top w:w="60" w:type="dxa"/>
              <w:start w:w="120" w:type="dxa"/>
              <w:bottom w:w="60" w:type="dxa"/>
              <w:end w:w="120" w:type="dxa"/>
            </w:tcMar>
            <w:shd w:fill="E8EEF5"/>
          </w:tcPr>
          <w:p>
            <w:pPr>
              <w:keepNext/>
              <w:spacing w:after="0" w:line="240" w:lineRule="auto"/>
            </w:pPr>
            <w:r>
              <w:rPr>
                <w:b/>
                <w:color w:val="1F4D78"/>
                <w:sz w:val="16"/>
              </w:rPr>
              <w:t>Parent</w:t>
            </w:r>
          </w:p>
        </w:tc>
        <w:tc>
          <w:tcPr>
            <w:tcW w:type="dxa" w:w="1442"/>
            <w:vAlign w:val="center"/>
            <w:tcMar>
              <w:top w:w="60" w:type="dxa"/>
              <w:start w:w="120" w:type="dxa"/>
              <w:bottom w:w="60" w:type="dxa"/>
              <w:end w:w="120" w:type="dxa"/>
            </w:tcMar>
            <w:shd w:fill="E8EEF5"/>
          </w:tcPr>
          <w:p>
            <w:pPr>
              <w:keepNext/>
              <w:spacing w:after="0" w:line="240" w:lineRule="auto"/>
            </w:pPr>
            <w:r>
              <w:rPr>
                <w:b/>
                <w:color w:val="1F4D78"/>
                <w:sz w:val="16"/>
              </w:rPr>
              <w:t>GEBV</w:t>
            </w:r>
          </w:p>
        </w:tc>
        <w:tc>
          <w:tcPr>
            <w:tcW w:type="dxa" w:w="1442"/>
            <w:vAlign w:val="center"/>
            <w:tcMar>
              <w:top w:w="60" w:type="dxa"/>
              <w:start w:w="120" w:type="dxa"/>
              <w:bottom w:w="60" w:type="dxa"/>
              <w:end w:w="120" w:type="dxa"/>
            </w:tcMar>
            <w:shd w:fill="E8EEF5"/>
          </w:tcPr>
          <w:p>
            <w:pPr>
              <w:keepNext/>
              <w:spacing w:after="0" w:line="240" w:lineRule="auto"/>
            </w:pPr>
            <w:r>
              <w:rPr>
                <w:b/>
                <w:color w:val="1F4D78"/>
                <w:sz w:val="16"/>
              </w:rPr>
              <w:t>Reliability</w:t>
            </w:r>
          </w:p>
        </w:tc>
        <w:tc>
          <w:tcPr>
            <w:tcW w:type="dxa" w:w="1442"/>
            <w:vAlign w:val="center"/>
            <w:tcMar>
              <w:top w:w="60" w:type="dxa"/>
              <w:start w:w="120" w:type="dxa"/>
              <w:bottom w:w="60" w:type="dxa"/>
              <w:end w:w="120" w:type="dxa"/>
            </w:tcMar>
            <w:shd w:fill="E8EEF5"/>
          </w:tcPr>
          <w:p>
            <w:pPr>
              <w:keepNext/>
              <w:spacing w:after="0" w:line="240" w:lineRule="auto"/>
            </w:pPr>
            <w:r>
              <w:rPr>
                <w:b/>
                <w:color w:val="1F4D78"/>
                <w:sz w:val="16"/>
              </w:rPr>
              <w:t>Group</w:t>
            </w:r>
          </w:p>
        </w:tc>
        <w:tc>
          <w:tcPr>
            <w:tcW w:type="dxa" w:w="1442"/>
            <w:vAlign w:val="center"/>
            <w:tcMar>
              <w:top w:w="60" w:type="dxa"/>
              <w:start w:w="120" w:type="dxa"/>
              <w:bottom w:w="60" w:type="dxa"/>
              <w:end w:w="120" w:type="dxa"/>
            </w:tcMar>
            <w:shd w:fill="E8EEF5"/>
          </w:tcPr>
          <w:p>
            <w:pPr>
              <w:keepNext/>
              <w:spacing w:after="0" w:line="240" w:lineRule="auto"/>
            </w:pPr>
            <w:r>
              <w:rPr>
                <w:b/>
                <w:color w:val="1F4D78"/>
                <w:sz w:val="16"/>
              </w:rPr>
              <w:t>Female role</w:t>
            </w:r>
          </w:p>
        </w:tc>
        <w:tc>
          <w:tcPr>
            <w:tcW w:type="dxa" w:w="1442"/>
            <w:vAlign w:val="center"/>
            <w:tcMar>
              <w:top w:w="60" w:type="dxa"/>
              <w:start w:w="120" w:type="dxa"/>
              <w:bottom w:w="60" w:type="dxa"/>
              <w:end w:w="120" w:type="dxa"/>
            </w:tcMar>
            <w:shd w:fill="E8EEF5"/>
          </w:tcPr>
          <w:p>
            <w:pPr>
              <w:keepNext/>
              <w:spacing w:after="0" w:line="240" w:lineRule="auto"/>
            </w:pPr>
            <w:r>
              <w:rPr>
                <w:b/>
                <w:color w:val="1F4D78"/>
                <w:sz w:val="16"/>
              </w:rPr>
              <w:t>Male role</w:t>
            </w:r>
          </w:p>
        </w:tc>
        <w:tc>
          <w:tcPr>
            <w:tcW w:type="dxa" w:w="1439"/>
            <w:vAlign w:val="center"/>
            <w:tcMar>
              <w:top w:w="60" w:type="dxa"/>
              <w:start w:w="120" w:type="dxa"/>
              <w:bottom w:w="60" w:type="dxa"/>
              <w:end w:w="120" w:type="dxa"/>
            </w:tcMar>
            <w:shd w:fill="E8EEF5"/>
          </w:tcPr>
          <w:p>
            <w:pPr>
              <w:keepNext/>
              <w:spacing w:after="0" w:line="240" w:lineRule="auto"/>
            </w:pPr>
            <w:r>
              <w:rPr>
                <w:b/>
                <w:color w:val="1F4D78"/>
                <w:sz w:val="16"/>
              </w:rPr>
              <w:t>Flowering week</w:t>
            </w:r>
          </w:p>
        </w:tc>
      </w:tr>
      <w:tr>
        <w:trPr>
          <w:cantSplit/>
        </w:trPr>
        <w:tc>
          <w:tcPr>
            <w:tcW w:type="dxa" w:w="1442"/>
            <w:vAlign w:val="center"/>
            <w:tcMar>
              <w:top w:w="60" w:type="dxa"/>
              <w:start w:w="120" w:type="dxa"/>
              <w:bottom w:w="60" w:type="dxa"/>
              <w:end w:w="120" w:type="dxa"/>
            </w:tcMar>
          </w:tcPr>
          <w:p>
            <w:pPr>
              <w:keepNext/>
              <w:spacing w:after="0" w:line="240" w:lineRule="auto"/>
            </w:pPr>
            <w:r>
              <w:rPr>
                <w:sz w:val="16"/>
              </w:rPr>
              <w:t>P01</w:t>
            </w:r>
          </w:p>
        </w:tc>
        <w:tc>
          <w:tcPr>
            <w:tcW w:type="dxa" w:w="1442"/>
            <w:vAlign w:val="center"/>
            <w:tcMar>
              <w:top w:w="60" w:type="dxa"/>
              <w:start w:w="120" w:type="dxa"/>
              <w:bottom w:w="60" w:type="dxa"/>
              <w:end w:w="120" w:type="dxa"/>
            </w:tcMar>
          </w:tcPr>
          <w:p>
            <w:pPr>
              <w:keepNext/>
              <w:spacing w:after="0" w:line="240" w:lineRule="auto"/>
            </w:pPr>
            <w:r>
              <w:rPr>
                <w:sz w:val="16"/>
              </w:rPr>
              <w:t>12.4</w:t>
            </w:r>
          </w:p>
        </w:tc>
        <w:tc>
          <w:tcPr>
            <w:tcW w:type="dxa" w:w="1442"/>
            <w:vAlign w:val="center"/>
            <w:tcMar>
              <w:top w:w="60" w:type="dxa"/>
              <w:start w:w="120" w:type="dxa"/>
              <w:bottom w:w="60" w:type="dxa"/>
              <w:end w:w="120" w:type="dxa"/>
            </w:tcMar>
          </w:tcPr>
          <w:p>
            <w:pPr>
              <w:keepNext/>
              <w:spacing w:after="0" w:line="240" w:lineRule="auto"/>
            </w:pPr>
            <w:r>
              <w:rPr>
                <w:sz w:val="16"/>
              </w:rPr>
              <w:t>0.78</w:t>
            </w:r>
          </w:p>
        </w:tc>
        <w:tc>
          <w:tcPr>
            <w:tcW w:type="dxa" w:w="1442"/>
            <w:vAlign w:val="center"/>
            <w:tcMar>
              <w:top w:w="60" w:type="dxa"/>
              <w:start w:w="120" w:type="dxa"/>
              <w:bottom w:w="60" w:type="dxa"/>
              <w:end w:w="120" w:type="dxa"/>
            </w:tcMar>
          </w:tcPr>
          <w:p>
            <w:pPr>
              <w:keepNext/>
              <w:spacing w:after="0" w:line="240" w:lineRule="auto"/>
            </w:pPr>
            <w:r>
              <w:rPr>
                <w:sz w:val="16"/>
              </w:rPr>
              <w:t>A</w:t>
            </w:r>
          </w:p>
        </w:tc>
        <w:tc>
          <w:tcPr>
            <w:tcW w:type="dxa" w:w="1442"/>
            <w:vAlign w:val="center"/>
            <w:tcMar>
              <w:top w:w="60" w:type="dxa"/>
              <w:start w:w="120" w:type="dxa"/>
              <w:bottom w:w="60" w:type="dxa"/>
              <w:end w:w="120" w:type="dxa"/>
            </w:tcMar>
          </w:tcPr>
          <w:p>
            <w:pPr>
              <w:keepNext/>
              <w:spacing w:after="0" w:line="240" w:lineRule="auto"/>
            </w:pPr>
            <w:r>
              <w:rPr>
                <w:sz w:val="16"/>
              </w:rPr>
              <w:t>yes</w:t>
            </w:r>
          </w:p>
        </w:tc>
        <w:tc>
          <w:tcPr>
            <w:tcW w:type="dxa" w:w="1442"/>
            <w:vAlign w:val="center"/>
            <w:tcMar>
              <w:top w:w="60" w:type="dxa"/>
              <w:start w:w="120" w:type="dxa"/>
              <w:bottom w:w="60" w:type="dxa"/>
              <w:end w:w="120" w:type="dxa"/>
            </w:tcMar>
          </w:tcPr>
          <w:p>
            <w:pPr>
              <w:keepNext/>
              <w:spacing w:after="0" w:line="240" w:lineRule="auto"/>
            </w:pPr>
            <w:r>
              <w:rPr>
                <w:sz w:val="16"/>
              </w:rPr>
              <w:t>yes</w:t>
            </w:r>
          </w:p>
        </w:tc>
        <w:tc>
          <w:tcPr>
            <w:tcW w:type="dxa" w:w="1439"/>
            <w:vAlign w:val="center"/>
            <w:tcMar>
              <w:top w:w="60" w:type="dxa"/>
              <w:start w:w="120" w:type="dxa"/>
              <w:bottom w:w="60" w:type="dxa"/>
              <w:end w:w="120" w:type="dxa"/>
            </w:tcMar>
          </w:tcPr>
          <w:p>
            <w:pPr>
              <w:keepNext/>
              <w:spacing w:after="0" w:line="240" w:lineRule="auto"/>
            </w:pPr>
            <w:r>
              <w:rPr>
                <w:sz w:val="16"/>
              </w:rPr>
              <w:t>6</w:t>
            </w:r>
          </w:p>
        </w:tc>
      </w:tr>
      <w:tr>
        <w:trPr>
          <w:cantSplit/>
        </w:trPr>
        <w:tc>
          <w:tcPr>
            <w:tcW w:type="dxa" w:w="1442"/>
            <w:vAlign w:val="center"/>
            <w:tcMar>
              <w:top w:w="60" w:type="dxa"/>
              <w:start w:w="120" w:type="dxa"/>
              <w:bottom w:w="60" w:type="dxa"/>
              <w:end w:w="120" w:type="dxa"/>
            </w:tcMar>
          </w:tcPr>
          <w:p>
            <w:pPr>
              <w:keepNext/>
              <w:spacing w:after="0" w:line="240" w:lineRule="auto"/>
            </w:pPr>
            <w:r>
              <w:rPr>
                <w:sz w:val="16"/>
              </w:rPr>
              <w:t>P02</w:t>
            </w:r>
          </w:p>
        </w:tc>
        <w:tc>
          <w:tcPr>
            <w:tcW w:type="dxa" w:w="1442"/>
            <w:vAlign w:val="center"/>
            <w:tcMar>
              <w:top w:w="60" w:type="dxa"/>
              <w:start w:w="120" w:type="dxa"/>
              <w:bottom w:w="60" w:type="dxa"/>
              <w:end w:w="120" w:type="dxa"/>
            </w:tcMar>
          </w:tcPr>
          <w:p>
            <w:pPr>
              <w:keepNext/>
              <w:spacing w:after="0" w:line="240" w:lineRule="auto"/>
            </w:pPr>
            <w:r>
              <w:rPr>
                <w:sz w:val="16"/>
              </w:rPr>
              <w:t>11.8</w:t>
            </w:r>
          </w:p>
        </w:tc>
        <w:tc>
          <w:tcPr>
            <w:tcW w:type="dxa" w:w="1442"/>
            <w:vAlign w:val="center"/>
            <w:tcMar>
              <w:top w:w="60" w:type="dxa"/>
              <w:start w:w="120" w:type="dxa"/>
              <w:bottom w:w="60" w:type="dxa"/>
              <w:end w:w="120" w:type="dxa"/>
            </w:tcMar>
          </w:tcPr>
          <w:p>
            <w:pPr>
              <w:keepNext/>
              <w:spacing w:after="0" w:line="240" w:lineRule="auto"/>
            </w:pPr>
            <w:r>
              <w:rPr>
                <w:sz w:val="16"/>
              </w:rPr>
              <w:t>0.81</w:t>
            </w:r>
          </w:p>
        </w:tc>
        <w:tc>
          <w:tcPr>
            <w:tcW w:type="dxa" w:w="1442"/>
            <w:vAlign w:val="center"/>
            <w:tcMar>
              <w:top w:w="60" w:type="dxa"/>
              <w:start w:w="120" w:type="dxa"/>
              <w:bottom w:w="60" w:type="dxa"/>
              <w:end w:w="120" w:type="dxa"/>
            </w:tcMar>
          </w:tcPr>
          <w:p>
            <w:pPr>
              <w:keepNext/>
              <w:spacing w:after="0" w:line="240" w:lineRule="auto"/>
            </w:pPr>
            <w:r>
              <w:rPr>
                <w:sz w:val="16"/>
              </w:rPr>
              <w:t>A</w:t>
            </w:r>
          </w:p>
        </w:tc>
        <w:tc>
          <w:tcPr>
            <w:tcW w:type="dxa" w:w="1442"/>
            <w:vAlign w:val="center"/>
            <w:tcMar>
              <w:top w:w="60" w:type="dxa"/>
              <w:start w:w="120" w:type="dxa"/>
              <w:bottom w:w="60" w:type="dxa"/>
              <w:end w:w="120" w:type="dxa"/>
            </w:tcMar>
          </w:tcPr>
          <w:p>
            <w:pPr>
              <w:keepNext/>
              <w:spacing w:after="0" w:line="240" w:lineRule="auto"/>
            </w:pPr>
            <w:r>
              <w:rPr>
                <w:sz w:val="16"/>
              </w:rPr>
              <w:t>yes</w:t>
            </w:r>
          </w:p>
        </w:tc>
        <w:tc>
          <w:tcPr>
            <w:tcW w:type="dxa" w:w="1442"/>
            <w:vAlign w:val="center"/>
            <w:tcMar>
              <w:top w:w="60" w:type="dxa"/>
              <w:start w:w="120" w:type="dxa"/>
              <w:bottom w:w="60" w:type="dxa"/>
              <w:end w:w="120" w:type="dxa"/>
            </w:tcMar>
          </w:tcPr>
          <w:p>
            <w:pPr>
              <w:keepNext/>
              <w:spacing w:after="0" w:line="240" w:lineRule="auto"/>
            </w:pPr>
            <w:r>
              <w:rPr>
                <w:sz w:val="16"/>
              </w:rPr>
              <w:t>yes</w:t>
            </w:r>
          </w:p>
        </w:tc>
        <w:tc>
          <w:tcPr>
            <w:tcW w:type="dxa" w:w="1439"/>
            <w:vAlign w:val="center"/>
            <w:tcMar>
              <w:top w:w="60" w:type="dxa"/>
              <w:start w:w="120" w:type="dxa"/>
              <w:bottom w:w="60" w:type="dxa"/>
              <w:end w:w="120" w:type="dxa"/>
            </w:tcMar>
          </w:tcPr>
          <w:p>
            <w:pPr>
              <w:keepNext/>
              <w:spacing w:after="0" w:line="240" w:lineRule="auto"/>
            </w:pPr>
            <w:r>
              <w:rPr>
                <w:sz w:val="16"/>
              </w:rPr>
              <w:t>7</w:t>
            </w:r>
          </w:p>
        </w:tc>
      </w:tr>
      <w:tr>
        <w:trPr>
          <w:cantSplit/>
        </w:trPr>
        <w:tc>
          <w:tcPr>
            <w:tcW w:type="dxa" w:w="1442"/>
            <w:vAlign w:val="center"/>
            <w:tcMar>
              <w:top w:w="60" w:type="dxa"/>
              <w:start w:w="120" w:type="dxa"/>
              <w:bottom w:w="60" w:type="dxa"/>
              <w:end w:w="120" w:type="dxa"/>
            </w:tcMar>
          </w:tcPr>
          <w:p>
            <w:pPr>
              <w:keepNext/>
              <w:spacing w:after="0" w:line="240" w:lineRule="auto"/>
            </w:pPr>
            <w:r>
              <w:rPr>
                <w:sz w:val="16"/>
              </w:rPr>
              <w:t>P03</w:t>
            </w:r>
          </w:p>
        </w:tc>
        <w:tc>
          <w:tcPr>
            <w:tcW w:type="dxa" w:w="1442"/>
            <w:vAlign w:val="center"/>
            <w:tcMar>
              <w:top w:w="60" w:type="dxa"/>
              <w:start w:w="120" w:type="dxa"/>
              <w:bottom w:w="60" w:type="dxa"/>
              <w:end w:w="120" w:type="dxa"/>
            </w:tcMar>
          </w:tcPr>
          <w:p>
            <w:pPr>
              <w:keepNext/>
              <w:spacing w:after="0" w:line="240" w:lineRule="auto"/>
            </w:pPr>
            <w:r>
              <w:rPr>
                <w:sz w:val="16"/>
              </w:rPr>
              <w:t>10.9</w:t>
            </w:r>
          </w:p>
        </w:tc>
        <w:tc>
          <w:tcPr>
            <w:tcW w:type="dxa" w:w="1442"/>
            <w:vAlign w:val="center"/>
            <w:tcMar>
              <w:top w:w="60" w:type="dxa"/>
              <w:start w:w="120" w:type="dxa"/>
              <w:bottom w:w="60" w:type="dxa"/>
              <w:end w:w="120" w:type="dxa"/>
            </w:tcMar>
          </w:tcPr>
          <w:p>
            <w:pPr>
              <w:keepNext/>
              <w:spacing w:after="0" w:line="240" w:lineRule="auto"/>
            </w:pPr>
            <w:r>
              <w:rPr>
                <w:sz w:val="16"/>
              </w:rPr>
              <w:t>0.72</w:t>
            </w:r>
          </w:p>
        </w:tc>
        <w:tc>
          <w:tcPr>
            <w:tcW w:type="dxa" w:w="1442"/>
            <w:vAlign w:val="center"/>
            <w:tcMar>
              <w:top w:w="60" w:type="dxa"/>
              <w:start w:w="120" w:type="dxa"/>
              <w:bottom w:w="60" w:type="dxa"/>
              <w:end w:w="120" w:type="dxa"/>
            </w:tcMar>
          </w:tcPr>
          <w:p>
            <w:pPr>
              <w:keepNext/>
              <w:spacing w:after="0" w:line="240" w:lineRule="auto"/>
            </w:pPr>
            <w:r>
              <w:rPr>
                <w:sz w:val="16"/>
              </w:rPr>
              <w:t>B</w:t>
            </w:r>
          </w:p>
        </w:tc>
        <w:tc>
          <w:tcPr>
            <w:tcW w:type="dxa" w:w="1442"/>
            <w:vAlign w:val="center"/>
            <w:tcMar>
              <w:top w:w="60" w:type="dxa"/>
              <w:start w:w="120" w:type="dxa"/>
              <w:bottom w:w="60" w:type="dxa"/>
              <w:end w:w="120" w:type="dxa"/>
            </w:tcMar>
          </w:tcPr>
          <w:p>
            <w:pPr>
              <w:keepNext/>
              <w:spacing w:after="0" w:line="240" w:lineRule="auto"/>
            </w:pPr>
            <w:r>
              <w:rPr>
                <w:sz w:val="16"/>
              </w:rPr>
              <w:t>yes</w:t>
            </w:r>
          </w:p>
        </w:tc>
        <w:tc>
          <w:tcPr>
            <w:tcW w:type="dxa" w:w="1442"/>
            <w:vAlign w:val="center"/>
            <w:tcMar>
              <w:top w:w="60" w:type="dxa"/>
              <w:start w:w="120" w:type="dxa"/>
              <w:bottom w:w="60" w:type="dxa"/>
              <w:end w:w="120" w:type="dxa"/>
            </w:tcMar>
          </w:tcPr>
          <w:p>
            <w:pPr>
              <w:keepNext/>
              <w:spacing w:after="0" w:line="240" w:lineRule="auto"/>
            </w:pPr>
            <w:r>
              <w:rPr>
                <w:sz w:val="16"/>
              </w:rPr>
              <w:t>no</w:t>
            </w:r>
          </w:p>
        </w:tc>
        <w:tc>
          <w:tcPr>
            <w:tcW w:type="dxa" w:w="1439"/>
            <w:vAlign w:val="center"/>
            <w:tcMar>
              <w:top w:w="60" w:type="dxa"/>
              <w:start w:w="120" w:type="dxa"/>
              <w:bottom w:w="60" w:type="dxa"/>
              <w:end w:w="120" w:type="dxa"/>
            </w:tcMar>
          </w:tcPr>
          <w:p>
            <w:pPr>
              <w:keepNext/>
              <w:spacing w:after="0" w:line="240" w:lineRule="auto"/>
            </w:pPr>
            <w:r>
              <w:rPr>
                <w:sz w:val="16"/>
              </w:rPr>
              <w:t>6</w:t>
            </w:r>
          </w:p>
        </w:tc>
      </w:tr>
      <w:tr>
        <w:trPr>
          <w:cantSplit/>
        </w:trPr>
        <w:tc>
          <w:tcPr>
            <w:tcW w:type="dxa" w:w="1442"/>
            <w:vAlign w:val="center"/>
            <w:tcMar>
              <w:top w:w="60" w:type="dxa"/>
              <w:start w:w="120" w:type="dxa"/>
              <w:bottom w:w="60" w:type="dxa"/>
              <w:end w:w="120" w:type="dxa"/>
            </w:tcMar>
          </w:tcPr>
          <w:p>
            <w:pPr>
              <w:keepNext/>
              <w:spacing w:after="0" w:line="240" w:lineRule="auto"/>
            </w:pPr>
            <w:r>
              <w:rPr>
                <w:sz w:val="16"/>
              </w:rPr>
              <w:t>P04</w:t>
            </w:r>
          </w:p>
        </w:tc>
        <w:tc>
          <w:tcPr>
            <w:tcW w:type="dxa" w:w="1442"/>
            <w:vAlign w:val="center"/>
            <w:tcMar>
              <w:top w:w="60" w:type="dxa"/>
              <w:start w:w="120" w:type="dxa"/>
              <w:bottom w:w="60" w:type="dxa"/>
              <w:end w:w="120" w:type="dxa"/>
            </w:tcMar>
          </w:tcPr>
          <w:p>
            <w:pPr>
              <w:keepNext/>
              <w:spacing w:after="0" w:line="240" w:lineRule="auto"/>
            </w:pPr>
            <w:r>
              <w:rPr>
                <w:sz w:val="16"/>
              </w:rPr>
              <w:t>10.5</w:t>
            </w:r>
          </w:p>
        </w:tc>
        <w:tc>
          <w:tcPr>
            <w:tcW w:type="dxa" w:w="1442"/>
            <w:vAlign w:val="center"/>
            <w:tcMar>
              <w:top w:w="60" w:type="dxa"/>
              <w:start w:w="120" w:type="dxa"/>
              <w:bottom w:w="60" w:type="dxa"/>
              <w:end w:w="120" w:type="dxa"/>
            </w:tcMar>
          </w:tcPr>
          <w:p>
            <w:pPr>
              <w:keepNext/>
              <w:spacing w:after="0" w:line="240" w:lineRule="auto"/>
            </w:pPr>
            <w:r>
              <w:rPr>
                <w:sz w:val="16"/>
              </w:rPr>
              <w:t>0.69</w:t>
            </w:r>
          </w:p>
        </w:tc>
        <w:tc>
          <w:tcPr>
            <w:tcW w:type="dxa" w:w="1442"/>
            <w:vAlign w:val="center"/>
            <w:tcMar>
              <w:top w:w="60" w:type="dxa"/>
              <w:start w:w="120" w:type="dxa"/>
              <w:bottom w:w="60" w:type="dxa"/>
              <w:end w:w="120" w:type="dxa"/>
            </w:tcMar>
          </w:tcPr>
          <w:p>
            <w:pPr>
              <w:keepNext/>
              <w:spacing w:after="0" w:line="240" w:lineRule="auto"/>
            </w:pPr>
            <w:r>
              <w:rPr>
                <w:sz w:val="16"/>
              </w:rPr>
              <w:t>B</w:t>
            </w:r>
          </w:p>
        </w:tc>
        <w:tc>
          <w:tcPr>
            <w:tcW w:type="dxa" w:w="1442"/>
            <w:vAlign w:val="center"/>
            <w:tcMar>
              <w:top w:w="60" w:type="dxa"/>
              <w:start w:w="120" w:type="dxa"/>
              <w:bottom w:w="60" w:type="dxa"/>
              <w:end w:w="120" w:type="dxa"/>
            </w:tcMar>
          </w:tcPr>
          <w:p>
            <w:pPr>
              <w:keepNext/>
              <w:spacing w:after="0" w:line="240" w:lineRule="auto"/>
            </w:pPr>
            <w:r>
              <w:rPr>
                <w:sz w:val="16"/>
              </w:rPr>
              <w:t>no</w:t>
            </w:r>
          </w:p>
        </w:tc>
        <w:tc>
          <w:tcPr>
            <w:tcW w:type="dxa" w:w="1442"/>
            <w:vAlign w:val="center"/>
            <w:tcMar>
              <w:top w:w="60" w:type="dxa"/>
              <w:start w:w="120" w:type="dxa"/>
              <w:bottom w:w="60" w:type="dxa"/>
              <w:end w:w="120" w:type="dxa"/>
            </w:tcMar>
          </w:tcPr>
          <w:p>
            <w:pPr>
              <w:keepNext/>
              <w:spacing w:after="0" w:line="240" w:lineRule="auto"/>
            </w:pPr>
            <w:r>
              <w:rPr>
                <w:sz w:val="16"/>
              </w:rPr>
              <w:t>yes</w:t>
            </w:r>
          </w:p>
        </w:tc>
        <w:tc>
          <w:tcPr>
            <w:tcW w:type="dxa" w:w="1439"/>
            <w:vAlign w:val="center"/>
            <w:tcMar>
              <w:top w:w="60" w:type="dxa"/>
              <w:start w:w="120" w:type="dxa"/>
              <w:bottom w:w="60" w:type="dxa"/>
              <w:end w:w="120" w:type="dxa"/>
            </w:tcMar>
          </w:tcPr>
          <w:p>
            <w:pPr>
              <w:keepNext/>
              <w:spacing w:after="0" w:line="240" w:lineRule="auto"/>
            </w:pPr>
            <w:r>
              <w:rPr>
                <w:sz w:val="16"/>
              </w:rPr>
              <w:t>6</w:t>
            </w:r>
          </w:p>
        </w:tc>
      </w:tr>
      <w:tr>
        <w:trPr>
          <w:cantSplit/>
        </w:trPr>
        <w:tc>
          <w:tcPr>
            <w:tcW w:type="dxa" w:w="1442"/>
            <w:vAlign w:val="center"/>
            <w:tcMar>
              <w:top w:w="60" w:type="dxa"/>
              <w:start w:w="120" w:type="dxa"/>
              <w:bottom w:w="60" w:type="dxa"/>
              <w:end w:w="120" w:type="dxa"/>
            </w:tcMar>
          </w:tcPr>
          <w:p>
            <w:pPr>
              <w:keepNext/>
              <w:spacing w:after="0" w:line="240" w:lineRule="auto"/>
            </w:pPr>
            <w:r>
              <w:rPr>
                <w:sz w:val="16"/>
              </w:rPr>
              <w:t>P05</w:t>
            </w:r>
          </w:p>
        </w:tc>
        <w:tc>
          <w:tcPr>
            <w:tcW w:type="dxa" w:w="1442"/>
            <w:vAlign w:val="center"/>
            <w:tcMar>
              <w:top w:w="60" w:type="dxa"/>
              <w:start w:w="120" w:type="dxa"/>
              <w:bottom w:w="60" w:type="dxa"/>
              <w:end w:w="120" w:type="dxa"/>
            </w:tcMar>
          </w:tcPr>
          <w:p>
            <w:pPr>
              <w:keepNext/>
              <w:spacing w:after="0" w:line="240" w:lineRule="auto"/>
            </w:pPr>
            <w:r>
              <w:rPr>
                <w:sz w:val="16"/>
              </w:rPr>
              <w:t>9.7</w:t>
            </w:r>
          </w:p>
        </w:tc>
        <w:tc>
          <w:tcPr>
            <w:tcW w:type="dxa" w:w="1442"/>
            <w:vAlign w:val="center"/>
            <w:tcMar>
              <w:top w:w="60" w:type="dxa"/>
              <w:start w:w="120" w:type="dxa"/>
              <w:bottom w:w="60" w:type="dxa"/>
              <w:end w:w="120" w:type="dxa"/>
            </w:tcMar>
          </w:tcPr>
          <w:p>
            <w:pPr>
              <w:keepNext/>
              <w:spacing w:after="0" w:line="240" w:lineRule="auto"/>
            </w:pPr>
            <w:r>
              <w:rPr>
                <w:sz w:val="16"/>
              </w:rPr>
              <w:t>0.44</w:t>
            </w:r>
          </w:p>
        </w:tc>
        <w:tc>
          <w:tcPr>
            <w:tcW w:type="dxa" w:w="1442"/>
            <w:vAlign w:val="center"/>
            <w:tcMar>
              <w:top w:w="60" w:type="dxa"/>
              <w:start w:w="120" w:type="dxa"/>
              <w:bottom w:w="60" w:type="dxa"/>
              <w:end w:w="120" w:type="dxa"/>
            </w:tcMar>
          </w:tcPr>
          <w:p>
            <w:pPr>
              <w:keepNext/>
              <w:spacing w:after="0" w:line="240" w:lineRule="auto"/>
            </w:pPr>
            <w:r>
              <w:rPr>
                <w:sz w:val="16"/>
              </w:rPr>
              <w:t>C</w:t>
            </w:r>
          </w:p>
        </w:tc>
        <w:tc>
          <w:tcPr>
            <w:tcW w:type="dxa" w:w="1442"/>
            <w:vAlign w:val="center"/>
            <w:tcMar>
              <w:top w:w="60" w:type="dxa"/>
              <w:start w:w="120" w:type="dxa"/>
              <w:bottom w:w="60" w:type="dxa"/>
              <w:end w:w="120" w:type="dxa"/>
            </w:tcMar>
          </w:tcPr>
          <w:p>
            <w:pPr>
              <w:keepNext/>
              <w:spacing w:after="0" w:line="240" w:lineRule="auto"/>
            </w:pPr>
            <w:r>
              <w:rPr>
                <w:sz w:val="16"/>
              </w:rPr>
              <w:t>yes</w:t>
            </w:r>
          </w:p>
        </w:tc>
        <w:tc>
          <w:tcPr>
            <w:tcW w:type="dxa" w:w="1442"/>
            <w:vAlign w:val="center"/>
            <w:tcMar>
              <w:top w:w="60" w:type="dxa"/>
              <w:start w:w="120" w:type="dxa"/>
              <w:bottom w:w="60" w:type="dxa"/>
              <w:end w:w="120" w:type="dxa"/>
            </w:tcMar>
          </w:tcPr>
          <w:p>
            <w:pPr>
              <w:keepNext/>
              <w:spacing w:after="0" w:line="240" w:lineRule="auto"/>
            </w:pPr>
            <w:r>
              <w:rPr>
                <w:sz w:val="16"/>
              </w:rPr>
              <w:t>yes</w:t>
            </w:r>
          </w:p>
        </w:tc>
        <w:tc>
          <w:tcPr>
            <w:tcW w:type="dxa" w:w="1439"/>
            <w:vAlign w:val="center"/>
            <w:tcMar>
              <w:top w:w="60" w:type="dxa"/>
              <w:start w:w="120" w:type="dxa"/>
              <w:bottom w:w="60" w:type="dxa"/>
              <w:end w:w="120" w:type="dxa"/>
            </w:tcMar>
          </w:tcPr>
          <w:p>
            <w:pPr>
              <w:keepNext/>
              <w:spacing w:after="0" w:line="240" w:lineRule="auto"/>
            </w:pPr>
            <w:r>
              <w:rPr>
                <w:sz w:val="16"/>
              </w:rPr>
              <w:t>9</w:t>
            </w:r>
          </w:p>
        </w:tc>
      </w:tr>
      <w:tr>
        <w:trPr>
          <w:cantSplit/>
        </w:trPr>
        <w:tc>
          <w:tcPr>
            <w:tcW w:type="dxa" w:w="1442"/>
            <w:vAlign w:val="center"/>
            <w:tcMar>
              <w:top w:w="60" w:type="dxa"/>
              <w:start w:w="120" w:type="dxa"/>
              <w:bottom w:w="60" w:type="dxa"/>
              <w:end w:w="120" w:type="dxa"/>
            </w:tcMar>
          </w:tcPr>
          <w:p>
            <w:pPr>
              <w:spacing w:after="0" w:line="240" w:lineRule="auto"/>
            </w:pPr>
            <w:r>
              <w:rPr>
                <w:sz w:val="16"/>
              </w:rPr>
              <w:t>P06</w:t>
            </w:r>
          </w:p>
        </w:tc>
        <w:tc>
          <w:tcPr>
            <w:tcW w:type="dxa" w:w="1442"/>
            <w:vAlign w:val="center"/>
            <w:tcMar>
              <w:top w:w="60" w:type="dxa"/>
              <w:start w:w="120" w:type="dxa"/>
              <w:bottom w:w="60" w:type="dxa"/>
              <w:end w:w="120" w:type="dxa"/>
            </w:tcMar>
          </w:tcPr>
          <w:p>
            <w:pPr>
              <w:spacing w:after="0" w:line="240" w:lineRule="auto"/>
            </w:pPr>
            <w:r>
              <w:rPr>
                <w:sz w:val="16"/>
              </w:rPr>
              <w:t>9.2</w:t>
            </w:r>
          </w:p>
        </w:tc>
        <w:tc>
          <w:tcPr>
            <w:tcW w:type="dxa" w:w="1442"/>
            <w:vAlign w:val="center"/>
            <w:tcMar>
              <w:top w:w="60" w:type="dxa"/>
              <w:start w:w="120" w:type="dxa"/>
              <w:bottom w:w="60" w:type="dxa"/>
              <w:end w:w="120" w:type="dxa"/>
            </w:tcMar>
          </w:tcPr>
          <w:p>
            <w:pPr>
              <w:spacing w:after="0" w:line="240" w:lineRule="auto"/>
            </w:pPr>
            <w:r>
              <w:rPr>
                <w:sz w:val="16"/>
              </w:rPr>
              <w:t>0.76</w:t>
            </w:r>
          </w:p>
        </w:tc>
        <w:tc>
          <w:tcPr>
            <w:tcW w:type="dxa" w:w="1442"/>
            <w:vAlign w:val="center"/>
            <w:tcMar>
              <w:top w:w="60" w:type="dxa"/>
              <w:start w:w="120" w:type="dxa"/>
              <w:bottom w:w="60" w:type="dxa"/>
              <w:end w:w="120" w:type="dxa"/>
            </w:tcMar>
          </w:tcPr>
          <w:p>
            <w:pPr>
              <w:spacing w:after="0" w:line="240" w:lineRule="auto"/>
            </w:pPr>
            <w:r>
              <w:rPr>
                <w:sz w:val="16"/>
              </w:rPr>
              <w:t>C</w:t>
            </w:r>
          </w:p>
        </w:tc>
        <w:tc>
          <w:tcPr>
            <w:tcW w:type="dxa" w:w="1442"/>
            <w:vAlign w:val="center"/>
            <w:tcMar>
              <w:top w:w="60" w:type="dxa"/>
              <w:start w:w="120" w:type="dxa"/>
              <w:bottom w:w="60" w:type="dxa"/>
              <w:end w:w="120" w:type="dxa"/>
            </w:tcMar>
          </w:tcPr>
          <w:p>
            <w:pPr>
              <w:spacing w:after="0" w:line="240" w:lineRule="auto"/>
            </w:pPr>
            <w:r>
              <w:rPr>
                <w:sz w:val="16"/>
              </w:rPr>
              <w:t>yes</w:t>
            </w:r>
          </w:p>
        </w:tc>
        <w:tc>
          <w:tcPr>
            <w:tcW w:type="dxa" w:w="1442"/>
            <w:vAlign w:val="center"/>
            <w:tcMar>
              <w:top w:w="60" w:type="dxa"/>
              <w:start w:w="120" w:type="dxa"/>
              <w:bottom w:w="60" w:type="dxa"/>
              <w:end w:w="120" w:type="dxa"/>
            </w:tcMar>
          </w:tcPr>
          <w:p>
            <w:pPr>
              <w:spacing w:after="0" w:line="240" w:lineRule="auto"/>
            </w:pPr>
            <w:r>
              <w:rPr>
                <w:sz w:val="16"/>
              </w:rPr>
              <w:t>yes</w:t>
            </w:r>
          </w:p>
        </w:tc>
        <w:tc>
          <w:tcPr>
            <w:tcW w:type="dxa" w:w="1439"/>
            <w:vAlign w:val="center"/>
            <w:tcMar>
              <w:top w:w="60" w:type="dxa"/>
              <w:start w:w="120" w:type="dxa"/>
              <w:bottom w:w="60" w:type="dxa"/>
              <w:end w:w="120" w:type="dxa"/>
            </w:tcMar>
          </w:tcPr>
          <w:p>
            <w:pPr>
              <w:spacing w:after="0" w:line="240" w:lineRule="auto"/>
            </w:pPr>
            <w:r>
              <w:rPr>
                <w:sz w:val="16"/>
              </w:rPr>
              <w:t>7</w:t>
            </w:r>
          </w:p>
        </w:tc>
      </w:tr>
    </w:tbl>
    <w:p>
      <w:pPr>
        <w:spacing w:after="20"/>
      </w:pPr>
    </w:p>
    <w:p>
      <w:r>
        <w:t>Pre-specified policy:</w:t>
      </w:r>
    </w:p>
    <w:p>
      <w:pPr>
        <w:pStyle w:val="ListBullet"/>
      </w:pPr>
      <w:r>
        <w:t>reliability must be at least 0.60 for a recommendation;</w:t>
      </w:r>
    </w:p>
    <w:p>
      <w:pPr>
        <w:pStyle w:val="ListBullet"/>
      </w:pPr>
      <w:r>
        <w:t>flowering windows may differ by no more than one week;</w:t>
      </w:r>
    </w:p>
    <w:p>
      <w:pPr>
        <w:pStyle w:val="ListBullet"/>
      </w:pPr>
      <w:r>
        <w:t>P03 cannot be used as a male and P04 cannot be used as a female;</w:t>
      </w:r>
    </w:p>
    <w:p>
      <w:pPr>
        <w:pStyle w:val="ListBullet"/>
      </w:pPr>
      <w:r>
        <w:t>no parent may appear in more than two planned crosses;</w:t>
      </w:r>
    </w:p>
    <w:p>
      <w:pPr>
        <w:pStyle w:val="ListBullet"/>
      </w:pPr>
      <w:r>
        <w:t>at least one parent from groups A, B, and C must contribute; and</w:t>
      </w:r>
    </w:p>
    <w:p>
      <w:pPr>
        <w:pStyle w:val="ListBullet"/>
      </w:pPr>
      <w:r>
        <w:t>the programme accepts genomic coancestry no greater than 0.18.</w:t>
      </w:r>
    </w:p>
    <w:p>
      <w:r>
        <w:t>P05 is excluded from recommendations because reliability is 0.44. Its flowering week would also make most pairings infeasible. Both reasons are retained in the exclusion ledger.</w:t>
      </w:r>
    </w:p>
    <w:p>
      <w:pPr>
        <w:pStyle w:val="Heading2"/>
      </w:pPr>
      <w:r>
        <w:t>4.2 Candidate cross results</w:t>
      </w:r>
    </w:p>
    <w:tbl>
      <w:tblPr>
        <w:tblStyle w:val="TableGrid"/>
        <w:tblW w:type="dxa" w:w="10091"/>
        <w:jc w:val="left"/>
        <w:tblLayout w:type="fixed"/>
        <w:tblLook w:firstColumn="1" w:firstRow="1" w:lastColumn="0" w:lastRow="0" w:noHBand="0" w:noVBand="1" w:val="04A0"/>
        <w:tblInd w:w="120" w:type="dxa"/>
      </w:tblPr>
      <w:tblGrid>
        <w:gridCol w:w="1442"/>
        <w:gridCol w:w="1442"/>
        <w:gridCol w:w="1442"/>
        <w:gridCol w:w="1442"/>
        <w:gridCol w:w="1442"/>
        <w:gridCol w:w="1442"/>
        <w:gridCol w:w="1439"/>
      </w:tblGrid>
      <w:tr>
        <w:trPr>
          <w:cantSplit/>
          <w:tblHeader w:val="true"/>
        </w:trPr>
        <w:tc>
          <w:tcPr>
            <w:tcW w:type="dxa" w:w="1442"/>
            <w:vAlign w:val="center"/>
            <w:tcMar>
              <w:top w:w="60" w:type="dxa"/>
              <w:start w:w="120" w:type="dxa"/>
              <w:bottom w:w="60" w:type="dxa"/>
              <w:end w:w="120" w:type="dxa"/>
            </w:tcMar>
            <w:shd w:fill="E8EEF5"/>
          </w:tcPr>
          <w:p>
            <w:pPr>
              <w:keepNext/>
              <w:spacing w:after="0" w:line="240" w:lineRule="auto"/>
            </w:pPr>
            <w:r>
              <w:rPr>
                <w:b/>
                <w:color w:val="1F4D78"/>
                <w:sz w:val="16"/>
              </w:rPr>
              <w:t>Cross</w:t>
            </w:r>
          </w:p>
        </w:tc>
        <w:tc>
          <w:tcPr>
            <w:tcW w:type="dxa" w:w="1442"/>
            <w:vAlign w:val="center"/>
            <w:tcMar>
              <w:top w:w="60" w:type="dxa"/>
              <w:start w:w="120" w:type="dxa"/>
              <w:bottom w:w="60" w:type="dxa"/>
              <w:end w:w="120" w:type="dxa"/>
            </w:tcMar>
            <w:shd w:fill="E8EEF5"/>
          </w:tcPr>
          <w:p>
            <w:pPr>
              <w:keepNext/>
              <w:spacing w:after="0" w:line="240" w:lineRule="auto"/>
            </w:pPr>
            <w:r>
              <w:rPr>
                <w:b/>
                <w:color w:val="1F4D78"/>
                <w:sz w:val="16"/>
              </w:rPr>
              <w:t>Mean</w:t>
            </w:r>
          </w:p>
        </w:tc>
        <w:tc>
          <w:tcPr>
            <w:tcW w:type="dxa" w:w="1442"/>
            <w:vAlign w:val="center"/>
            <w:tcMar>
              <w:top w:w="60" w:type="dxa"/>
              <w:start w:w="120" w:type="dxa"/>
              <w:bottom w:w="60" w:type="dxa"/>
              <w:end w:w="120" w:type="dxa"/>
            </w:tcMar>
            <w:shd w:fill="E8EEF5"/>
          </w:tcPr>
          <w:p>
            <w:pPr>
              <w:keepNext/>
              <w:spacing w:after="0" w:line="240" w:lineRule="auto"/>
            </w:pPr>
            <w:r>
              <w:rPr>
                <w:b/>
                <w:color w:val="1F4D78"/>
                <w:sz w:val="16"/>
              </w:rPr>
              <w:t>Predicted SD</w:t>
            </w:r>
          </w:p>
        </w:tc>
        <w:tc>
          <w:tcPr>
            <w:tcW w:type="dxa" w:w="1442"/>
            <w:vAlign w:val="center"/>
            <w:tcMar>
              <w:top w:w="60" w:type="dxa"/>
              <w:start w:w="120" w:type="dxa"/>
              <w:bottom w:w="60" w:type="dxa"/>
              <w:end w:w="120" w:type="dxa"/>
            </w:tcMar>
            <w:shd w:fill="E8EEF5"/>
          </w:tcPr>
          <w:p>
            <w:pPr>
              <w:keepNext/>
              <w:spacing w:after="0" w:line="240" w:lineRule="auto"/>
            </w:pPr>
            <w:r>
              <w:rPr>
                <w:b/>
                <w:color w:val="1F4D78"/>
                <w:sz w:val="16"/>
              </w:rPr>
              <w:t>UC</w:t>
            </w:r>
          </w:p>
        </w:tc>
        <w:tc>
          <w:tcPr>
            <w:tcW w:type="dxa" w:w="1442"/>
            <w:vAlign w:val="center"/>
            <w:tcMar>
              <w:top w:w="60" w:type="dxa"/>
              <w:start w:w="120" w:type="dxa"/>
              <w:bottom w:w="60" w:type="dxa"/>
              <w:end w:w="120" w:type="dxa"/>
            </w:tcMar>
            <w:shd w:fill="E8EEF5"/>
          </w:tcPr>
          <w:p>
            <w:pPr>
              <w:keepNext/>
              <w:spacing w:after="0" w:line="240" w:lineRule="auto"/>
            </w:pPr>
            <w:r>
              <w:rPr>
                <w:b/>
                <w:color w:val="1F4D78"/>
                <w:sz w:val="16"/>
              </w:rPr>
              <w:t>10% downside</w:t>
            </w:r>
          </w:p>
        </w:tc>
        <w:tc>
          <w:tcPr>
            <w:tcW w:type="dxa" w:w="1442"/>
            <w:vAlign w:val="center"/>
            <w:tcMar>
              <w:top w:w="60" w:type="dxa"/>
              <w:start w:w="120" w:type="dxa"/>
              <w:bottom w:w="60" w:type="dxa"/>
              <w:end w:w="120" w:type="dxa"/>
            </w:tcMar>
            <w:shd w:fill="E8EEF5"/>
          </w:tcPr>
          <w:p>
            <w:pPr>
              <w:keepNext/>
              <w:spacing w:after="0" w:line="240" w:lineRule="auto"/>
            </w:pPr>
            <w:r>
              <w:rPr>
                <w:b/>
                <w:color w:val="1F4D78"/>
                <w:sz w:val="16"/>
              </w:rPr>
              <w:t>Reliability</w:t>
            </w:r>
          </w:p>
        </w:tc>
        <w:tc>
          <w:tcPr>
            <w:tcW w:type="dxa" w:w="1439"/>
            <w:vAlign w:val="center"/>
            <w:tcMar>
              <w:top w:w="60" w:type="dxa"/>
              <w:start w:w="120" w:type="dxa"/>
              <w:bottom w:w="60" w:type="dxa"/>
              <w:end w:w="120" w:type="dxa"/>
            </w:tcMar>
            <w:shd w:fill="E8EEF5"/>
          </w:tcPr>
          <w:p>
            <w:pPr>
              <w:keepNext/>
              <w:spacing w:after="0" w:line="240" w:lineRule="auto"/>
            </w:pPr>
            <w:r>
              <w:rPr>
                <w:b/>
                <w:color w:val="1F4D78"/>
                <w:sz w:val="16"/>
              </w:rPr>
              <w:t>Feasible</w:t>
            </w:r>
          </w:p>
        </w:tc>
      </w:tr>
      <w:tr>
        <w:trPr>
          <w:cantSplit/>
        </w:trPr>
        <w:tc>
          <w:tcPr>
            <w:tcW w:type="dxa" w:w="1442"/>
            <w:vAlign w:val="center"/>
            <w:tcMar>
              <w:top w:w="60" w:type="dxa"/>
              <w:start w:w="120" w:type="dxa"/>
              <w:bottom w:w="60" w:type="dxa"/>
              <w:end w:w="120" w:type="dxa"/>
            </w:tcMar>
          </w:tcPr>
          <w:p>
            <w:pPr>
              <w:keepNext/>
              <w:spacing w:after="0" w:line="240" w:lineRule="auto"/>
            </w:pPr>
            <w:r>
              <w:rPr>
                <w:sz w:val="16"/>
              </w:rPr>
              <w:t>P01 x P03</w:t>
            </w:r>
          </w:p>
        </w:tc>
        <w:tc>
          <w:tcPr>
            <w:tcW w:type="dxa" w:w="1442"/>
            <w:vAlign w:val="center"/>
            <w:tcMar>
              <w:top w:w="60" w:type="dxa"/>
              <w:start w:w="120" w:type="dxa"/>
              <w:bottom w:w="60" w:type="dxa"/>
              <w:end w:w="120" w:type="dxa"/>
            </w:tcMar>
          </w:tcPr>
          <w:p>
            <w:pPr>
              <w:keepNext/>
              <w:spacing w:after="0" w:line="240" w:lineRule="auto"/>
            </w:pPr>
            <w:r>
              <w:rPr>
                <w:sz w:val="16"/>
              </w:rPr>
              <w:t>11.65</w:t>
            </w:r>
          </w:p>
        </w:tc>
        <w:tc>
          <w:tcPr>
            <w:tcW w:type="dxa" w:w="1442"/>
            <w:vAlign w:val="center"/>
            <w:tcMar>
              <w:top w:w="60" w:type="dxa"/>
              <w:start w:w="120" w:type="dxa"/>
              <w:bottom w:w="60" w:type="dxa"/>
              <w:end w:w="120" w:type="dxa"/>
            </w:tcMar>
          </w:tcPr>
          <w:p>
            <w:pPr>
              <w:keepNext/>
              <w:spacing w:after="0" w:line="240" w:lineRule="auto"/>
            </w:pPr>
            <w:r>
              <w:rPr>
                <w:sz w:val="16"/>
              </w:rPr>
              <w:t>1.30</w:t>
            </w:r>
          </w:p>
        </w:tc>
        <w:tc>
          <w:tcPr>
            <w:tcW w:type="dxa" w:w="1442"/>
            <w:vAlign w:val="center"/>
            <w:tcMar>
              <w:top w:w="60" w:type="dxa"/>
              <w:start w:w="120" w:type="dxa"/>
              <w:bottom w:w="60" w:type="dxa"/>
              <w:end w:w="120" w:type="dxa"/>
            </w:tcMar>
          </w:tcPr>
          <w:p>
            <w:pPr>
              <w:keepNext/>
              <w:spacing w:after="0" w:line="240" w:lineRule="auto"/>
            </w:pPr>
            <w:r>
              <w:rPr>
                <w:sz w:val="16"/>
              </w:rPr>
              <w:t>12.72</w:t>
            </w:r>
          </w:p>
        </w:tc>
        <w:tc>
          <w:tcPr>
            <w:tcW w:type="dxa" w:w="1442"/>
            <w:vAlign w:val="center"/>
            <w:tcMar>
              <w:top w:w="60" w:type="dxa"/>
              <w:start w:w="120" w:type="dxa"/>
              <w:bottom w:w="60" w:type="dxa"/>
              <w:end w:w="120" w:type="dxa"/>
            </w:tcMar>
          </w:tcPr>
          <w:p>
            <w:pPr>
              <w:keepNext/>
              <w:spacing w:after="0" w:line="240" w:lineRule="auto"/>
            </w:pPr>
            <w:r>
              <w:rPr>
                <w:sz w:val="16"/>
              </w:rPr>
              <w:t>9.98</w:t>
            </w:r>
          </w:p>
        </w:tc>
        <w:tc>
          <w:tcPr>
            <w:tcW w:type="dxa" w:w="1442"/>
            <w:vAlign w:val="center"/>
            <w:tcMar>
              <w:top w:w="60" w:type="dxa"/>
              <w:start w:w="120" w:type="dxa"/>
              <w:bottom w:w="60" w:type="dxa"/>
              <w:end w:w="120" w:type="dxa"/>
            </w:tcMar>
          </w:tcPr>
          <w:p>
            <w:pPr>
              <w:keepNext/>
              <w:spacing w:after="0" w:line="240" w:lineRule="auto"/>
            </w:pPr>
            <w:r>
              <w:rPr>
                <w:sz w:val="16"/>
              </w:rPr>
              <w:t>0.72</w:t>
            </w:r>
          </w:p>
        </w:tc>
        <w:tc>
          <w:tcPr>
            <w:tcW w:type="dxa" w:w="1439"/>
            <w:vAlign w:val="center"/>
            <w:tcMar>
              <w:top w:w="60" w:type="dxa"/>
              <w:start w:w="120" w:type="dxa"/>
              <w:bottom w:w="60" w:type="dxa"/>
              <w:end w:w="120" w:type="dxa"/>
            </w:tcMar>
          </w:tcPr>
          <w:p>
            <w:pPr>
              <w:keepNext/>
              <w:spacing w:after="0" w:line="240" w:lineRule="auto"/>
            </w:pPr>
            <w:r>
              <w:rPr>
                <w:sz w:val="16"/>
              </w:rPr>
              <w:t>yes</w:t>
            </w:r>
          </w:p>
        </w:tc>
      </w:tr>
      <w:tr>
        <w:trPr>
          <w:cantSplit/>
        </w:trPr>
        <w:tc>
          <w:tcPr>
            <w:tcW w:type="dxa" w:w="1442"/>
            <w:vAlign w:val="center"/>
            <w:tcMar>
              <w:top w:w="60" w:type="dxa"/>
              <w:start w:w="120" w:type="dxa"/>
              <w:bottom w:w="60" w:type="dxa"/>
              <w:end w:w="120" w:type="dxa"/>
            </w:tcMar>
          </w:tcPr>
          <w:p>
            <w:pPr>
              <w:keepNext/>
              <w:spacing w:after="0" w:line="240" w:lineRule="auto"/>
            </w:pPr>
            <w:r>
              <w:rPr>
                <w:sz w:val="16"/>
              </w:rPr>
              <w:t>P01 x P04</w:t>
            </w:r>
          </w:p>
        </w:tc>
        <w:tc>
          <w:tcPr>
            <w:tcW w:type="dxa" w:w="1442"/>
            <w:vAlign w:val="center"/>
            <w:tcMar>
              <w:top w:w="60" w:type="dxa"/>
              <w:start w:w="120" w:type="dxa"/>
              <w:bottom w:w="60" w:type="dxa"/>
              <w:end w:w="120" w:type="dxa"/>
            </w:tcMar>
          </w:tcPr>
          <w:p>
            <w:pPr>
              <w:keepNext/>
              <w:spacing w:after="0" w:line="240" w:lineRule="auto"/>
            </w:pPr>
            <w:r>
              <w:rPr>
                <w:sz w:val="16"/>
              </w:rPr>
              <w:t>11.45</w:t>
            </w:r>
          </w:p>
        </w:tc>
        <w:tc>
          <w:tcPr>
            <w:tcW w:type="dxa" w:w="1442"/>
            <w:vAlign w:val="center"/>
            <w:tcMar>
              <w:top w:w="60" w:type="dxa"/>
              <w:start w:w="120" w:type="dxa"/>
              <w:bottom w:w="60" w:type="dxa"/>
              <w:end w:w="120" w:type="dxa"/>
            </w:tcMar>
          </w:tcPr>
          <w:p>
            <w:pPr>
              <w:keepNext/>
              <w:spacing w:after="0" w:line="240" w:lineRule="auto"/>
            </w:pPr>
            <w:r>
              <w:rPr>
                <w:sz w:val="16"/>
              </w:rPr>
              <w:t>1.52</w:t>
            </w:r>
          </w:p>
        </w:tc>
        <w:tc>
          <w:tcPr>
            <w:tcW w:type="dxa" w:w="1442"/>
            <w:vAlign w:val="center"/>
            <w:tcMar>
              <w:top w:w="60" w:type="dxa"/>
              <w:start w:w="120" w:type="dxa"/>
              <w:bottom w:w="60" w:type="dxa"/>
              <w:end w:w="120" w:type="dxa"/>
            </w:tcMar>
          </w:tcPr>
          <w:p>
            <w:pPr>
              <w:keepNext/>
              <w:spacing w:after="0" w:line="240" w:lineRule="auto"/>
            </w:pPr>
            <w:r>
              <w:rPr>
                <w:sz w:val="16"/>
              </w:rPr>
              <w:t>12.70</w:t>
            </w:r>
          </w:p>
        </w:tc>
        <w:tc>
          <w:tcPr>
            <w:tcW w:type="dxa" w:w="1442"/>
            <w:vAlign w:val="center"/>
            <w:tcMar>
              <w:top w:w="60" w:type="dxa"/>
              <w:start w:w="120" w:type="dxa"/>
              <w:bottom w:w="60" w:type="dxa"/>
              <w:end w:w="120" w:type="dxa"/>
            </w:tcMar>
          </w:tcPr>
          <w:p>
            <w:pPr>
              <w:keepNext/>
              <w:spacing w:after="0" w:line="240" w:lineRule="auto"/>
            </w:pPr>
            <w:r>
              <w:rPr>
                <w:sz w:val="16"/>
              </w:rPr>
              <w:t>9.50</w:t>
            </w:r>
          </w:p>
        </w:tc>
        <w:tc>
          <w:tcPr>
            <w:tcW w:type="dxa" w:w="1442"/>
            <w:vAlign w:val="center"/>
            <w:tcMar>
              <w:top w:w="60" w:type="dxa"/>
              <w:start w:w="120" w:type="dxa"/>
              <w:bottom w:w="60" w:type="dxa"/>
              <w:end w:w="120" w:type="dxa"/>
            </w:tcMar>
          </w:tcPr>
          <w:p>
            <w:pPr>
              <w:keepNext/>
              <w:spacing w:after="0" w:line="240" w:lineRule="auto"/>
            </w:pPr>
            <w:r>
              <w:rPr>
                <w:sz w:val="16"/>
              </w:rPr>
              <w:t>0.69</w:t>
            </w:r>
          </w:p>
        </w:tc>
        <w:tc>
          <w:tcPr>
            <w:tcW w:type="dxa" w:w="1439"/>
            <w:vAlign w:val="center"/>
            <w:tcMar>
              <w:top w:w="60" w:type="dxa"/>
              <w:start w:w="120" w:type="dxa"/>
              <w:bottom w:w="60" w:type="dxa"/>
              <w:end w:w="120" w:type="dxa"/>
            </w:tcMar>
          </w:tcPr>
          <w:p>
            <w:pPr>
              <w:keepNext/>
              <w:spacing w:after="0" w:line="240" w:lineRule="auto"/>
            </w:pPr>
            <w:r>
              <w:rPr>
                <w:sz w:val="16"/>
              </w:rPr>
              <w:t>yes</w:t>
            </w:r>
          </w:p>
        </w:tc>
      </w:tr>
      <w:tr>
        <w:trPr>
          <w:cantSplit/>
        </w:trPr>
        <w:tc>
          <w:tcPr>
            <w:tcW w:type="dxa" w:w="1442"/>
            <w:vAlign w:val="center"/>
            <w:tcMar>
              <w:top w:w="60" w:type="dxa"/>
              <w:start w:w="120" w:type="dxa"/>
              <w:bottom w:w="60" w:type="dxa"/>
              <w:end w:w="120" w:type="dxa"/>
            </w:tcMar>
          </w:tcPr>
          <w:p>
            <w:pPr>
              <w:keepNext/>
              <w:spacing w:after="0" w:line="240" w:lineRule="auto"/>
            </w:pPr>
            <w:r>
              <w:rPr>
                <w:sz w:val="16"/>
              </w:rPr>
              <w:t>P02 x P04</w:t>
            </w:r>
          </w:p>
        </w:tc>
        <w:tc>
          <w:tcPr>
            <w:tcW w:type="dxa" w:w="1442"/>
            <w:vAlign w:val="center"/>
            <w:tcMar>
              <w:top w:w="60" w:type="dxa"/>
              <w:start w:w="120" w:type="dxa"/>
              <w:bottom w:w="60" w:type="dxa"/>
              <w:end w:w="120" w:type="dxa"/>
            </w:tcMar>
          </w:tcPr>
          <w:p>
            <w:pPr>
              <w:keepNext/>
              <w:spacing w:after="0" w:line="240" w:lineRule="auto"/>
            </w:pPr>
            <w:r>
              <w:rPr>
                <w:sz w:val="16"/>
              </w:rPr>
              <w:t>11.15</w:t>
            </w:r>
          </w:p>
        </w:tc>
        <w:tc>
          <w:tcPr>
            <w:tcW w:type="dxa" w:w="1442"/>
            <w:vAlign w:val="center"/>
            <w:tcMar>
              <w:top w:w="60" w:type="dxa"/>
              <w:start w:w="120" w:type="dxa"/>
              <w:bottom w:w="60" w:type="dxa"/>
              <w:end w:w="120" w:type="dxa"/>
            </w:tcMar>
          </w:tcPr>
          <w:p>
            <w:pPr>
              <w:keepNext/>
              <w:spacing w:after="0" w:line="240" w:lineRule="auto"/>
            </w:pPr>
            <w:r>
              <w:rPr>
                <w:sz w:val="16"/>
              </w:rPr>
              <w:t>1.48</w:t>
            </w:r>
          </w:p>
        </w:tc>
        <w:tc>
          <w:tcPr>
            <w:tcW w:type="dxa" w:w="1442"/>
            <w:vAlign w:val="center"/>
            <w:tcMar>
              <w:top w:w="60" w:type="dxa"/>
              <w:start w:w="120" w:type="dxa"/>
              <w:bottom w:w="60" w:type="dxa"/>
              <w:end w:w="120" w:type="dxa"/>
            </w:tcMar>
          </w:tcPr>
          <w:p>
            <w:pPr>
              <w:keepNext/>
              <w:spacing w:after="0" w:line="240" w:lineRule="auto"/>
            </w:pPr>
            <w:r>
              <w:rPr>
                <w:sz w:val="16"/>
              </w:rPr>
              <w:t>12.36</w:t>
            </w:r>
          </w:p>
        </w:tc>
        <w:tc>
          <w:tcPr>
            <w:tcW w:type="dxa" w:w="1442"/>
            <w:vAlign w:val="center"/>
            <w:tcMar>
              <w:top w:w="60" w:type="dxa"/>
              <w:start w:w="120" w:type="dxa"/>
              <w:bottom w:w="60" w:type="dxa"/>
              <w:end w:w="120" w:type="dxa"/>
            </w:tcMar>
          </w:tcPr>
          <w:p>
            <w:pPr>
              <w:keepNext/>
              <w:spacing w:after="0" w:line="240" w:lineRule="auto"/>
            </w:pPr>
            <w:r>
              <w:rPr>
                <w:sz w:val="16"/>
              </w:rPr>
              <w:t>9.25</w:t>
            </w:r>
          </w:p>
        </w:tc>
        <w:tc>
          <w:tcPr>
            <w:tcW w:type="dxa" w:w="1442"/>
            <w:vAlign w:val="center"/>
            <w:tcMar>
              <w:top w:w="60" w:type="dxa"/>
              <w:start w:w="120" w:type="dxa"/>
              <w:bottom w:w="60" w:type="dxa"/>
              <w:end w:w="120" w:type="dxa"/>
            </w:tcMar>
          </w:tcPr>
          <w:p>
            <w:pPr>
              <w:keepNext/>
              <w:spacing w:after="0" w:line="240" w:lineRule="auto"/>
            </w:pPr>
            <w:r>
              <w:rPr>
                <w:sz w:val="16"/>
              </w:rPr>
              <w:t>0.69</w:t>
            </w:r>
          </w:p>
        </w:tc>
        <w:tc>
          <w:tcPr>
            <w:tcW w:type="dxa" w:w="1439"/>
            <w:vAlign w:val="center"/>
            <w:tcMar>
              <w:top w:w="60" w:type="dxa"/>
              <w:start w:w="120" w:type="dxa"/>
              <w:bottom w:w="60" w:type="dxa"/>
              <w:end w:w="120" w:type="dxa"/>
            </w:tcMar>
          </w:tcPr>
          <w:p>
            <w:pPr>
              <w:keepNext/>
              <w:spacing w:after="0" w:line="240" w:lineRule="auto"/>
            </w:pPr>
            <w:r>
              <w:rPr>
                <w:sz w:val="16"/>
              </w:rPr>
              <w:t>yes</w:t>
            </w:r>
          </w:p>
        </w:tc>
      </w:tr>
      <w:tr>
        <w:trPr>
          <w:cantSplit/>
        </w:trPr>
        <w:tc>
          <w:tcPr>
            <w:tcW w:type="dxa" w:w="1442"/>
            <w:vAlign w:val="center"/>
            <w:tcMar>
              <w:top w:w="60" w:type="dxa"/>
              <w:start w:w="120" w:type="dxa"/>
              <w:bottom w:w="60" w:type="dxa"/>
              <w:end w:w="120" w:type="dxa"/>
            </w:tcMar>
          </w:tcPr>
          <w:p>
            <w:pPr>
              <w:keepNext/>
              <w:spacing w:after="0" w:line="240" w:lineRule="auto"/>
            </w:pPr>
            <w:r>
              <w:rPr>
                <w:sz w:val="16"/>
              </w:rPr>
              <w:t>P03 x P06</w:t>
            </w:r>
          </w:p>
        </w:tc>
        <w:tc>
          <w:tcPr>
            <w:tcW w:type="dxa" w:w="1442"/>
            <w:vAlign w:val="center"/>
            <w:tcMar>
              <w:top w:w="60" w:type="dxa"/>
              <w:start w:w="120" w:type="dxa"/>
              <w:bottom w:w="60" w:type="dxa"/>
              <w:end w:w="120" w:type="dxa"/>
            </w:tcMar>
          </w:tcPr>
          <w:p>
            <w:pPr>
              <w:keepNext/>
              <w:spacing w:after="0" w:line="240" w:lineRule="auto"/>
            </w:pPr>
            <w:r>
              <w:rPr>
                <w:sz w:val="16"/>
              </w:rPr>
              <w:t>10.05</w:t>
            </w:r>
          </w:p>
        </w:tc>
        <w:tc>
          <w:tcPr>
            <w:tcW w:type="dxa" w:w="1442"/>
            <w:vAlign w:val="center"/>
            <w:tcMar>
              <w:top w:w="60" w:type="dxa"/>
              <w:start w:w="120" w:type="dxa"/>
              <w:bottom w:w="60" w:type="dxa"/>
              <w:end w:w="120" w:type="dxa"/>
            </w:tcMar>
          </w:tcPr>
          <w:p>
            <w:pPr>
              <w:keepNext/>
              <w:spacing w:after="0" w:line="240" w:lineRule="auto"/>
            </w:pPr>
            <w:r>
              <w:rPr>
                <w:sz w:val="16"/>
              </w:rPr>
              <w:t>1.72</w:t>
            </w:r>
          </w:p>
        </w:tc>
        <w:tc>
          <w:tcPr>
            <w:tcW w:type="dxa" w:w="1442"/>
            <w:vAlign w:val="center"/>
            <w:tcMar>
              <w:top w:w="60" w:type="dxa"/>
              <w:start w:w="120" w:type="dxa"/>
              <w:bottom w:w="60" w:type="dxa"/>
              <w:end w:w="120" w:type="dxa"/>
            </w:tcMar>
          </w:tcPr>
          <w:p>
            <w:pPr>
              <w:keepNext/>
              <w:spacing w:after="0" w:line="240" w:lineRule="auto"/>
            </w:pPr>
            <w:r>
              <w:rPr>
                <w:sz w:val="16"/>
              </w:rPr>
              <w:t>11.46</w:t>
            </w:r>
          </w:p>
        </w:tc>
        <w:tc>
          <w:tcPr>
            <w:tcW w:type="dxa" w:w="1442"/>
            <w:vAlign w:val="center"/>
            <w:tcMar>
              <w:top w:w="60" w:type="dxa"/>
              <w:start w:w="120" w:type="dxa"/>
              <w:bottom w:w="60" w:type="dxa"/>
              <w:end w:w="120" w:type="dxa"/>
            </w:tcMar>
          </w:tcPr>
          <w:p>
            <w:pPr>
              <w:keepNext/>
              <w:spacing w:after="0" w:line="240" w:lineRule="auto"/>
            </w:pPr>
            <w:r>
              <w:rPr>
                <w:sz w:val="16"/>
              </w:rPr>
              <w:t>7.85</w:t>
            </w:r>
          </w:p>
        </w:tc>
        <w:tc>
          <w:tcPr>
            <w:tcW w:type="dxa" w:w="1442"/>
            <w:vAlign w:val="center"/>
            <w:tcMar>
              <w:top w:w="60" w:type="dxa"/>
              <w:start w:w="120" w:type="dxa"/>
              <w:bottom w:w="60" w:type="dxa"/>
              <w:end w:w="120" w:type="dxa"/>
            </w:tcMar>
          </w:tcPr>
          <w:p>
            <w:pPr>
              <w:keepNext/>
              <w:spacing w:after="0" w:line="240" w:lineRule="auto"/>
            </w:pPr>
            <w:r>
              <w:rPr>
                <w:sz w:val="16"/>
              </w:rPr>
              <w:t>0.72</w:t>
            </w:r>
          </w:p>
        </w:tc>
        <w:tc>
          <w:tcPr>
            <w:tcW w:type="dxa" w:w="1439"/>
            <w:vAlign w:val="center"/>
            <w:tcMar>
              <w:top w:w="60" w:type="dxa"/>
              <w:start w:w="120" w:type="dxa"/>
              <w:bottom w:w="60" w:type="dxa"/>
              <w:end w:w="120" w:type="dxa"/>
            </w:tcMar>
          </w:tcPr>
          <w:p>
            <w:pPr>
              <w:keepNext/>
              <w:spacing w:after="0" w:line="240" w:lineRule="auto"/>
            </w:pPr>
            <w:r>
              <w:rPr>
                <w:sz w:val="16"/>
              </w:rPr>
              <w:t>yes</w:t>
            </w:r>
          </w:p>
        </w:tc>
      </w:tr>
      <w:tr>
        <w:trPr>
          <w:cantSplit/>
        </w:trPr>
        <w:tc>
          <w:tcPr>
            <w:tcW w:type="dxa" w:w="1442"/>
            <w:vAlign w:val="center"/>
            <w:tcMar>
              <w:top w:w="60" w:type="dxa"/>
              <w:start w:w="120" w:type="dxa"/>
              <w:bottom w:w="60" w:type="dxa"/>
              <w:end w:w="120" w:type="dxa"/>
            </w:tcMar>
          </w:tcPr>
          <w:p>
            <w:pPr>
              <w:keepNext/>
              <w:spacing w:after="0" w:line="240" w:lineRule="auto"/>
            </w:pPr>
            <w:r>
              <w:rPr>
                <w:sz w:val="16"/>
              </w:rPr>
              <w:t>P02 x P06</w:t>
            </w:r>
          </w:p>
        </w:tc>
        <w:tc>
          <w:tcPr>
            <w:tcW w:type="dxa" w:w="1442"/>
            <w:vAlign w:val="center"/>
            <w:tcMar>
              <w:top w:w="60" w:type="dxa"/>
              <w:start w:w="120" w:type="dxa"/>
              <w:bottom w:w="60" w:type="dxa"/>
              <w:end w:w="120" w:type="dxa"/>
            </w:tcMar>
          </w:tcPr>
          <w:p>
            <w:pPr>
              <w:keepNext/>
              <w:spacing w:after="0" w:line="240" w:lineRule="auto"/>
            </w:pPr>
            <w:r>
              <w:rPr>
                <w:sz w:val="16"/>
              </w:rPr>
              <w:t>10.50</w:t>
            </w:r>
          </w:p>
        </w:tc>
        <w:tc>
          <w:tcPr>
            <w:tcW w:type="dxa" w:w="1442"/>
            <w:vAlign w:val="center"/>
            <w:tcMar>
              <w:top w:w="60" w:type="dxa"/>
              <w:start w:w="120" w:type="dxa"/>
              <w:bottom w:w="60" w:type="dxa"/>
              <w:end w:w="120" w:type="dxa"/>
            </w:tcMar>
          </w:tcPr>
          <w:p>
            <w:pPr>
              <w:keepNext/>
              <w:spacing w:after="0" w:line="240" w:lineRule="auto"/>
            </w:pPr>
            <w:r>
              <w:rPr>
                <w:sz w:val="16"/>
              </w:rPr>
              <w:t>1.10</w:t>
            </w:r>
          </w:p>
        </w:tc>
        <w:tc>
          <w:tcPr>
            <w:tcW w:type="dxa" w:w="1442"/>
            <w:vAlign w:val="center"/>
            <w:tcMar>
              <w:top w:w="60" w:type="dxa"/>
              <w:start w:w="120" w:type="dxa"/>
              <w:bottom w:w="60" w:type="dxa"/>
              <w:end w:w="120" w:type="dxa"/>
            </w:tcMar>
          </w:tcPr>
          <w:p>
            <w:pPr>
              <w:keepNext/>
              <w:spacing w:after="0" w:line="240" w:lineRule="auto"/>
            </w:pPr>
            <w:r>
              <w:rPr>
                <w:sz w:val="16"/>
              </w:rPr>
              <w:t>11.40</w:t>
            </w:r>
          </w:p>
        </w:tc>
        <w:tc>
          <w:tcPr>
            <w:tcW w:type="dxa" w:w="1442"/>
            <w:vAlign w:val="center"/>
            <w:tcMar>
              <w:top w:w="60" w:type="dxa"/>
              <w:start w:w="120" w:type="dxa"/>
              <w:bottom w:w="60" w:type="dxa"/>
              <w:end w:w="120" w:type="dxa"/>
            </w:tcMar>
          </w:tcPr>
          <w:p>
            <w:pPr>
              <w:keepNext/>
              <w:spacing w:after="0" w:line="240" w:lineRule="auto"/>
            </w:pPr>
            <w:r>
              <w:rPr>
                <w:sz w:val="16"/>
              </w:rPr>
              <w:t>9.09</w:t>
            </w:r>
          </w:p>
        </w:tc>
        <w:tc>
          <w:tcPr>
            <w:tcW w:type="dxa" w:w="1442"/>
            <w:vAlign w:val="center"/>
            <w:tcMar>
              <w:top w:w="60" w:type="dxa"/>
              <w:start w:w="120" w:type="dxa"/>
              <w:bottom w:w="60" w:type="dxa"/>
              <w:end w:w="120" w:type="dxa"/>
            </w:tcMar>
          </w:tcPr>
          <w:p>
            <w:pPr>
              <w:keepNext/>
              <w:spacing w:after="0" w:line="240" w:lineRule="auto"/>
            </w:pPr>
            <w:r>
              <w:rPr>
                <w:sz w:val="16"/>
              </w:rPr>
              <w:t>0.76</w:t>
            </w:r>
          </w:p>
        </w:tc>
        <w:tc>
          <w:tcPr>
            <w:tcW w:type="dxa" w:w="1439"/>
            <w:vAlign w:val="center"/>
            <w:tcMar>
              <w:top w:w="60" w:type="dxa"/>
              <w:start w:w="120" w:type="dxa"/>
              <w:bottom w:w="60" w:type="dxa"/>
              <w:end w:w="120" w:type="dxa"/>
            </w:tcMar>
          </w:tcPr>
          <w:p>
            <w:pPr>
              <w:keepNext/>
              <w:spacing w:after="0" w:line="240" w:lineRule="auto"/>
            </w:pPr>
            <w:r>
              <w:rPr>
                <w:sz w:val="16"/>
              </w:rPr>
              <w:t>yes</w:t>
            </w:r>
          </w:p>
        </w:tc>
      </w:tr>
      <w:tr>
        <w:trPr>
          <w:cantSplit/>
        </w:trPr>
        <w:tc>
          <w:tcPr>
            <w:tcW w:type="dxa" w:w="1442"/>
            <w:vAlign w:val="center"/>
            <w:tcMar>
              <w:top w:w="60" w:type="dxa"/>
              <w:start w:w="120" w:type="dxa"/>
              <w:bottom w:w="60" w:type="dxa"/>
              <w:end w:w="120" w:type="dxa"/>
            </w:tcMar>
          </w:tcPr>
          <w:p>
            <w:pPr>
              <w:spacing w:after="0" w:line="240" w:lineRule="auto"/>
            </w:pPr>
            <w:r>
              <w:rPr>
                <w:sz w:val="16"/>
              </w:rPr>
              <w:t>P01 x P05</w:t>
            </w:r>
          </w:p>
        </w:tc>
        <w:tc>
          <w:tcPr>
            <w:tcW w:type="dxa" w:w="1442"/>
            <w:vAlign w:val="center"/>
            <w:tcMar>
              <w:top w:w="60" w:type="dxa"/>
              <w:start w:w="120" w:type="dxa"/>
              <w:bottom w:w="60" w:type="dxa"/>
              <w:end w:w="120" w:type="dxa"/>
            </w:tcMar>
          </w:tcPr>
          <w:p>
            <w:pPr>
              <w:spacing w:after="0" w:line="240" w:lineRule="auto"/>
            </w:pPr>
            <w:r>
              <w:rPr>
                <w:sz w:val="16"/>
              </w:rPr>
              <w:t>11.05</w:t>
            </w:r>
          </w:p>
        </w:tc>
        <w:tc>
          <w:tcPr>
            <w:tcW w:type="dxa" w:w="1442"/>
            <w:vAlign w:val="center"/>
            <w:tcMar>
              <w:top w:w="60" w:type="dxa"/>
              <w:start w:w="120" w:type="dxa"/>
              <w:bottom w:w="60" w:type="dxa"/>
              <w:end w:w="120" w:type="dxa"/>
            </w:tcMar>
          </w:tcPr>
          <w:p>
            <w:pPr>
              <w:spacing w:after="0" w:line="240" w:lineRule="auto"/>
            </w:pPr>
            <w:r>
              <w:rPr>
                <w:sz w:val="16"/>
              </w:rPr>
              <w:t>1.90</w:t>
            </w:r>
          </w:p>
        </w:tc>
        <w:tc>
          <w:tcPr>
            <w:tcW w:type="dxa" w:w="1442"/>
            <w:vAlign w:val="center"/>
            <w:tcMar>
              <w:top w:w="60" w:type="dxa"/>
              <w:start w:w="120" w:type="dxa"/>
              <w:bottom w:w="60" w:type="dxa"/>
              <w:end w:w="120" w:type="dxa"/>
            </w:tcMar>
          </w:tcPr>
          <w:p>
            <w:pPr>
              <w:spacing w:after="0" w:line="240" w:lineRule="auto"/>
            </w:pPr>
            <w:r>
              <w:rPr>
                <w:sz w:val="16"/>
              </w:rPr>
              <w:t>12.61</w:t>
            </w:r>
          </w:p>
        </w:tc>
        <w:tc>
          <w:tcPr>
            <w:tcW w:type="dxa" w:w="1442"/>
            <w:vAlign w:val="center"/>
            <w:tcMar>
              <w:top w:w="60" w:type="dxa"/>
              <w:start w:w="120" w:type="dxa"/>
              <w:bottom w:w="60" w:type="dxa"/>
              <w:end w:w="120" w:type="dxa"/>
            </w:tcMar>
          </w:tcPr>
          <w:p>
            <w:pPr>
              <w:spacing w:after="0" w:line="240" w:lineRule="auto"/>
            </w:pPr>
            <w:r>
              <w:rPr>
                <w:sz w:val="16"/>
              </w:rPr>
              <w:t>8.62</w:t>
            </w:r>
          </w:p>
        </w:tc>
        <w:tc>
          <w:tcPr>
            <w:tcW w:type="dxa" w:w="1442"/>
            <w:vAlign w:val="center"/>
            <w:tcMar>
              <w:top w:w="60" w:type="dxa"/>
              <w:start w:w="120" w:type="dxa"/>
              <w:bottom w:w="60" w:type="dxa"/>
              <w:end w:w="120" w:type="dxa"/>
            </w:tcMar>
          </w:tcPr>
          <w:p>
            <w:pPr>
              <w:spacing w:after="0" w:line="240" w:lineRule="auto"/>
            </w:pPr>
            <w:r>
              <w:rPr>
                <w:sz w:val="16"/>
              </w:rPr>
              <w:t>0.44</w:t>
            </w:r>
          </w:p>
        </w:tc>
        <w:tc>
          <w:tcPr>
            <w:tcW w:type="dxa" w:w="1439"/>
            <w:vAlign w:val="center"/>
            <w:tcMar>
              <w:top w:w="60" w:type="dxa"/>
              <w:start w:w="120" w:type="dxa"/>
              <w:bottom w:w="60" w:type="dxa"/>
              <w:end w:w="120" w:type="dxa"/>
            </w:tcMar>
          </w:tcPr>
          <w:p>
            <w:pPr>
              <w:spacing w:after="0" w:line="240" w:lineRule="auto"/>
            </w:pPr>
            <w:r>
              <w:rPr>
                <w:sz w:val="16"/>
              </w:rPr>
              <w:t>no</w:t>
            </w:r>
          </w:p>
        </w:tc>
      </w:tr>
    </w:tbl>
    <w:p>
      <w:pPr>
        <w:spacing w:after="20"/>
      </w:pPr>
    </w:p>
    <w:p>
      <w:r>
        <w:t>UC is the usefulness criterion at the declared selection intensity. Reliability is conservatively the lower parental reliability in this illustration.</w:t>
      </w:r>
    </w:p>
    <w:p>
      <w:pPr>
        <w:pStyle w:val="Heading2"/>
      </w:pPr>
      <w:r>
        <w:t>4.3 Decision</w:t>
      </w:r>
    </w:p>
    <w:p>
      <w:r>
        <w:t>The highest feasible UC alone would favour P01 x P03. The full plan also needs group C and must respect parent capacity. The selected plan is:</w:t>
      </w:r>
    </w:p>
    <w:tbl>
      <w:tblPr>
        <w:tblStyle w:val="TableGrid"/>
        <w:tblW w:type="dxa" w:w="10091"/>
        <w:jc w:val="left"/>
        <w:tblLayout w:type="fixed"/>
        <w:tblLook w:firstColumn="1" w:firstRow="1" w:lastColumn="0" w:lastRow="0" w:noHBand="0" w:noVBand="1" w:val="04A0"/>
        <w:tblInd w:w="120" w:type="dxa"/>
      </w:tblPr>
      <w:tblGrid>
        <w:gridCol w:w="2548"/>
        <w:gridCol w:w="2548"/>
        <w:gridCol w:w="4995"/>
      </w:tblGrid>
      <w:tr>
        <w:trPr>
          <w:cantSplit/>
          <w:tblHeader w:val="true"/>
        </w:trPr>
        <w:tc>
          <w:tcPr>
            <w:tcW w:type="dxa" w:w="2548"/>
            <w:vAlign w:val="center"/>
            <w:tcMar>
              <w:top w:w="60" w:type="dxa"/>
              <w:start w:w="120" w:type="dxa"/>
              <w:bottom w:w="60" w:type="dxa"/>
              <w:end w:w="120" w:type="dxa"/>
            </w:tcMar>
            <w:shd w:fill="E8EEF5"/>
          </w:tcPr>
          <w:p>
            <w:pPr>
              <w:keepNext/>
              <w:spacing w:after="0" w:line="240" w:lineRule="auto"/>
            </w:pPr>
            <w:r>
              <w:rPr>
                <w:b/>
                <w:color w:val="1F4D78"/>
                <w:sz w:val="16"/>
              </w:rPr>
              <w:t>Cross</w:t>
            </w:r>
          </w:p>
        </w:tc>
        <w:tc>
          <w:tcPr>
            <w:tcW w:type="dxa" w:w="2548"/>
            <w:vAlign w:val="center"/>
            <w:tcMar>
              <w:top w:w="60" w:type="dxa"/>
              <w:start w:w="120" w:type="dxa"/>
              <w:bottom w:w="60" w:type="dxa"/>
              <w:end w:w="120" w:type="dxa"/>
            </w:tcMar>
            <w:shd w:fill="E8EEF5"/>
          </w:tcPr>
          <w:p>
            <w:pPr>
              <w:keepNext/>
              <w:spacing w:after="0" w:line="240" w:lineRule="auto"/>
            </w:pPr>
            <w:r>
              <w:rPr>
                <w:b/>
                <w:color w:val="1F4D78"/>
                <w:sz w:val="16"/>
              </w:rPr>
              <w:t>Families</w:t>
            </w:r>
          </w:p>
        </w:tc>
        <w:tc>
          <w:tcPr>
            <w:tcW w:type="dxa" w:w="4995"/>
            <w:vAlign w:val="center"/>
            <w:tcMar>
              <w:top w:w="60" w:type="dxa"/>
              <w:start w:w="120" w:type="dxa"/>
              <w:bottom w:w="60" w:type="dxa"/>
              <w:end w:w="120" w:type="dxa"/>
            </w:tcMar>
            <w:shd w:fill="E8EEF5"/>
          </w:tcPr>
          <w:p>
            <w:pPr>
              <w:keepNext/>
              <w:spacing w:after="0" w:line="240" w:lineRule="auto"/>
            </w:pPr>
            <w:r>
              <w:rPr>
                <w:b/>
                <w:color w:val="1F4D78"/>
                <w:sz w:val="16"/>
              </w:rPr>
              <w:t>Reason</w:t>
            </w:r>
          </w:p>
        </w:tc>
      </w:tr>
      <w:tr>
        <w:trPr>
          <w:cantSplit/>
        </w:trPr>
        <w:tc>
          <w:tcPr>
            <w:tcW w:type="dxa" w:w="2548"/>
            <w:vAlign w:val="center"/>
            <w:tcMar>
              <w:top w:w="60" w:type="dxa"/>
              <w:start w:w="120" w:type="dxa"/>
              <w:bottom w:w="60" w:type="dxa"/>
              <w:end w:w="120" w:type="dxa"/>
            </w:tcMar>
          </w:tcPr>
          <w:p>
            <w:pPr>
              <w:keepNext/>
              <w:spacing w:after="0" w:line="240" w:lineRule="auto"/>
            </w:pPr>
            <w:r>
              <w:rPr>
                <w:sz w:val="16"/>
              </w:rPr>
              <w:t>P01 x P03</w:t>
            </w:r>
          </w:p>
        </w:tc>
        <w:tc>
          <w:tcPr>
            <w:tcW w:type="dxa" w:w="2548"/>
            <w:vAlign w:val="center"/>
            <w:tcMar>
              <w:top w:w="60" w:type="dxa"/>
              <w:start w:w="120" w:type="dxa"/>
              <w:bottom w:w="60" w:type="dxa"/>
              <w:end w:w="120" w:type="dxa"/>
            </w:tcMar>
          </w:tcPr>
          <w:p>
            <w:pPr>
              <w:keepNext/>
              <w:spacing w:after="0" w:line="240" w:lineRule="auto"/>
            </w:pPr>
            <w:r>
              <w:rPr>
                <w:sz w:val="16"/>
              </w:rPr>
              <w:t>40</w:t>
            </w:r>
          </w:p>
        </w:tc>
        <w:tc>
          <w:tcPr>
            <w:tcW w:type="dxa" w:w="4995"/>
            <w:vAlign w:val="center"/>
            <w:tcMar>
              <w:top w:w="60" w:type="dxa"/>
              <w:start w:w="120" w:type="dxa"/>
              <w:bottom w:w="60" w:type="dxa"/>
              <w:end w:w="120" w:type="dxa"/>
            </w:tcMar>
          </w:tcPr>
          <w:p>
            <w:pPr>
              <w:keepNext/>
              <w:spacing w:after="0" w:line="240" w:lineRule="auto"/>
            </w:pPr>
            <w:r>
              <w:rPr>
                <w:sz w:val="16"/>
              </w:rPr>
              <w:t>Highest feasible UC; groups A and B</w:t>
            </w:r>
          </w:p>
        </w:tc>
      </w:tr>
      <w:tr>
        <w:trPr>
          <w:cantSplit/>
        </w:trPr>
        <w:tc>
          <w:tcPr>
            <w:tcW w:type="dxa" w:w="2548"/>
            <w:vAlign w:val="center"/>
            <w:tcMar>
              <w:top w:w="60" w:type="dxa"/>
              <w:start w:w="120" w:type="dxa"/>
              <w:bottom w:w="60" w:type="dxa"/>
              <w:end w:w="120" w:type="dxa"/>
            </w:tcMar>
          </w:tcPr>
          <w:p>
            <w:pPr>
              <w:keepNext/>
              <w:spacing w:after="0" w:line="240" w:lineRule="auto"/>
            </w:pPr>
            <w:r>
              <w:rPr>
                <w:sz w:val="16"/>
              </w:rPr>
              <w:t>P02 x P04</w:t>
            </w:r>
          </w:p>
        </w:tc>
        <w:tc>
          <w:tcPr>
            <w:tcW w:type="dxa" w:w="2548"/>
            <w:vAlign w:val="center"/>
            <w:tcMar>
              <w:top w:w="60" w:type="dxa"/>
              <w:start w:w="120" w:type="dxa"/>
              <w:bottom w:w="60" w:type="dxa"/>
              <w:end w:w="120" w:type="dxa"/>
            </w:tcMar>
          </w:tcPr>
          <w:p>
            <w:pPr>
              <w:keepNext/>
              <w:spacing w:after="0" w:line="240" w:lineRule="auto"/>
            </w:pPr>
            <w:r>
              <w:rPr>
                <w:sz w:val="16"/>
              </w:rPr>
              <w:t>30</w:t>
            </w:r>
          </w:p>
        </w:tc>
        <w:tc>
          <w:tcPr>
            <w:tcW w:type="dxa" w:w="4995"/>
            <w:vAlign w:val="center"/>
            <w:tcMar>
              <w:top w:w="60" w:type="dxa"/>
              <w:start w:w="120" w:type="dxa"/>
              <w:bottom w:w="60" w:type="dxa"/>
              <w:end w:w="120" w:type="dxa"/>
            </w:tcMar>
          </w:tcPr>
          <w:p>
            <w:pPr>
              <w:keepNext/>
              <w:spacing w:after="0" w:line="240" w:lineRule="auto"/>
            </w:pPr>
            <w:r>
              <w:rPr>
                <w:sz w:val="16"/>
              </w:rPr>
              <w:t>Strong complementary A x B cross</w:t>
            </w:r>
          </w:p>
        </w:tc>
      </w:tr>
      <w:tr>
        <w:trPr>
          <w:cantSplit/>
        </w:trPr>
        <w:tc>
          <w:tcPr>
            <w:tcW w:type="dxa" w:w="2548"/>
            <w:vAlign w:val="center"/>
            <w:tcMar>
              <w:top w:w="60" w:type="dxa"/>
              <w:start w:w="120" w:type="dxa"/>
              <w:bottom w:w="60" w:type="dxa"/>
              <w:end w:w="120" w:type="dxa"/>
            </w:tcMar>
          </w:tcPr>
          <w:p>
            <w:pPr>
              <w:spacing w:after="0" w:line="240" w:lineRule="auto"/>
            </w:pPr>
            <w:r>
              <w:rPr>
                <w:sz w:val="16"/>
              </w:rPr>
              <w:t>P03 x P06</w:t>
            </w:r>
          </w:p>
        </w:tc>
        <w:tc>
          <w:tcPr>
            <w:tcW w:type="dxa" w:w="2548"/>
            <w:vAlign w:val="center"/>
            <w:tcMar>
              <w:top w:w="60" w:type="dxa"/>
              <w:start w:w="120" w:type="dxa"/>
              <w:bottom w:w="60" w:type="dxa"/>
              <w:end w:w="120" w:type="dxa"/>
            </w:tcMar>
          </w:tcPr>
          <w:p>
            <w:pPr>
              <w:spacing w:after="0" w:line="240" w:lineRule="auto"/>
            </w:pPr>
            <w:r>
              <w:rPr>
                <w:sz w:val="16"/>
              </w:rPr>
              <w:t>30</w:t>
            </w:r>
          </w:p>
        </w:tc>
        <w:tc>
          <w:tcPr>
            <w:tcW w:type="dxa" w:w="4995"/>
            <w:vAlign w:val="center"/>
            <w:tcMar>
              <w:top w:w="60" w:type="dxa"/>
              <w:start w:w="120" w:type="dxa"/>
              <w:bottom w:w="60" w:type="dxa"/>
              <w:end w:w="120" w:type="dxa"/>
            </w:tcMar>
          </w:tcPr>
          <w:p>
            <w:pPr>
              <w:spacing w:after="0" w:line="240" w:lineRule="auto"/>
            </w:pPr>
            <w:r>
              <w:rPr>
                <w:sz w:val="16"/>
              </w:rPr>
              <w:t>Adds group C and segregation potential</w:t>
            </w:r>
          </w:p>
        </w:tc>
      </w:tr>
    </w:tbl>
    <w:p>
      <w:pPr>
        <w:spacing w:after="20"/>
      </w:pPr>
    </w:p>
    <w:p>
      <w:r>
        <w:t>Quality-control gates pass, all parents meet the reliability threshold, role and flowering constraints pass, no parent occurs more than twice, all three groups contribute, and realised coancestry is 0.176. The coancestry ceiling is binding and should be monitored in the next cycle.</w:t>
      </w:r>
    </w:p>
    <w:p>
      <w:r>
        <w:t>The recommendation is conditional on seed and pollen availability being confirmed before crossing. P02 x P06 is the first reserve cross.</w:t>
      </w:r>
    </w:p>
    <w:p>
      <w:pPr>
        <w:pStyle w:val="Heading1"/>
      </w:pPr>
      <w:r>
        <w:t>5. Interpreting quality control and uncertainty</w:t>
      </w:r>
    </w:p>
    <w:p>
      <w:r>
        <w:t>Every breeder-facing result should preserve:</w:t>
      </w:r>
    </w:p>
    <w:p>
      <w:pPr>
        <w:pStyle w:val="ListBullet"/>
      </w:pPr>
      <w:r>
        <w:t>method and result-schema version;</w:t>
      </w:r>
    </w:p>
    <w:p>
      <w:pPr>
        <w:pStyle w:val="ListBullet"/>
      </w:pPr>
      <w:r>
        <w:t>call and normalised parameters;</w:t>
      </w:r>
    </w:p>
    <w:p>
      <w:pPr>
        <w:pStyle w:val="ListBullet"/>
      </w:pPr>
      <w:r>
        <w:t>random seed;</w:t>
      </w:r>
    </w:p>
    <w:p>
      <w:pPr>
        <w:pStyle w:val="ListBullet"/>
      </w:pPr>
      <w:r>
        <w:t>immutable candidate and variant IDs;</w:t>
      </w:r>
    </w:p>
    <w:p>
      <w:pPr>
        <w:pStyle w:val="ListBullet"/>
      </w:pPr>
      <w:r>
        <w:t>input SHA-256 hashes and transformation history;</w:t>
      </w:r>
    </w:p>
    <w:p>
      <w:pPr>
        <w:pStyle w:val="ListBullet"/>
      </w:pPr>
      <w:r>
        <w:t>R, HapBlockR, dependency, and external-tool versions;</w:t>
      </w:r>
    </w:p>
    <w:p>
      <w:pPr>
        <w:pStyle w:val="ListBullet"/>
      </w:pPr>
      <w:r>
        <w:t>quality-control gates and pass or fail status;</w:t>
      </w:r>
    </w:p>
    <w:p>
      <w:pPr>
        <w:pStyle w:val="ListBullet"/>
      </w:pPr>
      <w:r>
        <w:t>warnings, fallbacks, exclusions, and failure reasons;</w:t>
      </w:r>
    </w:p>
    <w:p>
      <w:pPr>
        <w:pStyle w:val="ListBullet"/>
      </w:pPr>
      <w:r>
        <w:t>decision and uncertainty tables; and</w:t>
      </w:r>
    </w:p>
    <w:p>
      <w:pPr>
        <w:pStyle w:val="ListBullet"/>
      </w:pPr>
      <w:r>
        <w:t>validation status.</w:t>
      </w:r>
    </w:p>
    <w:p>
      <w:r>
        <w:t>For Beagle phasing, also retain the executable path, Java version, JAR checksum, Beagle version, command, reference-panel and map checksums, input and output hashes, sample and allele-identity checks, observed-genotype concordance, and imputation rate.</w:t>
      </w:r>
    </w:p>
    <w:p>
      <w:r>
        <w:t>Sensitivity analysis varies policy thresholds that could change the decision: reliability, effect significance, coancestry, parent capacity and selection intensity. The stability summary identifies parents and crosses that remain selected across scenarios and labels conditional recommendations with their appropriate alternative plans.</w:t>
      </w:r>
    </w:p>
    <w:p>
      <w:pPr>
        <w:pStyle w:val="Heading1"/>
      </w:pPr>
      <w:r>
        <w:t>6. Interpreting results and defining their scope</w:t>
      </w:r>
    </w:p>
    <w:p>
      <w:r>
        <w:t>HapBlockR converts the data, biological targets and operational constraints specified by the user into reproducible analytical and breeding recommendations. Their relevance is therefore driven principally by the quality and representativeness of the input data and by how faithfully the parameters express the breeding objective.</w:t>
      </w:r>
    </w:p>
    <w:p>
      <w:pPr>
        <w:pStyle w:val="Heading2"/>
      </w:pPr>
      <w:r>
        <w:t>6.1 Choosing phased or dosage-based analysis</w:t>
      </w:r>
    </w:p>
    <w:p>
      <w:r>
        <w:t>Phasing is a breeder and analyst choice determined by the biological question. Dosage data represent allele counts and support many relationship, prediction and block-level analyses without assigning alleles to parental chromosomes. Phased data add that chromosome assignment and are appropriate when the interpretation concerns transmitted gametes, cis relationships, recombination or within-block haplotype configurations.</w:t>
      </w:r>
    </w:p>
    <w:p>
      <w:r>
        <w:t xml:space="preserve">HapBlockR accepts phased input and provides </w:t>
      </w:r>
      <w:r>
        <w:rPr>
          <w:rFonts w:ascii="Consolas" w:hAnsi="Consolas" w:eastAsia="Consolas"/>
          <w:sz w:val="21"/>
          <w:shd w:fill="F2F4F7"/>
        </w:rPr>
        <w:t>phase_with_beagle()</w:t>
      </w:r>
      <w:r>
        <w:t xml:space="preserve"> for integrated Beagle phasing. It preserves executable and command provenance, checks sample and variant identity, REF and ALT alleles, variant order, observed-genotype concordance and imputation rate, and can calculate switch error and related accuracy measures when a phased truth set is supplied. Users should choose the route that matches their question and retain stable sample, variant and allele identities throughout the analysis.</w:t>
      </w:r>
    </w:p>
    <w:p>
      <w:pPr>
        <w:pStyle w:val="Heading2"/>
      </w:pPr>
      <w:r>
        <w:t>6.2 Ploidy and allele representation</w:t>
      </w:r>
    </w:p>
    <w:p>
      <w:r>
        <w:t>Dosage-centred relationship and marker-effect calculations support the ploidy values documented by their functions. The current hap1 and hap2 representations, Beagle integration, haplotype inference and compiled r-squared or rV-squared kernels describe diploid, biallelic data. Interpret results from those pathways within that declared representation.</w:t>
      </w:r>
    </w:p>
    <w:p>
      <w:pPr>
        <w:pStyle w:val="Heading2"/>
      </w:pPr>
      <w:r>
        <w:t>6.3 Building relevance across families, cycles and environments</w:t>
      </w:r>
    </w:p>
    <w:p>
      <w:r>
        <w:t>Prediction and selection results describe the population, environments, phenotypes, markers and model supplied by the user. HapBlockR provides several ways to make those inputs and decisions representative of the intended use:</w:t>
      </w:r>
    </w:p>
    <w:p>
      <w:pPr>
        <w:pStyle w:val="ListBullet"/>
      </w:pPr>
      <w:r>
        <w:t>grouped and forward cross-validation evaluate prediction across families,</w:t>
      </w:r>
      <w:r>
        <w:t xml:space="preserve"> </w:t>
      </w:r>
      <w:r>
        <w:t>populations, sites or cycles that match deployment;</w:t>
      </w:r>
    </w:p>
    <w:p>
      <w:pPr>
        <w:pStyle w:val="ListBullet"/>
      </w:pPr>
      <w:r>
        <w:t>family- or genetic-cluster quotas retain representation across source</w:t>
      </w:r>
      <w:r>
        <w:t xml:space="preserve"> </w:t>
      </w:r>
      <w:r>
        <w:t>groups;</w:t>
      </w:r>
    </w:p>
    <w:p>
      <w:pPr>
        <w:pStyle w:val="ListBullet"/>
      </w:pPr>
      <w:r>
        <w:t>the replicated GA and its Optimal Haplotype Selection strategies identify</w:t>
      </w:r>
      <w:r>
        <w:t xml:space="preserve"> </w:t>
      </w:r>
      <w:r>
        <w:t>parents from multiple groups whose favourable haplotypes complement one</w:t>
      </w:r>
      <w:r>
        <w:t xml:space="preserve"> </w:t>
      </w:r>
      <w:r>
        <w:t>another;</w:t>
      </w:r>
    </w:p>
    <w:p>
      <w:pPr>
        <w:pStyle w:val="ListBullet"/>
      </w:pPr>
      <w:r>
        <w:t>core-collection selection constructs diversity panels and representative</w:t>
      </w:r>
      <w:r>
        <w:t xml:space="preserve"> </w:t>
      </w:r>
      <w:r>
        <w:t>training or reference populations;</w:t>
      </w:r>
    </w:p>
    <w:p>
      <w:pPr>
        <w:pStyle w:val="ListBullet"/>
      </w:pPr>
      <w:r>
        <w:t>relationship-aware GA and optimum-contribution selection control</w:t>
      </w:r>
      <w:r>
        <w:t xml:space="preserve"> </w:t>
      </w:r>
      <w:r>
        <w:t>coancestry; and</w:t>
      </w:r>
    </w:p>
    <w:p>
      <w:pPr>
        <w:pStyle w:val="ListBullet"/>
      </w:pPr>
      <w:r>
        <w:t>multi-trait and genotype-by-environment models align selection with the</w:t>
      </w:r>
      <w:r>
        <w:t xml:space="preserve"> </w:t>
      </w:r>
      <w:r>
        <w:t>target population of environments.</w:t>
      </w:r>
    </w:p>
    <w:p>
      <w:r>
        <w:t>Consequently, the GA-selected diverse founder set can also form a representative training population for subsequent breeding cycles. The user defines the relevant families, groups, environments, objective weights and constraints; HapBlockR optimises and reports the decision within that specification.</w:t>
      </w:r>
    </w:p>
    <w:p>
      <w:pPr>
        <w:pStyle w:val="Heading2"/>
      </w:pPr>
      <w:r>
        <w:t>6.4 From haplotype association to biological explanation</w:t>
      </w:r>
    </w:p>
    <w:p>
      <w:r>
        <w:t>HapBlockR supports association evidence with population-structure and relatedness adjustment, multiple-testing control, cross-population harmonisation and comparison, epistasis analysis and fine mapping. These tools help distinguish reproducible trait-linked haplotypes from associations driven by confounding or sparse evidence.</w:t>
      </w:r>
    </w:p>
    <w:p>
      <w:r>
        <w:t>A statistically supported and independently reproducible haplotype association can identify a chromosomal segment that harbours a causal gene or variant and can therefore provide a strong causal hypothesis. Association localises evidence to the tested haplotype segment; finer causal resolution is strengthened by fine mapping, gene annotation, functional evidence and independent validation. Reports should state whether the adjusted model succeeded and distinguish the associated segment from any specifically resolved causal variant.</w:t>
      </w:r>
    </w:p>
    <w:p>
      <w:pPr>
        <w:pStyle w:val="Heading2"/>
      </w:pPr>
      <w:r>
        <w:t>6.5 Evidence density and sample support</w:t>
      </w:r>
    </w:p>
    <w:p>
      <w:r>
        <w:t>HapBlockR reports the quantities needed to interpret the evidence: effective sample size, haplotype or allele frequency, missingness, numbers of environments or events, reliability and validation uncertainty. Users can therefore judge whether common and rare states are supported adequately for the intended decision. There is no single sample-size threshold for every trait, population and model; the relevant threshold is set from the design, effect size, frequency and required decision reliability.</w:t>
      </w:r>
    </w:p>
    <w:p>
      <w:r>
        <w:br w:type="page"/>
      </w:r>
    </w:p>
    <w:p>
      <w:pPr>
        <w:pStyle w:val="Heading1"/>
      </w:pPr>
      <w:r>
        <w:t>7. Decision sign-off</w:t>
      </w:r>
    </w:p>
    <w:p>
      <w:r>
        <w:t>Complete one copy for every promoted recommendation.</w:t>
      </w:r>
    </w:p>
    <w:tbl>
      <w:tblPr>
        <w:tblStyle w:val="TableGrid"/>
        <w:tblW w:type="dxa" w:w="10091"/>
        <w:jc w:val="left"/>
        <w:tblLayout w:type="fixed"/>
        <w:tblLook w:firstColumn="1" w:firstRow="1" w:lastColumn="0" w:lastRow="0" w:noHBand="0" w:noVBand="1" w:val="04A0"/>
        <w:tblInd w:w="120" w:type="dxa"/>
      </w:tblPr>
      <w:tblGrid>
        <w:gridCol w:w="6594"/>
        <w:gridCol w:w="3497"/>
      </w:tblGrid>
      <w:tr>
        <w:trPr>
          <w:cantSplit/>
          <w:tblHeader w:val="true"/>
        </w:trPr>
        <w:tc>
          <w:tcPr>
            <w:tcW w:type="dxa" w:w="6594"/>
            <w:vAlign w:val="center"/>
            <w:tcMar>
              <w:top w:w="60" w:type="dxa"/>
              <w:start w:w="120" w:type="dxa"/>
              <w:bottom w:w="60" w:type="dxa"/>
              <w:end w:w="120" w:type="dxa"/>
            </w:tcMar>
            <w:shd w:fill="E8EEF5"/>
          </w:tcPr>
          <w:p>
            <w:pPr>
              <w:spacing w:after="0" w:line="240" w:lineRule="auto"/>
            </w:pPr>
            <w:r>
              <w:rPr>
                <w:b/>
                <w:color w:val="1F4D78"/>
                <w:sz w:val="16"/>
              </w:rPr>
              <w:t>Field</w:t>
            </w:r>
          </w:p>
        </w:tc>
        <w:tc>
          <w:tcPr>
            <w:tcW w:type="dxa" w:w="3497"/>
            <w:vAlign w:val="center"/>
            <w:tcMar>
              <w:top w:w="60" w:type="dxa"/>
              <w:start w:w="120" w:type="dxa"/>
              <w:bottom w:w="60" w:type="dxa"/>
              <w:end w:w="120" w:type="dxa"/>
            </w:tcMar>
            <w:shd w:fill="E8EEF5"/>
          </w:tcPr>
          <w:p>
            <w:pPr>
              <w:spacing w:after="0" w:line="240" w:lineRule="auto"/>
            </w:pPr>
            <w:r>
              <w:rPr>
                <w:b/>
                <w:color w:val="1F4D78"/>
                <w:sz w:val="16"/>
              </w:rPr>
              <w:t>Recorded value</w:t>
            </w:r>
          </w:p>
        </w:tc>
      </w:tr>
      <w:tr>
        <w:trPr>
          <w:cantSplit/>
        </w:trPr>
        <w:tc>
          <w:tcPr>
            <w:tcW w:type="dxa" w:w="6594"/>
            <w:vAlign w:val="center"/>
            <w:tcMar>
              <w:top w:w="60" w:type="dxa"/>
              <w:start w:w="120" w:type="dxa"/>
              <w:bottom w:w="60" w:type="dxa"/>
              <w:end w:w="120" w:type="dxa"/>
            </w:tcMar>
          </w:tcPr>
          <w:p>
            <w:pPr>
              <w:spacing w:after="0" w:line="240" w:lineRule="auto"/>
            </w:pPr>
            <w:r>
              <w:rPr>
                <w:sz w:val="16"/>
              </w:rPr>
              <w:t>Programme and cycle</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Target population of environments</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Data release and input hashes</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HapBlockR and R versions</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Method, parameters, and seed</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Training and validation design</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Accuracy and reliability gate</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Eligible candidates and exclusions</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Required and forbidden crosses</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Parent and period capacities</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Coancestry policy and realised value</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Binding constraints</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Selected plan and reserve plan</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Sensitivity result</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Scope and assumptions</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Analyst and date</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Breeder reviewer and date</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Data steward and date</w:t>
            </w:r>
          </w:p>
        </w:tc>
        <w:tc>
          <w:tcPr>
            <w:tcW w:type="dxa" w:w="3497"/>
            <w:vAlign w:val="center"/>
            <w:tcMar>
              <w:top w:w="60" w:type="dxa"/>
              <w:start w:w="120" w:type="dxa"/>
              <w:bottom w:w="60" w:type="dxa"/>
              <w:end w:w="120" w:type="dxa"/>
            </w:tcMar>
          </w:tcPr>
          <w:p>
            <w:pPr>
              <w:spacing w:after="0" w:line="240" w:lineRule="auto"/>
            </w:pPr>
          </w:p>
        </w:tc>
      </w:tr>
      <w:tr>
        <w:trPr>
          <w:cantSplit/>
        </w:trPr>
        <w:tc>
          <w:tcPr>
            <w:tcW w:type="dxa" w:w="6594"/>
            <w:vAlign w:val="center"/>
            <w:tcMar>
              <w:top w:w="60" w:type="dxa"/>
              <w:start w:w="120" w:type="dxa"/>
              <w:bottom w:w="60" w:type="dxa"/>
              <w:end w:w="120" w:type="dxa"/>
            </w:tcMar>
          </w:tcPr>
          <w:p>
            <w:pPr>
              <w:spacing w:after="0" w:line="240" w:lineRule="auto"/>
            </w:pPr>
            <w:r>
              <w:rPr>
                <w:sz w:val="16"/>
              </w:rPr>
              <w:t>Final approval</w:t>
            </w:r>
          </w:p>
        </w:tc>
        <w:tc>
          <w:tcPr>
            <w:tcW w:type="dxa" w:w="3497"/>
            <w:vAlign w:val="center"/>
            <w:tcMar>
              <w:top w:w="60" w:type="dxa"/>
              <w:start w:w="120" w:type="dxa"/>
              <w:bottom w:w="60" w:type="dxa"/>
              <w:end w:w="120" w:type="dxa"/>
            </w:tcMar>
          </w:tcPr>
          <w:p>
            <w:pPr>
              <w:spacing w:after="0" w:line="240" w:lineRule="auto"/>
            </w:pPr>
          </w:p>
        </w:tc>
      </w:tr>
    </w:tbl>
    <w:p>
      <w:pPr>
        <w:spacing w:after="20"/>
      </w:pPr>
    </w:p>
    <w:p>
      <w:r>
        <w:t>Sign-off confirms that the data, analytical evidence, assumptions and operational decision were reviewed and approved for the stated breeding use.</w:t>
      </w:r>
    </w:p>
    <w:p>
      <w:r>
        <w:br w:type="page"/>
      </w:r>
    </w:p>
    <w:p>
      <w:pPr>
        <w:pStyle w:val="Heading1"/>
      </w:pPr>
      <w:r>
        <w:t>8. Supporting tools and complete function map</w:t>
      </w:r>
    </w:p>
    <w:p>
      <w:r>
        <w:t xml:space="preserve">The nine decision tools depend on a wider evidence chain. This section explains the supporting tools and gives every exported function a defined place. Function-level help remains the authoritative source for every argument: use </w:t>
      </w:r>
      <w:r>
        <w:rPr>
          <w:rFonts w:ascii="Consolas" w:hAnsi="Consolas" w:eastAsia="Consolas"/>
          <w:sz w:val="21"/>
          <w:shd w:fill="F2F4F7"/>
        </w:rPr>
        <w:t>?function_name</w:t>
      </w:r>
      <w:r>
        <w:t xml:space="preserve"> in R.</w:t>
      </w:r>
    </w:p>
    <w:p>
      <w:pPr>
        <w:pStyle w:val="Heading2"/>
      </w:pPr>
      <w:r>
        <w:t>8.1 Genotype import and scalable backends</w:t>
      </w:r>
    </w:p>
    <w:p>
      <w:pPr>
        <w:pStyle w:val="Heading3"/>
      </w:pPr>
      <w:r>
        <w:rPr>
          <w:rFonts w:ascii="Consolas" w:hAnsi="Consolas" w:eastAsia="Consolas"/>
          <w:sz w:val="21"/>
          <w:shd w:fill="F2F4F7"/>
        </w:rPr>
        <w:t>read_geno()</w:t>
      </w:r>
    </w:p>
    <w:p>
      <w:r>
        <w:rPr>
          <w:rFonts w:ascii="Consolas" w:hAnsi="Consolas" w:eastAsia="Consolas"/>
          <w:sz w:val="21"/>
          <w:shd w:fill="F2F4F7"/>
        </w:rPr>
        <w:t>read_geno()</w:t>
      </w:r>
      <w:r>
        <w:t xml:space="preserve"> standardises genotype sources as a </w:t>
      </w:r>
      <w:r>
        <w:rPr>
          <w:rFonts w:ascii="Consolas" w:hAnsi="Consolas" w:eastAsia="Consolas"/>
          <w:sz w:val="21"/>
          <w:shd w:fill="F2F4F7"/>
        </w:rPr>
        <w:t>HapBlockR_backend</w:t>
      </w:r>
      <w:r>
        <w:t>. Supported variants are:</w:t>
      </w:r>
    </w:p>
    <w:tbl>
      <w:tblPr>
        <w:tblStyle w:val="TableGrid"/>
        <w:tblW w:type="dxa" w:w="10091"/>
        <w:jc w:val="left"/>
        <w:tblLayout w:type="fixed"/>
        <w:tblLook w:firstColumn="1" w:firstRow="1" w:lastColumn="0" w:lastRow="0" w:noHBand="0" w:noVBand="1" w:val="04A0"/>
        <w:tblInd w:w="120" w:type="dxa"/>
      </w:tblPr>
      <w:tblGrid>
        <w:gridCol w:w="1650"/>
        <w:gridCol w:w="4221"/>
        <w:gridCol w:w="4220"/>
      </w:tblGrid>
      <w:tr>
        <w:trPr>
          <w:cantSplit/>
          <w:tblHeader w:val="true"/>
        </w:trPr>
        <w:tc>
          <w:tcPr>
            <w:tcW w:type="dxa" w:w="1650"/>
            <w:vAlign w:val="center"/>
            <w:tcMar>
              <w:top w:w="60" w:type="dxa"/>
              <w:start w:w="120" w:type="dxa"/>
              <w:bottom w:w="60" w:type="dxa"/>
              <w:end w:w="120" w:type="dxa"/>
            </w:tcMar>
            <w:shd w:fill="E8EEF5"/>
          </w:tcPr>
          <w:p>
            <w:pPr>
              <w:keepNext/>
              <w:spacing w:after="0" w:line="240" w:lineRule="auto"/>
            </w:pPr>
            <w:r>
              <w:rPr>
                <w:rFonts w:ascii="Consolas" w:hAnsi="Consolas" w:eastAsia="Consolas"/>
                <w:b/>
                <w:color w:val="1F4D78"/>
                <w:sz w:val="15"/>
                <w:shd w:fill="F2F4F7"/>
              </w:rPr>
              <w:t>format</w:t>
            </w:r>
          </w:p>
        </w:tc>
        <w:tc>
          <w:tcPr>
            <w:tcW w:type="dxa" w:w="4221"/>
            <w:vAlign w:val="center"/>
            <w:tcMar>
              <w:top w:w="60" w:type="dxa"/>
              <w:start w:w="120" w:type="dxa"/>
              <w:bottom w:w="60" w:type="dxa"/>
              <w:end w:w="120" w:type="dxa"/>
            </w:tcMar>
            <w:shd w:fill="E8EEF5"/>
          </w:tcPr>
          <w:p>
            <w:pPr>
              <w:keepNext/>
              <w:spacing w:after="0" w:line="240" w:lineRule="auto"/>
            </w:pPr>
            <w:r>
              <w:rPr>
                <w:b/>
                <w:color w:val="1F4D78"/>
                <w:sz w:val="16"/>
              </w:rPr>
              <w:t>Input</w:t>
            </w:r>
          </w:p>
        </w:tc>
        <w:tc>
          <w:tcPr>
            <w:tcW w:type="dxa" w:w="4220"/>
            <w:vAlign w:val="center"/>
            <w:tcMar>
              <w:top w:w="60" w:type="dxa"/>
              <w:start w:w="120" w:type="dxa"/>
              <w:bottom w:w="60" w:type="dxa"/>
              <w:end w:w="120" w:type="dxa"/>
            </w:tcMar>
            <w:shd w:fill="E8EEF5"/>
          </w:tcPr>
          <w:p>
            <w:pPr>
              <w:keepNext/>
              <w:spacing w:after="0" w:line="240" w:lineRule="auto"/>
            </w:pPr>
            <w:r>
              <w:rPr>
                <w:b/>
                <w:color w:val="1F4D78"/>
                <w:sz w:val="16"/>
              </w:rPr>
              <w:t>Operational note</w:t>
            </w:r>
          </w:p>
        </w:tc>
      </w:tr>
      <w:tr>
        <w:trPr>
          <w:cantSplit/>
        </w:trPr>
        <w:tc>
          <w:tcPr>
            <w:tcW w:type="dxa" w:w="165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"matrix"</w:t>
            </w:r>
          </w:p>
        </w:tc>
        <w:tc>
          <w:tcPr>
            <w:tcW w:type="dxa" w:w="4221"/>
            <w:vAlign w:val="center"/>
            <w:tcMar>
              <w:top w:w="60" w:type="dxa"/>
              <w:start w:w="120" w:type="dxa"/>
              <w:bottom w:w="60" w:type="dxa"/>
              <w:end w:w="120" w:type="dxa"/>
            </w:tcMar>
          </w:tcPr>
          <w:p>
            <w:pPr>
              <w:keepNext/>
              <w:spacing w:after="0" w:line="240" w:lineRule="auto"/>
            </w:pPr>
            <w:r>
              <w:rPr>
                <w:sz w:val="16"/>
              </w:rPr>
              <w:t>In-memory individuals × variants dosage matrix</w:t>
            </w:r>
          </w:p>
        </w:tc>
        <w:tc>
          <w:tcPr>
            <w:tcW w:type="dxa" w:w="4220"/>
            <w:vAlign w:val="center"/>
            <w:tcMar>
              <w:top w:w="60" w:type="dxa"/>
              <w:start w:w="120" w:type="dxa"/>
              <w:bottom w:w="60" w:type="dxa"/>
              <w:end w:w="120" w:type="dxa"/>
            </w:tcMar>
          </w:tcPr>
          <w:p>
            <w:pPr>
              <w:keepNext/>
              <w:spacing w:after="0" w:line="240" w:lineRule="auto"/>
            </w:pPr>
            <w:r>
              <w:rPr>
                <w:sz w:val="16"/>
              </w:rPr>
              <w:t xml:space="preserve">Supply matching </w:t>
            </w:r>
            <w:r>
              <w:rPr>
                <w:rFonts w:ascii="Consolas" w:hAnsi="Consolas" w:eastAsia="Consolas"/>
                <w:sz w:val="15"/>
                <w:shd w:fill="F2F4F7"/>
              </w:rPr>
              <w:t>snp_info</w:t>
            </w:r>
          </w:p>
        </w:tc>
      </w:tr>
      <w:tr>
        <w:trPr>
          <w:cantSplit/>
        </w:trPr>
        <w:tc>
          <w:tcPr>
            <w:tcW w:type="dxa" w:w="165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"numeric"</w:t>
            </w:r>
          </w:p>
        </w:tc>
        <w:tc>
          <w:tcPr>
            <w:tcW w:type="dxa" w:w="4221"/>
            <w:vAlign w:val="center"/>
            <w:tcMar>
              <w:top w:w="60" w:type="dxa"/>
              <w:start w:w="120" w:type="dxa"/>
              <w:bottom w:w="60" w:type="dxa"/>
              <w:end w:w="120" w:type="dxa"/>
            </w:tcMar>
          </w:tcPr>
          <w:p>
            <w:pPr>
              <w:keepNext/>
              <w:spacing w:after="0" w:line="240" w:lineRule="auto"/>
            </w:pPr>
            <w:r>
              <w:rPr>
                <w:sz w:val="16"/>
              </w:rPr>
              <w:t>CSV or delimited text with SNP metadata and sample dosages</w:t>
            </w:r>
          </w:p>
        </w:tc>
        <w:tc>
          <w:tcPr>
            <w:tcW w:type="dxa" w:w="4220"/>
            <w:vAlign w:val="center"/>
            <w:tcMar>
              <w:top w:w="60" w:type="dxa"/>
              <w:start w:w="120" w:type="dxa"/>
              <w:bottom w:w="60" w:type="dxa"/>
              <w:end w:w="120" w:type="dxa"/>
            </w:tcMar>
          </w:tcPr>
          <w:p>
            <w:pPr>
              <w:keepNext/>
              <w:spacing w:after="0" w:line="240" w:lineRule="auto"/>
            </w:pPr>
            <w:r>
              <w:rPr>
                <w:sz w:val="16"/>
              </w:rPr>
              <w:t xml:space="preserve">Declare </w:t>
            </w:r>
            <w:r>
              <w:rPr>
                <w:rFonts w:ascii="Consolas" w:hAnsi="Consolas" w:eastAsia="Consolas"/>
                <w:sz w:val="15"/>
                <w:shd w:fill="F2F4F7"/>
              </w:rPr>
              <w:t>sep</w:t>
            </w:r>
            <w:r>
              <w:rPr>
                <w:sz w:val="16"/>
              </w:rPr>
              <w:t xml:space="preserve"> and missing strings</w:t>
            </w:r>
          </w:p>
        </w:tc>
      </w:tr>
      <w:tr>
        <w:trPr>
          <w:cantSplit/>
        </w:trPr>
        <w:tc>
          <w:tcPr>
            <w:tcW w:type="dxa" w:w="165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"hapmap"</w:t>
            </w:r>
          </w:p>
        </w:tc>
        <w:tc>
          <w:tcPr>
            <w:tcW w:type="dxa" w:w="4221"/>
            <w:vAlign w:val="center"/>
            <w:tcMar>
              <w:top w:w="60" w:type="dxa"/>
              <w:start w:w="120" w:type="dxa"/>
              <w:bottom w:w="60" w:type="dxa"/>
              <w:end w:w="120" w:type="dxa"/>
            </w:tcMar>
          </w:tcPr>
          <w:p>
            <w:pPr>
              <w:keepNext/>
              <w:spacing w:after="0" w:line="240" w:lineRule="auto"/>
            </w:pPr>
            <w:r>
              <w:rPr>
                <w:sz w:val="16"/>
              </w:rPr>
              <w:t>HapMap text</w:t>
            </w:r>
          </w:p>
        </w:tc>
        <w:tc>
          <w:tcPr>
            <w:tcW w:type="dxa" w:w="4220"/>
            <w:vAlign w:val="center"/>
            <w:tcMar>
              <w:top w:w="60" w:type="dxa"/>
              <w:start w:w="120" w:type="dxa"/>
              <w:bottom w:w="60" w:type="dxa"/>
              <w:end w:w="120" w:type="dxa"/>
            </w:tcMar>
          </w:tcPr>
          <w:p>
            <w:pPr>
              <w:keepNext/>
              <w:spacing w:after="0" w:line="240" w:lineRule="auto"/>
            </w:pPr>
            <w:r>
              <w:rPr>
                <w:sz w:val="16"/>
              </w:rPr>
              <w:t>Check nucleotide and missing-call coding</w:t>
            </w:r>
          </w:p>
        </w:tc>
      </w:tr>
      <w:tr>
        <w:trPr>
          <w:cantSplit/>
        </w:trPr>
        <w:tc>
          <w:tcPr>
            <w:tcW w:type="dxa" w:w="165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"vcf"</w:t>
            </w:r>
          </w:p>
        </w:tc>
        <w:tc>
          <w:tcPr>
            <w:tcW w:type="dxa" w:w="4221"/>
            <w:vAlign w:val="center"/>
            <w:tcMar>
              <w:top w:w="60" w:type="dxa"/>
              <w:start w:w="120" w:type="dxa"/>
              <w:bottom w:w="60" w:type="dxa"/>
              <w:end w:w="120" w:type="dxa"/>
            </w:tcMar>
          </w:tcPr>
          <w:p>
            <w:pPr>
              <w:keepNext/>
              <w:spacing w:after="0" w:line="240" w:lineRule="auto"/>
            </w:pPr>
            <w:r>
              <w:rPr>
                <w:sz w:val="16"/>
              </w:rPr>
              <w:t>VCF or compressed VCF</w:t>
            </w:r>
          </w:p>
        </w:tc>
        <w:tc>
          <w:tcPr>
            <w:tcW w:type="dxa" w:w="4220"/>
            <w:vAlign w:val="center"/>
            <w:tcMar>
              <w:top w:w="60" w:type="dxa"/>
              <w:start w:w="120" w:type="dxa"/>
              <w:bottom w:w="60" w:type="dxa"/>
              <w:end w:w="120" w:type="dxa"/>
            </w:tcMar>
          </w:tcPr>
          <w:p>
            <w:pPr>
              <w:keepNext/>
              <w:spacing w:after="0" w:line="240" w:lineRule="auto"/>
            </w:pPr>
            <w:r>
              <w:rPr>
                <w:sz w:val="16"/>
              </w:rPr>
              <w:t>Both phased and unphased GT are read as dosage for this backend</w:t>
            </w:r>
          </w:p>
        </w:tc>
      </w:tr>
      <w:tr>
        <w:trPr>
          <w:cantSplit/>
        </w:trPr>
        <w:tc>
          <w:tcPr>
            <w:tcW w:type="dxa" w:w="165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"gds"</w:t>
            </w:r>
          </w:p>
        </w:tc>
        <w:tc>
          <w:tcPr>
            <w:tcW w:type="dxa" w:w="4221"/>
            <w:vAlign w:val="center"/>
            <w:tcMar>
              <w:top w:w="60" w:type="dxa"/>
              <w:start w:w="120" w:type="dxa"/>
              <w:bottom w:w="60" w:type="dxa"/>
              <w:end w:w="120" w:type="dxa"/>
            </w:tcMar>
          </w:tcPr>
          <w:p>
            <w:pPr>
              <w:keepNext/>
              <w:spacing w:after="0" w:line="240" w:lineRule="auto"/>
            </w:pPr>
            <w:r>
              <w:rPr>
                <w:sz w:val="16"/>
              </w:rPr>
              <w:t>SNPRelate GDS</w:t>
            </w:r>
          </w:p>
        </w:tc>
        <w:tc>
          <w:tcPr>
            <w:tcW w:type="dxa" w:w="4220"/>
            <w:vAlign w:val="center"/>
            <w:tcMar>
              <w:top w:w="60" w:type="dxa"/>
              <w:start w:w="120" w:type="dxa"/>
              <w:bottom w:w="60" w:type="dxa"/>
              <w:end w:w="120" w:type="dxa"/>
            </w:tcMar>
          </w:tcPr>
          <w:p>
            <w:pPr>
              <w:keepNext/>
              <w:spacing w:after="0" w:line="240" w:lineRule="auto"/>
            </w:pPr>
            <w:r>
              <w:rPr>
                <w:sz w:val="16"/>
              </w:rPr>
              <w:t>Preferred for repeated large-data access</w:t>
            </w:r>
          </w:p>
        </w:tc>
      </w:tr>
      <w:tr>
        <w:trPr>
          <w:cantSplit/>
        </w:trPr>
        <w:tc>
          <w:tcPr>
            <w:tcW w:type="dxa" w:w="1650"/>
            <w:vAlign w:val="center"/>
            <w:tcMar>
              <w:top w:w="60" w:type="dxa"/>
              <w:start w:w="120" w:type="dxa"/>
              <w:bottom w:w="60" w:type="dxa"/>
              <w:end w:w="120" w:type="dxa"/>
            </w:tcMar>
          </w:tcPr>
          <w:p>
            <w:pPr>
              <w:spacing w:after="0" w:line="240" w:lineRule="auto"/>
            </w:pPr>
            <w:r>
              <w:rPr>
                <w:rFonts w:ascii="Consolas" w:hAnsi="Consolas" w:eastAsia="Consolas"/>
                <w:sz w:val="15"/>
                <w:shd w:fill="F2F4F7"/>
              </w:rPr>
              <w:t>"bed"</w:t>
            </w:r>
          </w:p>
        </w:tc>
        <w:tc>
          <w:tcPr>
            <w:tcW w:type="dxa" w:w="4221"/>
            <w:vAlign w:val="center"/>
            <w:tcMar>
              <w:top w:w="60" w:type="dxa"/>
              <w:start w:w="120" w:type="dxa"/>
              <w:bottom w:w="60" w:type="dxa"/>
              <w:end w:w="120" w:type="dxa"/>
            </w:tcMar>
          </w:tcPr>
          <w:p>
            <w:pPr>
              <w:spacing w:after="0" w:line="240" w:lineRule="auto"/>
            </w:pPr>
            <w:r>
              <w:rPr>
                <w:sz w:val="16"/>
              </w:rPr>
              <w:t>PLINK BED with BIM and FAM companions</w:t>
            </w:r>
          </w:p>
        </w:tc>
        <w:tc>
          <w:tcPr>
            <w:tcW w:type="dxa" w:w="4220"/>
            <w:vAlign w:val="center"/>
            <w:tcMar>
              <w:top w:w="60" w:type="dxa"/>
              <w:start w:w="120" w:type="dxa"/>
              <w:bottom w:w="60" w:type="dxa"/>
              <w:end w:w="120" w:type="dxa"/>
            </w:tcMar>
          </w:tcPr>
          <w:p>
            <w:pPr>
              <w:spacing w:after="0" w:line="240" w:lineRule="auto"/>
            </w:pPr>
            <w:r>
              <w:rPr>
                <w:sz w:val="16"/>
              </w:rPr>
              <w:t>Preserve all three files and sample order</w:t>
            </w:r>
          </w:p>
        </w:tc>
      </w:tr>
    </w:tbl>
    <w:p>
      <w:pPr>
        <w:spacing w:after="20"/>
      </w:pPr>
    </w:p>
    <w:p>
      <w:r>
        <w:t>For multiallelic VCF records, choose explicitly:</w:t>
      </w:r>
    </w:p>
    <w:p>
      <w:pPr>
        <w:pStyle w:val="ListBullet"/>
      </w:pPr>
      <w:r>
        <w:rPr>
          <w:rFonts w:ascii="Consolas" w:hAnsi="Consolas" w:eastAsia="Consolas"/>
          <w:sz w:val="21"/>
          <w:shd w:fill="F2F4F7"/>
        </w:rPr>
        <w:t>"error"</w:t>
      </w:r>
      <w:r>
        <w:t>: stop at the first unsupported assumption; preferred for a new</w:t>
      </w:r>
      <w:r>
        <w:t xml:space="preserve"> </w:t>
      </w:r>
      <w:r>
        <w:t>formal analysis;</w:t>
      </w:r>
    </w:p>
    <w:p>
      <w:pPr>
        <w:pStyle w:val="ListBullet"/>
      </w:pPr>
      <w:r>
        <w:rPr>
          <w:rFonts w:ascii="Consolas" w:hAnsi="Consolas" w:eastAsia="Consolas"/>
          <w:sz w:val="21"/>
          <w:shd w:fill="F2F4F7"/>
        </w:rPr>
        <w:t>"drop"</w:t>
      </w:r>
      <w:r>
        <w:t>: exclude multiallelic records and record how many were lost; or</w:t>
      </w:r>
    </w:p>
    <w:p>
      <w:pPr>
        <w:pStyle w:val="ListBullet"/>
      </w:pPr>
      <w:r>
        <w:rPr>
          <w:rFonts w:ascii="Consolas" w:hAnsi="Consolas" w:eastAsia="Consolas"/>
          <w:sz w:val="21"/>
          <w:shd w:fill="F2F4F7"/>
        </w:rPr>
        <w:t>"first_alt"</w:t>
      </w:r>
      <w:r>
        <w:t>: retain the first alternative allele and treat other</w:t>
      </w:r>
      <w:r>
        <w:t xml:space="preserve"> </w:t>
      </w:r>
      <w:r>
        <w:t>alternative indices as missing.</w:t>
      </w:r>
    </w:p>
    <w:p>
      <w:r>
        <w:rPr>
          <w:rFonts w:ascii="Consolas" w:hAnsi="Consolas" w:eastAsia="Consolas"/>
          <w:sz w:val="21"/>
          <w:shd w:fill="F2F4F7"/>
        </w:rPr>
        <w:t>clean_malformed = TRUE</w:t>
      </w:r>
      <w:r>
        <w:t xml:space="preserve"> removes records whose field count differs from the header. Use it only with an import report: cleaning a malformed source is a data transformation, not a harmless convenience.</w:t>
      </w:r>
    </w:p>
    <w:p>
      <w:r>
        <w:t>For VCF and HapMap inputs, an SNPRelate GDS cache can be created and reused. The source and import options are protected by a SHA-256 manifest, so a changed source cannot silently reuse a stale cache.</w:t>
      </w:r>
    </w:p>
    <w:p>
      <w:pPr>
        <w:pStyle w:val="Heading3"/>
      </w:pPr>
      <w:r>
        <w:t>Backend utilities</w:t>
      </w:r>
    </w:p>
    <w:tbl>
      <w:tblPr>
        <w:tblStyle w:val="TableGrid"/>
        <w:tblW w:type="dxa" w:w="10091"/>
        <w:jc w:val="left"/>
        <w:tblLayout w:type="fixed"/>
        <w:tblLook w:firstColumn="1" w:firstRow="1" w:lastColumn="0" w:lastRow="0" w:noHBand="0" w:noVBand="1" w:val="04A0"/>
        <w:tblInd w:w="120" w:type="dxa"/>
      </w:tblPr>
      <w:tblGrid>
        <w:gridCol w:w="2323"/>
        <w:gridCol w:w="4063"/>
        <w:gridCol w:w="3705"/>
      </w:tblGrid>
      <w:tr>
        <w:trPr>
          <w:cantSplit/>
          <w:tblHeader w:val="true"/>
        </w:trPr>
        <w:tc>
          <w:tcPr>
            <w:tcW w:type="dxa" w:w="2323"/>
            <w:vAlign w:val="center"/>
            <w:tcMar>
              <w:top w:w="60" w:type="dxa"/>
              <w:start w:w="120" w:type="dxa"/>
              <w:bottom w:w="60" w:type="dxa"/>
              <w:end w:w="120" w:type="dxa"/>
            </w:tcMar>
            <w:shd w:fill="E8EEF5"/>
          </w:tcPr>
          <w:p>
            <w:pPr>
              <w:keepNext/>
              <w:spacing w:after="0" w:line="240" w:lineRule="auto"/>
            </w:pPr>
            <w:r>
              <w:rPr>
                <w:b/>
                <w:color w:val="1F4D78"/>
                <w:sz w:val="16"/>
              </w:rPr>
              <w:t>Function</w:t>
            </w:r>
          </w:p>
        </w:tc>
        <w:tc>
          <w:tcPr>
            <w:tcW w:type="dxa" w:w="4063"/>
            <w:vAlign w:val="center"/>
            <w:tcMar>
              <w:top w:w="60" w:type="dxa"/>
              <w:start w:w="120" w:type="dxa"/>
              <w:bottom w:w="60" w:type="dxa"/>
              <w:end w:w="120" w:type="dxa"/>
            </w:tcMar>
            <w:shd w:fill="E8EEF5"/>
          </w:tcPr>
          <w:p>
            <w:pPr>
              <w:keepNext/>
              <w:spacing w:after="0" w:line="240" w:lineRule="auto"/>
            </w:pPr>
            <w:r>
              <w:rPr>
                <w:b/>
                <w:color w:val="1F4D78"/>
                <w:sz w:val="16"/>
              </w:rPr>
              <w:t>Purpose</w:t>
            </w:r>
          </w:p>
        </w:tc>
        <w:tc>
          <w:tcPr>
            <w:tcW w:type="dxa" w:w="3705"/>
            <w:vAlign w:val="center"/>
            <w:tcMar>
              <w:top w:w="60" w:type="dxa"/>
              <w:start w:w="120" w:type="dxa"/>
              <w:bottom w:w="60" w:type="dxa"/>
              <w:end w:w="120" w:type="dxa"/>
            </w:tcMar>
            <w:shd w:fill="E8EEF5"/>
          </w:tcPr>
          <w:p>
            <w:pPr>
              <w:keepNext/>
              <w:spacing w:after="0" w:line="240" w:lineRule="auto"/>
            </w:pPr>
            <w:r>
              <w:rPr>
                <w:b/>
                <w:color w:val="1F4D78"/>
                <w:sz w:val="16"/>
              </w:rPr>
              <w:t>Breeder-facing check</w:t>
            </w:r>
          </w:p>
        </w:tc>
      </w:tr>
      <w:tr>
        <w:trPr>
          <w:cantSplit/>
        </w:trPr>
        <w:tc>
          <w:tcPr>
            <w:tcW w:type="dxa" w:w="2323"/>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read_chunk()</w:t>
            </w:r>
          </w:p>
        </w:tc>
        <w:tc>
          <w:tcPr>
            <w:tcW w:type="dxa" w:w="4063"/>
            <w:vAlign w:val="center"/>
            <w:tcMar>
              <w:top w:w="60" w:type="dxa"/>
              <w:start w:w="120" w:type="dxa"/>
              <w:bottom w:w="60" w:type="dxa"/>
              <w:end w:w="120" w:type="dxa"/>
            </w:tcMar>
          </w:tcPr>
          <w:p>
            <w:pPr>
              <w:keepNext/>
              <w:spacing w:after="0" w:line="240" w:lineRule="auto"/>
            </w:pPr>
            <w:r>
              <w:rPr>
                <w:sz w:val="16"/>
              </w:rPr>
              <w:t>Read selected variants from a backend</w:t>
            </w:r>
          </w:p>
        </w:tc>
        <w:tc>
          <w:tcPr>
            <w:tcW w:type="dxa" w:w="3705"/>
            <w:vAlign w:val="center"/>
            <w:tcMar>
              <w:top w:w="60" w:type="dxa"/>
              <w:start w:w="120" w:type="dxa"/>
              <w:bottom w:w="60" w:type="dxa"/>
              <w:end w:w="120" w:type="dxa"/>
            </w:tcMar>
          </w:tcPr>
          <w:p>
            <w:pPr>
              <w:keepNext/>
              <w:spacing w:after="0" w:line="240" w:lineRule="auto"/>
            </w:pPr>
            <w:r>
              <w:rPr>
                <w:sz w:val="16"/>
              </w:rPr>
              <w:t>Confirm returned sample and variant order</w:t>
            </w:r>
          </w:p>
        </w:tc>
      </w:tr>
      <w:tr>
        <w:trPr>
          <w:cantSplit/>
        </w:trPr>
        <w:tc>
          <w:tcPr>
            <w:tcW w:type="dxa" w:w="2323"/>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close_backend()</w:t>
            </w:r>
          </w:p>
        </w:tc>
        <w:tc>
          <w:tcPr>
            <w:tcW w:type="dxa" w:w="4063"/>
            <w:vAlign w:val="center"/>
            <w:tcMar>
              <w:top w:w="60" w:type="dxa"/>
              <w:start w:w="120" w:type="dxa"/>
              <w:bottom w:w="60" w:type="dxa"/>
              <w:end w:w="120" w:type="dxa"/>
            </w:tcMar>
          </w:tcPr>
          <w:p>
            <w:pPr>
              <w:keepNext/>
              <w:spacing w:after="0" w:line="240" w:lineRule="auto"/>
            </w:pPr>
            <w:r>
              <w:rPr>
                <w:sz w:val="16"/>
              </w:rPr>
              <w:t>Release open backend resources</w:t>
            </w:r>
          </w:p>
        </w:tc>
        <w:tc>
          <w:tcPr>
            <w:tcW w:type="dxa" w:w="3705"/>
            <w:vAlign w:val="center"/>
            <w:tcMar>
              <w:top w:w="60" w:type="dxa"/>
              <w:start w:w="120" w:type="dxa"/>
              <w:bottom w:w="60" w:type="dxa"/>
              <w:end w:w="120" w:type="dxa"/>
            </w:tcMar>
          </w:tcPr>
          <w:p>
            <w:pPr>
              <w:keepNext/>
              <w:spacing w:after="0" w:line="240" w:lineRule="auto"/>
            </w:pPr>
            <w:r>
              <w:rPr>
                <w:sz w:val="16"/>
              </w:rPr>
              <w:t>Call when a long workflow finishes</w:t>
            </w:r>
          </w:p>
        </w:tc>
      </w:tr>
      <w:tr>
        <w:trPr>
          <w:cantSplit/>
        </w:trPr>
        <w:tc>
          <w:tcPr>
            <w:tcW w:type="dxa" w:w="2323"/>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read_geno_bigmemory()</w:t>
            </w:r>
          </w:p>
        </w:tc>
        <w:tc>
          <w:tcPr>
            <w:tcW w:type="dxa" w:w="4063"/>
            <w:vAlign w:val="center"/>
            <w:tcMar>
              <w:top w:w="60" w:type="dxa"/>
              <w:start w:w="120" w:type="dxa"/>
              <w:bottom w:w="60" w:type="dxa"/>
              <w:end w:w="120" w:type="dxa"/>
            </w:tcMar>
          </w:tcPr>
          <w:p>
            <w:pPr>
              <w:keepNext/>
              <w:spacing w:after="0" w:line="240" w:lineRule="auto"/>
            </w:pPr>
            <w:r>
              <w:rPr>
                <w:sz w:val="16"/>
              </w:rPr>
              <w:t>Use a file-backed genotype matrix</w:t>
            </w:r>
          </w:p>
        </w:tc>
        <w:tc>
          <w:tcPr>
            <w:tcW w:type="dxa" w:w="3705"/>
            <w:vAlign w:val="center"/>
            <w:tcMar>
              <w:top w:w="60" w:type="dxa"/>
              <w:start w:w="120" w:type="dxa"/>
              <w:bottom w:w="60" w:type="dxa"/>
              <w:end w:w="120" w:type="dxa"/>
            </w:tcMar>
          </w:tcPr>
          <w:p>
            <w:pPr>
              <w:keepNext/>
              <w:spacing w:after="0" w:line="240" w:lineRule="auto"/>
            </w:pPr>
            <w:r>
              <w:rPr>
                <w:sz w:val="16"/>
              </w:rPr>
              <w:t>Retain descriptor and backing files together</w:t>
            </w:r>
          </w:p>
        </w:tc>
      </w:tr>
      <w:tr>
        <w:trPr>
          <w:cantSplit/>
        </w:trPr>
        <w:tc>
          <w:tcPr>
            <w:tcW w:type="dxa" w:w="2323"/>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prepare_geno()</w:t>
            </w:r>
          </w:p>
        </w:tc>
        <w:tc>
          <w:tcPr>
            <w:tcW w:type="dxa" w:w="4063"/>
            <w:vAlign w:val="center"/>
            <w:tcMar>
              <w:top w:w="60" w:type="dxa"/>
              <w:start w:w="120" w:type="dxa"/>
              <w:bottom w:w="60" w:type="dxa"/>
              <w:end w:w="120" w:type="dxa"/>
            </w:tcMar>
          </w:tcPr>
          <w:p>
            <w:pPr>
              <w:keepNext/>
              <w:spacing w:after="0" w:line="240" w:lineRule="auto"/>
            </w:pPr>
            <w:r>
              <w:rPr>
                <w:sz w:val="16"/>
              </w:rPr>
              <w:t>Centre genotypes or whiten for LD adjustment</w:t>
            </w:r>
          </w:p>
        </w:tc>
        <w:tc>
          <w:tcPr>
            <w:tcW w:type="dxa" w:w="3705"/>
            <w:vAlign w:val="center"/>
            <w:tcMar>
              <w:top w:w="60" w:type="dxa"/>
              <w:start w:w="120" w:type="dxa"/>
              <w:bottom w:w="60" w:type="dxa"/>
              <w:end w:w="120" w:type="dxa"/>
            </w:tcMar>
          </w:tcPr>
          <w:p>
            <w:pPr>
              <w:keepNext/>
              <w:spacing w:after="0" w:line="240" w:lineRule="auto"/>
            </w:pPr>
            <w:r>
              <w:rPr>
                <w:sz w:val="16"/>
              </w:rPr>
              <w:t>Record method and kinship decomposition</w:t>
            </w:r>
          </w:p>
        </w:tc>
      </w:tr>
      <w:tr>
        <w:trPr>
          <w:cantSplit/>
        </w:trPr>
        <w:tc>
          <w:tcPr>
            <w:tcW w:type="dxa" w:w="2323"/>
            <w:vAlign w:val="center"/>
            <w:tcMar>
              <w:top w:w="60" w:type="dxa"/>
              <w:start w:w="120" w:type="dxa"/>
              <w:bottom w:w="60" w:type="dxa"/>
              <w:end w:w="120" w:type="dxa"/>
            </w:tcMar>
          </w:tcPr>
          <w:p>
            <w:pPr>
              <w:spacing w:after="0" w:line="240" w:lineRule="auto"/>
            </w:pPr>
            <w:r>
              <w:rPr>
                <w:rFonts w:ascii="Consolas" w:hAnsi="Consolas" w:eastAsia="Consolas"/>
                <w:sz w:val="15"/>
                <w:shd w:fill="F2F4F7"/>
              </w:rPr>
              <w:t>get_V_inv_sqrt()</w:t>
            </w:r>
          </w:p>
        </w:tc>
        <w:tc>
          <w:tcPr>
            <w:tcW w:type="dxa" w:w="4063"/>
            <w:vAlign w:val="center"/>
            <w:tcMar>
              <w:top w:w="60" w:type="dxa"/>
              <w:start w:w="120" w:type="dxa"/>
              <w:bottom w:w="60" w:type="dxa"/>
              <w:end w:w="120" w:type="dxa"/>
            </w:tcMar>
          </w:tcPr>
          <w:p>
            <w:pPr>
              <w:spacing w:after="0" w:line="240" w:lineRule="auto"/>
            </w:pPr>
            <w:r>
              <w:rPr>
                <w:sz w:val="16"/>
              </w:rPr>
              <w:t>Construct inverse square-root covariance transform</w:t>
            </w:r>
          </w:p>
        </w:tc>
        <w:tc>
          <w:tcPr>
            <w:tcW w:type="dxa" w:w="3705"/>
            <w:vAlign w:val="center"/>
            <w:tcMar>
              <w:top w:w="60" w:type="dxa"/>
              <w:start w:w="120" w:type="dxa"/>
              <w:bottom w:w="60" w:type="dxa"/>
              <w:end w:w="120" w:type="dxa"/>
            </w:tcMar>
          </w:tcPr>
          <w:p>
            <w:pPr>
              <w:spacing w:after="0" w:line="240" w:lineRule="auto"/>
            </w:pPr>
            <w:r>
              <w:rPr>
                <w:sz w:val="16"/>
              </w:rPr>
              <w:t>Inspect numerical regularisation</w:t>
            </w:r>
          </w:p>
        </w:tc>
      </w:tr>
    </w:tbl>
    <w:p>
      <w:pPr>
        <w:spacing w:after="20"/>
      </w:pPr>
    </w:p>
    <w:p>
      <w:pPr>
        <w:pStyle w:val="Heading2"/>
      </w:pPr>
      <w:r>
        <w:t>8.2 LD calculation and haplotype-block definition</w:t>
      </w:r>
    </w:p>
    <w:p>
      <w:pPr>
        <w:pStyle w:val="Heading3"/>
      </w:pPr>
      <w:r>
        <w:t>Pairwise LD metrics</w:t>
      </w:r>
    </w:p>
    <w:p>
      <w:r>
        <w:rPr>
          <w:rFonts w:ascii="Consolas" w:hAnsi="Consolas" w:eastAsia="Consolas"/>
          <w:sz w:val="21"/>
          <w:shd w:fill="F2F4F7"/>
        </w:rPr>
        <w:t>compute_r2()</w:t>
      </w:r>
      <w:r>
        <w:t xml:space="preserve"> calculates conventional LD. </w:t>
      </w:r>
      <w:r>
        <w:rPr>
          <w:rFonts w:ascii="Consolas" w:hAnsi="Consolas" w:eastAsia="Consolas"/>
          <w:sz w:val="21"/>
          <w:shd w:fill="F2F4F7"/>
        </w:rPr>
        <w:t>compute_rV2()</w:t>
      </w:r>
      <w:r>
        <w:t xml:space="preserve"> calculates relatedness- and structure-adjusted LD. Use:</w:t>
      </w:r>
    </w:p>
    <w:p>
      <w:pPr>
        <w:pStyle w:val="ListBullet"/>
      </w:pPr>
      <w:r>
        <w:rPr>
          <w:rFonts w:ascii="Consolas" w:hAnsi="Consolas" w:eastAsia="Consolas"/>
          <w:sz w:val="21"/>
          <w:shd w:fill="F2F4F7"/>
        </w:rPr>
        <w:t>r2</w:t>
      </w:r>
      <w:r>
        <w:t xml:space="preserve"> for a descriptive LD map when population structure is not expected to</w:t>
      </w:r>
      <w:r>
        <w:t xml:space="preserve"> </w:t>
      </w:r>
      <w:r>
        <w:t>dominate the signal; and</w:t>
      </w:r>
    </w:p>
    <w:p>
      <w:pPr>
        <w:pStyle w:val="ListBullet"/>
      </w:pPr>
      <w:r>
        <w:rPr>
          <w:rFonts w:ascii="Consolas" w:hAnsi="Consolas" w:eastAsia="Consolas"/>
          <w:sz w:val="21"/>
          <w:shd w:fill="F2F4F7"/>
        </w:rPr>
        <w:t>rV2</w:t>
      </w:r>
      <w:r>
        <w:t xml:space="preserve"> when structure or close relatedness would inflate ordinary LD.</w:t>
      </w:r>
    </w:p>
    <w:p>
      <w:r>
        <w:t>An adjusted statistic answers a different question, not merely a more accurate version of the same question. Record the kinship construction and compare both metrics during method development.</w:t>
      </w:r>
    </w:p>
    <w:p>
      <w:pPr>
        <w:pStyle w:val="Heading3"/>
      </w:pPr>
      <w:r>
        <w:rPr>
          <w:rFonts w:ascii="Consolas" w:hAnsi="Consolas" w:eastAsia="Consolas"/>
          <w:sz w:val="21"/>
          <w:shd w:fill="F2F4F7"/>
        </w:rPr>
        <w:t>Big_LD()</w:t>
      </w:r>
      <w:r>
        <w:t xml:space="preserve"> variants</w:t>
      </w:r>
    </w:p>
    <w:p>
      <w:r>
        <w:rPr>
          <w:rFonts w:ascii="Consolas" w:hAnsi="Consolas" w:eastAsia="Consolas"/>
          <w:sz w:val="21"/>
          <w:shd w:fill="F2F4F7"/>
        </w:rPr>
        <w:t>Big_LD()</w:t>
      </w:r>
      <w:r>
        <w:t xml:space="preserve"> detects blocks after MAF filtering and LD graph construction. Principal variants are:</w:t>
      </w:r>
    </w:p>
    <w:tbl>
      <w:tblPr>
        <w:tblStyle w:val="TableGrid"/>
        <w:tblW w:type="dxa" w:w="10091"/>
        <w:jc w:val="left"/>
        <w:tblLayout w:type="fixed"/>
        <w:tblLook w:firstColumn="1" w:firstRow="1" w:lastColumn="0" w:lastRow="0" w:noHBand="0" w:noVBand="1" w:val="04A0"/>
        <w:tblInd w:w="120" w:type="dxa"/>
      </w:tblPr>
      <w:tblGrid>
        <w:gridCol w:w="2141"/>
        <w:gridCol w:w="3810"/>
        <w:gridCol w:w="4140"/>
      </w:tblGrid>
      <w:tr>
        <w:trPr>
          <w:cantSplit/>
          <w:tblHeader w:val="true"/>
        </w:trPr>
        <w:tc>
          <w:tcPr>
            <w:tcW w:type="dxa" w:w="2141"/>
            <w:vAlign w:val="center"/>
            <w:tcMar>
              <w:top w:w="60" w:type="dxa"/>
              <w:start w:w="120" w:type="dxa"/>
              <w:bottom w:w="60" w:type="dxa"/>
              <w:end w:w="120" w:type="dxa"/>
            </w:tcMar>
            <w:shd w:fill="E8EEF5"/>
          </w:tcPr>
          <w:p>
            <w:pPr>
              <w:keepNext/>
              <w:spacing w:after="0" w:line="240" w:lineRule="auto"/>
            </w:pPr>
            <w:r>
              <w:rPr>
                <w:b/>
                <w:color w:val="1F4D78"/>
                <w:sz w:val="16"/>
              </w:rPr>
              <w:t>Argument</w:t>
            </w:r>
          </w:p>
        </w:tc>
        <w:tc>
          <w:tcPr>
            <w:tcW w:type="dxa" w:w="3810"/>
            <w:vAlign w:val="center"/>
            <w:tcMar>
              <w:top w:w="60" w:type="dxa"/>
              <w:start w:w="120" w:type="dxa"/>
              <w:bottom w:w="60" w:type="dxa"/>
              <w:end w:w="120" w:type="dxa"/>
            </w:tcMar>
            <w:shd w:fill="E8EEF5"/>
          </w:tcPr>
          <w:p>
            <w:pPr>
              <w:keepNext/>
              <w:spacing w:after="0" w:line="240" w:lineRule="auto"/>
            </w:pPr>
            <w:r>
              <w:rPr>
                <w:b/>
                <w:color w:val="1F4D78"/>
                <w:sz w:val="16"/>
              </w:rPr>
              <w:t>Variants</w:t>
            </w:r>
          </w:p>
        </w:tc>
        <w:tc>
          <w:tcPr>
            <w:tcW w:type="dxa" w:w="4140"/>
            <w:vAlign w:val="center"/>
            <w:tcMar>
              <w:top w:w="60" w:type="dxa"/>
              <w:start w:w="120" w:type="dxa"/>
              <w:bottom w:w="60" w:type="dxa"/>
              <w:end w:w="120" w:type="dxa"/>
            </w:tcMar>
            <w:shd w:fill="E8EEF5"/>
          </w:tcPr>
          <w:p>
            <w:pPr>
              <w:keepNext/>
              <w:spacing w:after="0" w:line="240" w:lineRule="auto"/>
            </w:pPr>
            <w:r>
              <w:rPr>
                <w:b/>
                <w:color w:val="1F4D78"/>
                <w:sz w:val="16"/>
              </w:rPr>
              <w:t>Decision</w:t>
            </w:r>
          </w:p>
        </w:tc>
      </w:tr>
      <w:tr>
        <w:trPr>
          <w:cantSplit/>
        </w:trPr>
        <w:tc>
          <w:tcPr>
            <w:tcW w:type="dxa" w:w="214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method</w:t>
            </w:r>
          </w:p>
        </w:tc>
        <w:tc>
          <w:tcPr>
            <w:tcW w:type="dxa" w:w="381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"r2"</w:t>
            </w:r>
            <w:r>
              <w:rPr>
                <w:sz w:val="16"/>
              </w:rPr>
              <w:t xml:space="preserve">, </w:t>
            </w:r>
            <w:r>
              <w:rPr>
                <w:rFonts w:ascii="Consolas" w:hAnsi="Consolas" w:eastAsia="Consolas"/>
                <w:sz w:val="15"/>
                <w:shd w:fill="F2F4F7"/>
              </w:rPr>
              <w:t>"rV2"</w:t>
            </w:r>
          </w:p>
        </w:tc>
        <w:tc>
          <w:tcPr>
            <w:tcW w:type="dxa" w:w="4140"/>
            <w:vAlign w:val="center"/>
            <w:tcMar>
              <w:top w:w="60" w:type="dxa"/>
              <w:start w:w="120" w:type="dxa"/>
              <w:bottom w:w="60" w:type="dxa"/>
              <w:end w:w="120" w:type="dxa"/>
            </w:tcMar>
          </w:tcPr>
          <w:p>
            <w:pPr>
              <w:keepNext/>
              <w:spacing w:after="0" w:line="240" w:lineRule="auto"/>
            </w:pPr>
            <w:r>
              <w:rPr>
                <w:sz w:val="16"/>
              </w:rPr>
              <w:t>Ordinary or structure-adjusted LD</w:t>
            </w:r>
          </w:p>
        </w:tc>
      </w:tr>
      <w:tr>
        <w:trPr>
          <w:cantSplit/>
        </w:trPr>
        <w:tc>
          <w:tcPr>
            <w:tcW w:type="dxa" w:w="214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CLQmode</w:t>
            </w:r>
          </w:p>
        </w:tc>
        <w:tc>
          <w:tcPr>
            <w:tcW w:type="dxa" w:w="381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"Density"</w:t>
            </w:r>
            <w:r>
              <w:rPr>
                <w:sz w:val="16"/>
              </w:rPr>
              <w:t xml:space="preserve">, </w:t>
            </w:r>
            <w:r>
              <w:rPr>
                <w:rFonts w:ascii="Consolas" w:hAnsi="Consolas" w:eastAsia="Consolas"/>
                <w:sz w:val="15"/>
                <w:shd w:fill="F2F4F7"/>
              </w:rPr>
              <w:t>"Maximal"</w:t>
            </w:r>
            <w:r>
              <w:rPr>
                <w:sz w:val="16"/>
              </w:rPr>
              <w:t xml:space="preserve">, </w:t>
            </w:r>
            <w:r>
              <w:rPr>
                <w:rFonts w:ascii="Consolas" w:hAnsi="Consolas" w:eastAsia="Consolas"/>
                <w:sz w:val="15"/>
                <w:shd w:fill="F2F4F7"/>
              </w:rPr>
              <w:t>"Louvain"</w:t>
            </w:r>
            <w:r>
              <w:rPr>
                <w:sz w:val="16"/>
              </w:rPr>
              <w:t xml:space="preserve">, </w:t>
            </w:r>
            <w:r>
              <w:rPr>
                <w:rFonts w:ascii="Consolas" w:hAnsi="Consolas" w:eastAsia="Consolas"/>
                <w:sz w:val="15"/>
                <w:shd w:fill="F2F4F7"/>
              </w:rPr>
              <w:t>"Leiden"</w:t>
            </w:r>
          </w:p>
        </w:tc>
        <w:tc>
          <w:tcPr>
            <w:tcW w:type="dxa" w:w="4140"/>
            <w:vAlign w:val="center"/>
            <w:tcMar>
              <w:top w:w="60" w:type="dxa"/>
              <w:start w:w="120" w:type="dxa"/>
              <w:bottom w:w="60" w:type="dxa"/>
              <w:end w:w="120" w:type="dxa"/>
            </w:tcMar>
          </w:tcPr>
          <w:p>
            <w:pPr>
              <w:keepNext/>
              <w:spacing w:after="0" w:line="240" w:lineRule="auto"/>
            </w:pPr>
            <w:r>
              <w:rPr>
                <w:sz w:val="16"/>
              </w:rPr>
              <w:t>Clique-density or graph-community block definition</w:t>
            </w:r>
          </w:p>
        </w:tc>
      </w:tr>
      <w:tr>
        <w:trPr>
          <w:cantSplit/>
        </w:trPr>
        <w:tc>
          <w:tcPr>
            <w:tcW w:type="dxa" w:w="214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split</w:t>
            </w:r>
          </w:p>
        </w:tc>
        <w:tc>
          <w:tcPr>
            <w:tcW w:type="dxa" w:w="381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FALSE</w:t>
            </w:r>
            <w:r>
              <w:rPr>
                <w:sz w:val="16"/>
              </w:rPr>
              <w:t xml:space="preserve">, </w:t>
            </w:r>
            <w:r>
              <w:rPr>
                <w:rFonts w:ascii="Consolas" w:hAnsi="Consolas" w:eastAsia="Consolas"/>
                <w:sz w:val="15"/>
                <w:shd w:fill="F2F4F7"/>
              </w:rPr>
              <w:t>TRUE</w:t>
            </w:r>
          </w:p>
        </w:tc>
        <w:tc>
          <w:tcPr>
            <w:tcW w:type="dxa" w:w="4140"/>
            <w:vAlign w:val="center"/>
            <w:tcMar>
              <w:top w:w="60" w:type="dxa"/>
              <w:start w:w="120" w:type="dxa"/>
              <w:bottom w:w="60" w:type="dxa"/>
              <w:end w:w="120" w:type="dxa"/>
            </w:tcMar>
          </w:tcPr>
          <w:p>
            <w:pPr>
              <w:keepNext/>
              <w:spacing w:after="0" w:line="240" w:lineRule="auto"/>
            </w:pPr>
            <w:r>
              <w:rPr>
                <w:sz w:val="16"/>
              </w:rPr>
              <w:t>Keep or subdivide long regions</w:t>
            </w:r>
          </w:p>
        </w:tc>
      </w:tr>
      <w:tr>
        <w:trPr>
          <w:cantSplit/>
        </w:trPr>
        <w:tc>
          <w:tcPr>
            <w:tcW w:type="dxa" w:w="214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appendrare</w:t>
            </w:r>
          </w:p>
        </w:tc>
        <w:tc>
          <w:tcPr>
            <w:tcW w:type="dxa" w:w="381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FALSE</w:t>
            </w:r>
            <w:r>
              <w:rPr>
                <w:sz w:val="16"/>
              </w:rPr>
              <w:t xml:space="preserve">, </w:t>
            </w:r>
            <w:r>
              <w:rPr>
                <w:rFonts w:ascii="Consolas" w:hAnsi="Consolas" w:eastAsia="Consolas"/>
                <w:sz w:val="15"/>
                <w:shd w:fill="F2F4F7"/>
              </w:rPr>
              <w:t>TRUE</w:t>
            </w:r>
          </w:p>
        </w:tc>
        <w:tc>
          <w:tcPr>
            <w:tcW w:type="dxa" w:w="4140"/>
            <w:vAlign w:val="center"/>
            <w:tcMar>
              <w:top w:w="60" w:type="dxa"/>
              <w:start w:w="120" w:type="dxa"/>
              <w:bottom w:w="60" w:type="dxa"/>
              <w:end w:w="120" w:type="dxa"/>
            </w:tcMar>
          </w:tcPr>
          <w:p>
            <w:pPr>
              <w:keepNext/>
              <w:spacing w:after="0" w:line="240" w:lineRule="auto"/>
            </w:pPr>
            <w:r>
              <w:rPr>
                <w:sz w:val="16"/>
              </w:rPr>
              <w:t>Exclude or append rare markers according to the method</w:t>
            </w:r>
          </w:p>
        </w:tc>
      </w:tr>
      <w:tr>
        <w:trPr>
          <w:cantSplit/>
        </w:trPr>
        <w:tc>
          <w:tcPr>
            <w:tcW w:type="dxa" w:w="214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singleton_as_block</w:t>
            </w:r>
          </w:p>
        </w:tc>
        <w:tc>
          <w:tcPr>
            <w:tcW w:type="dxa" w:w="381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FALSE</w:t>
            </w:r>
            <w:r>
              <w:rPr>
                <w:sz w:val="16"/>
              </w:rPr>
              <w:t xml:space="preserve">, </w:t>
            </w:r>
            <w:r>
              <w:rPr>
                <w:rFonts w:ascii="Consolas" w:hAnsi="Consolas" w:eastAsia="Consolas"/>
                <w:sz w:val="15"/>
                <w:shd w:fill="F2F4F7"/>
              </w:rPr>
              <w:t>TRUE</w:t>
            </w:r>
          </w:p>
        </w:tc>
        <w:tc>
          <w:tcPr>
            <w:tcW w:type="dxa" w:w="4140"/>
            <w:vAlign w:val="center"/>
            <w:tcMar>
              <w:top w:w="60" w:type="dxa"/>
              <w:start w:w="120" w:type="dxa"/>
              <w:bottom w:w="60" w:type="dxa"/>
              <w:end w:w="120" w:type="dxa"/>
            </w:tcMar>
          </w:tcPr>
          <w:p>
            <w:pPr>
              <w:keepNext/>
              <w:spacing w:after="0" w:line="240" w:lineRule="auto"/>
            </w:pPr>
            <w:r>
              <w:rPr>
                <w:sz w:val="16"/>
              </w:rPr>
              <w:t>Exclude or retain isolated markers as one-marker blocks</w:t>
            </w:r>
          </w:p>
        </w:tc>
      </w:tr>
      <w:tr>
        <w:trPr>
          <w:cantSplit/>
        </w:trPr>
        <w:tc>
          <w:tcPr>
            <w:tcW w:type="dxa" w:w="214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close_gaps_with_snps</w:t>
            </w:r>
          </w:p>
        </w:tc>
        <w:tc>
          <w:tcPr>
            <w:tcW w:type="dxa" w:w="381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TRUE</w:t>
            </w:r>
            <w:r>
              <w:rPr>
                <w:sz w:val="16"/>
              </w:rPr>
              <w:t xml:space="preserve">, </w:t>
            </w:r>
            <w:r>
              <w:rPr>
                <w:rFonts w:ascii="Consolas" w:hAnsi="Consolas" w:eastAsia="Consolas"/>
                <w:sz w:val="15"/>
                <w:shd w:fill="F2F4F7"/>
              </w:rPr>
              <w:t>FALSE</w:t>
            </w:r>
          </w:p>
        </w:tc>
        <w:tc>
          <w:tcPr>
            <w:tcW w:type="dxa" w:w="4140"/>
            <w:vAlign w:val="center"/>
            <w:tcMar>
              <w:top w:w="60" w:type="dxa"/>
              <w:start w:w="120" w:type="dxa"/>
              <w:bottom w:w="60" w:type="dxa"/>
              <w:end w:w="120" w:type="dxa"/>
            </w:tcMar>
          </w:tcPr>
          <w:p>
            <w:pPr>
              <w:keepNext/>
              <w:spacing w:after="0" w:line="240" w:lineRule="auto"/>
            </w:pPr>
            <w:r>
              <w:rPr>
                <w:sz w:val="16"/>
              </w:rPr>
              <w:t>Close eligible inter-block gaps or leave them open</w:t>
            </w:r>
          </w:p>
        </w:tc>
      </w:tr>
      <w:tr>
        <w:trPr>
          <w:cantSplit/>
        </w:trPr>
        <w:tc>
          <w:tcPr>
            <w:tcW w:type="dxa" w:w="2141"/>
            <w:vAlign w:val="center"/>
            <w:tcMar>
              <w:top w:w="60" w:type="dxa"/>
              <w:start w:w="120" w:type="dxa"/>
              <w:bottom w:w="60" w:type="dxa"/>
              <w:end w:w="120" w:type="dxa"/>
            </w:tcMar>
          </w:tcPr>
          <w:p>
            <w:pPr>
              <w:spacing w:after="0" w:line="240" w:lineRule="auto"/>
            </w:pPr>
            <w:r>
              <w:rPr>
                <w:rFonts w:ascii="Consolas" w:hAnsi="Consolas" w:eastAsia="Consolas"/>
                <w:sz w:val="15"/>
                <w:shd w:fill="F2F4F7"/>
              </w:rPr>
              <w:t>checkLargest</w:t>
            </w:r>
          </w:p>
        </w:tc>
        <w:tc>
          <w:tcPr>
            <w:tcW w:type="dxa" w:w="3810"/>
            <w:vAlign w:val="center"/>
            <w:tcMar>
              <w:top w:w="60" w:type="dxa"/>
              <w:start w:w="120" w:type="dxa"/>
              <w:bottom w:w="60" w:type="dxa"/>
              <w:end w:w="120" w:type="dxa"/>
            </w:tcMar>
          </w:tcPr>
          <w:p>
            <w:pPr>
              <w:spacing w:after="0" w:line="240" w:lineRule="auto"/>
            </w:pPr>
            <w:r>
              <w:rPr>
                <w:rFonts w:ascii="Consolas" w:hAnsi="Consolas" w:eastAsia="Consolas"/>
                <w:sz w:val="15"/>
                <w:shd w:fill="F2F4F7"/>
              </w:rPr>
              <w:t>FALSE</w:t>
            </w:r>
            <w:r>
              <w:rPr>
                <w:sz w:val="16"/>
              </w:rPr>
              <w:t xml:space="preserve">, </w:t>
            </w:r>
            <w:r>
              <w:rPr>
                <w:rFonts w:ascii="Consolas" w:hAnsi="Consolas" w:eastAsia="Consolas"/>
                <w:sz w:val="15"/>
                <w:shd w:fill="F2F4F7"/>
              </w:rPr>
              <w:t>TRUE</w:t>
            </w:r>
          </w:p>
        </w:tc>
        <w:tc>
          <w:tcPr>
            <w:tcW w:type="dxa" w:w="4140"/>
            <w:vAlign w:val="center"/>
            <w:tcMar>
              <w:top w:w="60" w:type="dxa"/>
              <w:start w:w="120" w:type="dxa"/>
              <w:bottom w:w="60" w:type="dxa"/>
              <w:end w:w="120" w:type="dxa"/>
            </w:tcMar>
          </w:tcPr>
          <w:p>
            <w:pPr>
              <w:spacing w:after="0" w:line="240" w:lineRule="auto"/>
            </w:pPr>
            <w:r>
              <w:rPr>
                <w:sz w:val="16"/>
              </w:rPr>
              <w:t>Apply the optional largest-block check</w:t>
            </w:r>
          </w:p>
        </w:tc>
      </w:tr>
    </w:tbl>
    <w:p>
      <w:pPr>
        <w:spacing w:after="20"/>
      </w:pPr>
    </w:p>
    <w:p>
      <w:r>
        <w:rPr>
          <w:rFonts w:ascii="Consolas" w:hAnsi="Consolas" w:eastAsia="Consolas"/>
          <w:sz w:val="21"/>
          <w:shd w:fill="F2F4F7"/>
        </w:rPr>
        <w:t>CLQcut</w:t>
      </w:r>
      <w:r>
        <w:t xml:space="preserve">, </w:t>
      </w:r>
      <w:r>
        <w:rPr>
          <w:rFonts w:ascii="Consolas" w:hAnsi="Consolas" w:eastAsia="Consolas"/>
          <w:sz w:val="21"/>
          <w:shd w:fill="F2F4F7"/>
        </w:rPr>
        <w:t>clstgap</w:t>
      </w:r>
      <w:r>
        <w:t xml:space="preserve">, </w:t>
      </w:r>
      <w:r>
        <w:rPr>
          <w:rFonts w:ascii="Consolas" w:hAnsi="Consolas" w:eastAsia="Consolas"/>
          <w:sz w:val="21"/>
          <w:shd w:fill="F2F4F7"/>
        </w:rPr>
        <w:t>leng</w:t>
      </w:r>
      <w:r>
        <w:t xml:space="preserve">, </w:t>
      </w:r>
      <w:r>
        <w:rPr>
          <w:rFonts w:ascii="Consolas" w:hAnsi="Consolas" w:eastAsia="Consolas"/>
          <w:sz w:val="21"/>
          <w:shd w:fill="F2F4F7"/>
        </w:rPr>
        <w:t>subSegmSize</w:t>
      </w:r>
      <w:r>
        <w:t xml:space="preserve">, </w:t>
      </w:r>
      <w:r>
        <w:rPr>
          <w:rFonts w:ascii="Consolas" w:hAnsi="Consolas" w:eastAsia="Consolas"/>
          <w:sz w:val="21"/>
          <w:shd w:fill="F2F4F7"/>
        </w:rPr>
        <w:t>MAFcut</w:t>
      </w:r>
      <w:r>
        <w:t xml:space="preserve">, </w:t>
      </w:r>
      <w:r>
        <w:rPr>
          <w:rFonts w:ascii="Consolas" w:hAnsi="Consolas" w:eastAsia="Consolas"/>
          <w:sz w:val="21"/>
          <w:shd w:fill="F2F4F7"/>
        </w:rPr>
        <w:t>max_bp_distance</w:t>
      </w:r>
      <w:r>
        <w:t xml:space="preserve"> and </w:t>
      </w:r>
      <w:r>
        <w:rPr>
          <w:rFonts w:ascii="Consolas" w:hAnsi="Consolas" w:eastAsia="Consolas"/>
          <w:sz w:val="21"/>
          <w:shd w:fill="F2F4F7"/>
        </w:rPr>
        <w:t>gap_k_rep</w:t>
      </w:r>
      <w:r>
        <w:t xml:space="preserve"> are method parameters rather than universal biological constants. Tune them in representative chromosomes and report sensitivity of block number, size and downstream prediction.</w:t>
      </w:r>
    </w:p>
    <w:p>
      <w:r>
        <w:t>Compiled calculations accept one or two threads. More than two threads are rejected to preserve the package's tested execution envelope.</w:t>
      </w:r>
    </w:p>
    <w:p>
      <w:pPr>
        <w:pStyle w:val="Heading3"/>
      </w:pPr>
      <w:r>
        <w:t>Genome-wide orchestration and diagnostics</w:t>
      </w:r>
    </w:p>
    <w:tbl>
      <w:tblPr>
        <w:tblStyle w:val="TableGrid"/>
        <w:tblW w:type="dxa" w:w="10091"/>
        <w:jc w:val="left"/>
        <w:tblLayout w:type="fixed"/>
        <w:tblLook w:firstColumn="1" w:firstRow="1" w:lastColumn="0" w:lastRow="0" w:noHBand="0" w:noVBand="1" w:val="04A0"/>
        <w:tblInd w:w="120" w:type="dxa"/>
      </w:tblPr>
      <w:tblGrid>
        <w:gridCol w:w="3717"/>
        <w:gridCol w:w="6374"/>
      </w:tblGrid>
      <w:tr>
        <w:trPr>
          <w:cantSplit/>
          <w:tblHeader w:val="true"/>
        </w:trPr>
        <w:tc>
          <w:tcPr>
            <w:tcW w:type="dxa" w:w="3717"/>
            <w:vAlign w:val="center"/>
            <w:tcMar>
              <w:top w:w="60" w:type="dxa"/>
              <w:start w:w="120" w:type="dxa"/>
              <w:bottom w:w="60" w:type="dxa"/>
              <w:end w:w="120" w:type="dxa"/>
            </w:tcMar>
            <w:shd w:fill="E8EEF5"/>
          </w:tcPr>
          <w:p>
            <w:pPr>
              <w:keepNext/>
              <w:spacing w:after="0" w:line="240" w:lineRule="auto"/>
            </w:pPr>
            <w:r>
              <w:rPr>
                <w:b/>
                <w:color w:val="1F4D78"/>
                <w:sz w:val="16"/>
              </w:rPr>
              <w:t>Function</w:t>
            </w:r>
          </w:p>
        </w:tc>
        <w:tc>
          <w:tcPr>
            <w:tcW w:type="dxa" w:w="6374"/>
            <w:vAlign w:val="center"/>
            <w:tcMar>
              <w:top w:w="60" w:type="dxa"/>
              <w:start w:w="120" w:type="dxa"/>
              <w:bottom w:w="60" w:type="dxa"/>
              <w:end w:w="120" w:type="dxa"/>
            </w:tcMar>
            <w:shd w:fill="E8EEF5"/>
          </w:tcPr>
          <w:p>
            <w:pPr>
              <w:keepNext/>
              <w:spacing w:after="0" w:line="240" w:lineRule="auto"/>
            </w:pPr>
            <w:r>
              <w:rPr>
                <w:b/>
                <w:color w:val="1F4D78"/>
                <w:sz w:val="16"/>
              </w:rPr>
              <w:t>Purpose</w:t>
            </w:r>
          </w:p>
        </w:tc>
      </w:tr>
      <w:tr>
        <w:trPr>
          <w:cantSplit/>
        </w:trPr>
        <w:tc>
          <w:tcPr>
            <w:tcW w:type="dxa" w:w="3717"/>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run_Big_LD_all_chr()</w:t>
            </w:r>
          </w:p>
        </w:tc>
        <w:tc>
          <w:tcPr>
            <w:tcW w:type="dxa" w:w="6374"/>
            <w:vAlign w:val="center"/>
            <w:tcMar>
              <w:top w:w="60" w:type="dxa"/>
              <w:start w:w="120" w:type="dxa"/>
              <w:bottom w:w="60" w:type="dxa"/>
              <w:end w:w="120" w:type="dxa"/>
            </w:tcMar>
          </w:tcPr>
          <w:p>
            <w:pPr>
              <w:keepNext/>
              <w:spacing w:after="0" w:line="240" w:lineRule="auto"/>
            </w:pPr>
            <w:r>
              <w:rPr>
                <w:sz w:val="16"/>
              </w:rPr>
              <w:t>Apply block detection chromosome by chromosome</w:t>
            </w:r>
          </w:p>
        </w:tc>
      </w:tr>
      <w:tr>
        <w:trPr>
          <w:cantSplit/>
        </w:trPr>
        <w:tc>
          <w:tcPr>
            <w:tcW w:type="dxa" w:w="3717"/>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tune_LD_params()</w:t>
            </w:r>
          </w:p>
        </w:tc>
        <w:tc>
          <w:tcPr>
            <w:tcW w:type="dxa" w:w="6374"/>
            <w:vAlign w:val="center"/>
            <w:tcMar>
              <w:top w:w="60" w:type="dxa"/>
              <w:start w:w="120" w:type="dxa"/>
              <w:bottom w:w="60" w:type="dxa"/>
              <w:end w:w="120" w:type="dxa"/>
            </w:tcMar>
          </w:tcPr>
          <w:p>
            <w:pPr>
              <w:keepNext/>
              <w:spacing w:after="0" w:line="240" w:lineRule="auto"/>
            </w:pPr>
            <w:r>
              <w:rPr>
                <w:sz w:val="16"/>
              </w:rPr>
              <w:t>Compare candidate LD parameter settings</w:t>
            </w:r>
          </w:p>
        </w:tc>
      </w:tr>
      <w:tr>
        <w:trPr>
          <w:cantSplit/>
        </w:trPr>
        <w:tc>
          <w:tcPr>
            <w:tcW w:type="dxa" w:w="3717"/>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compute_ld_decay()</w:t>
            </w:r>
          </w:p>
        </w:tc>
        <w:tc>
          <w:tcPr>
            <w:tcW w:type="dxa" w:w="6374"/>
            <w:vAlign w:val="center"/>
            <w:tcMar>
              <w:top w:w="60" w:type="dxa"/>
              <w:start w:w="120" w:type="dxa"/>
              <w:bottom w:w="60" w:type="dxa"/>
              <w:end w:w="120" w:type="dxa"/>
            </w:tcMar>
          </w:tcPr>
          <w:p>
            <w:pPr>
              <w:keepNext/>
              <w:spacing w:after="0" w:line="240" w:lineRule="auto"/>
            </w:pPr>
            <w:r>
              <w:rPr>
                <w:sz w:val="16"/>
              </w:rPr>
              <w:t>Summarise LD against physical distance</w:t>
            </w:r>
          </w:p>
        </w:tc>
      </w:tr>
      <w:tr>
        <w:trPr>
          <w:cantSplit/>
        </w:trPr>
        <w:tc>
          <w:tcPr>
            <w:tcW w:type="dxa" w:w="3717"/>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plot_ld_decay()</w:t>
            </w:r>
          </w:p>
        </w:tc>
        <w:tc>
          <w:tcPr>
            <w:tcW w:type="dxa" w:w="6374"/>
            <w:vAlign w:val="center"/>
            <w:tcMar>
              <w:top w:w="60" w:type="dxa"/>
              <w:start w:w="120" w:type="dxa"/>
              <w:bottom w:w="60" w:type="dxa"/>
              <w:end w:w="120" w:type="dxa"/>
            </w:tcMar>
          </w:tcPr>
          <w:p>
            <w:pPr>
              <w:keepNext/>
              <w:spacing w:after="0" w:line="240" w:lineRule="auto"/>
            </w:pPr>
            <w:r>
              <w:rPr>
                <w:sz w:val="16"/>
              </w:rPr>
              <w:t>Plot LD decay and uncertainty</w:t>
            </w:r>
          </w:p>
        </w:tc>
      </w:tr>
      <w:tr>
        <w:trPr>
          <w:cantSplit/>
        </w:trPr>
        <w:tc>
          <w:tcPr>
            <w:tcW w:type="dxa" w:w="3717"/>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plot_ld_blocks()</w:t>
            </w:r>
          </w:p>
        </w:tc>
        <w:tc>
          <w:tcPr>
            <w:tcW w:type="dxa" w:w="6374"/>
            <w:vAlign w:val="center"/>
            <w:tcMar>
              <w:top w:w="60" w:type="dxa"/>
              <w:start w:w="120" w:type="dxa"/>
              <w:bottom w:w="60" w:type="dxa"/>
              <w:end w:w="120" w:type="dxa"/>
            </w:tcMar>
          </w:tcPr>
          <w:p>
            <w:pPr>
              <w:keepNext/>
              <w:spacing w:after="0" w:line="240" w:lineRule="auto"/>
            </w:pPr>
            <w:r>
              <w:rPr>
                <w:sz w:val="16"/>
              </w:rPr>
              <w:t>Visualise detected blocks and marker positions</w:t>
            </w:r>
          </w:p>
        </w:tc>
      </w:tr>
      <w:tr>
        <w:trPr>
          <w:cantSplit/>
        </w:trPr>
        <w:tc>
          <w:tcPr>
            <w:tcW w:type="dxa" w:w="3717"/>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summarise_blocks()</w:t>
            </w:r>
          </w:p>
        </w:tc>
        <w:tc>
          <w:tcPr>
            <w:tcW w:type="dxa" w:w="6374"/>
            <w:vAlign w:val="center"/>
            <w:tcMar>
              <w:top w:w="60" w:type="dxa"/>
              <w:start w:w="120" w:type="dxa"/>
              <w:bottom w:w="60" w:type="dxa"/>
              <w:end w:w="120" w:type="dxa"/>
            </w:tcMar>
          </w:tcPr>
          <w:p>
            <w:pPr>
              <w:keepNext/>
              <w:spacing w:after="0" w:line="240" w:lineRule="auto"/>
            </w:pPr>
            <w:r>
              <w:rPr>
                <w:sz w:val="16"/>
              </w:rPr>
              <w:t>Summarise block count, size and marker coverage</w:t>
            </w:r>
          </w:p>
        </w:tc>
      </w:tr>
      <w:tr>
        <w:trPr>
          <w:cantSplit/>
        </w:trPr>
        <w:tc>
          <w:tcPr>
            <w:tcW w:type="dxa" w:w="3717"/>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scan_diversity_windows()</w:t>
            </w:r>
          </w:p>
        </w:tc>
        <w:tc>
          <w:tcPr>
            <w:tcW w:type="dxa" w:w="6374"/>
            <w:vAlign w:val="center"/>
            <w:tcMar>
              <w:top w:w="60" w:type="dxa"/>
              <w:start w:w="120" w:type="dxa"/>
              <w:bottom w:w="60" w:type="dxa"/>
              <w:end w:w="120" w:type="dxa"/>
            </w:tcMar>
          </w:tcPr>
          <w:p>
            <w:pPr>
              <w:keepNext/>
              <w:spacing w:after="0" w:line="240" w:lineRule="auto"/>
            </w:pPr>
            <w:r>
              <w:rPr>
                <w:sz w:val="16"/>
              </w:rPr>
              <w:t>Identify windows with unusual diversity</w:t>
            </w:r>
          </w:p>
        </w:tc>
      </w:tr>
      <w:tr>
        <w:trPr>
          <w:cantSplit/>
        </w:trPr>
        <w:tc>
          <w:tcPr>
            <w:tcW w:type="dxa" w:w="3717"/>
            <w:vAlign w:val="center"/>
            <w:tcMar>
              <w:top w:w="60" w:type="dxa"/>
              <w:start w:w="120" w:type="dxa"/>
              <w:bottom w:w="60" w:type="dxa"/>
              <w:end w:w="120" w:type="dxa"/>
            </w:tcMar>
          </w:tcPr>
          <w:p>
            <w:pPr>
              <w:spacing w:after="0" w:line="240" w:lineRule="auto"/>
            </w:pPr>
            <w:r>
              <w:rPr>
                <w:rFonts w:ascii="Consolas" w:hAnsi="Consolas" w:eastAsia="Consolas"/>
                <w:sz w:val="15"/>
                <w:shd w:fill="F2F4F7"/>
              </w:rPr>
              <w:t>run_ldx_pipeline()</w:t>
            </w:r>
          </w:p>
        </w:tc>
        <w:tc>
          <w:tcPr>
            <w:tcW w:type="dxa" w:w="6374"/>
            <w:vAlign w:val="center"/>
            <w:tcMar>
              <w:top w:w="60" w:type="dxa"/>
              <w:start w:w="120" w:type="dxa"/>
              <w:bottom w:w="60" w:type="dxa"/>
              <w:end w:w="120" w:type="dxa"/>
            </w:tcMar>
          </w:tcPr>
          <w:p>
            <w:pPr>
              <w:spacing w:after="0" w:line="240" w:lineRule="auto"/>
            </w:pPr>
            <w:r>
              <w:rPr>
                <w:sz w:val="16"/>
              </w:rPr>
              <w:t>Orchestrate import, optional phasing, filtering, block detection, haplotype extraction and export</w:t>
            </w:r>
          </w:p>
        </w:tc>
      </w:tr>
    </w:tbl>
    <w:p>
      <w:pPr>
        <w:spacing w:after="20"/>
      </w:pPr>
    </w:p>
    <w:p>
      <w:r>
        <w:rPr>
          <w:rFonts w:ascii="Consolas" w:hAnsi="Consolas" w:eastAsia="Consolas"/>
          <w:sz w:val="21"/>
          <w:shd w:fill="F2F4F7"/>
        </w:rPr>
        <w:t>run_ldx_pipeline()</w:t>
      </w:r>
      <w:r>
        <w:t xml:space="preserve"> supports:</w:t>
      </w:r>
    </w:p>
    <w:p>
      <w:pPr>
        <w:pStyle w:val="ListBullet"/>
      </w:pPr>
      <w:r>
        <w:t>optional Beagle phasing;</w:t>
      </w:r>
    </w:p>
    <w:p>
      <w:pPr>
        <w:pStyle w:val="ListBullet"/>
      </w:pPr>
      <w:r>
        <w:t xml:space="preserve">imputation by </w:t>
      </w:r>
      <w:r>
        <w:rPr>
          <w:rFonts w:ascii="Consolas" w:hAnsi="Consolas" w:eastAsia="Consolas"/>
          <w:sz w:val="21"/>
          <w:shd w:fill="F2F4F7"/>
        </w:rPr>
        <w:t>"mean_rounded"</w:t>
      </w:r>
      <w:r>
        <w:t xml:space="preserve">, </w:t>
      </w:r>
      <w:r>
        <w:rPr>
          <w:rFonts w:ascii="Consolas" w:hAnsi="Consolas" w:eastAsia="Consolas"/>
          <w:sz w:val="21"/>
          <w:shd w:fill="F2F4F7"/>
        </w:rPr>
        <w:t>"mode"</w:t>
      </w:r>
      <w:r>
        <w:t xml:space="preserve"> or </w:t>
      </w:r>
      <w:r>
        <w:rPr>
          <w:rFonts w:ascii="Consolas" w:hAnsi="Consolas" w:eastAsia="Consolas"/>
          <w:sz w:val="21"/>
          <w:shd w:fill="F2F4F7"/>
        </w:rPr>
        <w:t>"none"</w:t>
      </w:r>
      <w:r>
        <w:t>;</w:t>
      </w:r>
    </w:p>
    <w:p>
      <w:pPr>
        <w:pStyle w:val="ListBullet"/>
      </w:pPr>
      <w:r>
        <w:t xml:space="preserve">LD by </w:t>
      </w:r>
      <w:r>
        <w:rPr>
          <w:rFonts w:ascii="Consolas" w:hAnsi="Consolas" w:eastAsia="Consolas"/>
          <w:sz w:val="21"/>
          <w:shd w:fill="F2F4F7"/>
        </w:rPr>
        <w:t>"r2"</w:t>
      </w:r>
      <w:r>
        <w:t xml:space="preserve"> or </w:t>
      </w:r>
      <w:r>
        <w:rPr>
          <w:rFonts w:ascii="Consolas" w:hAnsi="Consolas" w:eastAsia="Consolas"/>
          <w:sz w:val="21"/>
          <w:shd w:fill="F2F4F7"/>
        </w:rPr>
        <w:t>"rV2"</w:t>
      </w:r>
      <w:r>
        <w:t>;</w:t>
      </w:r>
    </w:p>
    <w:p>
      <w:pPr>
        <w:pStyle w:val="ListBullet"/>
      </w:pPr>
      <w:r>
        <w:t xml:space="preserve">the four </w:t>
      </w:r>
      <w:r>
        <w:rPr>
          <w:rFonts w:ascii="Consolas" w:hAnsi="Consolas" w:eastAsia="Consolas"/>
          <w:sz w:val="21"/>
          <w:shd w:fill="F2F4F7"/>
        </w:rPr>
        <w:t>CLQmode</w:t>
      </w:r>
      <w:r>
        <w:t xml:space="preserve"> variants;</w:t>
      </w:r>
    </w:p>
    <w:p>
      <w:pPr>
        <w:pStyle w:val="ListBullet"/>
      </w:pPr>
      <w:r>
        <w:t>numeric or character haplotype export;</w:t>
      </w:r>
    </w:p>
    <w:p>
      <w:pPr>
        <w:pStyle w:val="ListBullet"/>
      </w:pPr>
      <w:r>
        <w:t xml:space="preserve">in-memory, streaming or </w:t>
      </w:r>
      <w:r>
        <w:rPr>
          <w:rFonts w:ascii="Consolas" w:hAnsi="Consolas" w:eastAsia="Consolas"/>
          <w:sz w:val="21"/>
          <w:shd w:fill="F2F4F7"/>
        </w:rPr>
        <w:t>bigmemory</w:t>
      </w:r>
      <w:r>
        <w:t xml:space="preserve"> execution; and</w:t>
      </w:r>
    </w:p>
    <w:p>
      <w:pPr>
        <w:pStyle w:val="ListBullet"/>
      </w:pPr>
      <w:r>
        <w:t>chromosome restriction for staged analyses.</w:t>
      </w:r>
    </w:p>
    <w:p>
      <w:r>
        <w:t>The pipeline orchestrates the stages and retains their reports for review as one connected analytical record.</w:t>
      </w:r>
    </w:p>
    <w:p>
      <w:pPr>
        <w:pStyle w:val="Heading2"/>
      </w:pPr>
      <w:r>
        <w:t>8.3 Phasing, haplotype extraction and harmonisation</w:t>
      </w:r>
    </w:p>
    <w:p>
      <w:pPr>
        <w:pStyle w:val="Heading3"/>
      </w:pPr>
      <w:r>
        <w:t>External phasing</w:t>
      </w:r>
    </w:p>
    <w:p>
      <w:r>
        <w:rPr>
          <w:rFonts w:ascii="Consolas" w:hAnsi="Consolas" w:eastAsia="Consolas"/>
          <w:sz w:val="21"/>
          <w:shd w:fill="F2F4F7"/>
        </w:rPr>
        <w:t>phase_with_beagle()</w:t>
      </w:r>
      <w:r>
        <w:t xml:space="preserve"> launches an independently supplied Beagle 5 JAR. It checks Java and Beagle versions, limits threads to the tested range, records the executable, command and file hashes, and validates output sample, coordinate and allele identity.</w:t>
      </w:r>
    </w:p>
    <w:p>
      <w:r>
        <w:t>Variants include:</w:t>
      </w:r>
    </w:p>
    <w:p>
      <w:pPr>
        <w:pStyle w:val="ListBullet"/>
      </w:pPr>
      <w:r>
        <w:t xml:space="preserve">target-only phasing or reference-panel phasing through </w:t>
      </w:r>
      <w:r>
        <w:rPr>
          <w:rFonts w:ascii="Consolas" w:hAnsi="Consolas" w:eastAsia="Consolas"/>
          <w:sz w:val="21"/>
          <w:shd w:fill="F2F4F7"/>
        </w:rPr>
        <w:t>ref_panel</w:t>
      </w:r>
      <w:r>
        <w:t>;</w:t>
      </w:r>
    </w:p>
    <w:p>
      <w:pPr>
        <w:pStyle w:val="ListBullet"/>
      </w:pPr>
      <w:r>
        <w:t xml:space="preserve">genetic-map or physical-position operation through </w:t>
      </w:r>
      <w:r>
        <w:rPr>
          <w:rFonts w:ascii="Consolas" w:hAnsi="Consolas" w:eastAsia="Consolas"/>
          <w:sz w:val="21"/>
          <w:shd w:fill="F2F4F7"/>
        </w:rPr>
        <w:t>map_file</w:t>
      </w:r>
      <w:r>
        <w:t>;</w:t>
      </w:r>
    </w:p>
    <w:p>
      <w:pPr>
        <w:pStyle w:val="ListBullet"/>
      </w:pPr>
      <w:r>
        <w:t xml:space="preserve">chromosome-restricted operation through </w:t>
      </w:r>
      <w:r>
        <w:rPr>
          <w:rFonts w:ascii="Consolas" w:hAnsi="Consolas" w:eastAsia="Consolas"/>
          <w:sz w:val="21"/>
          <w:shd w:fill="F2F4F7"/>
        </w:rPr>
        <w:t>chrom</w:t>
      </w:r>
      <w:r>
        <w:t>;</w:t>
      </w:r>
    </w:p>
    <w:p>
      <w:pPr>
        <w:pStyle w:val="ListBullet"/>
      </w:pPr>
      <w:r>
        <w:t>explicit Beagle burn-in, iteration, window and overlap controls; and</w:t>
      </w:r>
    </w:p>
    <w:p>
      <w:pPr>
        <w:pStyle w:val="ListBullet"/>
      </w:pPr>
      <w:r>
        <w:t xml:space="preserve">truth-set validation through </w:t>
      </w:r>
      <w:r>
        <w:rPr>
          <w:rFonts w:ascii="Consolas" w:hAnsi="Consolas" w:eastAsia="Consolas"/>
          <w:sz w:val="21"/>
          <w:shd w:fill="F2F4F7"/>
        </w:rPr>
        <w:t>truth_vcf</w:t>
      </w:r>
      <w:r>
        <w:t>.</w:t>
      </w:r>
    </w:p>
    <w:p>
      <w:r>
        <w:t xml:space="preserve">Without a truth set, observed-genotype concordance checks preservation of called dosage. With a phased truth set, the additional chromosome assignment supports switch-error measurement, and </w:t>
      </w:r>
      <w:r>
        <w:rPr>
          <w:rFonts w:ascii="Consolas" w:hAnsi="Consolas" w:eastAsia="Consolas"/>
          <w:sz w:val="21"/>
          <w:shd w:fill="F2F4F7"/>
        </w:rPr>
        <w:t>assess_phasing_accuracy()</w:t>
      </w:r>
      <w:r>
        <w:t xml:space="preserve"> reports call rate, dosage accuracy, orientation-adjusted phased-allele concordance, and switch error by sample and chromosome. Threshold failures stop the formal phasing workflow and preserve the QC object.</w:t>
      </w:r>
    </w:p>
    <w:p>
      <w:r>
        <w:rPr>
          <w:rFonts w:ascii="Consolas" w:hAnsi="Consolas" w:eastAsia="Consolas"/>
          <w:sz w:val="21"/>
          <w:shd w:fill="F2F4F7"/>
        </w:rPr>
        <w:t>read_phased_vcf()</w:t>
      </w:r>
      <w:r>
        <w:t xml:space="preserve"> imports phased hap1 and hap2 matrices. Use this chromosome-resolved representation when the downstream interpretation depends on gamete transmission; dosage import remains available for allele-count analyses.</w:t>
      </w:r>
    </w:p>
    <w:p>
      <w:pPr>
        <w:pStyle w:val="Heading3"/>
      </w:pPr>
      <w:r>
        <w:t>Haplotype construction variants</w:t>
      </w:r>
    </w:p>
    <w:tbl>
      <w:tblPr>
        <w:tblStyle w:val="TableGrid"/>
        <w:tblW w:type="dxa" w:w="10091"/>
        <w:jc w:val="left"/>
        <w:tblLayout w:type="fixed"/>
        <w:tblLook w:firstColumn="1" w:firstRow="1" w:lastColumn="0" w:lastRow="0" w:noHBand="0" w:noVBand="1" w:val="04A0"/>
        <w:tblInd w:w="120" w:type="dxa"/>
      </w:tblPr>
      <w:tblGrid>
        <w:gridCol w:w="4180"/>
        <w:gridCol w:w="5911"/>
      </w:tblGrid>
      <w:tr>
        <w:trPr>
          <w:cantSplit/>
          <w:tblHeader w:val="true"/>
        </w:trPr>
        <w:tc>
          <w:tcPr>
            <w:tcW w:type="dxa" w:w="4180"/>
            <w:vAlign w:val="center"/>
            <w:tcMar>
              <w:top w:w="60" w:type="dxa"/>
              <w:start w:w="120" w:type="dxa"/>
              <w:bottom w:w="60" w:type="dxa"/>
              <w:end w:w="120" w:type="dxa"/>
            </w:tcMar>
            <w:shd w:fill="E8EEF5"/>
          </w:tcPr>
          <w:p>
            <w:pPr>
              <w:keepNext/>
              <w:spacing w:after="0" w:line="240" w:lineRule="auto"/>
            </w:pPr>
            <w:r>
              <w:rPr>
                <w:b/>
                <w:color w:val="1F4D78"/>
                <w:sz w:val="16"/>
              </w:rPr>
              <w:t>Function</w:t>
            </w:r>
          </w:p>
        </w:tc>
        <w:tc>
          <w:tcPr>
            <w:tcW w:type="dxa" w:w="5911"/>
            <w:vAlign w:val="center"/>
            <w:tcMar>
              <w:top w:w="60" w:type="dxa"/>
              <w:start w:w="120" w:type="dxa"/>
              <w:bottom w:w="60" w:type="dxa"/>
              <w:end w:w="120" w:type="dxa"/>
            </w:tcMar>
            <w:shd w:fill="E8EEF5"/>
          </w:tcPr>
          <w:p>
            <w:pPr>
              <w:keepNext/>
              <w:spacing w:after="0" w:line="240" w:lineRule="auto"/>
            </w:pPr>
            <w:r>
              <w:rPr>
                <w:b/>
                <w:color w:val="1F4D78"/>
                <w:sz w:val="16"/>
              </w:rPr>
              <w:t>Variants or role</w:t>
            </w:r>
          </w:p>
        </w:tc>
      </w:tr>
      <w:tr>
        <w:trPr>
          <w:cantSplit/>
        </w:trPr>
        <w:tc>
          <w:tcPr>
            <w:tcW w:type="dxa" w:w="418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extract_haplotypes()</w:t>
            </w:r>
          </w:p>
        </w:tc>
        <w:tc>
          <w:tcPr>
            <w:tcW w:type="dxa" w:w="5911"/>
            <w:vAlign w:val="center"/>
            <w:tcMar>
              <w:top w:w="60" w:type="dxa"/>
              <w:start w:w="120" w:type="dxa"/>
              <w:bottom w:w="60" w:type="dxa"/>
              <w:end w:w="120" w:type="dxa"/>
            </w:tcMar>
          </w:tcPr>
          <w:p>
            <w:pPr>
              <w:keepNext/>
              <w:spacing w:after="0" w:line="240" w:lineRule="auto"/>
            </w:pPr>
            <w:r>
              <w:rPr>
                <w:sz w:val="16"/>
              </w:rPr>
              <w:t>Accepts a backend, phased hap1/hap2 list or dosage matrix; can restrict chromosomes and minimum block size</w:t>
            </w:r>
          </w:p>
        </w:tc>
      </w:tr>
      <w:tr>
        <w:trPr>
          <w:cantSplit/>
        </w:trPr>
        <w:tc>
          <w:tcPr>
            <w:tcW w:type="dxa" w:w="418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infer_block_haplotypes()</w:t>
            </w:r>
          </w:p>
        </w:tc>
        <w:tc>
          <w:tcPr>
            <w:tcW w:type="dxa" w:w="5911"/>
            <w:vAlign w:val="center"/>
            <w:tcMar>
              <w:top w:w="60" w:type="dxa"/>
              <w:start w:w="120" w:type="dxa"/>
              <w:bottom w:w="60" w:type="dxa"/>
              <w:end w:w="120" w:type="dxa"/>
            </w:tcMar>
          </w:tcPr>
          <w:p>
            <w:pPr>
              <w:keepNext/>
              <w:spacing w:after="0" w:line="240" w:lineRule="auto"/>
            </w:pPr>
            <w:r>
              <w:rPr>
                <w:sz w:val="16"/>
              </w:rPr>
              <w:t>Infers block states when explicit phased haplotypes are unavailable; report this as inference, not validated phase</w:t>
            </w:r>
          </w:p>
        </w:tc>
      </w:tr>
      <w:tr>
        <w:trPr>
          <w:cantSplit/>
        </w:trPr>
        <w:tc>
          <w:tcPr>
            <w:tcW w:type="dxa" w:w="418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collapse_haplotypes()</w:t>
            </w:r>
          </w:p>
        </w:tc>
        <w:tc>
          <w:tcPr>
            <w:tcW w:type="dxa" w:w="5911"/>
            <w:vAlign w:val="center"/>
            <w:tcMar>
              <w:top w:w="60" w:type="dxa"/>
              <w:start w:w="120" w:type="dxa"/>
              <w:bottom w:w="60" w:type="dxa"/>
              <w:end w:w="120" w:type="dxa"/>
            </w:tcMar>
          </w:tcPr>
          <w:p>
            <w:pPr>
              <w:keepNext/>
              <w:spacing w:after="0" w:line="240" w:lineRule="auto"/>
            </w:pPr>
            <w:r>
              <w:rPr>
                <w:sz w:val="16"/>
              </w:rPr>
              <w:t>Collapses rare or similar haplotype states according to its declared strategy</w:t>
            </w:r>
          </w:p>
        </w:tc>
      </w:tr>
      <w:tr>
        <w:trPr>
          <w:cantSplit/>
        </w:trPr>
        <w:tc>
          <w:tcPr>
            <w:tcW w:type="dxa" w:w="418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decode_haplotype_strings()</w:t>
            </w:r>
          </w:p>
        </w:tc>
        <w:tc>
          <w:tcPr>
            <w:tcW w:type="dxa" w:w="5911"/>
            <w:vAlign w:val="center"/>
            <w:tcMar>
              <w:top w:w="60" w:type="dxa"/>
              <w:start w:w="120" w:type="dxa"/>
              <w:bottom w:w="60" w:type="dxa"/>
              <w:end w:w="120" w:type="dxa"/>
            </w:tcMar>
          </w:tcPr>
          <w:p>
            <w:pPr>
              <w:keepNext/>
              <w:spacing w:after="0" w:line="240" w:lineRule="auto"/>
            </w:pPr>
            <w:r>
              <w:rPr>
                <w:sz w:val="16"/>
              </w:rPr>
              <w:t>Converts encoded haplotype strings to interpretable states</w:t>
            </w:r>
          </w:p>
        </w:tc>
      </w:tr>
      <w:tr>
        <w:trPr>
          <w:cantSplit/>
        </w:trPr>
        <w:tc>
          <w:tcPr>
            <w:tcW w:type="dxa" w:w="418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build_haplotype_feature_matrix()</w:t>
            </w:r>
          </w:p>
        </w:tc>
        <w:tc>
          <w:tcPr>
            <w:tcW w:type="dxa" w:w="5911"/>
            <w:vAlign w:val="center"/>
            <w:tcMar>
              <w:top w:w="60" w:type="dxa"/>
              <w:start w:w="120" w:type="dxa"/>
              <w:bottom w:w="60" w:type="dxa"/>
              <w:end w:w="120" w:type="dxa"/>
            </w:tcMar>
          </w:tcPr>
          <w:p>
            <w:pPr>
              <w:keepNext/>
              <w:spacing w:after="0" w:line="240" w:lineRule="auto"/>
            </w:pPr>
            <w:r>
              <w:rPr>
                <w:sz w:val="16"/>
              </w:rPr>
              <w:t>Builds model-ready haplotype indicators or dosages</w:t>
            </w:r>
          </w:p>
        </w:tc>
      </w:tr>
      <w:tr>
        <w:trPr>
          <w:cantSplit/>
        </w:trPr>
        <w:tc>
          <w:tcPr>
            <w:tcW w:type="dxa" w:w="418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compute_haplotype_diversity()</w:t>
            </w:r>
          </w:p>
        </w:tc>
        <w:tc>
          <w:tcPr>
            <w:tcW w:type="dxa" w:w="5911"/>
            <w:vAlign w:val="center"/>
            <w:tcMar>
              <w:top w:w="60" w:type="dxa"/>
              <w:start w:w="120" w:type="dxa"/>
              <w:bottom w:w="60" w:type="dxa"/>
              <w:end w:w="120" w:type="dxa"/>
            </w:tcMar>
          </w:tcPr>
          <w:p>
            <w:pPr>
              <w:keepNext/>
              <w:spacing w:after="0" w:line="240" w:lineRule="auto"/>
            </w:pPr>
            <w:r>
              <w:rPr>
                <w:sz w:val="16"/>
              </w:rPr>
              <w:t>Calculates block-level diversity statistics</w:t>
            </w:r>
          </w:p>
        </w:tc>
      </w:tr>
      <w:tr>
        <w:trPr>
          <w:cantSplit/>
        </w:trPr>
        <w:tc>
          <w:tcPr>
            <w:tcW w:type="dxa" w:w="4180"/>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compute_haplotype_grm()</w:t>
            </w:r>
          </w:p>
        </w:tc>
        <w:tc>
          <w:tcPr>
            <w:tcW w:type="dxa" w:w="5911"/>
            <w:vAlign w:val="center"/>
            <w:tcMar>
              <w:top w:w="60" w:type="dxa"/>
              <w:start w:w="120" w:type="dxa"/>
              <w:bottom w:w="60" w:type="dxa"/>
              <w:end w:w="120" w:type="dxa"/>
            </w:tcMar>
          </w:tcPr>
          <w:p>
            <w:pPr>
              <w:keepNext/>
              <w:spacing w:after="0" w:line="240" w:lineRule="auto"/>
            </w:pPr>
            <w:r>
              <w:rPr>
                <w:sz w:val="16"/>
              </w:rPr>
              <w:t>Constructs a haplotype relationship matrix</w:t>
            </w:r>
          </w:p>
        </w:tc>
      </w:tr>
      <w:tr>
        <w:trPr>
          <w:cantSplit/>
        </w:trPr>
        <w:tc>
          <w:tcPr>
            <w:tcW w:type="dxa" w:w="4180"/>
            <w:vAlign w:val="center"/>
            <w:tcMar>
              <w:top w:w="60" w:type="dxa"/>
              <w:start w:w="120" w:type="dxa"/>
              <w:bottom w:w="60" w:type="dxa"/>
              <w:end w:w="120" w:type="dxa"/>
            </w:tcMar>
          </w:tcPr>
          <w:p>
            <w:pPr>
              <w:spacing w:after="0" w:line="240" w:lineRule="auto"/>
            </w:pPr>
            <w:r>
              <w:rPr>
                <w:rFonts w:ascii="Consolas" w:hAnsi="Consolas" w:eastAsia="Consolas"/>
                <w:sz w:val="15"/>
                <w:shd w:fill="F2F4F7"/>
              </w:rPr>
              <w:t>compute_dominance_grm()</w:t>
            </w:r>
          </w:p>
        </w:tc>
        <w:tc>
          <w:tcPr>
            <w:tcW w:type="dxa" w:w="5911"/>
            <w:vAlign w:val="center"/>
            <w:tcMar>
              <w:top w:w="60" w:type="dxa"/>
              <w:start w:w="120" w:type="dxa"/>
              <w:bottom w:w="60" w:type="dxa"/>
              <w:end w:w="120" w:type="dxa"/>
            </w:tcMar>
          </w:tcPr>
          <w:p>
            <w:pPr>
              <w:spacing w:after="0" w:line="240" w:lineRule="auto"/>
            </w:pPr>
            <w:r>
              <w:rPr>
                <w:sz w:val="16"/>
              </w:rPr>
              <w:t>Constructs a dominance relationship matrix</w:t>
            </w:r>
          </w:p>
        </w:tc>
      </w:tr>
    </w:tbl>
    <w:p>
      <w:pPr>
        <w:spacing w:after="20"/>
      </w:pPr>
    </w:p>
    <w:p>
      <w:pPr>
        <w:pStyle w:val="Heading3"/>
      </w:pPr>
      <w:r>
        <w:t>Cross-study identity and comparison</w:t>
      </w:r>
    </w:p>
    <w:tbl>
      <w:tblPr>
        <w:tblStyle w:val="TableGrid"/>
        <w:tblW w:type="dxa" w:w="10091"/>
        <w:jc w:val="left"/>
        <w:tblLayout w:type="fixed"/>
        <w:tblLook w:firstColumn="1" w:firstRow="1" w:lastColumn="0" w:lastRow="0" w:noHBand="0" w:noVBand="1" w:val="04A0"/>
        <w:tblInd w:w="120" w:type="dxa"/>
      </w:tblPr>
      <w:tblGrid>
        <w:gridCol w:w="4128"/>
        <w:gridCol w:w="5963"/>
      </w:tblGrid>
      <w:tr>
        <w:trPr>
          <w:cantSplit/>
          <w:tblHeader w:val="true"/>
        </w:trPr>
        <w:tc>
          <w:tcPr>
            <w:tcW w:type="dxa" w:w="4128"/>
            <w:vAlign w:val="center"/>
            <w:tcMar>
              <w:top w:w="60" w:type="dxa"/>
              <w:start w:w="120" w:type="dxa"/>
              <w:bottom w:w="60" w:type="dxa"/>
              <w:end w:w="120" w:type="dxa"/>
            </w:tcMar>
            <w:shd w:fill="E8EEF5"/>
          </w:tcPr>
          <w:p>
            <w:pPr>
              <w:keepNext/>
              <w:spacing w:after="0" w:line="240" w:lineRule="auto"/>
            </w:pPr>
            <w:r>
              <w:rPr>
                <w:b/>
                <w:color w:val="1F4D78"/>
                <w:sz w:val="16"/>
              </w:rPr>
              <w:t>Function</w:t>
            </w:r>
          </w:p>
        </w:tc>
        <w:tc>
          <w:tcPr>
            <w:tcW w:type="dxa" w:w="5963"/>
            <w:vAlign w:val="center"/>
            <w:tcMar>
              <w:top w:w="60" w:type="dxa"/>
              <w:start w:w="120" w:type="dxa"/>
              <w:bottom w:w="60" w:type="dxa"/>
              <w:end w:w="120" w:type="dxa"/>
            </w:tcMar>
            <w:shd w:fill="E8EEF5"/>
          </w:tcPr>
          <w:p>
            <w:pPr>
              <w:keepNext/>
              <w:spacing w:after="0" w:line="240" w:lineRule="auto"/>
            </w:pPr>
            <w:r>
              <w:rPr>
                <w:b/>
                <w:color w:val="1F4D78"/>
                <w:sz w:val="16"/>
              </w:rPr>
              <w:t>Purpose</w:t>
            </w:r>
          </w:p>
        </w:tc>
      </w:tr>
      <w:tr>
        <w:trPr>
          <w:cantSplit/>
        </w:trPr>
        <w:tc>
          <w:tcPr>
            <w:tcW w:type="dxa" w:w="4128"/>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harmonize_haplotypes()</w:t>
            </w:r>
          </w:p>
        </w:tc>
        <w:tc>
          <w:tcPr>
            <w:tcW w:type="dxa" w:w="5963"/>
            <w:vAlign w:val="center"/>
            <w:tcMar>
              <w:top w:w="60" w:type="dxa"/>
              <w:start w:w="120" w:type="dxa"/>
              <w:bottom w:w="60" w:type="dxa"/>
              <w:end w:w="120" w:type="dxa"/>
            </w:tcMar>
          </w:tcPr>
          <w:p>
            <w:pPr>
              <w:keepNext/>
              <w:spacing w:after="0" w:line="240" w:lineRule="auto"/>
            </w:pPr>
            <w:r>
              <w:rPr>
                <w:sz w:val="16"/>
              </w:rPr>
              <w:t>Align block, marker and allele identities before comparison</w:t>
            </w:r>
          </w:p>
        </w:tc>
      </w:tr>
      <w:tr>
        <w:trPr>
          <w:cantSplit/>
        </w:trPr>
        <w:tc>
          <w:tcPr>
            <w:tcW w:type="dxa" w:w="4128"/>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compare_haplotype_populations()</w:t>
            </w:r>
          </w:p>
        </w:tc>
        <w:tc>
          <w:tcPr>
            <w:tcW w:type="dxa" w:w="5963"/>
            <w:vAlign w:val="center"/>
            <w:tcMar>
              <w:top w:w="60" w:type="dxa"/>
              <w:start w:w="120" w:type="dxa"/>
              <w:bottom w:w="60" w:type="dxa"/>
              <w:end w:w="120" w:type="dxa"/>
            </w:tcMar>
          </w:tcPr>
          <w:p>
            <w:pPr>
              <w:keepNext/>
              <w:spacing w:after="0" w:line="240" w:lineRule="auto"/>
            </w:pPr>
            <w:r>
              <w:rPr>
                <w:sz w:val="16"/>
              </w:rPr>
              <w:t>Compare haplotype distributions between populations</w:t>
            </w:r>
          </w:p>
        </w:tc>
      </w:tr>
      <w:tr>
        <w:trPr>
          <w:cantSplit/>
        </w:trPr>
        <w:tc>
          <w:tcPr>
            <w:tcW w:type="dxa" w:w="4128"/>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compare_block_effects()</w:t>
            </w:r>
          </w:p>
        </w:tc>
        <w:tc>
          <w:tcPr>
            <w:tcW w:type="dxa" w:w="5963"/>
            <w:vAlign w:val="center"/>
            <w:tcMar>
              <w:top w:w="60" w:type="dxa"/>
              <w:start w:w="120" w:type="dxa"/>
              <w:bottom w:w="60" w:type="dxa"/>
              <w:end w:w="120" w:type="dxa"/>
            </w:tcMar>
          </w:tcPr>
          <w:p>
            <w:pPr>
              <w:keepNext/>
              <w:spacing w:after="0" w:line="240" w:lineRule="auto"/>
            </w:pPr>
            <w:r>
              <w:rPr>
                <w:sz w:val="16"/>
              </w:rPr>
              <w:t>Compare effect direction and heterogeneity across block analyses</w:t>
            </w:r>
          </w:p>
        </w:tc>
      </w:tr>
      <w:tr>
        <w:trPr>
          <w:cantSplit/>
        </w:trPr>
        <w:tc>
          <w:tcPr>
            <w:tcW w:type="dxa" w:w="4128"/>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compare_gwas_effects()</w:t>
            </w:r>
          </w:p>
        </w:tc>
        <w:tc>
          <w:tcPr>
            <w:tcW w:type="dxa" w:w="5963"/>
            <w:vAlign w:val="center"/>
            <w:tcMar>
              <w:top w:w="60" w:type="dxa"/>
              <w:start w:w="120" w:type="dxa"/>
              <w:bottom w:w="60" w:type="dxa"/>
              <w:end w:w="120" w:type="dxa"/>
            </w:tcMar>
          </w:tcPr>
          <w:p>
            <w:pPr>
              <w:keepNext/>
              <w:spacing w:after="0" w:line="240" w:lineRule="auto"/>
            </w:pPr>
            <w:r>
              <w:rPr>
                <w:sz w:val="16"/>
              </w:rPr>
              <w:t>Compare external GWAS effect evidence</w:t>
            </w:r>
          </w:p>
        </w:tc>
      </w:tr>
      <w:tr>
        <w:trPr>
          <w:cantSplit/>
        </w:trPr>
        <w:tc>
          <w:tcPr>
            <w:tcW w:type="dxa" w:w="4128"/>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plot_block_funnel()</w:t>
            </w:r>
          </w:p>
        </w:tc>
        <w:tc>
          <w:tcPr>
            <w:tcW w:type="dxa" w:w="5963"/>
            <w:vAlign w:val="center"/>
            <w:tcMar>
              <w:top w:w="60" w:type="dxa"/>
              <w:start w:w="120" w:type="dxa"/>
              <w:bottom w:w="60" w:type="dxa"/>
              <w:end w:w="120" w:type="dxa"/>
            </w:tcMar>
          </w:tcPr>
          <w:p>
            <w:pPr>
              <w:keepNext/>
              <w:spacing w:after="0" w:line="240" w:lineRule="auto"/>
            </w:pPr>
            <w:r>
              <w:rPr>
                <w:sz w:val="16"/>
              </w:rPr>
              <w:t>Display cross-analysis effect consistency</w:t>
            </w:r>
          </w:p>
        </w:tc>
      </w:tr>
      <w:tr>
        <w:trPr>
          <w:cantSplit/>
        </w:trPr>
        <w:tc>
          <w:tcPr>
            <w:tcW w:type="dxa" w:w="4128"/>
            <w:vAlign w:val="center"/>
            <w:tcMar>
              <w:top w:w="60" w:type="dxa"/>
              <w:start w:w="120" w:type="dxa"/>
              <w:bottom w:w="60" w:type="dxa"/>
              <w:end w:w="120" w:type="dxa"/>
            </w:tcMar>
          </w:tcPr>
          <w:p>
            <w:pPr>
              <w:spacing w:after="0" w:line="240" w:lineRule="auto"/>
            </w:pPr>
            <w:r>
              <w:rPr>
                <w:rFonts w:ascii="Consolas" w:hAnsi="Consolas" w:eastAsia="Consolas"/>
                <w:sz w:val="15"/>
                <w:shd w:fill="F2F4F7"/>
              </w:rPr>
              <w:t>plot_haplotype_network()</w:t>
            </w:r>
          </w:p>
        </w:tc>
        <w:tc>
          <w:tcPr>
            <w:tcW w:type="dxa" w:w="5963"/>
            <w:vAlign w:val="center"/>
            <w:tcMar>
              <w:top w:w="60" w:type="dxa"/>
              <w:start w:w="120" w:type="dxa"/>
              <w:bottom w:w="60" w:type="dxa"/>
              <w:end w:w="120" w:type="dxa"/>
            </w:tcMar>
          </w:tcPr>
          <w:p>
            <w:pPr>
              <w:spacing w:after="0" w:line="240" w:lineRule="auto"/>
            </w:pPr>
            <w:r>
              <w:rPr>
                <w:sz w:val="16"/>
              </w:rPr>
              <w:t>Display relationships among haplotype states</w:t>
            </w:r>
          </w:p>
        </w:tc>
      </w:tr>
    </w:tbl>
    <w:p>
      <w:pPr>
        <w:spacing w:after="20"/>
      </w:pPr>
    </w:p>
    <w:p>
      <w:r>
        <w:t xml:space="preserve">Never compare </w:t>
      </w:r>
      <w:r>
        <w:rPr>
          <w:rFonts w:ascii="Consolas" w:hAnsi="Consolas" w:eastAsia="Consolas"/>
          <w:sz w:val="21"/>
          <w:shd w:fill="F2F4F7"/>
        </w:rPr>
        <w:t>block_12</w:t>
      </w:r>
      <w:r>
        <w:t xml:space="preserve"> from two analyses merely because the labels match. Coordinates, marker order, reference and alternative alleles, and haplotype encoding must be harmonised.</w:t>
      </w:r>
    </w:p>
    <w:p>
      <w:pPr>
        <w:pStyle w:val="Heading2"/>
      </w:pPr>
      <w:r>
        <w:t>8.4 Haplotype association and candidate-region tools</w:t>
      </w:r>
    </w:p>
    <w:tbl>
      <w:tblPr>
        <w:tblStyle w:val="TableGrid"/>
        <w:tblW w:type="dxa" w:w="10091"/>
        <w:jc w:val="left"/>
        <w:tblLayout w:type="fixed"/>
        <w:tblLook w:firstColumn="1" w:firstRow="1" w:lastColumn="0" w:lastRow="0" w:noHBand="0" w:noVBand="1" w:val="04A0"/>
        <w:tblInd w:w="120" w:type="dxa"/>
      </w:tblPr>
      <w:tblGrid>
        <w:gridCol w:w="4128"/>
        <w:gridCol w:w="5963"/>
      </w:tblGrid>
      <w:tr>
        <w:trPr>
          <w:cantSplit/>
          <w:tblHeader w:val="true"/>
        </w:trPr>
        <w:tc>
          <w:tcPr>
            <w:tcW w:type="dxa" w:w="4128"/>
            <w:vAlign w:val="center"/>
            <w:tcMar>
              <w:top w:w="60" w:type="dxa"/>
              <w:start w:w="120" w:type="dxa"/>
              <w:bottom w:w="60" w:type="dxa"/>
              <w:end w:w="120" w:type="dxa"/>
            </w:tcMar>
            <w:shd w:fill="E8EEF5"/>
          </w:tcPr>
          <w:p>
            <w:pPr>
              <w:spacing w:after="0" w:line="240" w:lineRule="auto"/>
            </w:pPr>
            <w:r>
              <w:rPr>
                <w:b/>
                <w:color w:val="1F4D78"/>
                <w:sz w:val="16"/>
              </w:rPr>
              <w:t>Function</w:t>
            </w:r>
          </w:p>
        </w:tc>
        <w:tc>
          <w:tcPr>
            <w:tcW w:type="dxa" w:w="5963"/>
            <w:vAlign w:val="center"/>
            <w:tcMar>
              <w:top w:w="60" w:type="dxa"/>
              <w:start w:w="120" w:type="dxa"/>
              <w:bottom w:w="60" w:type="dxa"/>
              <w:end w:w="120" w:type="dxa"/>
            </w:tcMar>
            <w:shd w:fill="E8EEF5"/>
          </w:tcPr>
          <w:p>
            <w:pPr>
              <w:spacing w:after="0" w:line="240" w:lineRule="auto"/>
            </w:pPr>
            <w:r>
              <w:rPr>
                <w:b/>
                <w:color w:val="1F4D78"/>
                <w:sz w:val="16"/>
              </w:rPr>
              <w:t>Purpose and important variants</w:t>
            </w:r>
          </w:p>
        </w:tc>
      </w:tr>
      <w:tr>
        <w:trPr>
          <w:cantSplit/>
        </w:trPr>
        <w:tc>
          <w:tcPr>
            <w:tcW w:type="dxa" w:w="4128"/>
            <w:vAlign w:val="center"/>
            <w:tcMar>
              <w:top w:w="60" w:type="dxa"/>
              <w:start w:w="120" w:type="dxa"/>
              <w:bottom w:w="60" w:type="dxa"/>
              <w:end w:w="120" w:type="dxa"/>
            </w:tcMar>
          </w:tcPr>
          <w:p>
            <w:pPr>
              <w:spacing w:after="0" w:line="240" w:lineRule="auto"/>
            </w:pPr>
            <w:r>
              <w:rPr>
                <w:rFonts w:ascii="Consolas" w:hAnsi="Consolas" w:eastAsia="Consolas"/>
                <w:sz w:val="15"/>
                <w:shd w:fill="F2F4F7"/>
              </w:rPr>
              <w:t>test_block_haplotypes()</w:t>
            </w:r>
          </w:p>
        </w:tc>
        <w:tc>
          <w:tcPr>
            <w:tcW w:type="dxa" w:w="5963"/>
            <w:vAlign w:val="center"/>
            <w:tcMar>
              <w:top w:w="60" w:type="dxa"/>
              <w:start w:w="120" w:type="dxa"/>
              <w:bottom w:w="60" w:type="dxa"/>
              <w:end w:w="120" w:type="dxa"/>
            </w:tcMar>
          </w:tcPr>
          <w:p>
            <w:pPr>
              <w:spacing w:after="0" w:line="240" w:lineRule="auto"/>
            </w:pPr>
            <w:r>
              <w:rPr>
                <w:sz w:val="16"/>
              </w:rPr>
              <w:t>Tests haplotype or diplotype effects with declared structure and kinship adjustment</w:t>
            </w:r>
          </w:p>
        </w:tc>
      </w:tr>
      <w:tr>
        <w:trPr>
          <w:cantSplit/>
        </w:trPr>
        <w:tc>
          <w:tcPr>
            <w:tcW w:type="dxa" w:w="4128"/>
            <w:vAlign w:val="center"/>
            <w:tcMar>
              <w:top w:w="60" w:type="dxa"/>
              <w:start w:w="120" w:type="dxa"/>
              <w:bottom w:w="60" w:type="dxa"/>
              <w:end w:w="120" w:type="dxa"/>
            </w:tcMar>
          </w:tcPr>
          <w:p>
            <w:pPr>
              <w:spacing w:after="0" w:line="240" w:lineRule="auto"/>
            </w:pPr>
            <w:r>
              <w:rPr>
                <w:rFonts w:ascii="Consolas" w:hAnsi="Consolas" w:eastAsia="Consolas"/>
                <w:sz w:val="15"/>
                <w:shd w:fill="F2F4F7"/>
              </w:rPr>
              <w:t>estimate_diplotype_effects()</w:t>
            </w:r>
          </w:p>
        </w:tc>
        <w:tc>
          <w:tcPr>
            <w:tcW w:type="dxa" w:w="5963"/>
            <w:vAlign w:val="center"/>
            <w:tcMar>
              <w:top w:w="60" w:type="dxa"/>
              <w:start w:w="120" w:type="dxa"/>
              <w:bottom w:w="60" w:type="dxa"/>
              <w:end w:w="120" w:type="dxa"/>
            </w:tcMar>
          </w:tcPr>
          <w:p>
            <w:pPr>
              <w:spacing w:after="0" w:line="240" w:lineRule="auto"/>
            </w:pPr>
            <w:r>
              <w:rPr>
                <w:sz w:val="16"/>
              </w:rPr>
              <w:t>Estimates the values of diplotype combinations</w:t>
            </w:r>
          </w:p>
        </w:tc>
      </w:tr>
      <w:tr>
        <w:trPr>
          <w:cantSplit/>
        </w:trPr>
        <w:tc>
          <w:tcPr>
            <w:tcW w:type="dxa" w:w="4128"/>
            <w:vAlign w:val="center"/>
            <w:tcMar>
              <w:top w:w="60" w:type="dxa"/>
              <w:start w:w="120" w:type="dxa"/>
              <w:bottom w:w="60" w:type="dxa"/>
              <w:end w:w="120" w:type="dxa"/>
            </w:tcMar>
          </w:tcPr>
          <w:p>
            <w:pPr>
              <w:spacing w:after="0" w:line="240" w:lineRule="auto"/>
            </w:pPr>
            <w:r>
              <w:rPr>
                <w:rFonts w:ascii="Consolas" w:hAnsi="Consolas" w:eastAsia="Consolas"/>
                <w:sz w:val="15"/>
                <w:shd w:fill="F2F4F7"/>
              </w:rPr>
              <w:t>decompose_block_effects()</w:t>
            </w:r>
          </w:p>
        </w:tc>
        <w:tc>
          <w:tcPr>
            <w:tcW w:type="dxa" w:w="5963"/>
            <w:vAlign w:val="center"/>
            <w:tcMar>
              <w:top w:w="60" w:type="dxa"/>
              <w:start w:w="120" w:type="dxa"/>
              <w:bottom w:w="60" w:type="dxa"/>
              <w:end w:w="120" w:type="dxa"/>
            </w:tcMar>
          </w:tcPr>
          <w:p>
            <w:pPr>
              <w:spacing w:after="0" w:line="240" w:lineRule="auto"/>
            </w:pPr>
            <w:r>
              <w:rPr>
                <w:sz w:val="16"/>
              </w:rPr>
              <w:t>Separates block-level components for interpretation</w:t>
            </w:r>
          </w:p>
        </w:tc>
      </w:tr>
      <w:tr>
        <w:trPr>
          <w:cantSplit/>
        </w:trPr>
        <w:tc>
          <w:tcPr>
            <w:tcW w:type="dxa" w:w="4128"/>
            <w:vAlign w:val="center"/>
            <w:tcMar>
              <w:top w:w="60" w:type="dxa"/>
              <w:start w:w="120" w:type="dxa"/>
              <w:bottom w:w="60" w:type="dxa"/>
              <w:end w:w="120" w:type="dxa"/>
            </w:tcMar>
          </w:tcPr>
          <w:p>
            <w:pPr>
              <w:spacing w:after="0" w:line="240" w:lineRule="auto"/>
            </w:pPr>
            <w:r>
              <w:rPr>
                <w:rFonts w:ascii="Consolas" w:hAnsi="Consolas" w:eastAsia="Consolas"/>
                <w:sz w:val="15"/>
                <w:shd w:fill="F2F4F7"/>
              </w:rPr>
              <w:t>scan_block_epistasis()</w:t>
            </w:r>
          </w:p>
        </w:tc>
        <w:tc>
          <w:tcPr>
            <w:tcW w:type="dxa" w:w="5963"/>
            <w:vAlign w:val="center"/>
            <w:tcMar>
              <w:top w:w="60" w:type="dxa"/>
              <w:start w:w="120" w:type="dxa"/>
              <w:bottom w:w="60" w:type="dxa"/>
              <w:end w:w="120" w:type="dxa"/>
            </w:tcMar>
          </w:tcPr>
          <w:p>
            <w:pPr>
              <w:spacing w:after="0" w:line="240" w:lineRule="auto"/>
            </w:pPr>
            <w:r>
              <w:rPr>
                <w:sz w:val="16"/>
              </w:rPr>
              <w:t>Screens pairwise block interactions</w:t>
            </w:r>
          </w:p>
        </w:tc>
      </w:tr>
      <w:tr>
        <w:trPr>
          <w:cantSplit/>
        </w:trPr>
        <w:tc>
          <w:tcPr>
            <w:tcW w:type="dxa" w:w="4128"/>
            <w:vAlign w:val="center"/>
            <w:tcMar>
              <w:top w:w="60" w:type="dxa"/>
              <w:start w:w="120" w:type="dxa"/>
              <w:bottom w:w="60" w:type="dxa"/>
              <w:end w:w="120" w:type="dxa"/>
            </w:tcMar>
          </w:tcPr>
          <w:p>
            <w:pPr>
              <w:spacing w:after="0" w:line="240" w:lineRule="auto"/>
            </w:pPr>
            <w:r>
              <w:rPr>
                <w:rFonts w:ascii="Consolas" w:hAnsi="Consolas" w:eastAsia="Consolas"/>
                <w:sz w:val="15"/>
                <w:shd w:fill="F2F4F7"/>
              </w:rPr>
              <w:t>scan_block_by_block_epistasis()</w:t>
            </w:r>
          </w:p>
        </w:tc>
        <w:tc>
          <w:tcPr>
            <w:tcW w:type="dxa" w:w="5963"/>
            <w:vAlign w:val="center"/>
            <w:tcMar>
              <w:top w:w="60" w:type="dxa"/>
              <w:start w:w="120" w:type="dxa"/>
              <w:bottom w:w="60" w:type="dxa"/>
              <w:end w:w="120" w:type="dxa"/>
            </w:tcMar>
          </w:tcPr>
          <w:p>
            <w:pPr>
              <w:spacing w:after="0" w:line="240" w:lineRule="auto"/>
            </w:pPr>
            <w:r>
              <w:rPr>
                <w:sz w:val="16"/>
              </w:rPr>
              <w:t>Performs structured block-by-block scanning</w:t>
            </w:r>
          </w:p>
        </w:tc>
      </w:tr>
      <w:tr>
        <w:trPr>
          <w:cantSplit/>
        </w:trPr>
        <w:tc>
          <w:tcPr>
            <w:tcW w:type="dxa" w:w="4128"/>
            <w:vAlign w:val="center"/>
            <w:tcMar>
              <w:top w:w="60" w:type="dxa"/>
              <w:start w:w="120" w:type="dxa"/>
              <w:bottom w:w="60" w:type="dxa"/>
              <w:end w:w="120" w:type="dxa"/>
            </w:tcMar>
          </w:tcPr>
          <w:p>
            <w:pPr>
              <w:spacing w:after="0" w:line="240" w:lineRule="auto"/>
            </w:pPr>
            <w:r>
              <w:rPr>
                <w:rFonts w:ascii="Consolas" w:hAnsi="Consolas" w:eastAsia="Consolas"/>
                <w:sz w:val="15"/>
                <w:shd w:fill="F2F4F7"/>
              </w:rPr>
              <w:t>fine_map_epistasis_block()</w:t>
            </w:r>
          </w:p>
        </w:tc>
        <w:tc>
          <w:tcPr>
            <w:tcW w:type="dxa" w:w="5963"/>
            <w:vAlign w:val="center"/>
            <w:tcMar>
              <w:top w:w="60" w:type="dxa"/>
              <w:start w:w="120" w:type="dxa"/>
              <w:bottom w:w="60" w:type="dxa"/>
              <w:end w:w="120" w:type="dxa"/>
            </w:tcMar>
          </w:tcPr>
          <w:p>
            <w:pPr>
              <w:spacing w:after="0" w:line="240" w:lineRule="auto"/>
            </w:pPr>
            <w:r>
              <w:rPr>
                <w:sz w:val="16"/>
              </w:rPr>
              <w:t>Resolves an interaction signal within a selected block</w:t>
            </w:r>
          </w:p>
        </w:tc>
      </w:tr>
      <w:tr>
        <w:trPr>
          <w:cantSplit/>
        </w:trPr>
        <w:tc>
          <w:tcPr>
            <w:tcW w:type="dxa" w:w="4128"/>
            <w:vAlign w:val="center"/>
            <w:tcMar>
              <w:top w:w="60" w:type="dxa"/>
              <w:start w:w="120" w:type="dxa"/>
              <w:bottom w:w="60" w:type="dxa"/>
              <w:end w:w="120" w:type="dxa"/>
            </w:tcMar>
          </w:tcPr>
          <w:p>
            <w:pPr>
              <w:spacing w:after="0" w:line="240" w:lineRule="auto"/>
            </w:pPr>
            <w:r>
              <w:rPr>
                <w:rFonts w:ascii="Consolas" w:hAnsi="Consolas" w:eastAsia="Consolas"/>
                <w:sz w:val="15"/>
                <w:shd w:fill="F2F4F7"/>
              </w:rPr>
              <w:t>rank_haplotype_blocks()</w:t>
            </w:r>
          </w:p>
        </w:tc>
        <w:tc>
          <w:tcPr>
            <w:tcW w:type="dxa" w:w="5963"/>
            <w:vAlign w:val="center"/>
            <w:tcMar>
              <w:top w:w="60" w:type="dxa"/>
              <w:start w:w="120" w:type="dxa"/>
              <w:bottom w:w="60" w:type="dxa"/>
              <w:end w:w="120" w:type="dxa"/>
            </w:tcMar>
          </w:tcPr>
          <w:p>
            <w:pPr>
              <w:spacing w:after="0" w:line="240" w:lineRule="auto"/>
            </w:pPr>
            <w:r>
              <w:rPr>
                <w:sz w:val="16"/>
              </w:rPr>
              <w:t>Ranks blocks using declared evidence</w:t>
            </w:r>
          </w:p>
        </w:tc>
      </w:tr>
      <w:tr>
        <w:trPr>
          <w:cantSplit/>
        </w:trPr>
        <w:tc>
          <w:tcPr>
            <w:tcW w:type="dxa" w:w="4128"/>
            <w:vAlign w:val="center"/>
            <w:tcMar>
              <w:top w:w="60" w:type="dxa"/>
              <w:start w:w="120" w:type="dxa"/>
              <w:bottom w:w="60" w:type="dxa"/>
              <w:end w:w="120" w:type="dxa"/>
            </w:tcMar>
          </w:tcPr>
          <w:p>
            <w:pPr>
              <w:spacing w:after="0" w:line="240" w:lineRule="auto"/>
            </w:pPr>
            <w:r>
              <w:rPr>
                <w:rFonts w:ascii="Consolas" w:hAnsi="Consolas" w:eastAsia="Consolas"/>
                <w:sz w:val="15"/>
                <w:shd w:fill="F2F4F7"/>
              </w:rPr>
              <w:t>select_top_blocks()</w:t>
            </w:r>
          </w:p>
        </w:tc>
        <w:tc>
          <w:tcPr>
            <w:tcW w:type="dxa" w:w="5963"/>
            <w:vAlign w:val="center"/>
            <w:tcMar>
              <w:top w:w="60" w:type="dxa"/>
              <w:start w:w="120" w:type="dxa"/>
              <w:bottom w:w="60" w:type="dxa"/>
              <w:end w:w="120" w:type="dxa"/>
            </w:tcMar>
          </w:tcPr>
          <w:p>
            <w:pPr>
              <w:spacing w:after="0" w:line="240" w:lineRule="auto"/>
            </w:pPr>
            <w:r>
              <w:rPr>
                <w:sz w:val="16"/>
              </w:rPr>
              <w:t>Applies a pre-declared top-block rule</w:t>
            </w:r>
          </w:p>
        </w:tc>
      </w:tr>
      <w:tr>
        <w:trPr>
          <w:cantSplit/>
        </w:trPr>
        <w:tc>
          <w:tcPr>
            <w:tcW w:type="dxa" w:w="4128"/>
            <w:vAlign w:val="center"/>
            <w:tcMar>
              <w:top w:w="60" w:type="dxa"/>
              <w:start w:w="120" w:type="dxa"/>
              <w:bottom w:w="60" w:type="dxa"/>
              <w:end w:w="120" w:type="dxa"/>
            </w:tcMar>
          </w:tcPr>
          <w:p>
            <w:pPr>
              <w:spacing w:after="0" w:line="240" w:lineRule="auto"/>
            </w:pPr>
            <w:r>
              <w:rPr>
                <w:rFonts w:ascii="Consolas" w:hAnsi="Consolas" w:eastAsia="Consolas"/>
                <w:sz w:val="15"/>
                <w:shd w:fill="F2F4F7"/>
              </w:rPr>
              <w:t>score_favorable_haplotypes()</w:t>
            </w:r>
          </w:p>
        </w:tc>
        <w:tc>
          <w:tcPr>
            <w:tcW w:type="dxa" w:w="5963"/>
            <w:vAlign w:val="center"/>
            <w:tcMar>
              <w:top w:w="60" w:type="dxa"/>
              <w:start w:w="120" w:type="dxa"/>
              <w:bottom w:w="60" w:type="dxa"/>
              <w:end w:w="120" w:type="dxa"/>
            </w:tcMar>
          </w:tcPr>
          <w:p>
            <w:pPr>
              <w:spacing w:after="0" w:line="240" w:lineRule="auto"/>
            </w:pPr>
            <w:r>
              <w:rPr>
                <w:sz w:val="16"/>
              </w:rPr>
              <w:t>Scores candidate carriage of favourable states</w:t>
            </w:r>
          </w:p>
        </w:tc>
      </w:tr>
      <w:tr>
        <w:trPr>
          <w:cantSplit/>
        </w:trPr>
        <w:tc>
          <w:tcPr>
            <w:tcW w:type="dxa" w:w="4128"/>
            <w:vAlign w:val="center"/>
            <w:tcMar>
              <w:top w:w="60" w:type="dxa"/>
              <w:start w:w="120" w:type="dxa"/>
              <w:bottom w:w="60" w:type="dxa"/>
              <w:end w:w="120" w:type="dxa"/>
            </w:tcMar>
          </w:tcPr>
          <w:p>
            <w:pPr>
              <w:spacing w:after="0" w:line="240" w:lineRule="auto"/>
            </w:pPr>
            <w:r>
              <w:rPr>
                <w:rFonts w:ascii="Consolas" w:hAnsi="Consolas" w:eastAsia="Consolas"/>
                <w:sz w:val="15"/>
                <w:shd w:fill="F2F4F7"/>
              </w:rPr>
              <w:t>summarize_parent_haplotypes()</w:t>
            </w:r>
          </w:p>
        </w:tc>
        <w:tc>
          <w:tcPr>
            <w:tcW w:type="dxa" w:w="5963"/>
            <w:vAlign w:val="center"/>
            <w:tcMar>
              <w:top w:w="60" w:type="dxa"/>
              <w:start w:w="120" w:type="dxa"/>
              <w:bottom w:w="60" w:type="dxa"/>
              <w:end w:w="120" w:type="dxa"/>
            </w:tcMar>
          </w:tcPr>
          <w:p>
            <w:pPr>
              <w:spacing w:after="0" w:line="240" w:lineRule="auto"/>
            </w:pPr>
            <w:r>
              <w:rPr>
                <w:sz w:val="16"/>
              </w:rPr>
              <w:t>Produces a breeder-facing parent × block summary</w:t>
            </w:r>
          </w:p>
        </w:tc>
      </w:tr>
      <w:tr>
        <w:trPr>
          <w:cantSplit/>
        </w:trPr>
        <w:tc>
          <w:tcPr>
            <w:tcW w:type="dxa" w:w="4128"/>
            <w:vAlign w:val="center"/>
            <w:tcMar>
              <w:top w:w="60" w:type="dxa"/>
              <w:start w:w="120" w:type="dxa"/>
              <w:bottom w:w="60" w:type="dxa"/>
              <w:end w:w="120" w:type="dxa"/>
            </w:tcMar>
          </w:tcPr>
          <w:p>
            <w:pPr>
              <w:spacing w:after="0" w:line="240" w:lineRule="auto"/>
            </w:pPr>
            <w:r>
              <w:rPr>
                <w:rFonts w:ascii="Consolas" w:hAnsi="Consolas" w:eastAsia="Consolas"/>
                <w:sz w:val="15"/>
                <w:shd w:fill="F2F4F7"/>
              </w:rPr>
              <w:t>define_qtl_regions()</w:t>
            </w:r>
          </w:p>
        </w:tc>
        <w:tc>
          <w:tcPr>
            <w:tcW w:type="dxa" w:w="5963"/>
            <w:vAlign w:val="center"/>
            <w:tcMar>
              <w:top w:w="60" w:type="dxa"/>
              <w:start w:w="120" w:type="dxa"/>
              <w:bottom w:w="60" w:type="dxa"/>
              <w:end w:w="120" w:type="dxa"/>
            </w:tcMar>
          </w:tcPr>
          <w:p>
            <w:pPr>
              <w:spacing w:after="0" w:line="240" w:lineRule="auto"/>
            </w:pPr>
            <w:r>
              <w:rPr>
                <w:sz w:val="16"/>
              </w:rPr>
              <w:t>Groups evidence into candidate QTL regions</w:t>
            </w:r>
          </w:p>
        </w:tc>
      </w:tr>
      <w:tr>
        <w:trPr>
          <w:cantSplit/>
        </w:trPr>
        <w:tc>
          <w:tcPr>
            <w:tcW w:type="dxa" w:w="4128"/>
            <w:vAlign w:val="center"/>
            <w:tcMar>
              <w:top w:w="60" w:type="dxa"/>
              <w:start w:w="120" w:type="dxa"/>
              <w:bottom w:w="60" w:type="dxa"/>
              <w:end w:w="120" w:type="dxa"/>
            </w:tcMar>
          </w:tcPr>
          <w:p>
            <w:pPr>
              <w:spacing w:after="0" w:line="240" w:lineRule="auto"/>
            </w:pPr>
            <w:r>
              <w:rPr>
                <w:rFonts w:ascii="Consolas" w:hAnsi="Consolas" w:eastAsia="Consolas"/>
                <w:sz w:val="15"/>
                <w:shd w:fill="F2F4F7"/>
              </w:rPr>
              <w:t>integrate_gwas_haplotypes()</w:t>
            </w:r>
          </w:p>
        </w:tc>
        <w:tc>
          <w:tcPr>
            <w:tcW w:type="dxa" w:w="5963"/>
            <w:vAlign w:val="center"/>
            <w:tcMar>
              <w:top w:w="60" w:type="dxa"/>
              <w:start w:w="120" w:type="dxa"/>
              <w:bottom w:w="60" w:type="dxa"/>
              <w:end w:w="120" w:type="dxa"/>
            </w:tcMar>
          </w:tcPr>
          <w:p>
            <w:pPr>
              <w:spacing w:after="0" w:line="240" w:lineRule="auto"/>
            </w:pPr>
            <w:r>
              <w:rPr>
                <w:sz w:val="16"/>
              </w:rPr>
              <w:t>Combines external GWAS and haplotype evidence</w:t>
            </w:r>
          </w:p>
        </w:tc>
      </w:tr>
      <w:tr>
        <w:trPr>
          <w:cantSplit/>
        </w:trPr>
        <w:tc>
          <w:tcPr>
            <w:tcW w:type="dxa" w:w="4128"/>
            <w:vAlign w:val="center"/>
            <w:tcMar>
              <w:top w:w="60" w:type="dxa"/>
              <w:start w:w="120" w:type="dxa"/>
              <w:bottom w:w="60" w:type="dxa"/>
              <w:end w:w="120" w:type="dxa"/>
            </w:tcMar>
          </w:tcPr>
          <w:p>
            <w:pPr>
              <w:spacing w:after="0" w:line="240" w:lineRule="auto"/>
            </w:pPr>
            <w:r>
              <w:rPr>
                <w:rFonts w:ascii="Consolas" w:hAnsi="Consolas" w:eastAsia="Consolas"/>
                <w:sz w:val="15"/>
                <w:shd w:fill="F2F4F7"/>
              </w:rPr>
              <w:t>export_candidate_regions()</w:t>
            </w:r>
          </w:p>
        </w:tc>
        <w:tc>
          <w:tcPr>
            <w:tcW w:type="dxa" w:w="5963"/>
            <w:vAlign w:val="center"/>
            <w:tcMar>
              <w:top w:w="60" w:type="dxa"/>
              <w:start w:w="120" w:type="dxa"/>
              <w:bottom w:w="60" w:type="dxa"/>
              <w:end w:w="120" w:type="dxa"/>
            </w:tcMar>
          </w:tcPr>
          <w:p>
            <w:pPr>
              <w:spacing w:after="0" w:line="240" w:lineRule="auto"/>
            </w:pPr>
            <w:r>
              <w:rPr>
                <w:sz w:val="16"/>
              </w:rPr>
              <w:t>Writes candidate regions for downstream review</w:t>
            </w:r>
          </w:p>
        </w:tc>
      </w:tr>
    </w:tbl>
    <w:p>
      <w:pPr>
        <w:spacing w:after="20"/>
      </w:pPr>
    </w:p>
    <w:p>
      <w:r>
        <w:t>Association significance is not sufficient for selection. Review allele frequency, effective sample size, population structure, multiple-testing control, effect direction, uncertainty and replication. Epistasis scans require a pre-specified testing scope; searching all possible pairs and reporting only the largest interaction is not defensible.</w:t>
      </w:r>
    </w:p>
    <w:p>
      <w:pPr>
        <w:pStyle w:val="Heading2"/>
      </w:pPr>
      <w:r>
        <w:t>8.5 Genomic prediction, validation and local effects</w:t>
      </w:r>
    </w:p>
    <w:p>
      <w:pPr>
        <w:pStyle w:val="Heading3"/>
      </w:pPr>
      <w:r>
        <w:rPr>
          <w:rFonts w:ascii="Consolas" w:hAnsi="Consolas" w:eastAsia="Consolas"/>
          <w:sz w:val="21"/>
          <w:shd w:fill="F2F4F7"/>
        </w:rPr>
        <w:t>run_haplotype_prediction()</w:t>
      </w:r>
      <w:r>
        <w:t xml:space="preserve"> variants</w:t>
      </w:r>
    </w:p>
    <w:p>
      <w:r>
        <w:t>The function fits haplotype-aware prediction and returns whole-genome GEBV, local GEBV, block importance, relationship information, uncertainty and the standard result contract.</w:t>
      </w:r>
    </w:p>
    <w:p>
      <w:r>
        <w:rPr>
          <w:rFonts w:ascii="Consolas" w:hAnsi="Consolas" w:eastAsia="Consolas"/>
          <w:sz w:val="21"/>
          <w:shd w:fill="F2F4F7"/>
        </w:rPr>
        <w:t>marker_effect_method</w:t>
      </w:r>
      <w:r>
        <w:t xml:space="preserve"> supports:</w:t>
      </w:r>
    </w:p>
    <w:tbl>
      <w:tblPr>
        <w:tblStyle w:val="TableGrid"/>
        <w:tblW w:type="dxa" w:w="10091"/>
        <w:jc w:val="left"/>
        <w:tblLayout w:type="fixed"/>
        <w:tblLook w:firstColumn="1" w:firstRow="1" w:lastColumn="0" w:lastRow="0" w:noHBand="0" w:noVBand="1" w:val="04A0"/>
        <w:tblInd w:w="120" w:type="dxa"/>
      </w:tblPr>
      <w:tblGrid>
        <w:gridCol w:w="2836"/>
        <w:gridCol w:w="7255"/>
      </w:tblGrid>
      <w:tr>
        <w:trPr>
          <w:cantSplit/>
          <w:tblHeader w:val="true"/>
        </w:trPr>
        <w:tc>
          <w:tcPr>
            <w:tcW w:type="dxa" w:w="2836"/>
            <w:vAlign w:val="center"/>
            <w:tcMar>
              <w:top w:w="60" w:type="dxa"/>
              <w:start w:w="120" w:type="dxa"/>
              <w:bottom w:w="60" w:type="dxa"/>
              <w:end w:w="120" w:type="dxa"/>
            </w:tcMar>
            <w:shd w:fill="E8EEF5"/>
          </w:tcPr>
          <w:p>
            <w:pPr>
              <w:keepNext/>
              <w:spacing w:after="0" w:line="240" w:lineRule="auto"/>
            </w:pPr>
            <w:r>
              <w:rPr>
                <w:b/>
                <w:color w:val="1F4D78"/>
                <w:sz w:val="16"/>
              </w:rPr>
              <w:t>Method</w:t>
            </w:r>
          </w:p>
        </w:tc>
        <w:tc>
          <w:tcPr>
            <w:tcW w:type="dxa" w:w="7255"/>
            <w:vAlign w:val="center"/>
            <w:tcMar>
              <w:top w:w="60" w:type="dxa"/>
              <w:start w:w="120" w:type="dxa"/>
              <w:bottom w:w="60" w:type="dxa"/>
              <w:end w:w="120" w:type="dxa"/>
            </w:tcMar>
            <w:shd w:fill="E8EEF5"/>
          </w:tcPr>
          <w:p>
            <w:pPr>
              <w:keepNext/>
              <w:spacing w:after="0" w:line="240" w:lineRule="auto"/>
            </w:pPr>
            <w:r>
              <w:rPr>
                <w:b/>
                <w:color w:val="1F4D78"/>
                <w:sz w:val="16"/>
              </w:rPr>
              <w:t>Interpretation</w:t>
            </w:r>
          </w:p>
        </w:tc>
      </w:tr>
      <w:tr>
        <w:trPr>
          <w:cantSplit/>
        </w:trPr>
        <w:tc>
          <w:tcPr>
            <w:tcW w:type="dxa" w:w="2836"/>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"gblup"</w:t>
            </w:r>
          </w:p>
        </w:tc>
        <w:tc>
          <w:tcPr>
            <w:tcW w:type="dxa" w:w="7255"/>
            <w:vAlign w:val="center"/>
            <w:tcMar>
              <w:top w:w="60" w:type="dxa"/>
              <w:start w:w="120" w:type="dxa"/>
              <w:bottom w:w="60" w:type="dxa"/>
              <w:end w:w="120" w:type="dxa"/>
            </w:tcMar>
          </w:tcPr>
          <w:p>
            <w:pPr>
              <w:keepNext/>
              <w:spacing w:after="0" w:line="240" w:lineRule="auto"/>
            </w:pPr>
            <w:r>
              <w:rPr>
                <w:sz w:val="16"/>
              </w:rPr>
              <w:t>Kernel-based genomic BLUP</w:t>
            </w:r>
          </w:p>
        </w:tc>
      </w:tr>
      <w:tr>
        <w:trPr>
          <w:cantSplit/>
        </w:trPr>
        <w:tc>
          <w:tcPr>
            <w:tcW w:type="dxa" w:w="2836"/>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"rrblup"</w:t>
            </w:r>
          </w:p>
        </w:tc>
        <w:tc>
          <w:tcPr>
            <w:tcW w:type="dxa" w:w="7255"/>
            <w:vAlign w:val="center"/>
            <w:tcMar>
              <w:top w:w="60" w:type="dxa"/>
              <w:start w:w="120" w:type="dxa"/>
              <w:bottom w:w="60" w:type="dxa"/>
              <w:end w:w="120" w:type="dxa"/>
            </w:tcMar>
          </w:tcPr>
          <w:p>
            <w:pPr>
              <w:keepNext/>
              <w:spacing w:after="0" w:line="240" w:lineRule="auto"/>
            </w:pPr>
            <w:r>
              <w:rPr>
                <w:sz w:val="16"/>
              </w:rPr>
              <w:t>Ridge-regression BLUP at feature level</w:t>
            </w:r>
          </w:p>
        </w:tc>
      </w:tr>
      <w:tr>
        <w:trPr>
          <w:cantSplit/>
        </w:trPr>
        <w:tc>
          <w:tcPr>
            <w:tcW w:type="dxa" w:w="2836"/>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"bayesb"</w:t>
            </w:r>
          </w:p>
        </w:tc>
        <w:tc>
          <w:tcPr>
            <w:tcW w:type="dxa" w:w="7255"/>
            <w:vAlign w:val="center"/>
            <w:tcMar>
              <w:top w:w="60" w:type="dxa"/>
              <w:start w:w="120" w:type="dxa"/>
              <w:bottom w:w="60" w:type="dxa"/>
              <w:end w:w="120" w:type="dxa"/>
            </w:tcMar>
          </w:tcPr>
          <w:p>
            <w:pPr>
              <w:keepNext/>
              <w:spacing w:after="0" w:line="240" w:lineRule="auto"/>
            </w:pPr>
            <w:r>
              <w:rPr>
                <w:sz w:val="16"/>
              </w:rPr>
              <w:t>Bayesian variable selection with a point-mass-style sparse component</w:t>
            </w:r>
          </w:p>
        </w:tc>
      </w:tr>
      <w:tr>
        <w:trPr>
          <w:cantSplit/>
        </w:trPr>
        <w:tc>
          <w:tcPr>
            <w:tcW w:type="dxa" w:w="2836"/>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"bayesc"</w:t>
            </w:r>
          </w:p>
        </w:tc>
        <w:tc>
          <w:tcPr>
            <w:tcW w:type="dxa" w:w="7255"/>
            <w:vAlign w:val="center"/>
            <w:tcMar>
              <w:top w:w="60" w:type="dxa"/>
              <w:start w:w="120" w:type="dxa"/>
              <w:bottom w:w="60" w:type="dxa"/>
              <w:end w:w="120" w:type="dxa"/>
            </w:tcMar>
          </w:tcPr>
          <w:p>
            <w:pPr>
              <w:keepNext/>
              <w:spacing w:after="0" w:line="240" w:lineRule="auto"/>
            </w:pPr>
            <w:r>
              <w:rPr>
                <w:sz w:val="16"/>
              </w:rPr>
              <w:t>Bayesian mixture shrinkage</w:t>
            </w:r>
          </w:p>
        </w:tc>
      </w:tr>
      <w:tr>
        <w:trPr>
          <w:cantSplit/>
        </w:trPr>
        <w:tc>
          <w:tcPr>
            <w:tcW w:type="dxa" w:w="2836"/>
            <w:vAlign w:val="center"/>
            <w:tcMar>
              <w:top w:w="60" w:type="dxa"/>
              <w:start w:w="120" w:type="dxa"/>
              <w:bottom w:w="60" w:type="dxa"/>
              <w:end w:w="120" w:type="dxa"/>
            </w:tcMar>
          </w:tcPr>
          <w:p>
            <w:pPr>
              <w:spacing w:after="0" w:line="240" w:lineRule="auto"/>
            </w:pPr>
            <w:r>
              <w:rPr>
                <w:rFonts w:ascii="Consolas" w:hAnsi="Consolas" w:eastAsia="Consolas"/>
                <w:sz w:val="15"/>
                <w:shd w:fill="F2F4F7"/>
              </w:rPr>
              <w:t>"bayesa"</w:t>
            </w:r>
          </w:p>
        </w:tc>
        <w:tc>
          <w:tcPr>
            <w:tcW w:type="dxa" w:w="7255"/>
            <w:vAlign w:val="center"/>
            <w:tcMar>
              <w:top w:w="60" w:type="dxa"/>
              <w:start w:w="120" w:type="dxa"/>
              <w:bottom w:w="60" w:type="dxa"/>
              <w:end w:w="120" w:type="dxa"/>
            </w:tcMar>
          </w:tcPr>
          <w:p>
            <w:pPr>
              <w:spacing w:after="0" w:line="240" w:lineRule="auto"/>
            </w:pPr>
            <w:r>
              <w:rPr>
                <w:sz w:val="16"/>
              </w:rPr>
              <w:t>Bayesian heavy-tailed marker effects</w:t>
            </w:r>
          </w:p>
        </w:tc>
      </w:tr>
    </w:tbl>
    <w:p>
      <w:pPr>
        <w:spacing w:after="20"/>
      </w:pPr>
    </w:p>
    <w:p>
      <w:r>
        <w:t xml:space="preserve">The Bayesian variants require adequate MCMC iterations, burn-in and convergence review. </w:t>
      </w:r>
      <w:r>
        <w:rPr>
          <w:rFonts w:ascii="Consolas" w:hAnsi="Consolas" w:eastAsia="Consolas"/>
          <w:sz w:val="21"/>
          <w:shd w:fill="F2F4F7"/>
        </w:rPr>
        <w:t>include_dominance = TRUE</w:t>
      </w:r>
      <w:r>
        <w:t xml:space="preserve"> is supported only with the GBLUP route and requires BGLR. </w:t>
      </w:r>
      <w:r>
        <w:rPr>
          <w:rFonts w:ascii="Consolas" w:hAnsi="Consolas" w:eastAsia="Consolas"/>
          <w:sz w:val="21"/>
          <w:shd w:fill="F2F4F7"/>
        </w:rPr>
        <w:t>importance_rule = "any"</w:t>
      </w:r>
      <w:r>
        <w:t xml:space="preserve">, </w:t>
      </w:r>
      <w:r>
        <w:rPr>
          <w:rFonts w:ascii="Consolas" w:hAnsi="Consolas" w:eastAsia="Consolas"/>
          <w:sz w:val="21"/>
          <w:shd w:fill="F2F4F7"/>
        </w:rPr>
        <w:t>"all"</w:t>
      </w:r>
      <w:r>
        <w:t xml:space="preserve"> or </w:t>
      </w:r>
      <w:r>
        <w:rPr>
          <w:rFonts w:ascii="Consolas" w:hAnsi="Consolas" w:eastAsia="Consolas"/>
          <w:sz w:val="21"/>
          <w:shd w:fill="F2F4F7"/>
        </w:rPr>
        <w:t>"mean"</w:t>
      </w:r>
      <w:r>
        <w:t xml:space="preserve"> controls how multi-trait block importance is aggregated. </w:t>
      </w:r>
      <w:r>
        <w:rPr>
          <w:rFonts w:ascii="Consolas" w:hAnsi="Consolas" w:eastAsia="Consolas"/>
          <w:sz w:val="21"/>
          <w:shd w:fill="F2F4F7"/>
        </w:rPr>
        <w:t>complete_decomposition</w:t>
      </w:r>
      <w:r>
        <w:t xml:space="preserve"> controls whether all marker effects are apportioned to local blocks.</w:t>
      </w:r>
    </w:p>
    <w:p>
      <w:r>
        <w:t>Supporting prediction functions are:</w:t>
      </w:r>
    </w:p>
    <w:tbl>
      <w:tblPr>
        <w:tblStyle w:val="TableGrid"/>
        <w:tblW w:type="dxa" w:w="10091"/>
        <w:jc w:val="left"/>
        <w:tblLayout w:type="fixed"/>
        <w:tblLook w:firstColumn="1" w:firstRow="1" w:lastColumn="0" w:lastRow="0" w:noHBand="0" w:noVBand="1" w:val="04A0"/>
        <w:tblInd w:w="120" w:type="dxa"/>
      </w:tblPr>
      <w:tblGrid>
        <w:gridCol w:w="3781"/>
        <w:gridCol w:w="6310"/>
      </w:tblGrid>
      <w:tr>
        <w:trPr>
          <w:cantSplit/>
          <w:tblHeader w:val="true"/>
        </w:trPr>
        <w:tc>
          <w:tcPr>
            <w:tcW w:type="dxa" w:w="3781"/>
            <w:vAlign w:val="center"/>
            <w:tcMar>
              <w:top w:w="60" w:type="dxa"/>
              <w:start w:w="120" w:type="dxa"/>
              <w:bottom w:w="60" w:type="dxa"/>
              <w:end w:w="120" w:type="dxa"/>
            </w:tcMar>
            <w:shd w:fill="E8EEF5"/>
          </w:tcPr>
          <w:p>
            <w:pPr>
              <w:keepNext/>
              <w:spacing w:after="0" w:line="240" w:lineRule="auto"/>
            </w:pPr>
            <w:r>
              <w:rPr>
                <w:b/>
                <w:color w:val="1F4D78"/>
                <w:sz w:val="16"/>
              </w:rPr>
              <w:t>Function</w:t>
            </w:r>
          </w:p>
        </w:tc>
        <w:tc>
          <w:tcPr>
            <w:tcW w:type="dxa" w:w="6310"/>
            <w:vAlign w:val="center"/>
            <w:tcMar>
              <w:top w:w="60" w:type="dxa"/>
              <w:start w:w="120" w:type="dxa"/>
              <w:bottom w:w="60" w:type="dxa"/>
              <w:end w:w="120" w:type="dxa"/>
            </w:tcMar>
            <w:shd w:fill="E8EEF5"/>
          </w:tcPr>
          <w:p>
            <w:pPr>
              <w:keepNext/>
              <w:spacing w:after="0" w:line="240" w:lineRule="auto"/>
            </w:pPr>
            <w:r>
              <w:rPr>
                <w:b/>
                <w:color w:val="1F4D78"/>
                <w:sz w:val="16"/>
              </w:rPr>
              <w:t>Purpose</w:t>
            </w:r>
          </w:p>
        </w:tc>
      </w:tr>
      <w:tr>
        <w:trPr>
          <w:cantSplit/>
        </w:trPr>
        <w:tc>
          <w:tcPr>
            <w:tcW w:type="dxa" w:w="378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prepare_gblup_inputs()</w:t>
            </w:r>
          </w:p>
        </w:tc>
        <w:tc>
          <w:tcPr>
            <w:tcW w:type="dxa" w:w="6310"/>
            <w:vAlign w:val="center"/>
            <w:tcMar>
              <w:top w:w="60" w:type="dxa"/>
              <w:start w:w="120" w:type="dxa"/>
              <w:bottom w:w="60" w:type="dxa"/>
              <w:end w:w="120" w:type="dxa"/>
            </w:tcMar>
          </w:tcPr>
          <w:p>
            <w:pPr>
              <w:keepNext/>
              <w:spacing w:after="0" w:line="240" w:lineRule="auto"/>
            </w:pPr>
            <w:r>
              <w:rPr>
                <w:sz w:val="16"/>
              </w:rPr>
              <w:t>Align phenotypes, genotypes and IDs for GBLUP</w:t>
            </w:r>
          </w:p>
        </w:tc>
      </w:tr>
      <w:tr>
        <w:trPr>
          <w:cantSplit/>
        </w:trPr>
        <w:tc>
          <w:tcPr>
            <w:tcW w:type="dxa" w:w="378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estimate_marker_effects()</w:t>
            </w:r>
          </w:p>
        </w:tc>
        <w:tc>
          <w:tcPr>
            <w:tcW w:type="dxa" w:w="6310"/>
            <w:vAlign w:val="center"/>
            <w:tcMar>
              <w:top w:w="60" w:type="dxa"/>
              <w:start w:w="120" w:type="dxa"/>
              <w:bottom w:w="60" w:type="dxa"/>
              <w:end w:w="120" w:type="dxa"/>
            </w:tcMar>
          </w:tcPr>
          <w:p>
            <w:pPr>
              <w:keepNext/>
              <w:spacing w:after="0" w:line="240" w:lineRule="auto"/>
            </w:pPr>
            <w:r>
              <w:rPr>
                <w:sz w:val="16"/>
              </w:rPr>
              <w:t>Estimate marker or feature effects using the declared model</w:t>
            </w:r>
          </w:p>
        </w:tc>
      </w:tr>
      <w:tr>
        <w:trPr>
          <w:cantSplit/>
        </w:trPr>
        <w:tc>
          <w:tcPr>
            <w:tcW w:type="dxa" w:w="378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backsolve_snp_effects()</w:t>
            </w:r>
          </w:p>
        </w:tc>
        <w:tc>
          <w:tcPr>
            <w:tcW w:type="dxa" w:w="6310"/>
            <w:vAlign w:val="center"/>
            <w:tcMar>
              <w:top w:w="60" w:type="dxa"/>
              <w:start w:w="120" w:type="dxa"/>
              <w:bottom w:w="60" w:type="dxa"/>
              <w:end w:w="120" w:type="dxa"/>
            </w:tcMar>
          </w:tcPr>
          <w:p>
            <w:pPr>
              <w:keepNext/>
              <w:spacing w:after="0" w:line="240" w:lineRule="auto"/>
            </w:pPr>
            <w:r>
              <w:rPr>
                <w:sz w:val="16"/>
              </w:rPr>
              <w:t>Backsolve SNP effects from a genomic model</w:t>
            </w:r>
          </w:p>
        </w:tc>
      </w:tr>
      <w:tr>
        <w:trPr>
          <w:cantSplit/>
        </w:trPr>
        <w:tc>
          <w:tcPr>
            <w:tcW w:type="dxa" w:w="378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compute_local_gebv()</w:t>
            </w:r>
          </w:p>
        </w:tc>
        <w:tc>
          <w:tcPr>
            <w:tcW w:type="dxa" w:w="6310"/>
            <w:vAlign w:val="center"/>
            <w:tcMar>
              <w:top w:w="60" w:type="dxa"/>
              <w:start w:w="120" w:type="dxa"/>
              <w:bottom w:w="60" w:type="dxa"/>
              <w:end w:w="120" w:type="dxa"/>
            </w:tcMar>
          </w:tcPr>
          <w:p>
            <w:pPr>
              <w:keepNext/>
              <w:spacing w:after="0" w:line="240" w:lineRule="auto"/>
            </w:pPr>
            <w:r>
              <w:rPr>
                <w:sz w:val="16"/>
              </w:rPr>
              <w:t>Aggregate effects into block-specific breeding values</w:t>
            </w:r>
          </w:p>
        </w:tc>
      </w:tr>
      <w:tr>
        <w:trPr>
          <w:cantSplit/>
        </w:trPr>
        <w:tc>
          <w:tcPr>
            <w:tcW w:type="dxa" w:w="3781"/>
            <w:vAlign w:val="center"/>
            <w:tcMar>
              <w:top w:w="60" w:type="dxa"/>
              <w:start w:w="120" w:type="dxa"/>
              <w:bottom w:w="60" w:type="dxa"/>
              <w:end w:w="120" w:type="dxa"/>
            </w:tcMar>
          </w:tcPr>
          <w:p>
            <w:pPr>
              <w:spacing w:after="0" w:line="240" w:lineRule="auto"/>
            </w:pPr>
            <w:r>
              <w:rPr>
                <w:rFonts w:ascii="Consolas" w:hAnsi="Consolas" w:eastAsia="Consolas"/>
                <w:sz w:val="15"/>
                <w:shd w:fill="F2F4F7"/>
              </w:rPr>
              <w:t>run_haplotype_stability()</w:t>
            </w:r>
          </w:p>
        </w:tc>
        <w:tc>
          <w:tcPr>
            <w:tcW w:type="dxa" w:w="6310"/>
            <w:vAlign w:val="center"/>
            <w:tcMar>
              <w:top w:w="60" w:type="dxa"/>
              <w:start w:w="120" w:type="dxa"/>
              <w:bottom w:w="60" w:type="dxa"/>
              <w:end w:w="120" w:type="dxa"/>
            </w:tcMar>
          </w:tcPr>
          <w:p>
            <w:pPr>
              <w:spacing w:after="0" w:line="240" w:lineRule="auto"/>
            </w:pPr>
            <w:r>
              <w:rPr>
                <w:sz w:val="16"/>
              </w:rPr>
              <w:t>Assess stability of block importance across resampling or analyses</w:t>
            </w:r>
          </w:p>
        </w:tc>
      </w:tr>
    </w:tbl>
    <w:p>
      <w:pPr>
        <w:spacing w:after="20"/>
      </w:pPr>
    </w:p>
    <w:p>
      <w:pPr>
        <w:pStyle w:val="Heading3"/>
      </w:pPr>
      <w:r>
        <w:rPr>
          <w:rFonts w:ascii="Consolas" w:hAnsi="Consolas" w:eastAsia="Consolas"/>
          <w:sz w:val="21"/>
          <w:shd w:fill="F2F4F7"/>
        </w:rPr>
        <w:t>cv_haplotype_prediction()</w:t>
      </w:r>
      <w:r>
        <w:t xml:space="preserve"> variants</w:t>
      </w:r>
    </w:p>
    <w:tbl>
      <w:tblPr>
        <w:tblStyle w:val="TableGrid"/>
        <w:tblW w:type="dxa" w:w="10091"/>
        <w:jc w:val="left"/>
        <w:tblLayout w:type="fixed"/>
        <w:tblLook w:firstColumn="1" w:firstRow="1" w:lastColumn="0" w:lastRow="0" w:noHBand="0" w:noVBand="1" w:val="04A0"/>
        <w:tblInd w:w="120" w:type="dxa"/>
      </w:tblPr>
      <w:tblGrid>
        <w:gridCol w:w="1841"/>
        <w:gridCol w:w="4710"/>
        <w:gridCol w:w="3540"/>
      </w:tblGrid>
      <w:tr>
        <w:trPr>
          <w:cantSplit/>
          <w:tblHeader w:val="true"/>
        </w:trPr>
        <w:tc>
          <w:tcPr>
            <w:tcW w:type="dxa" w:w="1841"/>
            <w:vAlign w:val="center"/>
            <w:tcMar>
              <w:top w:w="60" w:type="dxa"/>
              <w:start w:w="120" w:type="dxa"/>
              <w:bottom w:w="60" w:type="dxa"/>
              <w:end w:w="120" w:type="dxa"/>
            </w:tcMar>
            <w:shd w:fill="E8EEF5"/>
          </w:tcPr>
          <w:p>
            <w:pPr>
              <w:keepNext/>
              <w:spacing w:after="0" w:line="240" w:lineRule="auto"/>
            </w:pPr>
            <w:r>
              <w:rPr>
                <w:rFonts w:ascii="Consolas" w:hAnsi="Consolas" w:eastAsia="Consolas"/>
                <w:b/>
                <w:color w:val="1F4D78"/>
                <w:sz w:val="15"/>
                <w:shd w:fill="F2F4F7"/>
              </w:rPr>
              <w:t>validation</w:t>
            </w:r>
          </w:p>
        </w:tc>
        <w:tc>
          <w:tcPr>
            <w:tcW w:type="dxa" w:w="4710"/>
            <w:vAlign w:val="center"/>
            <w:tcMar>
              <w:top w:w="60" w:type="dxa"/>
              <w:start w:w="120" w:type="dxa"/>
              <w:bottom w:w="60" w:type="dxa"/>
              <w:end w:w="120" w:type="dxa"/>
            </w:tcMar>
            <w:shd w:fill="E8EEF5"/>
          </w:tcPr>
          <w:p>
            <w:pPr>
              <w:keepNext/>
              <w:spacing w:after="0" w:line="240" w:lineRule="auto"/>
            </w:pPr>
            <w:r>
              <w:rPr>
                <w:b/>
                <w:color w:val="1F4D78"/>
                <w:sz w:val="16"/>
              </w:rPr>
              <w:t>Use</w:t>
            </w:r>
          </w:p>
        </w:tc>
        <w:tc>
          <w:tcPr>
            <w:tcW w:type="dxa" w:w="3540"/>
            <w:vAlign w:val="center"/>
            <w:tcMar>
              <w:top w:w="60" w:type="dxa"/>
              <w:start w:w="120" w:type="dxa"/>
              <w:bottom w:w="60" w:type="dxa"/>
              <w:end w:w="120" w:type="dxa"/>
            </w:tcMar>
            <w:shd w:fill="E8EEF5"/>
          </w:tcPr>
          <w:p>
            <w:pPr>
              <w:keepNext/>
              <w:spacing w:after="0" w:line="240" w:lineRule="auto"/>
            </w:pPr>
            <w:r>
              <w:rPr>
                <w:b/>
                <w:color w:val="1F4D78"/>
                <w:sz w:val="16"/>
              </w:rPr>
              <w:t>Leakage controlled</w:t>
            </w:r>
          </w:p>
        </w:tc>
      </w:tr>
      <w:tr>
        <w:trPr>
          <w:cantSplit/>
        </w:trPr>
        <w:tc>
          <w:tcPr>
            <w:tcW w:type="dxa" w:w="184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"random"</w:t>
            </w:r>
          </w:p>
        </w:tc>
        <w:tc>
          <w:tcPr>
            <w:tcW w:type="dxa" w:w="4710"/>
            <w:vAlign w:val="center"/>
            <w:tcMar>
              <w:top w:w="60" w:type="dxa"/>
              <w:start w:w="120" w:type="dxa"/>
              <w:bottom w:w="60" w:type="dxa"/>
              <w:end w:w="120" w:type="dxa"/>
            </w:tcMar>
          </w:tcPr>
          <w:p>
            <w:pPr>
              <w:keepNext/>
              <w:spacing w:after="0" w:line="240" w:lineRule="auto"/>
            </w:pPr>
            <w:r>
              <w:rPr>
                <w:sz w:val="16"/>
              </w:rPr>
              <w:t>Baseline interpolation within a reasonably exchangeable population</w:t>
            </w:r>
          </w:p>
        </w:tc>
        <w:tc>
          <w:tcPr>
            <w:tcW w:type="dxa" w:w="3540"/>
            <w:vAlign w:val="center"/>
            <w:tcMar>
              <w:top w:w="60" w:type="dxa"/>
              <w:start w:w="120" w:type="dxa"/>
              <w:bottom w:w="60" w:type="dxa"/>
              <w:end w:w="120" w:type="dxa"/>
            </w:tcMar>
          </w:tcPr>
          <w:p>
            <w:pPr>
              <w:keepNext/>
              <w:spacing w:after="0" w:line="240" w:lineRule="auto"/>
            </w:pPr>
            <w:r>
              <w:rPr>
                <w:sz w:val="16"/>
              </w:rPr>
              <w:t>Row-level folds only</w:t>
            </w:r>
          </w:p>
        </w:tc>
      </w:tr>
      <w:tr>
        <w:trPr>
          <w:cantSplit/>
        </w:trPr>
        <w:tc>
          <w:tcPr>
            <w:tcW w:type="dxa" w:w="1841"/>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"grouped"</w:t>
            </w:r>
          </w:p>
        </w:tc>
        <w:tc>
          <w:tcPr>
            <w:tcW w:type="dxa" w:w="4710"/>
            <w:vAlign w:val="center"/>
            <w:tcMar>
              <w:top w:w="60" w:type="dxa"/>
              <w:start w:w="120" w:type="dxa"/>
              <w:bottom w:w="60" w:type="dxa"/>
              <w:end w:w="120" w:type="dxa"/>
            </w:tcMar>
          </w:tcPr>
          <w:p>
            <w:pPr>
              <w:keepNext/>
              <w:spacing w:after="0" w:line="240" w:lineRule="auto"/>
            </w:pPr>
            <w:r>
              <w:rPr>
                <w:sz w:val="16"/>
              </w:rPr>
              <w:t>Predict new families, populations or other declared groups</w:t>
            </w:r>
          </w:p>
        </w:tc>
        <w:tc>
          <w:tcPr>
            <w:tcW w:type="dxa" w:w="3540"/>
            <w:vAlign w:val="center"/>
            <w:tcMar>
              <w:top w:w="60" w:type="dxa"/>
              <w:start w:w="120" w:type="dxa"/>
              <w:bottom w:w="60" w:type="dxa"/>
              <w:end w:w="120" w:type="dxa"/>
            </w:tcMar>
          </w:tcPr>
          <w:p>
            <w:pPr>
              <w:keepNext/>
              <w:spacing w:after="0" w:line="240" w:lineRule="auto"/>
            </w:pPr>
            <w:r>
              <w:rPr>
                <w:sz w:val="16"/>
              </w:rPr>
              <w:t>Keeps complete groups out of training</w:t>
            </w:r>
          </w:p>
        </w:tc>
      </w:tr>
      <w:tr>
        <w:trPr>
          <w:cantSplit/>
        </w:trPr>
        <w:tc>
          <w:tcPr>
            <w:tcW w:type="dxa" w:w="1841"/>
            <w:vAlign w:val="center"/>
            <w:tcMar>
              <w:top w:w="60" w:type="dxa"/>
              <w:start w:w="120" w:type="dxa"/>
              <w:bottom w:w="60" w:type="dxa"/>
              <w:end w:w="120" w:type="dxa"/>
            </w:tcMar>
          </w:tcPr>
          <w:p>
            <w:pPr>
              <w:spacing w:after="0" w:line="240" w:lineRule="auto"/>
            </w:pPr>
            <w:r>
              <w:rPr>
                <w:rFonts w:ascii="Consolas" w:hAnsi="Consolas" w:eastAsia="Consolas"/>
                <w:sz w:val="15"/>
                <w:shd w:fill="F2F4F7"/>
              </w:rPr>
              <w:t>"forward"</w:t>
            </w:r>
          </w:p>
        </w:tc>
        <w:tc>
          <w:tcPr>
            <w:tcW w:type="dxa" w:w="4710"/>
            <w:vAlign w:val="center"/>
            <w:tcMar>
              <w:top w:w="60" w:type="dxa"/>
              <w:start w:w="120" w:type="dxa"/>
              <w:bottom w:w="60" w:type="dxa"/>
              <w:end w:w="120" w:type="dxa"/>
            </w:tcMar>
          </w:tcPr>
          <w:p>
            <w:pPr>
              <w:spacing w:after="0" w:line="240" w:lineRule="auto"/>
            </w:pPr>
            <w:r>
              <w:rPr>
                <w:sz w:val="16"/>
              </w:rPr>
              <w:t>Predict future cycles, years or environments</w:t>
            </w:r>
          </w:p>
        </w:tc>
        <w:tc>
          <w:tcPr>
            <w:tcW w:type="dxa" w:w="3540"/>
            <w:vAlign w:val="center"/>
            <w:tcMar>
              <w:top w:w="60" w:type="dxa"/>
              <w:start w:w="120" w:type="dxa"/>
              <w:bottom w:w="60" w:type="dxa"/>
              <w:end w:w="120" w:type="dxa"/>
            </w:tcMar>
          </w:tcPr>
          <w:p>
            <w:pPr>
              <w:spacing w:after="0" w:line="240" w:lineRule="auto"/>
            </w:pPr>
            <w:r>
              <w:rPr>
                <w:sz w:val="16"/>
              </w:rPr>
              <w:t>Trains only on earlier observations</w:t>
            </w:r>
          </w:p>
        </w:tc>
      </w:tr>
    </w:tbl>
    <w:p>
      <w:pPr>
        <w:spacing w:after="20"/>
      </w:pPr>
    </w:p>
    <w:p>
      <w:r>
        <w:rPr>
          <w:rFonts w:ascii="Consolas" w:hAnsi="Consolas" w:eastAsia="Consolas"/>
          <w:sz w:val="21"/>
          <w:shd w:fill="F2F4F7"/>
        </w:rPr>
        <w:t>n_rep</w:t>
      </w:r>
      <w:r>
        <w:t xml:space="preserve"> repeats the validation design and </w:t>
      </w:r>
      <w:r>
        <w:rPr>
          <w:rFonts w:ascii="Consolas" w:hAnsi="Consolas" w:eastAsia="Consolas"/>
          <w:sz w:val="21"/>
          <w:shd w:fill="F2F4F7"/>
        </w:rPr>
        <w:t>k</w:t>
      </w:r>
      <w:r>
        <w:t xml:space="preserve"> controls folds where applicable. The output retains row-level out-of-fold predictions and calculates pooled accuracy and error metrics directly from them. Report those pooled metrics; fold-specific values remain available for heterogeneity assessment.</w:t>
      </w:r>
    </w:p>
    <w:p>
      <w:r>
        <w:t>Choose grouped or forward validation when deployment concerns new families or future environments. Random validation estimates interpolation within a reasonably exchangeable population.</w:t>
      </w:r>
    </w:p>
    <w:p>
      <w:pPr>
        <w:pStyle w:val="Heading2"/>
      </w:pPr>
      <w:r>
        <w:t>8.6 Multi-trait and environment-aware decisions</w:t>
      </w:r>
    </w:p>
    <w:p>
      <w:pPr>
        <w:pStyle w:val="Heading3"/>
      </w:pPr>
      <w:r>
        <w:rPr>
          <w:rFonts w:ascii="Consolas" w:hAnsi="Consolas" w:eastAsia="Consolas"/>
          <w:sz w:val="21"/>
          <w:shd w:fill="F2F4F7"/>
        </w:rPr>
        <w:t>build_selection_index()</w:t>
      </w:r>
    </w:p>
    <w:p>
      <w:r>
        <w:t>This function builds the internal multi-trait merit score from HapBlockR trait predictions. Trait directions are mandatory; units are optional metadata. Supply genetic and phenotypic covariance matrices with matching trait names. Four methods are available:</w:t>
      </w:r>
    </w:p>
    <w:tbl>
      <w:tblPr>
        <w:tblStyle w:val="TableGrid"/>
        <w:tblW w:type="dxa" w:w="10091"/>
        <w:jc w:val="left"/>
        <w:tblLayout w:type="fixed"/>
        <w:tblLook w:firstColumn="1" w:firstRow="1" w:lastColumn="0" w:lastRow="0" w:noHBand="0" w:noVBand="1" w:val="04A0"/>
        <w:tblInd w:w="120" w:type="dxa"/>
      </w:tblPr>
      <w:tblGrid>
        <w:gridCol w:w="1655"/>
        <w:gridCol w:w="4218"/>
        <w:gridCol w:w="4218"/>
      </w:tblGrid>
      <w:tr>
        <w:trPr>
          <w:cantSplit/>
          <w:tblHeader w:val="true"/>
        </w:trPr>
        <w:tc>
          <w:tcPr>
            <w:tcW w:type="dxa" w:w="1655"/>
            <w:vAlign w:val="center"/>
            <w:tcMar>
              <w:top w:w="60" w:type="dxa"/>
              <w:start w:w="120" w:type="dxa"/>
              <w:bottom w:w="60" w:type="dxa"/>
              <w:end w:w="120" w:type="dxa"/>
            </w:tcMar>
            <w:shd w:fill="E8EEF5"/>
          </w:tcPr>
          <w:p>
            <w:pPr>
              <w:keepNext/>
              <w:spacing w:after="0" w:line="240" w:lineRule="auto"/>
            </w:pPr>
            <w:r>
              <w:rPr>
                <w:rFonts w:ascii="Consolas" w:hAnsi="Consolas" w:eastAsia="Consolas"/>
                <w:b/>
                <w:color w:val="1F4D78"/>
                <w:sz w:val="15"/>
                <w:shd w:fill="F2F4F7"/>
              </w:rPr>
              <w:t>method</w:t>
            </w:r>
          </w:p>
        </w:tc>
        <w:tc>
          <w:tcPr>
            <w:tcW w:type="dxa" w:w="4218"/>
            <w:vAlign w:val="center"/>
            <w:tcMar>
              <w:top w:w="60" w:type="dxa"/>
              <w:start w:w="120" w:type="dxa"/>
              <w:bottom w:w="60" w:type="dxa"/>
              <w:end w:w="120" w:type="dxa"/>
            </w:tcMar>
            <w:shd w:fill="E8EEF5"/>
          </w:tcPr>
          <w:p>
            <w:pPr>
              <w:keepNext/>
              <w:spacing w:after="0" w:line="240" w:lineRule="auto"/>
            </w:pPr>
            <w:r>
              <w:rPr>
                <w:b/>
                <w:color w:val="1F4D78"/>
                <w:sz w:val="16"/>
              </w:rPr>
              <w:t>Objective and algorithm</w:t>
            </w:r>
          </w:p>
        </w:tc>
        <w:tc>
          <w:tcPr>
            <w:tcW w:type="dxa" w:w="4218"/>
            <w:vAlign w:val="center"/>
            <w:tcMar>
              <w:top w:w="60" w:type="dxa"/>
              <w:start w:w="120" w:type="dxa"/>
              <w:bottom w:w="60" w:type="dxa"/>
              <w:end w:w="120" w:type="dxa"/>
            </w:tcMar>
            <w:shd w:fill="E8EEF5"/>
          </w:tcPr>
          <w:p>
            <w:pPr>
              <w:keepNext/>
              <w:spacing w:after="0" w:line="240" w:lineRule="auto"/>
            </w:pPr>
            <w:r>
              <w:rPr>
                <w:b/>
                <w:color w:val="1F4D78"/>
                <w:sz w:val="16"/>
              </w:rPr>
              <w:t>Principal outputs</w:t>
            </w:r>
          </w:p>
        </w:tc>
      </w:tr>
      <w:tr>
        <w:trPr>
          <w:cantSplit/>
        </w:trPr>
        <w:tc>
          <w:tcPr>
            <w:tcW w:type="dxa" w:w="1655"/>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"smith_hazel"</w:t>
            </w:r>
          </w:p>
        </w:tc>
        <w:tc>
          <w:tcPr>
            <w:tcW w:type="dxa" w:w="4218"/>
            <w:vAlign w:val="center"/>
            <w:tcMar>
              <w:top w:w="60" w:type="dxa"/>
              <w:start w:w="120" w:type="dxa"/>
              <w:bottom w:w="60" w:type="dxa"/>
              <w:end w:w="120" w:type="dxa"/>
            </w:tcMar>
          </w:tcPr>
          <w:p>
            <w:pPr>
              <w:keepNext/>
              <w:spacing w:after="0" w:line="240" w:lineRule="auto"/>
            </w:pPr>
            <w:r>
              <w:rPr>
                <w:sz w:val="16"/>
              </w:rPr>
              <w:t>Classical Smith-Hazel index using breeder-supplied economic weights</w:t>
            </w:r>
          </w:p>
        </w:tc>
        <w:tc>
          <w:tcPr>
            <w:tcW w:type="dxa" w:w="4218"/>
            <w:vAlign w:val="center"/>
            <w:tcMar>
              <w:top w:w="60" w:type="dxa"/>
              <w:start w:w="120" w:type="dxa"/>
              <w:bottom w:w="60" w:type="dxa"/>
              <w:end w:w="120" w:type="dxa"/>
            </w:tcMar>
          </w:tcPr>
          <w:p>
            <w:pPr>
              <w:keepNext/>
              <w:spacing w:after="0" w:line="240" w:lineRule="auto"/>
            </w:pPr>
            <w:r>
              <w:rPr>
                <w:sz w:val="16"/>
              </w:rPr>
              <w:t>Linear coefficients, expected response, index accuracy and ranked merit score</w:t>
            </w:r>
          </w:p>
        </w:tc>
      </w:tr>
      <w:tr>
        <w:trPr>
          <w:cantSplit/>
        </w:trPr>
        <w:tc>
          <w:tcPr>
            <w:tcW w:type="dxa" w:w="1655"/>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"pesek_baker"</w:t>
            </w:r>
          </w:p>
        </w:tc>
        <w:tc>
          <w:tcPr>
            <w:tcW w:type="dxa" w:w="4218"/>
            <w:vAlign w:val="center"/>
            <w:tcMar>
              <w:top w:w="60" w:type="dxa"/>
              <w:start w:w="120" w:type="dxa"/>
              <w:bottom w:w="60" w:type="dxa"/>
              <w:end w:w="120" w:type="dxa"/>
            </w:tcMar>
          </w:tcPr>
          <w:p>
            <w:pPr>
              <w:keepNext/>
              <w:spacing w:after="0" w:line="240" w:lineRule="auto"/>
            </w:pPr>
            <w:r>
              <w:rPr>
                <w:sz w:val="16"/>
              </w:rPr>
              <w:t>Deterministic Pesek-Baker desired-gain index</w:t>
            </w:r>
          </w:p>
        </w:tc>
        <w:tc>
          <w:tcPr>
            <w:tcW w:type="dxa" w:w="4218"/>
            <w:vAlign w:val="center"/>
            <w:tcMar>
              <w:top w:w="60" w:type="dxa"/>
              <w:start w:w="120" w:type="dxa"/>
              <w:bottom w:w="60" w:type="dxa"/>
              <w:end w:w="120" w:type="dxa"/>
            </w:tcMar>
          </w:tcPr>
          <w:p>
            <w:pPr>
              <w:keepNext/>
              <w:spacing w:after="0" w:line="240" w:lineRule="auto"/>
            </w:pPr>
            <w:r>
              <w:rPr>
                <w:sz w:val="16"/>
              </w:rPr>
              <w:t>Linear coefficients, expected response and ranked merit score</w:t>
            </w:r>
          </w:p>
        </w:tc>
      </w:tr>
      <w:tr>
        <w:trPr>
          <w:cantSplit/>
        </w:trPr>
        <w:tc>
          <w:tcPr>
            <w:tcW w:type="dxa" w:w="1655"/>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"dgsi"</w:t>
            </w:r>
          </w:p>
        </w:tc>
        <w:tc>
          <w:tcPr>
            <w:tcW w:type="dxa" w:w="4218"/>
            <w:vAlign w:val="center"/>
            <w:tcMar>
              <w:top w:w="60" w:type="dxa"/>
              <w:start w:w="120" w:type="dxa"/>
              <w:bottom w:w="60" w:type="dxa"/>
              <w:end w:w="120" w:type="dxa"/>
            </w:tcMar>
          </w:tcPr>
          <w:p>
            <w:pPr>
              <w:keepNext/>
              <w:spacing w:after="0" w:line="240" w:lineRule="auto"/>
            </w:pPr>
            <w:r>
              <w:rPr>
                <w:sz w:val="16"/>
              </w:rPr>
              <w:t>Desired-Gain Selection Index (DGSI) optimisation through DesiredGainR</w:t>
            </w:r>
          </w:p>
        </w:tc>
        <w:tc>
          <w:tcPr>
            <w:tcW w:type="dxa" w:w="4218"/>
            <w:vAlign w:val="center"/>
            <w:tcMar>
              <w:top w:w="60" w:type="dxa"/>
              <w:start w:w="120" w:type="dxa"/>
              <w:bottom w:w="60" w:type="dxa"/>
              <w:end w:w="120" w:type="dxa"/>
            </w:tcMar>
          </w:tcPr>
          <w:p>
            <w:pPr>
              <w:keepNext/>
              <w:spacing w:after="0" w:line="240" w:lineRule="auto"/>
            </w:pPr>
            <w:r>
              <w:rPr>
                <w:sz w:val="16"/>
              </w:rPr>
              <w:t>Automatically selected best replicate, optimised coefficients, expected genetic response, realised selected-set differential, objective trace, rank correlation, coefficient stability and selected-set agreement</w:t>
            </w:r>
          </w:p>
        </w:tc>
      </w:tr>
      <w:tr>
        <w:trPr>
          <w:cantSplit/>
        </w:trPr>
        <w:tc>
          <w:tcPr>
            <w:tcW w:type="dxa" w:w="1655"/>
            <w:vAlign w:val="center"/>
            <w:tcMar>
              <w:top w:w="60" w:type="dxa"/>
              <w:start w:w="120" w:type="dxa"/>
              <w:bottom w:w="60" w:type="dxa"/>
              <w:end w:w="120" w:type="dxa"/>
            </w:tcMar>
          </w:tcPr>
          <w:p>
            <w:pPr>
              <w:spacing w:after="0" w:line="240" w:lineRule="auto"/>
            </w:pPr>
            <w:r>
              <w:rPr>
                <w:rFonts w:ascii="Consolas" w:hAnsi="Consolas" w:eastAsia="Consolas"/>
                <w:sz w:val="15"/>
                <w:shd w:fill="F2F4F7"/>
              </w:rPr>
              <w:t>"qgsi"</w:t>
            </w:r>
          </w:p>
        </w:tc>
        <w:tc>
          <w:tcPr>
            <w:tcW w:type="dxa" w:w="4218"/>
            <w:vAlign w:val="center"/>
            <w:tcMar>
              <w:top w:w="60" w:type="dxa"/>
              <w:start w:w="120" w:type="dxa"/>
              <w:bottom w:w="60" w:type="dxa"/>
              <w:end w:w="120" w:type="dxa"/>
            </w:tcMar>
          </w:tcPr>
          <w:p>
            <w:pPr>
              <w:spacing w:after="0" w:line="240" w:lineRule="auto"/>
            </w:pPr>
            <w:r>
              <w:rPr>
                <w:sz w:val="16"/>
              </w:rPr>
              <w:t>Quadratic Genomic Selection Index (QGSI) through DesiredGainR</w:t>
            </w:r>
          </w:p>
        </w:tc>
        <w:tc>
          <w:tcPr>
            <w:tcW w:type="dxa" w:w="4218"/>
            <w:vAlign w:val="center"/>
            <w:tcMar>
              <w:top w:w="60" w:type="dxa"/>
              <w:start w:w="120" w:type="dxa"/>
              <w:bottom w:w="60" w:type="dxa"/>
              <w:end w:w="120" w:type="dxa"/>
            </w:tcMar>
          </w:tcPr>
          <w:p>
            <w:pPr>
              <w:spacing w:after="0" w:line="240" w:lineRule="auto"/>
            </w:pPr>
            <w:r>
              <w:rPr>
                <w:sz w:val="16"/>
              </w:rPr>
              <w:t>Linear, squared and cross-product score components, total candidate merit and candidate-specific contribution tables</w:t>
            </w:r>
          </w:p>
        </w:tc>
      </w:tr>
    </w:tbl>
    <w:p>
      <w:pPr>
        <w:spacing w:after="20"/>
      </w:pPr>
    </w:p>
    <w:p>
      <w:r>
        <w:t xml:space="preserve">Smith-Hazel and QGSI use </w:t>
      </w:r>
      <w:r>
        <w:rPr>
          <w:rFonts w:ascii="Consolas" w:hAnsi="Consolas" w:eastAsia="Consolas"/>
          <w:sz w:val="21"/>
          <w:shd w:fill="F2F4F7"/>
        </w:rPr>
        <w:t>economic_weights</w:t>
      </w:r>
      <w:r>
        <w:t xml:space="preserve">. Pesek-Baker and DGSI use </w:t>
      </w:r>
      <w:r>
        <w:rPr>
          <w:rFonts w:ascii="Consolas" w:hAnsi="Consolas" w:eastAsia="Consolas"/>
          <w:sz w:val="21"/>
          <w:shd w:fill="F2F4F7"/>
        </w:rPr>
        <w:t>desired_gains</w:t>
      </w:r>
      <w:r>
        <w:t xml:space="preserve">. Economic weights are policy quantities, not parameters to estimate from the same data merely to reproduce a preferred ranking. </w:t>
      </w:r>
      <w:r>
        <w:rPr>
          <w:rFonts w:ascii="Consolas" w:hAnsi="Consolas" w:eastAsia="Consolas"/>
          <w:sz w:val="21"/>
          <w:shd w:fill="F2F4F7"/>
        </w:rPr>
        <w:t>directions</w:t>
      </w:r>
      <w:r>
        <w:t xml:space="preserve"> is the only sign convention: it declares increase or decrease, whereas weights and desired gains are non-negative magnitudes in the favourable-direction trait space. HapBlockR stops on negative objectives instead of silently changing their meaning.</w:t>
      </w:r>
    </w:p>
    <w:p>
      <w:r>
        <w:t xml:space="preserve">For Pesek-Baker, </w:t>
      </w:r>
      <w:r>
        <w:rPr>
          <w:rFonts w:ascii="Consolas" w:hAnsi="Consolas" w:eastAsia="Consolas"/>
          <w:sz w:val="21"/>
          <w:shd w:fill="F2F4F7"/>
        </w:rPr>
        <w:t>desired_gains</w:t>
      </w:r>
      <w:r>
        <w:t xml:space="preserve"> uses original trait units. For DGSI, it uses candidate standard deviations, regardless of </w:t>
      </w:r>
      <w:r>
        <w:rPr>
          <w:rFonts w:ascii="Consolas" w:hAnsi="Consolas" w:eastAsia="Consolas"/>
          <w:sz w:val="21"/>
          <w:shd w:fill="F2F4F7"/>
        </w:rPr>
        <w:t>dgsi_control$scale_traits</w:t>
      </w:r>
      <w:r>
        <w:t>. For example, a DGSI target of 0.5 requests a selected-set shift of half a candidate standard deviation in the favourable direction. Divide an original-unit target by that trait's candidate standard deviation before passing it to DGSI. This target does not itself specify the genetic response expected in the next generation.</w:t>
      </w:r>
    </w:p>
    <w:p>
      <w:r>
        <w:t xml:space="preserve">DGSI is stochastic, but the breeder does not choose among runs manually. DesiredGainR executes </w:t>
      </w:r>
      <w:r>
        <w:rPr>
          <w:rFonts w:ascii="Consolas" w:hAnsi="Consolas" w:eastAsia="Consolas"/>
          <w:sz w:val="21"/>
          <w:shd w:fill="F2F4F7"/>
        </w:rPr>
        <w:t>n_rep</w:t>
      </w:r>
      <w:r>
        <w:t xml:space="preserve"> independent searches and selects the replicate automatically. By default, it reserves a candidate holdout before optimisation and chooses the replicate with the smallest objective on that holdout. If </w:t>
      </w:r>
      <w:r>
        <w:rPr>
          <w:rFonts w:ascii="Consolas" w:hAnsi="Consolas" w:eastAsia="Consolas"/>
          <w:sz w:val="21"/>
          <w:shd w:fill="F2F4F7"/>
        </w:rPr>
        <w:t>validation_data</w:t>
      </w:r>
      <w:r>
        <w:t xml:space="preserve"> is supplied, those independent values choose the replicate instead. The chosen coefficients then score all candidates without refitting. Set </w:t>
      </w:r>
      <w:r>
        <w:rPr>
          <w:rFonts w:ascii="Consolas" w:hAnsi="Consolas" w:eastAsia="Consolas"/>
          <w:sz w:val="21"/>
          <w:shd w:fill="F2F4F7"/>
        </w:rPr>
        <w:t>dgsi_control$replicate_selection = "training"</w:t>
      </w:r>
      <w:r>
        <w:t xml:space="preserve"> explicitly to choose by the training objective. Compact diagnostics report the selection rule, convergence and stability. In </w:t>
      </w:r>
      <w:r>
        <w:rPr>
          <w:rFonts w:ascii="Consolas" w:hAnsi="Consolas" w:eastAsia="Consolas"/>
          <w:sz w:val="21"/>
          <w:shd w:fill="F2F4F7"/>
        </w:rPr>
        <w:t>select_mode = "eligible_top_n"</w:t>
      </w:r>
      <w:r>
        <w:t xml:space="preserve">, trait thresholds define eligibility first; the optimised index ranks eligible candidates and retains up to </w:t>
      </w:r>
      <w:r>
        <w:rPr>
          <w:rFonts w:ascii="Consolas" w:hAnsi="Consolas" w:eastAsia="Consolas"/>
          <w:sz w:val="21"/>
          <w:shd w:fill="F2F4F7"/>
        </w:rPr>
        <w:t>n_select</w:t>
      </w:r>
      <w:r>
        <w:t>. Thresholds use the favourable-direction analysis scale, including reference scaling when requested.</w:t>
      </w:r>
    </w:p>
    <w:p>
      <w:r>
        <w:t>QGSI requires an explicit symmetric matrix of quadratic and cross-product weights. DesiredGainR does not fabricate this matrix from the desired-gain vector. Supply that matrix and the linear economic weights in the same favourable-direction, optionally scaled trait space used for scoring. This prevents an automatically positive squared term from rewarding a large unfavourable deviation merely because it is large. QGSI contribution is candidate-specific. Therefore, HapBlockR reports each candidate's linear, squared and cross-product contributions and does not describe QGSI as one global additive marker-effect vector. A linear DGSI or Smith-Hazel index can, in contrast, propagate to a global index effect as the trait-weighted sum of the corresponding marker, haplotype or block effects.</w:t>
      </w:r>
    </w:p>
    <w:p>
      <w:r>
        <w:t xml:space="preserve">For DGSI, </w:t>
      </w:r>
      <w:r>
        <w:rPr>
          <w:rFonts w:ascii="Consolas" w:hAnsi="Consolas" w:eastAsia="Consolas"/>
          <w:sz w:val="21"/>
          <w:shd w:fill="F2F4F7"/>
        </w:rPr>
        <w:t>coefficients$coefficient</w:t>
      </w:r>
      <w:r>
        <w:t xml:space="preserve"> retains the engine's analysis-scale coefficients. Use </w:t>
      </w:r>
      <w:r>
        <w:rPr>
          <w:rFonts w:ascii="Consolas" w:hAnsi="Consolas" w:eastAsia="Consolas"/>
          <w:sz w:val="21"/>
          <w:shd w:fill="F2F4F7"/>
        </w:rPr>
        <w:t>coefficients_original_units</w:t>
      </w:r>
      <w:r>
        <w:t xml:space="preserve"> to combine effects estimated in the original trait units: this vector already includes both direction and scale conversion. Do not reverse the signs again. Candidate scores can be reconstructed as </w:t>
      </w:r>
      <w:r>
        <w:rPr>
          <w:rFonts w:ascii="Consolas" w:hAnsi="Consolas" w:eastAsia="Consolas"/>
          <w:sz w:val="21"/>
          <w:shd w:fill="F2F4F7"/>
        </w:rPr>
        <w:t>trait_values %*% coefficients_original_units + score_intercept</w:t>
      </w:r>
      <w:r>
        <w:t>; the intercept accounts for reference centring. Effects estimated on another scale must first be aligned to the original-unit scale used in this call.</w:t>
      </w:r>
    </w:p>
    <w:p>
      <w:r>
        <w:t xml:space="preserve">Both </w:t>
      </w:r>
      <w:r>
        <w:rPr>
          <w:rFonts w:ascii="Consolas" w:hAnsi="Consolas" w:eastAsia="Consolas"/>
          <w:sz w:val="21"/>
          <w:shd w:fill="F2F4F7"/>
        </w:rPr>
        <w:t>dgsi_control</w:t>
      </w:r>
      <w:r>
        <w:t xml:space="preserve"> and </w:t>
      </w:r>
      <w:r>
        <w:rPr>
          <w:rFonts w:ascii="Consolas" w:hAnsi="Consolas" w:eastAsia="Consolas"/>
          <w:sz w:val="21"/>
          <w:shd w:fill="F2F4F7"/>
        </w:rPr>
        <w:t>qgsi_control</w:t>
      </w:r>
      <w:r>
        <w:t xml:space="preserve"> require exact DesiredGainR argument names. They cannot replace HapBlockR's candidate data, objective, directions or selection count. Supply reference data with an </w:t>
      </w:r>
      <w:r>
        <w:rPr>
          <w:rFonts w:ascii="Consolas" w:hAnsi="Consolas" w:eastAsia="Consolas"/>
          <w:sz w:val="21"/>
          <w:shd w:fill="F2F4F7"/>
        </w:rPr>
        <w:t>id</w:t>
      </w:r>
      <w:r>
        <w:t xml:space="preserve"> column and the same original-unit trait columns as </w:t>
      </w:r>
      <w:r>
        <w:rPr>
          <w:rFonts w:ascii="Consolas" w:hAnsi="Consolas" w:eastAsia="Consolas"/>
          <w:sz w:val="21"/>
          <w:shd w:fill="F2F4F7"/>
        </w:rPr>
        <w:t>trait_values</w:t>
      </w:r>
      <w:r>
        <w:t xml:space="preserve">. For QGSI, an explicit </w:t>
      </w:r>
      <w:r>
        <w:rPr>
          <w:rFonts w:ascii="Consolas" w:hAnsi="Consolas" w:eastAsia="Consolas"/>
          <w:sz w:val="21"/>
          <w:shd w:fill="F2F4F7"/>
        </w:rPr>
        <w:t>Gamma</w:t>
      </w:r>
      <w:r>
        <w:t xml:space="preserve"> also uses original trait units. Otherwise, DesiredGainR estimates this genomic prediction covariance from the candidate or reference genomic predictions, optionally using a named </w:t>
      </w:r>
      <w:r>
        <w:rPr>
          <w:rFonts w:ascii="Consolas" w:hAnsi="Consolas" w:eastAsia="Consolas"/>
          <w:sz w:val="21"/>
          <w:shd w:fill="F2F4F7"/>
        </w:rPr>
        <w:t>relationship_matrix</w:t>
      </w:r>
      <w:r>
        <w:t xml:space="preserve">. The supplied </w:t>
      </w:r>
      <w:r>
        <w:rPr>
          <w:rFonts w:ascii="Consolas" w:hAnsi="Consolas" w:eastAsia="Consolas"/>
          <w:sz w:val="21"/>
          <w:shd w:fill="F2F4F7"/>
        </w:rPr>
        <w:t>genetic_cov</w:t>
      </w:r>
      <w:r>
        <w:t xml:space="preserve"> and </w:t>
      </w:r>
      <w:r>
        <w:rPr>
          <w:rFonts w:ascii="Consolas" w:hAnsi="Consolas" w:eastAsia="Consolas"/>
          <w:sz w:val="21"/>
          <w:shd w:fill="F2F4F7"/>
        </w:rPr>
        <w:t>phenotypic_cov</w:t>
      </w:r>
      <w:r>
        <w:t xml:space="preserve"> remain upstream context for QGSI; neither is automatically substituted for </w:t>
      </w:r>
      <w:r>
        <w:rPr>
          <w:rFonts w:ascii="Consolas" w:hAnsi="Consolas" w:eastAsia="Consolas"/>
          <w:sz w:val="21"/>
          <w:shd w:fill="F2F4F7"/>
        </w:rPr>
        <w:t>Gamma</w:t>
      </w:r>
      <w:r>
        <w:t>.</w:t>
      </w:r>
    </w:p>
    <w:p>
      <w:r>
        <w:t xml:space="preserve">DGSI's </w:t>
      </w:r>
      <w:r>
        <w:rPr>
          <w:rFonts w:ascii="Consolas" w:hAnsi="Consolas" w:eastAsia="Consolas"/>
          <w:sz w:val="21"/>
          <w:shd w:fill="F2F4F7"/>
        </w:rPr>
        <w:t>realised_response</w:t>
      </w:r>
      <w:r>
        <w:t xml:space="preserve"> is a selected-set differential expressed in trait standard deviations after favourable-direction orientation. HapBlockR reports both the favourable-direction and original-direction forms and keeps them distinct from DesiredGainR's model-expected genetic response calculated from the fitted DGSI coefficients and covariance matrices. HapBlockR reports that expectation in original trait units. DGSI and QGSI derive normal selection intensity from the proportion actually selected; </w:t>
      </w:r>
      <w:r>
        <w:rPr>
          <w:rFonts w:ascii="Consolas" w:hAnsi="Consolas" w:eastAsia="Consolas"/>
          <w:sz w:val="21"/>
          <w:shd w:fill="F2F4F7"/>
        </w:rPr>
        <w:t>selection_intensity</w:t>
      </w:r>
      <w:r>
        <w:t xml:space="preserve"> applies only to Smith-Hazel and Pesek-Baker. QGSI model-expected per-trait gains use the total linear-plus-quadratic index variance and are converted from the engine's analysis scale to original trait units. The QGSI trait table therefore reports </w:t>
      </w:r>
      <w:r>
        <w:rPr>
          <w:rFonts w:ascii="Consolas" w:hAnsi="Consolas" w:eastAsia="Consolas"/>
          <w:sz w:val="21"/>
          <w:shd w:fill="F2F4F7"/>
        </w:rPr>
        <w:t>linear_weight</w:t>
      </w:r>
      <w:r>
        <w:t xml:space="preserve">, not a fabricated global coefficient, and the complete quadratic-weight matrix remains available separately. The </w:t>
      </w:r>
      <w:r>
        <w:rPr>
          <w:rFonts w:ascii="Consolas" w:hAnsi="Consolas" w:eastAsia="Consolas"/>
          <w:sz w:val="21"/>
          <w:shd w:fill="F2F4F7"/>
        </w:rPr>
        <w:t>coefficients</w:t>
      </w:r>
      <w:r>
        <w:t xml:space="preserve"> table has the same columns for every method; non-applicable fields are </w:t>
      </w:r>
      <w:r>
        <w:rPr>
          <w:rFonts w:ascii="Consolas" w:hAnsi="Consolas" w:eastAsia="Consolas"/>
          <w:sz w:val="21"/>
          <w:shd w:fill="F2F4F7"/>
        </w:rPr>
        <w:t>NA</w:t>
      </w:r>
      <w:r>
        <w:t xml:space="preserve">, and </w:t>
      </w:r>
      <w:r>
        <w:rPr>
          <w:rFonts w:ascii="Consolas" w:hAnsi="Consolas" w:eastAsia="Consolas"/>
          <w:sz w:val="21"/>
          <w:shd w:fill="F2F4F7"/>
        </w:rPr>
        <w:t>response_summary</w:t>
      </w:r>
      <w:r>
        <w:t xml:space="preserve"> identifies the scale and meaning of each response. The complete, unmodified DesiredGainR fit is retained in </w:t>
      </w:r>
      <w:r>
        <w:rPr>
          <w:rFonts w:ascii="Consolas" w:hAnsi="Consolas" w:eastAsia="Consolas"/>
          <w:sz w:val="21"/>
          <w:shd w:fill="F2F4F7"/>
        </w:rPr>
        <w:t>engine_result</w:t>
      </w:r>
      <w:r>
        <w:t xml:space="preserve"> for its diagnostic and comparison tools. HapBlockR records the dependency version and fingerprints the objective and controls for traceability.</w:t>
      </w:r>
    </w:p>
    <w:p>
      <w:pPr>
        <w:pStyle w:val="Heading3"/>
      </w:pPr>
      <w:r>
        <w:rPr>
          <w:rFonts w:ascii="Consolas" w:hAnsi="Consolas" w:eastAsia="Consolas"/>
          <w:sz w:val="21"/>
          <w:shd w:fill="F2F4F7"/>
        </w:rPr>
        <w:t>fit_multitrait_gblup()</w:t>
      </w:r>
    </w:p>
    <w:p>
      <w:r>
        <w:t xml:space="preserve">The function fits correlated-trait GBLUP. Genetic and residual covariance matrices may be supplied or estimated by REML. Review covariance positive-definiteness, convergence, trait-specific reliability and the effect of missing target patterns. Prepared target precision modifies the residual variance. When a full named sampling covariance is supplied, the model retains its off-diagonal sampling relationships instead of reducing it to independent weights. By default, </w:t>
      </w:r>
      <w:r>
        <w:rPr>
          <w:rFonts w:ascii="Consolas" w:hAnsi="Consolas" w:eastAsia="Consolas"/>
          <w:sz w:val="21"/>
          <w:shd w:fill="F2F4F7"/>
        </w:rPr>
        <w:t>sampling_covariance_mode = "sampling_only"</w:t>
      </w:r>
      <w:r>
        <w:t xml:space="preserve"> treats that matrix as the complete record-error covariance and does not fit an additional residual term. Use </w:t>
      </w:r>
      <w:r>
        <w:rPr>
          <w:rFonts w:ascii="Consolas" w:hAnsi="Consolas" w:eastAsia="Consolas"/>
          <w:sz w:val="21"/>
          <w:shd w:fill="F2F4F7"/>
        </w:rPr>
        <w:t>"sampling_plus_residual"</w:t>
      </w:r>
      <w:r>
        <w:t xml:space="preserve"> only when the analysis requires a separate residual nugget beyond known sampling error. HapBlockR matches the actual genotype-trait-environment record keys, checks that the covariance diagonal agrees with normalised precision, and stops rather than silently substituting a zero covariance. Reported REML likelihoods use residual degrees of freedom, and PEV includes uncertainty from estimating fixed effects. Compare REML likelihoods only between models with the same fixed-effect design.</w:t>
      </w:r>
    </w:p>
    <w:p>
      <w:pPr>
        <w:pStyle w:val="Heading3"/>
      </w:pPr>
      <w:r>
        <w:rPr>
          <w:rFonts w:ascii="Consolas" w:hAnsi="Consolas" w:eastAsia="Consolas"/>
          <w:sz w:val="21"/>
          <w:shd w:fill="F2F4F7"/>
        </w:rPr>
        <w:t>build_environment_kernel()</w:t>
      </w:r>
      <w:r>
        <w:t xml:space="preserve"> and </w:t>
      </w:r>
      <w:r>
        <w:rPr>
          <w:rFonts w:ascii="Consolas" w:hAnsi="Consolas" w:eastAsia="Consolas"/>
          <w:sz w:val="21"/>
          <w:shd w:fill="F2F4F7"/>
        </w:rPr>
        <w:t>fit_gxe_gblup()</w:t>
      </w:r>
    </w:p>
    <w:p>
      <w:r>
        <w:rPr>
          <w:rFonts w:ascii="Consolas" w:hAnsi="Consolas" w:eastAsia="Consolas"/>
          <w:sz w:val="21"/>
          <w:shd w:fill="F2F4F7"/>
        </w:rPr>
        <w:t>build_environment_kernel()</w:t>
      </w:r>
      <w:r>
        <w:t xml:space="preserve"> constructs environmental similarity from standardised covariates. </w:t>
      </w:r>
      <w:r>
        <w:rPr>
          <w:rFonts w:ascii="Consolas" w:hAnsi="Consolas" w:eastAsia="Consolas"/>
          <w:sz w:val="21"/>
          <w:shd w:fill="F2F4F7"/>
        </w:rPr>
        <w:t>fit_gxe_gblup()</w:t>
      </w:r>
      <w:r>
        <w:t xml:space="preserve"> combines genomic and environmental kernels in a reaction-norm genotype-by-environment (G×E) model.</w:t>
      </w:r>
    </w:p>
    <w:p>
      <w:r>
        <w:rPr>
          <w:rFonts w:ascii="Consolas" w:hAnsi="Consolas" w:eastAsia="Consolas"/>
          <w:sz w:val="21"/>
          <w:shd w:fill="F2F4F7"/>
        </w:rPr>
        <w:t>environment_fixed = TRUE</w:t>
      </w:r>
      <w:r>
        <w:t xml:space="preserve"> estimates explicit environment means; </w:t>
      </w:r>
      <w:r>
        <w:rPr>
          <w:rFonts w:ascii="Consolas" w:hAnsi="Consolas" w:eastAsia="Consolas"/>
          <w:sz w:val="21"/>
          <w:shd w:fill="F2F4F7"/>
        </w:rPr>
        <w:t>FALSE</w:t>
      </w:r>
      <w:r>
        <w:t xml:space="preserve"> changes their treatment. The package reports candidate performance and reliability by environment, supporting environment-specific parent selection. The separate across-environment table contains the internally estimated genomic main effect. HapBlockR does not combine environment-specific predictions with breeder-specified environment weights. If an approved external analysis has already produced an across-environment estimate, supply that estimate directly as an across-environment target. The GxE REML likelihood uses the rank of its fixed-effect design, and reported PEV includes fixed-effect estimation uncertainty. Compare REML likelihoods only between models with the same fixed-effect design.</w:t>
      </w:r>
    </w:p>
    <w:p>
      <w:pPr>
        <w:pStyle w:val="Heading2"/>
      </w:pPr>
      <w:r>
        <w:t>8.7 Breeding-target preparation</w:t>
      </w:r>
    </w:p>
    <w:p>
      <w:r>
        <w:rPr>
          <w:rFonts w:ascii="Consolas" w:hAnsi="Consolas" w:eastAsia="Consolas"/>
          <w:sz w:val="21"/>
          <w:shd w:fill="F2F4F7"/>
        </w:rPr>
        <w:t>breeding_target_types()</w:t>
      </w:r>
      <w:r>
        <w:t xml:space="preserve"> returns the complete accepted-type definitions. </w:t>
      </w:r>
      <w:r>
        <w:rPr>
          <w:rFonts w:ascii="Consolas" w:hAnsi="Consolas" w:eastAsia="Consolas"/>
          <w:sz w:val="21"/>
          <w:shd w:fill="F2F4F7"/>
        </w:rPr>
        <w:t>prepare_breeding_targets()</w:t>
      </w:r>
      <w:r>
        <w:t xml:space="preserve"> validates identity, estimand, estimation basis, uncertainty and favourable direction; calculates or normalises precision; deregresses random predictions; and returns the response used by internal models.</w:t>
      </w:r>
    </w:p>
    <w:p>
      <w:r>
        <w:t>The principal variants are:</w:t>
      </w:r>
    </w:p>
    <w:p>
      <w:pPr>
        <w:pStyle w:val="ListBullet"/>
      </w:pPr>
      <w:r>
        <w:t xml:space="preserve">fixed or model-adjusted estimates with </w:t>
      </w:r>
      <w:r>
        <w:rPr>
          <w:rFonts w:ascii="Consolas" w:hAnsi="Consolas" w:eastAsia="Consolas"/>
          <w:sz w:val="21"/>
          <w:shd w:fill="F2F4F7"/>
        </w:rPr>
        <w:t>se_col</w:t>
      </w:r>
      <w:r>
        <w:t xml:space="preserve">, </w:t>
      </w:r>
      <w:r>
        <w:rPr>
          <w:rFonts w:ascii="Consolas" w:hAnsi="Consolas" w:eastAsia="Consolas"/>
          <w:sz w:val="21"/>
          <w:shd w:fill="F2F4F7"/>
        </w:rPr>
        <w:t>posterior_sd_col</w:t>
      </w:r>
      <w:r>
        <w:t>,</w:t>
      </w:r>
      <w:r>
        <w:t xml:space="preserve"> </w:t>
      </w:r>
      <w:r>
        <w:rPr>
          <w:rFonts w:ascii="Consolas" w:hAnsi="Consolas" w:eastAsia="Consolas"/>
          <w:sz w:val="21"/>
          <w:shd w:fill="F2F4F7"/>
        </w:rPr>
        <w:t>precision_col</w:t>
      </w:r>
      <w:r>
        <w:t xml:space="preserve"> or a full named </w:t>
      </w:r>
      <w:r>
        <w:rPr>
          <w:rFonts w:ascii="Consolas" w:hAnsi="Consolas" w:eastAsia="Consolas"/>
          <w:sz w:val="21"/>
          <w:shd w:fill="F2F4F7"/>
        </w:rPr>
        <w:t>covariance</w:t>
      </w:r>
      <w:r>
        <w:t>;</w:t>
      </w:r>
    </w:p>
    <w:p>
      <w:pPr>
        <w:pStyle w:val="ListBullet"/>
      </w:pPr>
      <w:r>
        <w:t xml:space="preserve">identity BLUPs with </w:t>
      </w:r>
      <w:r>
        <w:rPr>
          <w:rFonts w:ascii="Consolas" w:hAnsi="Consolas" w:eastAsia="Consolas"/>
          <w:sz w:val="21"/>
          <w:shd w:fill="F2F4F7"/>
        </w:rPr>
        <w:t>reliability_col</w:t>
      </w:r>
      <w:r>
        <w:t xml:space="preserve">, or </w:t>
      </w:r>
      <w:r>
        <w:rPr>
          <w:rFonts w:ascii="Consolas" w:hAnsi="Consolas" w:eastAsia="Consolas"/>
          <w:sz w:val="21"/>
          <w:shd w:fill="F2F4F7"/>
        </w:rPr>
        <w:t>pev_col</w:t>
      </w:r>
      <w:r>
        <w:t xml:space="preserve"> plus</w:t>
      </w:r>
      <w:r>
        <w:t xml:space="preserve"> </w:t>
      </w:r>
      <w:r>
        <w:rPr>
          <w:rFonts w:ascii="Consolas" w:hAnsi="Consolas" w:eastAsia="Consolas"/>
          <w:sz w:val="21"/>
          <w:shd w:fill="F2F4F7"/>
        </w:rPr>
        <w:t>genetic_variance</w:t>
      </w:r>
      <w:r>
        <w:t>;</w:t>
      </w:r>
    </w:p>
    <w:p>
      <w:pPr>
        <w:pStyle w:val="ListBullet"/>
      </w:pPr>
      <w:r>
        <w:t xml:space="preserve">pedigree BLUPs with the same uncertainty plus </w:t>
      </w:r>
      <w:r>
        <w:rPr>
          <w:rFonts w:ascii="Consolas" w:hAnsi="Consolas" w:eastAsia="Consolas"/>
          <w:sz w:val="21"/>
          <w:shd w:fill="F2F4F7"/>
        </w:rPr>
        <w:t>relationship_matrix = A</w:t>
      </w:r>
      <w:r>
        <w:t>;</w:t>
      </w:r>
    </w:p>
    <w:p>
      <w:pPr>
        <w:pStyle w:val="ListBullet"/>
      </w:pPr>
      <w:r>
        <w:t xml:space="preserve">fixed or random GCA with a declared </w:t>
      </w:r>
      <w:r>
        <w:rPr>
          <w:rFonts w:ascii="Consolas" w:hAnsi="Consolas" w:eastAsia="Consolas"/>
          <w:sz w:val="21"/>
          <w:shd w:fill="F2F4F7"/>
        </w:rPr>
        <w:t>tester_population</w:t>
      </w:r>
      <w:r>
        <w:t>;</w:t>
      </w:r>
    </w:p>
    <w:p>
      <w:pPr>
        <w:pStyle w:val="ListBullet"/>
      </w:pPr>
      <w:r>
        <w:t xml:space="preserve">TGV with separate </w:t>
      </w:r>
      <w:r>
        <w:rPr>
          <w:rFonts w:ascii="Consolas" w:hAnsi="Consolas" w:eastAsia="Consolas"/>
          <w:sz w:val="21"/>
          <w:shd w:fill="F2F4F7"/>
        </w:rPr>
        <w:t>additive_col</w:t>
      </w:r>
      <w:r>
        <w:t xml:space="preserve"> and </w:t>
      </w:r>
      <w:r>
        <w:rPr>
          <w:rFonts w:ascii="Consolas" w:hAnsi="Consolas" w:eastAsia="Consolas"/>
          <w:sz w:val="21"/>
          <w:shd w:fill="F2F4F7"/>
        </w:rPr>
        <w:t>dominance_col</w:t>
      </w:r>
      <w:r>
        <w:t>; and</w:t>
      </w:r>
    </w:p>
    <w:p>
      <w:pPr>
        <w:pStyle w:val="ListBullet"/>
      </w:pPr>
      <w:r>
        <w:t xml:space="preserve">environment-specific targets with </w:t>
      </w:r>
      <w:r>
        <w:rPr>
          <w:rFonts w:ascii="Consolas" w:hAnsi="Consolas" w:eastAsia="Consolas"/>
          <w:sz w:val="21"/>
          <w:shd w:fill="F2F4F7"/>
        </w:rPr>
        <w:t>environment_col</w:t>
      </w:r>
      <w:r>
        <w:t>, which are routed to</w:t>
      </w:r>
      <w:r>
        <w:t xml:space="preserve"> </w:t>
      </w:r>
      <w:r>
        <w:rPr>
          <w:rFonts w:ascii="Consolas" w:hAnsi="Consolas" w:eastAsia="Consolas"/>
          <w:sz w:val="21"/>
          <w:shd w:fill="F2F4F7"/>
        </w:rPr>
        <w:t>fit_gxe_gblup()</w:t>
      </w:r>
      <w:r>
        <w:t>.</w:t>
      </w:r>
    </w:p>
    <w:p>
      <w:r>
        <w:t xml:space="preserve">The result records </w:t>
      </w:r>
      <w:r>
        <w:rPr>
          <w:rFonts w:ascii="Consolas" w:hAnsi="Consolas" w:eastAsia="Consolas"/>
          <w:sz w:val="21"/>
          <w:shd w:fill="F2F4F7"/>
        </w:rPr>
        <w:t>value</w:t>
      </w:r>
      <w:r>
        <w:t xml:space="preserve">, </w:t>
      </w:r>
      <w:r>
        <w:rPr>
          <w:rFonts w:ascii="Consolas" w:hAnsi="Consolas" w:eastAsia="Consolas"/>
          <w:sz w:val="21"/>
          <w:shd w:fill="F2F4F7"/>
        </w:rPr>
        <w:t>deregressed_value</w:t>
      </w:r>
      <w:r>
        <w:t xml:space="preserve">, </w:t>
      </w:r>
      <w:r>
        <w:rPr>
          <w:rFonts w:ascii="Consolas" w:hAnsi="Consolas" w:eastAsia="Consolas"/>
          <w:sz w:val="21"/>
          <w:shd w:fill="F2F4F7"/>
        </w:rPr>
        <w:t>model_value</w:t>
      </w:r>
      <w:r>
        <w:t xml:space="preserve">, </w:t>
      </w:r>
      <w:r>
        <w:rPr>
          <w:rFonts w:ascii="Consolas" w:hAnsi="Consolas" w:eastAsia="Consolas"/>
          <w:sz w:val="21"/>
          <w:shd w:fill="F2F4F7"/>
        </w:rPr>
        <w:t>precision_weight</w:t>
      </w:r>
      <w:r>
        <w:t>, reliability, PEV, direction, estimand and estimation basis for every genotype-trait-environment record. Hence, a breeder can trace exactly how an external estimate became an internal modelling response.</w:t>
      </w:r>
    </w:p>
    <w:p>
      <w:pPr>
        <w:pStyle w:val="Heading2"/>
      </w:pPr>
      <w:r>
        <w:t>8.8 Operational mating feasibility</w:t>
      </w:r>
    </w:p>
    <w:p>
      <w:r>
        <w:rPr>
          <w:rFonts w:ascii="Consolas" w:hAnsi="Consolas" w:eastAsia="Consolas"/>
          <w:sz w:val="21"/>
          <w:shd w:fill="F2F4F7"/>
        </w:rPr>
        <w:t>screen_candidate_crosses()</w:t>
      </w:r>
      <w:r>
        <w:t xml:space="preserve"> filters candidate pairs before ranking. It can enforce:</w:t>
      </w:r>
    </w:p>
    <w:p>
      <w:pPr>
        <w:pStyle w:val="ListBullet"/>
      </w:pPr>
      <w:r>
        <w:t>female and male role permission;</w:t>
      </w:r>
    </w:p>
    <w:p>
      <w:pPr>
        <w:pStyle w:val="ListBullet"/>
      </w:pPr>
      <w:r>
        <w:t>fertility;</w:t>
      </w:r>
    </w:p>
    <w:p>
      <w:pPr>
        <w:pStyle w:val="ListBullet"/>
      </w:pPr>
      <w:r>
        <w:t>overlapping flowering intervals;</w:t>
      </w:r>
    </w:p>
    <w:p>
      <w:pPr>
        <w:pStyle w:val="ListBullet"/>
      </w:pPr>
      <w:r>
        <w:t>no selfing;</w:t>
      </w:r>
    </w:p>
    <w:p>
      <w:pPr>
        <w:pStyle w:val="ListBullet"/>
      </w:pPr>
      <w:r>
        <w:t>different heterotic groups where required;</w:t>
      </w:r>
    </w:p>
    <w:p>
      <w:pPr>
        <w:pStyle w:val="ListBullet"/>
      </w:pPr>
      <w:r>
        <w:t>quarantine compatibility;</w:t>
      </w:r>
    </w:p>
    <w:p>
      <w:pPr>
        <w:pStyle w:val="ListBullet"/>
      </w:pPr>
      <w:r>
        <w:t>forbidden pairs; and</w:t>
      </w:r>
    </w:p>
    <w:p>
      <w:pPr>
        <w:pStyle w:val="ListBullet"/>
      </w:pPr>
      <w:r>
        <w:t>directional reciprocal effects.</w:t>
      </w:r>
    </w:p>
    <w:p>
      <w:r>
        <w:t>The result retains exclusion reasons. A reciprocal cross is not interchangeable when role permissions or reciprocal effects differ.</w:t>
      </w:r>
    </w:p>
    <w:p>
      <w:r>
        <w:rPr>
          <w:rFonts w:ascii="Consolas" w:hAnsi="Consolas" w:eastAsia="Consolas"/>
          <w:sz w:val="21"/>
          <w:shd w:fill="F2F4F7"/>
        </w:rPr>
        <w:t>certify_mating_plan()</w:t>
      </w:r>
      <w:r>
        <w:t xml:space="preserve"> audits the final plan. It checks minimum family size, required pairs, period-specific parent capacity, subpopulation quotas, repeated-cross policy and the same pairwise feasibility rules. Promotion requires a passing certificate; any unmet rule remains visible with its reason so the plan can be revised and certified again.</w:t>
      </w:r>
    </w:p>
    <w:p>
      <w:pPr>
        <w:pStyle w:val="Heading2"/>
      </w:pPr>
      <w:r>
        <w:t>8.9 Stability, simulation and validation contracts</w:t>
      </w:r>
    </w:p>
    <w:tbl>
      <w:tblPr>
        <w:tblStyle w:val="TableGrid"/>
        <w:tblW w:type="dxa" w:w="10091"/>
        <w:jc w:val="left"/>
        <w:tblLayout w:type="fixed"/>
        <w:tblLook w:firstColumn="1" w:firstRow="1" w:lastColumn="0" w:lastRow="0" w:noHBand="0" w:noVBand="1" w:val="04A0"/>
        <w:tblInd w:w="120" w:type="dxa"/>
      </w:tblPr>
      <w:tblGrid>
        <w:gridCol w:w="3903"/>
        <w:gridCol w:w="6188"/>
      </w:tblGrid>
      <w:tr>
        <w:trPr>
          <w:cantSplit/>
          <w:tblHeader w:val="true"/>
        </w:trPr>
        <w:tc>
          <w:tcPr>
            <w:tcW w:type="dxa" w:w="3903"/>
            <w:vAlign w:val="center"/>
            <w:tcMar>
              <w:top w:w="60" w:type="dxa"/>
              <w:start w:w="120" w:type="dxa"/>
              <w:bottom w:w="60" w:type="dxa"/>
              <w:end w:w="120" w:type="dxa"/>
            </w:tcMar>
            <w:shd w:fill="E8EEF5"/>
          </w:tcPr>
          <w:p>
            <w:pPr>
              <w:keepNext/>
              <w:spacing w:after="0" w:line="240" w:lineRule="auto"/>
            </w:pPr>
            <w:r>
              <w:rPr>
                <w:b/>
                <w:color w:val="1F4D78"/>
                <w:sz w:val="16"/>
              </w:rPr>
              <w:t>Function</w:t>
            </w:r>
          </w:p>
        </w:tc>
        <w:tc>
          <w:tcPr>
            <w:tcW w:type="dxa" w:w="6188"/>
            <w:vAlign w:val="center"/>
            <w:tcMar>
              <w:top w:w="60" w:type="dxa"/>
              <w:start w:w="120" w:type="dxa"/>
              <w:bottom w:w="60" w:type="dxa"/>
              <w:end w:w="120" w:type="dxa"/>
            </w:tcMar>
            <w:shd w:fill="E8EEF5"/>
          </w:tcPr>
          <w:p>
            <w:pPr>
              <w:keepNext/>
              <w:spacing w:after="0" w:line="240" w:lineRule="auto"/>
            </w:pPr>
            <w:r>
              <w:rPr>
                <w:b/>
                <w:color w:val="1F4D78"/>
                <w:sz w:val="16"/>
              </w:rPr>
              <w:t>Purpose</w:t>
            </w:r>
          </w:p>
        </w:tc>
      </w:tr>
      <w:tr>
        <w:trPr>
          <w:cantSplit/>
        </w:trPr>
        <w:tc>
          <w:tcPr>
            <w:tcW w:type="dxa" w:w="3903"/>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assess_decision_stability()</w:t>
            </w:r>
          </w:p>
        </w:tc>
        <w:tc>
          <w:tcPr>
            <w:tcW w:type="dxa" w:w="6188"/>
            <w:vAlign w:val="center"/>
            <w:tcMar>
              <w:top w:w="60" w:type="dxa"/>
              <w:start w:w="120" w:type="dxa"/>
              <w:bottom w:w="60" w:type="dxa"/>
              <w:end w:w="120" w:type="dxa"/>
            </w:tcMar>
          </w:tcPr>
          <w:p>
            <w:pPr>
              <w:keepNext/>
              <w:spacing w:after="0" w:line="240" w:lineRule="auto"/>
            </w:pPr>
            <w:r>
              <w:rPr>
                <w:sz w:val="16"/>
              </w:rPr>
              <w:t>Compares selected sets and rankings across threshold, weight or scenario results</w:t>
            </w:r>
          </w:p>
        </w:tc>
      </w:tr>
      <w:tr>
        <w:trPr>
          <w:cantSplit/>
        </w:trPr>
        <w:tc>
          <w:tcPr>
            <w:tcW w:type="dxa" w:w="3903"/>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ga_vs_ts_simulation()</w:t>
            </w:r>
          </w:p>
        </w:tc>
        <w:tc>
          <w:tcPr>
            <w:tcW w:type="dxa" w:w="6188"/>
            <w:vAlign w:val="center"/>
            <w:tcMar>
              <w:top w:w="60" w:type="dxa"/>
              <w:start w:w="120" w:type="dxa"/>
              <w:bottom w:w="60" w:type="dxa"/>
              <w:end w:w="120" w:type="dxa"/>
            </w:tcMar>
          </w:tcPr>
          <w:p>
            <w:pPr>
              <w:keepNext/>
              <w:spacing w:after="0" w:line="240" w:lineRule="auto"/>
            </w:pPr>
            <w:r>
              <w:rPr>
                <w:sz w:val="16"/>
              </w:rPr>
              <w:t>Compares realised multi-generation outcomes of founder and mating strategies</w:t>
            </w:r>
          </w:p>
        </w:tc>
      </w:tr>
      <w:tr>
        <w:trPr>
          <w:cantSplit/>
        </w:trPr>
        <w:tc>
          <w:tcPr>
            <w:tcW w:type="dxa" w:w="3903"/>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plot_ga_vs_ts_simulation()</w:t>
            </w:r>
          </w:p>
        </w:tc>
        <w:tc>
          <w:tcPr>
            <w:tcW w:type="dxa" w:w="6188"/>
            <w:vAlign w:val="center"/>
            <w:tcMar>
              <w:top w:w="60" w:type="dxa"/>
              <w:start w:w="120" w:type="dxa"/>
              <w:bottom w:w="60" w:type="dxa"/>
              <w:end w:w="120" w:type="dxa"/>
            </w:tcMar>
          </w:tcPr>
          <w:p>
            <w:pPr>
              <w:keepNext/>
              <w:spacing w:after="0" w:line="240" w:lineRule="auto"/>
            </w:pPr>
            <w:r>
              <w:rPr>
                <w:sz w:val="16"/>
              </w:rPr>
              <w:t>Displays the simulated gain trajectories</w:t>
            </w:r>
          </w:p>
        </w:tc>
      </w:tr>
      <w:tr>
        <w:trPr>
          <w:cantSplit/>
        </w:trPr>
        <w:tc>
          <w:tcPr>
            <w:tcW w:type="dxa" w:w="3903"/>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cluster_selection_groups()</w:t>
            </w:r>
          </w:p>
        </w:tc>
        <w:tc>
          <w:tcPr>
            <w:tcW w:type="dxa" w:w="6188"/>
            <w:vAlign w:val="center"/>
            <w:tcMar>
              <w:top w:w="60" w:type="dxa"/>
              <w:start w:w="120" w:type="dxa"/>
              <w:bottom w:w="60" w:type="dxa"/>
              <w:end w:w="120" w:type="dxa"/>
            </w:tcMar>
          </w:tcPr>
          <w:p>
            <w:pPr>
              <w:keepNext/>
              <w:spacing w:after="0" w:line="240" w:lineRule="auto"/>
            </w:pPr>
            <w:r>
              <w:rPr>
                <w:sz w:val="16"/>
              </w:rPr>
              <w:t>Quantifies representation of each selection strategy across retained genomic PCs</w:t>
            </w:r>
          </w:p>
        </w:tc>
      </w:tr>
      <w:tr>
        <w:trPr>
          <w:cantSplit/>
        </w:trPr>
        <w:tc>
          <w:tcPr>
            <w:tcW w:type="dxa" w:w="3903"/>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plot_selection_clusters()</w:t>
            </w:r>
          </w:p>
        </w:tc>
        <w:tc>
          <w:tcPr>
            <w:tcW w:type="dxa" w:w="6188"/>
            <w:vAlign w:val="center"/>
            <w:tcMar>
              <w:top w:w="60" w:type="dxa"/>
              <w:start w:w="120" w:type="dxa"/>
              <w:bottom w:w="60" w:type="dxa"/>
              <w:end w:w="120" w:type="dxa"/>
            </w:tcMar>
          </w:tcPr>
          <w:p>
            <w:pPr>
              <w:keepNext/>
              <w:spacing w:after="0" w:line="240" w:lineRule="auto"/>
            </w:pPr>
            <w:r>
              <w:rPr>
                <w:sz w:val="16"/>
              </w:rPr>
              <w:t>Displays cluster coverage</w:t>
            </w:r>
          </w:p>
        </w:tc>
      </w:tr>
      <w:tr>
        <w:trPr>
          <w:cantSplit/>
        </w:trPr>
        <w:tc>
          <w:tcPr>
            <w:tcW w:type="dxa" w:w="3903"/>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plot_parent_selection_pca()</w:t>
            </w:r>
          </w:p>
        </w:tc>
        <w:tc>
          <w:tcPr>
            <w:tcW w:type="dxa" w:w="6188"/>
            <w:vAlign w:val="center"/>
            <w:tcMar>
              <w:top w:w="60" w:type="dxa"/>
              <w:start w:w="120" w:type="dxa"/>
              <w:bottom w:w="60" w:type="dxa"/>
              <w:end w:w="120" w:type="dxa"/>
            </w:tcMar>
          </w:tcPr>
          <w:p>
            <w:pPr>
              <w:keepNext/>
              <w:spacing w:after="0" w:line="240" w:lineRule="auto"/>
            </w:pPr>
            <w:r>
              <w:rPr>
                <w:sz w:val="16"/>
              </w:rPr>
              <w:t>Shows selections in genomic or target-block feature space</w:t>
            </w:r>
          </w:p>
        </w:tc>
      </w:tr>
      <w:tr>
        <w:trPr>
          <w:cantSplit/>
        </w:trPr>
        <w:tc>
          <w:tcPr>
            <w:tcW w:type="dxa" w:w="3903"/>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validate()</w:t>
            </w:r>
          </w:p>
        </w:tc>
        <w:tc>
          <w:tcPr>
            <w:tcW w:type="dxa" w:w="6188"/>
            <w:vAlign w:val="center"/>
            <w:tcMar>
              <w:top w:w="60" w:type="dxa"/>
              <w:start w:w="120" w:type="dxa"/>
              <w:bottom w:w="60" w:type="dxa"/>
              <w:end w:w="120" w:type="dxa"/>
            </w:tcMar>
          </w:tcPr>
          <w:p>
            <w:pPr>
              <w:keepNext/>
              <w:spacing w:after="0" w:line="240" w:lineRule="auto"/>
            </w:pPr>
            <w:r>
              <w:rPr>
                <w:sz w:val="16"/>
              </w:rPr>
              <w:t>Dispatches validation for supported package objects</w:t>
            </w:r>
          </w:p>
        </w:tc>
      </w:tr>
      <w:tr>
        <w:trPr>
          <w:cantSplit/>
        </w:trPr>
        <w:tc>
          <w:tcPr>
            <w:tcW w:type="dxa" w:w="3903"/>
            <w:vAlign w:val="center"/>
            <w:tcMar>
              <w:top w:w="60" w:type="dxa"/>
              <w:start w:w="120" w:type="dxa"/>
              <w:bottom w:w="60" w:type="dxa"/>
              <w:end w:w="120" w:type="dxa"/>
            </w:tcMar>
          </w:tcPr>
          <w:p>
            <w:pPr>
              <w:spacing w:after="0" w:line="240" w:lineRule="auto"/>
            </w:pPr>
            <w:r>
              <w:rPr>
                <w:rFonts w:ascii="Consolas" w:hAnsi="Consolas" w:eastAsia="Consolas"/>
                <w:sz w:val="15"/>
                <w:shd w:fill="F2F4F7"/>
              </w:rPr>
              <w:t>validate_hapblockr_result()</w:t>
            </w:r>
          </w:p>
        </w:tc>
        <w:tc>
          <w:tcPr>
            <w:tcW w:type="dxa" w:w="6188"/>
            <w:vAlign w:val="center"/>
            <w:tcMar>
              <w:top w:w="60" w:type="dxa"/>
              <w:start w:w="120" w:type="dxa"/>
              <w:bottom w:w="60" w:type="dxa"/>
              <w:end w:w="120" w:type="dxa"/>
            </w:tcMar>
          </w:tcPr>
          <w:p>
            <w:pPr>
              <w:spacing w:after="0" w:line="240" w:lineRule="auto"/>
            </w:pPr>
            <w:r>
              <w:rPr>
                <w:sz w:val="16"/>
              </w:rPr>
              <w:t>Checks the common result schema, provenance and quality gates</w:t>
            </w:r>
          </w:p>
        </w:tc>
      </w:tr>
    </w:tbl>
    <w:p>
      <w:pPr>
        <w:spacing w:after="20"/>
      </w:pPr>
    </w:p>
    <w:p>
      <w:r>
        <w:rPr>
          <w:rFonts w:ascii="Consolas" w:hAnsi="Consolas" w:eastAsia="Consolas"/>
          <w:sz w:val="21"/>
          <w:shd w:fill="F2F4F7"/>
        </w:rPr>
        <w:t>assess_decision_stability()</w:t>
      </w:r>
      <w:r>
        <w:t xml:space="preserve"> summarises Jaccard overlap, selection frequency and baseline agreement. It is the appropriate way to review many sensitivity runs; breeders should not compare long candidate lists manually.</w:t>
      </w:r>
    </w:p>
    <w:p>
      <w:r>
        <w:t>Forward simulation estimates realised gain under the declared genetic architecture, recombination assumptions, selection intensity, founder set, mating rule and number of replicates. Report those assumptions with the result so breeders can compare scenarios on the same basis.</w:t>
      </w:r>
    </w:p>
    <w:p>
      <w:pPr>
        <w:pStyle w:val="Heading2"/>
      </w:pPr>
      <w:r>
        <w:t>8.10 Metadata, exchange and output utilities</w:t>
      </w:r>
    </w:p>
    <w:tbl>
      <w:tblPr>
        <w:tblStyle w:val="TableGrid"/>
        <w:tblW w:type="dxa" w:w="10091"/>
        <w:jc w:val="left"/>
        <w:tblLayout w:type="fixed"/>
        <w:tblLook w:firstColumn="1" w:firstRow="1" w:lastColumn="0" w:lastRow="0" w:noHBand="0" w:noVBand="1" w:val="04A0"/>
        <w:tblInd w:w="120" w:type="dxa"/>
      </w:tblPr>
      <w:tblGrid>
        <w:gridCol w:w="3962"/>
        <w:gridCol w:w="6129"/>
      </w:tblGrid>
      <w:tr>
        <w:trPr>
          <w:cantSplit/>
          <w:tblHeader w:val="true"/>
        </w:trPr>
        <w:tc>
          <w:tcPr>
            <w:tcW w:type="dxa" w:w="3962"/>
            <w:vAlign w:val="center"/>
            <w:tcMar>
              <w:top w:w="60" w:type="dxa"/>
              <w:start w:w="120" w:type="dxa"/>
              <w:bottom w:w="60" w:type="dxa"/>
              <w:end w:w="120" w:type="dxa"/>
            </w:tcMar>
            <w:shd w:fill="E8EEF5"/>
          </w:tcPr>
          <w:p>
            <w:pPr>
              <w:keepNext/>
              <w:spacing w:after="0" w:line="240" w:lineRule="auto"/>
            </w:pPr>
            <w:r>
              <w:rPr>
                <w:b/>
                <w:color w:val="1F4D78"/>
                <w:sz w:val="16"/>
              </w:rPr>
              <w:t>Function</w:t>
            </w:r>
          </w:p>
        </w:tc>
        <w:tc>
          <w:tcPr>
            <w:tcW w:type="dxa" w:w="6129"/>
            <w:vAlign w:val="center"/>
            <w:tcMar>
              <w:top w:w="60" w:type="dxa"/>
              <w:start w:w="120" w:type="dxa"/>
              <w:bottom w:w="60" w:type="dxa"/>
              <w:end w:w="120" w:type="dxa"/>
            </w:tcMar>
            <w:shd w:fill="E8EEF5"/>
          </w:tcPr>
          <w:p>
            <w:pPr>
              <w:keepNext/>
              <w:spacing w:after="0" w:line="240" w:lineRule="auto"/>
            </w:pPr>
            <w:r>
              <w:rPr>
                <w:b/>
                <w:color w:val="1F4D78"/>
                <w:sz w:val="16"/>
              </w:rPr>
              <w:t>Purpose</w:t>
            </w:r>
          </w:p>
        </w:tc>
      </w:tr>
      <w:tr>
        <w:trPr>
          <w:cantSplit/>
        </w:trPr>
        <w:tc>
          <w:tcPr>
            <w:tcW w:type="dxa" w:w="3962"/>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validate_breeding_metadata()</w:t>
            </w:r>
          </w:p>
        </w:tc>
        <w:tc>
          <w:tcPr>
            <w:tcW w:type="dxa" w:w="6129"/>
            <w:vAlign w:val="center"/>
            <w:tcMar>
              <w:top w:w="60" w:type="dxa"/>
              <w:start w:w="120" w:type="dxa"/>
              <w:bottom w:w="60" w:type="dxa"/>
              <w:end w:w="120" w:type="dxa"/>
            </w:tcMar>
          </w:tcPr>
          <w:p>
            <w:pPr>
              <w:keepNext/>
              <w:spacing w:after="0" w:line="240" w:lineRule="auto"/>
            </w:pPr>
            <w:r>
              <w:rPr>
                <w:sz w:val="16"/>
              </w:rPr>
              <w:t>Validates required identifiers, vocabulary and referential integrity</w:t>
            </w:r>
          </w:p>
        </w:tc>
      </w:tr>
      <w:tr>
        <w:trPr>
          <w:cantSplit/>
        </w:trPr>
        <w:tc>
          <w:tcPr>
            <w:tcW w:type="dxa" w:w="3962"/>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build_breeding_exchange()</w:t>
            </w:r>
          </w:p>
        </w:tc>
        <w:tc>
          <w:tcPr>
            <w:tcW w:type="dxa" w:w="6129"/>
            <w:vAlign w:val="center"/>
            <w:tcMar>
              <w:top w:w="60" w:type="dxa"/>
              <w:start w:w="120" w:type="dxa"/>
              <w:bottom w:w="60" w:type="dxa"/>
              <w:end w:w="120" w:type="dxa"/>
            </w:tcMar>
          </w:tcPr>
          <w:p>
            <w:pPr>
              <w:keepNext/>
              <w:spacing w:after="0" w:line="240" w:lineRule="auto"/>
            </w:pPr>
            <w:r>
              <w:rPr>
                <w:sz w:val="16"/>
              </w:rPr>
              <w:t>Constructs a versioned breeding exchange object</w:t>
            </w:r>
          </w:p>
        </w:tc>
      </w:tr>
      <w:tr>
        <w:trPr>
          <w:cantSplit/>
        </w:trPr>
        <w:tc>
          <w:tcPr>
            <w:tcW w:type="dxa" w:w="3962"/>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write_breeding_exchange()</w:t>
            </w:r>
          </w:p>
        </w:tc>
        <w:tc>
          <w:tcPr>
            <w:tcW w:type="dxa" w:w="6129"/>
            <w:vAlign w:val="center"/>
            <w:tcMar>
              <w:top w:w="60" w:type="dxa"/>
              <w:start w:w="120" w:type="dxa"/>
              <w:bottom w:w="60" w:type="dxa"/>
              <w:end w:w="120" w:type="dxa"/>
            </w:tcMar>
          </w:tcPr>
          <w:p>
            <w:pPr>
              <w:keepNext/>
              <w:spacing w:after="0" w:line="240" w:lineRule="auto"/>
            </w:pPr>
            <w:r>
              <w:rPr>
                <w:sz w:val="16"/>
              </w:rPr>
              <w:t>Writes the exchange with provenance</w:t>
            </w:r>
          </w:p>
        </w:tc>
      </w:tr>
      <w:tr>
        <w:trPr>
          <w:cantSplit/>
        </w:trPr>
        <w:tc>
          <w:tcPr>
            <w:tcW w:type="dxa" w:w="3962"/>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read_breeding_exchange()</w:t>
            </w:r>
          </w:p>
        </w:tc>
        <w:tc>
          <w:tcPr>
            <w:tcW w:type="dxa" w:w="6129"/>
            <w:vAlign w:val="center"/>
            <w:tcMar>
              <w:top w:w="60" w:type="dxa"/>
              <w:start w:w="120" w:type="dxa"/>
              <w:bottom w:w="60" w:type="dxa"/>
              <w:end w:w="120" w:type="dxa"/>
            </w:tcMar>
          </w:tcPr>
          <w:p>
            <w:pPr>
              <w:keepNext/>
              <w:spacing w:after="0" w:line="240" w:lineRule="auto"/>
            </w:pPr>
            <w:r>
              <w:rPr>
                <w:sz w:val="16"/>
              </w:rPr>
              <w:t>Reads and validates the exchange</w:t>
            </w:r>
          </w:p>
        </w:tc>
      </w:tr>
      <w:tr>
        <w:trPr>
          <w:cantSplit/>
        </w:trPr>
        <w:tc>
          <w:tcPr>
            <w:tcW w:type="dxa" w:w="3962"/>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write_haplotype_numeric()</w:t>
            </w:r>
          </w:p>
        </w:tc>
        <w:tc>
          <w:tcPr>
            <w:tcW w:type="dxa" w:w="6129"/>
            <w:vAlign w:val="center"/>
            <w:tcMar>
              <w:top w:w="60" w:type="dxa"/>
              <w:start w:w="120" w:type="dxa"/>
              <w:bottom w:w="60" w:type="dxa"/>
              <w:end w:w="120" w:type="dxa"/>
            </w:tcMar>
          </w:tcPr>
          <w:p>
            <w:pPr>
              <w:keepNext/>
              <w:spacing w:after="0" w:line="240" w:lineRule="auto"/>
            </w:pPr>
            <w:r>
              <w:rPr>
                <w:sz w:val="16"/>
              </w:rPr>
              <w:t>Writes numeric haplotype features</w:t>
            </w:r>
          </w:p>
        </w:tc>
      </w:tr>
      <w:tr>
        <w:trPr>
          <w:cantSplit/>
        </w:trPr>
        <w:tc>
          <w:tcPr>
            <w:tcW w:type="dxa" w:w="3962"/>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write_haplotype_character()</w:t>
            </w:r>
          </w:p>
        </w:tc>
        <w:tc>
          <w:tcPr>
            <w:tcW w:type="dxa" w:w="6129"/>
            <w:vAlign w:val="center"/>
            <w:tcMar>
              <w:top w:w="60" w:type="dxa"/>
              <w:start w:w="120" w:type="dxa"/>
              <w:bottom w:w="60" w:type="dxa"/>
              <w:end w:w="120" w:type="dxa"/>
            </w:tcMar>
          </w:tcPr>
          <w:p>
            <w:pPr>
              <w:keepNext/>
              <w:spacing w:after="0" w:line="240" w:lineRule="auto"/>
            </w:pPr>
            <w:r>
              <w:rPr>
                <w:sz w:val="16"/>
              </w:rPr>
              <w:t>Writes character haplotype states</w:t>
            </w:r>
          </w:p>
        </w:tc>
      </w:tr>
      <w:tr>
        <w:trPr>
          <w:cantSplit/>
        </w:trPr>
        <w:tc>
          <w:tcPr>
            <w:tcW w:type="dxa" w:w="3962"/>
            <w:vAlign w:val="center"/>
            <w:tcMar>
              <w:top w:w="60" w:type="dxa"/>
              <w:start w:w="120" w:type="dxa"/>
              <w:bottom w:w="60" w:type="dxa"/>
              <w:end w:w="120" w:type="dxa"/>
            </w:tcMar>
          </w:tcPr>
          <w:p>
            <w:pPr>
              <w:keepNext/>
              <w:spacing w:after="0" w:line="240" w:lineRule="auto"/>
            </w:pPr>
            <w:r>
              <w:rPr>
                <w:rFonts w:ascii="Consolas" w:hAnsi="Consolas" w:eastAsia="Consolas"/>
                <w:sz w:val="15"/>
                <w:shd w:fill="F2F4F7"/>
              </w:rPr>
              <w:t>write_haplotype_diversity()</w:t>
            </w:r>
          </w:p>
        </w:tc>
        <w:tc>
          <w:tcPr>
            <w:tcW w:type="dxa" w:w="6129"/>
            <w:vAlign w:val="center"/>
            <w:tcMar>
              <w:top w:w="60" w:type="dxa"/>
              <w:start w:w="120" w:type="dxa"/>
              <w:bottom w:w="60" w:type="dxa"/>
              <w:end w:w="120" w:type="dxa"/>
            </w:tcMar>
          </w:tcPr>
          <w:p>
            <w:pPr>
              <w:keepNext/>
              <w:spacing w:after="0" w:line="240" w:lineRule="auto"/>
            </w:pPr>
            <w:r>
              <w:rPr>
                <w:sz w:val="16"/>
              </w:rPr>
              <w:t>Writes diversity summaries</w:t>
            </w:r>
          </w:p>
        </w:tc>
      </w:tr>
      <w:tr>
        <w:trPr>
          <w:cantSplit/>
        </w:trPr>
        <w:tc>
          <w:tcPr>
            <w:tcW w:type="dxa" w:w="3962"/>
            <w:vAlign w:val="center"/>
            <w:tcMar>
              <w:top w:w="60" w:type="dxa"/>
              <w:start w:w="120" w:type="dxa"/>
              <w:bottom w:w="60" w:type="dxa"/>
              <w:end w:w="120" w:type="dxa"/>
            </w:tcMar>
          </w:tcPr>
          <w:p>
            <w:pPr>
              <w:spacing w:after="0" w:line="240" w:lineRule="auto"/>
            </w:pPr>
            <w:r>
              <w:rPr>
                <w:rFonts w:ascii="Consolas" w:hAnsi="Consolas" w:eastAsia="Consolas"/>
                <w:sz w:val="15"/>
                <w:shd w:fill="F2F4F7"/>
              </w:rPr>
              <w:t>open_breeder_guide()</w:t>
            </w:r>
          </w:p>
        </w:tc>
        <w:tc>
          <w:tcPr>
            <w:tcW w:type="dxa" w:w="6129"/>
            <w:vAlign w:val="center"/>
            <w:tcMar>
              <w:top w:w="60" w:type="dxa"/>
              <w:start w:w="120" w:type="dxa"/>
              <w:bottom w:w="60" w:type="dxa"/>
              <w:end w:w="120" w:type="dxa"/>
            </w:tcMar>
          </w:tcPr>
          <w:p>
            <w:pPr>
              <w:spacing w:after="0" w:line="240" w:lineRule="auto"/>
            </w:pPr>
            <w:r>
              <w:rPr>
                <w:sz w:val="16"/>
              </w:rPr>
              <w:t>Locates or opens the tagged PDF or editable Word edition</w:t>
            </w:r>
          </w:p>
        </w:tc>
      </w:tr>
    </w:tbl>
    <w:p>
      <w:pPr>
        <w:spacing w:after="20"/>
      </w:pPr>
    </w:p>
    <w:p>
      <w:r>
        <w:t>Every exchange preserves candidate, sample, variant, environment, study and analysis-run IDs. Display labels may change while the underlying identifiers remain immutable.</w:t>
      </w:r>
    </w:p>
    <w:p>
      <w:pPr>
        <w:pStyle w:val="Heading2"/>
      </w:pPr>
      <w:r>
        <w:t>8.11 Recommended operational sequence</w:t>
      </w:r>
    </w:p>
    <w:p>
      <w:r>
        <w:t>For a routine parent-and-cross decision:</w:t>
      </w:r>
    </w:p>
    <w:p>
      <w:pPr>
        <w:pStyle w:val="ListNumber"/>
        <w:numPr>
          <w:ilvl w:val="0"/>
          <w:numId w:val="14"/>
        </w:numPr>
      </w:pPr>
      <w:r>
        <w:t>Complete and approve the field-trial or genetic-evaluation analysis outside</w:t>
      </w:r>
      <w:r>
        <w:t xml:space="preserve"> </w:t>
      </w:r>
      <w:r>
        <w:t>HapBlockR.</w:t>
      </w:r>
    </w:p>
    <w:p>
      <w:pPr>
        <w:pStyle w:val="ListNumber"/>
        <w:numPr>
          <w:ilvl w:val="0"/>
          <w:numId w:val="14"/>
        </w:numPr>
      </w:pPr>
      <w:r>
        <w:t>Prepare genotype-level targets with their estimand, estimation basis,</w:t>
      </w:r>
      <w:r>
        <w:t xml:space="preserve"> </w:t>
      </w:r>
      <w:r>
        <w:t>direction, uncertainty and optional units.</w:t>
      </w:r>
    </w:p>
    <w:p>
      <w:pPr>
        <w:pStyle w:val="ListNumber"/>
        <w:numPr>
          <w:ilvl w:val="0"/>
          <w:numId w:val="14"/>
        </w:numPr>
      </w:pPr>
      <w:r>
        <w:t>Define whether the decision is across environments or environment-specific.</w:t>
      </w:r>
    </w:p>
    <w:p>
      <w:pPr>
        <w:pStyle w:val="ListNumber"/>
        <w:numPr>
          <w:ilvl w:val="0"/>
          <w:numId w:val="14"/>
        </w:numPr>
      </w:pPr>
      <w:r>
        <w:t>Import genotypes with an explicit multiallelic policy and verify identities.</w:t>
      </w:r>
    </w:p>
    <w:p>
      <w:pPr>
        <w:pStyle w:val="ListNumber"/>
        <w:numPr>
          <w:ilvl w:val="0"/>
          <w:numId w:val="14"/>
        </w:numPr>
      </w:pPr>
      <w:r>
        <w:t>Use phasing when the biological interpretation requires transmitted</w:t>
      </w:r>
      <w:r>
        <w:t xml:space="preserve"> </w:t>
      </w:r>
      <w:r>
        <w:t>haplotypes; apply truth-set accuracy gates when truth data exist.</w:t>
      </w:r>
    </w:p>
    <w:p>
      <w:pPr>
        <w:pStyle w:val="ListNumber"/>
        <w:numPr>
          <w:ilvl w:val="0"/>
          <w:numId w:val="14"/>
        </w:numPr>
      </w:pPr>
      <w:r>
        <w:t>Detect and tune LD blocks; preserve block-definition provenance.</w:t>
      </w:r>
    </w:p>
    <w:p>
      <w:pPr>
        <w:pStyle w:val="ListNumber"/>
        <w:numPr>
          <w:ilvl w:val="0"/>
          <w:numId w:val="14"/>
        </w:numPr>
      </w:pPr>
      <w:r>
        <w:t>Fit prediction models and use a deployment-matched validation design.</w:t>
      </w:r>
    </w:p>
    <w:p>
      <w:pPr>
        <w:pStyle w:val="ListNumber"/>
        <w:numPr>
          <w:ilvl w:val="0"/>
          <w:numId w:val="14"/>
        </w:numPr>
      </w:pPr>
      <w:r>
        <w:t>Build the internal selection index and reliability gates.</w:t>
      </w:r>
    </w:p>
    <w:p>
      <w:pPr>
        <w:pStyle w:val="ListNumber"/>
        <w:numPr>
          <w:ilvl w:val="0"/>
          <w:numId w:val="14"/>
        </w:numPr>
      </w:pPr>
      <w:r>
        <w:t>Produce a truncation baseline.</w:t>
      </w:r>
    </w:p>
    <w:p>
      <w:pPr>
        <w:pStyle w:val="ListNumber"/>
        <w:numPr>
          <w:ilvl w:val="0"/>
          <w:numId w:val="14"/>
        </w:numPr>
      </w:pPr>
      <w:r>
        <w:t>Apply one appropriate alternative shortlist tool: GA, family quota or core</w:t>
      </w:r>
      <w:r>
        <w:t xml:space="preserve"> </w:t>
      </w:r>
      <w:r>
        <w:t>collection.</w:t>
      </w:r>
    </w:p>
    <w:p>
      <w:pPr>
        <w:pStyle w:val="ListNumber"/>
        <w:numPr>
          <w:ilvl w:val="0"/>
          <w:numId w:val="14"/>
        </w:numPr>
      </w:pPr>
      <w:r>
        <w:t>Screen feasible crosses and calculate usefulness criterion (UC) using the</w:t>
      </w:r>
      <w:r>
        <w:t xml:space="preserve"> </w:t>
      </w:r>
      <w:r>
        <w:t>most appropriate supported</w:t>
      </w:r>
      <w:r>
        <w:t xml:space="preserve"> </w:t>
      </w:r>
      <w:r>
        <w:t>variance model available.</w:t>
      </w:r>
    </w:p>
    <w:p>
      <w:pPr>
        <w:pStyle w:val="ListNumber"/>
        <w:numPr>
          <w:ilvl w:val="0"/>
          <w:numId w:val="14"/>
        </w:numPr>
      </w:pPr>
      <w:r>
        <w:t>Use optimum contribution selection (OCS) when contributions and long-term coancestry are part of the</w:t>
      </w:r>
      <w:r>
        <w:t xml:space="preserve"> </w:t>
      </w:r>
      <w:r>
        <w:t>programme objective.</w:t>
      </w:r>
    </w:p>
    <w:p>
      <w:pPr>
        <w:pStyle w:val="ListNumber"/>
        <w:numPr>
          <w:ilvl w:val="0"/>
          <w:numId w:val="14"/>
        </w:numPr>
      </w:pPr>
      <w:r>
        <w:t>Certify the mating plan, assess sensitivity and retain a reserve plan.</w:t>
      </w:r>
    </w:p>
    <w:p>
      <w:pPr>
        <w:pStyle w:val="ListNumber"/>
        <w:numPr>
          <w:ilvl w:val="0"/>
          <w:numId w:val="14"/>
        </w:numPr>
      </w:pPr>
      <w:r>
        <w:t>Validate the result contract and complete sign-off.</w:t>
      </w:r>
    </w:p>
    <w:p>
      <w:r>
        <w:br w:type="page"/>
      </w:r>
    </w:p>
    <w:p>
      <w:pPr>
        <w:pStyle w:val="Heading1"/>
      </w:pPr>
      <w:r>
        <w:t>9. References</w:t>
      </w:r>
    </w:p>
    <w:p>
      <w:pPr>
        <w:pStyle w:val="ListBullet"/>
      </w:pPr>
      <w:r>
        <w:t>Browning BL, Zhou Y, Browning SR (2018). A one-penny imputed genome from</w:t>
      </w:r>
      <w:r>
        <w:t xml:space="preserve"> </w:t>
      </w:r>
      <w:r>
        <w:t>next-generation reference panels. American Journal of Human Genetics</w:t>
      </w:r>
      <w:r>
        <w:t xml:space="preserve"> </w:t>
      </w:r>
      <w:r>
        <w:t>103:338-348.</w:t>
      </w:r>
    </w:p>
    <w:p>
      <w:pPr>
        <w:pStyle w:val="ListBullet"/>
      </w:pPr>
      <w:r>
        <w:t>Gao X, Starmer J, Martin ER (2008). A multiple testing correction method</w:t>
      </w:r>
      <w:r>
        <w:t xml:space="preserve"> </w:t>
      </w:r>
      <w:r>
        <w:t>for genetic association studies using correlated single nucleotide</w:t>
      </w:r>
      <w:r>
        <w:t xml:space="preserve"> </w:t>
      </w:r>
      <w:r>
        <w:t>polymorphisms. Genetic Epidemiology 32:361-369.</w:t>
      </w:r>
    </w:p>
    <w:p>
      <w:pPr>
        <w:pStyle w:val="ListBullet"/>
      </w:pPr>
      <w:r>
        <w:t>Kim SA, Cho CS, Kim SR, Bull SB, Yoo YJ (2018). A new haplotype block</w:t>
      </w:r>
      <w:r>
        <w:t xml:space="preserve"> </w:t>
      </w:r>
      <w:r>
        <w:t>detection method for dense genome sequencing data based on interval graph</w:t>
      </w:r>
      <w:r>
        <w:t xml:space="preserve"> </w:t>
      </w:r>
      <w:r>
        <w:t>modelling of clusters of highly correlated SNPs. Bioinformatics</w:t>
      </w:r>
      <w:r>
        <w:t xml:space="preserve"> </w:t>
      </w:r>
      <w:r>
        <w:t>34:388-396.</w:t>
      </w:r>
    </w:p>
    <w:p>
      <w:pPr>
        <w:pStyle w:val="ListBullet"/>
      </w:pPr>
      <w:r>
        <w:t>Mangin B and colleagues (2012). Novel measures of linkage disequilibrium</w:t>
      </w:r>
      <w:r>
        <w:t xml:space="preserve"> </w:t>
      </w:r>
      <w:r>
        <w:t>that correct the bias due to population structure and relatedness.</w:t>
      </w:r>
      <w:r>
        <w:t xml:space="preserve"> </w:t>
      </w:r>
      <w:r>
        <w:t>Heredity 108:285-291.</w:t>
      </w:r>
    </w:p>
    <w:p>
      <w:pPr>
        <w:pStyle w:val="ListBullet"/>
      </w:pPr>
      <w:r>
        <w:t>Meuwissen THE (1997). Maximising the response of selection with a</w:t>
      </w:r>
      <w:r>
        <w:t xml:space="preserve"> </w:t>
      </w:r>
      <w:r>
        <w:t>predefined rate of inbreeding. Journal of Animal Science 75:934-940.</w:t>
      </w:r>
    </w:p>
    <w:p>
      <w:pPr>
        <w:pStyle w:val="ListBullet"/>
      </w:pPr>
      <w:r>
        <w:t>VanRaden PM (2008). Efficient methods to compute genomic predictions.</w:t>
      </w:r>
      <w:r>
        <w:t xml:space="preserve"> </w:t>
      </w:r>
      <w:r>
        <w:t>Journal of Dairy Science 91:4414-4423.</w:t>
      </w:r>
    </w:p>
    <w:p>
      <w:pPr>
        <w:pStyle w:val="ListBullet"/>
      </w:pPr>
      <w:hyperlink r:id="rId11">
        <w:r>
          <w:rPr>
            <w:color w:val="0563C1"/>
            <w:u w:val="single"/>
          </w:rPr>
          <w:t>HapBlockR project repository</w:t>
        </w:r>
      </w:hyperlink>
    </w:p>
    <w:p>
      <w:pPr>
        <w:pStyle w:val="ListBullet"/>
      </w:pPr>
      <w:hyperlink r:id="rId12">
        <w:r>
          <w:rPr>
            <w:color w:val="0563C1"/>
            <w:u w:val="single"/>
          </w:rPr>
          <w:t>Official Beagle source and licence</w:t>
        </w:r>
      </w:hyperlink>
    </w:p>
    <w:p>
      <w:pPr>
        <w:pStyle w:val="Heading1"/>
      </w:pPr>
      <w:r>
        <w:t>Change history</w:t>
      </w:r>
    </w:p>
    <w:p>
      <w:pPr>
        <w:spacing w:after="40" w:line="276" w:lineRule="auto"/>
      </w:pPr>
      <w:r>
        <w:t xml:space="preserve">Edition 6, 26 July 2026: separated coverage-only </w:t>
      </w:r>
      <w:r>
        <w:rPr>
          <w:rFonts w:ascii="Consolas" w:hAnsi="Consolas" w:eastAsia="Consolas"/>
          <w:sz w:val="21"/>
          <w:shd w:fill="F2F4F7"/>
        </w:rPr>
        <w:t>select_parents_ga()</w:t>
      </w:r>
      <w:r>
        <w:t xml:space="preserve"> from the explicit joint </w:t>
      </w:r>
      <w:r>
        <w:rPr>
          <w:rFonts w:ascii="Consolas" w:hAnsi="Consolas" w:eastAsia="Consolas"/>
          <w:sz w:val="21"/>
          <w:shd w:fill="F2F4F7"/>
        </w:rPr>
        <w:t>select_parents_ga_ts()</w:t>
      </w:r>
      <w:r>
        <w:t xml:space="preserve"> tool; documented the joint coverage-and-whole-genome-merit objective, positive merit controls, eligibility variants, relationship controls, automatic replicated-search recommendation and distinct result provenance; and updated the decision-tool count, examples and function descriptions.</w:t>
      </w:r>
    </w:p>
    <w:p>
      <w:pPr>
        <w:spacing w:after="40" w:line="276" w:lineRule="auto"/>
      </w:pPr>
      <w:r>
        <w:t xml:space="preserve">Edition 5, 25 July 2026: replaced field-trial analysis with a genotype-level breeding-target contract; defined adjusted mean, BLUE, identity BLUP, pedigree BLUP, breeding value, general combining ability and total genetic value; documented uncertainty, deregression and precision propagation; added DesiredGainR DGSI and QGSI methods; removed environment-weight aggregation; and renamed the breeder-facing broad-pool rule to </w:t>
      </w:r>
      <w:r>
        <w:rPr>
          <w:rFonts w:ascii="Consolas" w:hAnsi="Consolas" w:eastAsia="Consolas"/>
          <w:sz w:val="21"/>
          <w:shd w:fill="F2F4F7"/>
        </w:rPr>
        <w:t>relaxed_pool</w:t>
      </w:r>
      <w:r>
        <w:t>.</w:t>
      </w:r>
    </w:p>
    <w:p>
      <w:pPr>
        <w:spacing w:after="40" w:line="276" w:lineRule="auto"/>
      </w:pPr>
      <w:r>
        <w:t>Edition 4, 25 July 2026: reframed result interpretation around data quality, population relevance and user-specified objectives; explained the package's phasing choice, population-representation, association-adjustment and fine-mapping support; defined OHS and OPV at first use; clarified automatic selection of the best feasible GA replicate; and added an editable, accessible Word edition alongside the tagged PDF.</w:t>
      </w:r>
    </w:p>
    <w:p>
      <w:pPr>
        <w:spacing w:after="40" w:line="276" w:lineRule="auto"/>
      </w:pPr>
      <w:r>
        <w:t xml:space="preserve">Edition 3, 25 July 2026: expanded the guide into a practical package manual; documented all eight decision tools, their supported variants, required inputs, automatic recommendation rules, outputs and diagnostic review; clarified that </w:t>
      </w:r>
      <w:r>
        <w:rPr>
          <w:rFonts w:ascii="Consolas" w:hAnsi="Consolas" w:eastAsia="Consolas"/>
          <w:sz w:val="21"/>
          <w:shd w:fill="F2F4F7"/>
        </w:rPr>
        <w:t>select_parents_ga()</w:t>
      </w:r>
      <w:r>
        <w:t xml:space="preserve"> automatically returns the best feasible replicate from its internal repeated searches; added genotype, phasing, LD, haplotype, association, prediction, multi-trait, G×E, target-input, feasibility, stability, metadata and exchange tool maps; and added a complete operational sequence.</w:t>
      </w:r>
    </w:p>
    <w:p>
      <w:pPr>
        <w:spacing w:after="40" w:line="276" w:lineRule="auto"/>
      </w:pPr>
      <w:r>
        <w:t>Edition 2, 25 July 2026: added package compatibility, provenance and reliability gates, operational feasibility, a worked numerical decision, binding-constraint reporting, explicit diploid and phase limits, references, and the sign-off template; corrected the eight-tool count and optimum- contribution description.</w:t>
      </w:r>
    </w:p>
    <w:p>
      <w:pPr>
        <w:spacing w:after="40" w:line="276" w:lineRule="auto"/>
      </w:pPr>
      <w:r>
        <w:t>Edition 1: initial plain-language guide.</w:t>
      </w:r>
    </w:p>
    <w:sectPr w:rsidR="00FC693F" w:rsidRPr="0006063C" w:rsidSect="00034616">
      <w:headerReference w:type="default" r:id="rId9"/>
      <w:footerReference w:type="default" r:id="rId10"/>
      <w:pgSz w:w="11906" w:h="16838"/>
      <w:pgMar w:top="964" w:right="907" w:bottom="1134" w:left="907"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HBR-GUIDE-001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1F4D78"/>
        <w:sz w:val="17"/>
      </w:rPr>
      <w:t>HapBlockR Breeder's Guide | Edition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540"/>
        </w:tabs>
        <w:ind w:left="540" w:hanging="270"/>
      </w:pPr>
    </w:lvl>
  </w:abstractNum>
  <w:abstractNum w:abstractNumId="1">
    <w:nsid w:val="FFFFFF7D"/>
    <w:multiLevelType w:val="singleLevel"/>
    <w:tmpl w:val="E4089024"/>
    <w:lvl w:ilvl="0">
      <w:start w:val="1"/>
      <w:numFmt w:val="decimal"/>
      <w:lvlText w:val="%1."/>
      <w:lvlJc w:val="left"/>
      <w:pPr>
        <w:tabs>
          <w:tab w:val="num" w:pos="540"/>
        </w:tabs>
        <w:ind w:left="540" w:hanging="270"/>
      </w:pPr>
    </w:lvl>
  </w:abstractNum>
  <w:abstractNum w:abstractNumId="2">
    <w:nsid w:val="FFFFFF7E"/>
    <w:multiLevelType w:val="singleLevel"/>
    <w:tmpl w:val="FB12693A"/>
    <w:lvl w:ilvl="0">
      <w:start w:val="1"/>
      <w:numFmt w:val="decimal"/>
      <w:pStyle w:val="ListNumber3"/>
      <w:lvlText w:val="%1."/>
      <w:lvlJc w:val="left"/>
      <w:pPr>
        <w:tabs>
          <w:tab w:val="num" w:pos="540"/>
        </w:tabs>
        <w:ind w:left="540" w:hanging="270"/>
      </w:pPr>
    </w:lvl>
  </w:abstractNum>
  <w:abstractNum w:abstractNumId="3">
    <w:nsid w:val="FFFFFF7F"/>
    <w:multiLevelType w:val="singleLevel"/>
    <w:tmpl w:val="38441652"/>
    <w:lvl w:ilvl="0">
      <w:start w:val="1"/>
      <w:numFmt w:val="decimal"/>
      <w:pStyle w:val="ListNumber2"/>
      <w:lvlText w:val="%1."/>
      <w:lvlJc w:val="left"/>
      <w:pPr>
        <w:tabs>
          <w:tab w:val="num" w:pos="540"/>
        </w:tabs>
        <w:ind w:left="540" w:hanging="270"/>
      </w:pPr>
    </w:lvl>
  </w:abstractNum>
  <w:abstractNum w:abstractNumId="4">
    <w:nsid w:val="FFFFFF81"/>
    <w:multiLevelType w:val="singleLevel"/>
    <w:tmpl w:val="171AC3A4"/>
    <w:lvl w:ilvl="0">
      <w:start w:val="1"/>
      <w:numFmt w:val="bullet"/>
      <w:lvlText w:val=""/>
      <w:lvlJc w:val="left"/>
      <w:pPr>
        <w:tabs>
          <w:tab w:val="num" w:pos="540"/>
        </w:tabs>
        <w:ind w:left="540" w:hanging="27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540"/>
        </w:tabs>
        <w:ind w:left="540" w:hanging="27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540"/>
        </w:tabs>
        <w:ind w:left="540" w:hanging="27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300"/>
    </w:pPr>
    <w:rPr>
      <w:rFonts w:ascii="Calibri" w:hAnsi="Calibri" w:eastAsia="Calibri"/>
      <w:color w:val="172033"/>
      <w:sz w:val="22"/>
      <w:lang w:val="en-GB" w:eastAsia="en-GB" w:bidi="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GB" w:eastAsia="en-GB" w:bidi="en-GB"/>
    </w:rPr>
  </w:style>
  <w:style w:type="character" w:customStyle="1" w:styleId="HeaderChar">
    <w:name w:val="Header Char"/>
    <w:basedOn w:val="DefaultParagraphFont"/>
    <w:link w:val="Header"/>
    <w:uiPriority w:val="99"/>
    <w:rsid w:val="00E618BF"/>
    <w:rPr>
      <w:lang w:val="en-GB" w:eastAsia="en-GB" w:bidi="en-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GB" w:eastAsia="en-GB" w:bidi="en-GB"/>
    </w:rPr>
  </w:style>
  <w:style w:type="character" w:customStyle="1" w:styleId="FooterChar">
    <w:name w:val="Footer Char"/>
    <w:basedOn w:val="DefaultParagraphFont"/>
    <w:link w:val="Footer"/>
    <w:uiPriority w:val="99"/>
    <w:rsid w:val="00E618BF"/>
    <w:rPr>
      <w:lang w:val="en-GB" w:eastAsia="en-GB" w:bidi="en-G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lang w:val="en-GB" w:eastAsia="en-GB" w:bidi="en-GB"/>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lang w:val="en-GB" w:eastAsia="en-GB" w:bidi="en-GB"/>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lang w:val="en-GB" w:eastAsia="en-GB" w:bidi="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GB" w:eastAsia="en-GB" w:bidi="en-G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GB" w:eastAsia="en-GB" w:bidi="en-G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GB" w:eastAsia="en-GB" w:bidi="en-GB"/>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GB" w:eastAsia="en-GB" w:bidi="en-GB"/>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GB" w:eastAsia="en-GB" w:bidi="en-GB"/>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GB" w:eastAsia="en-GB" w:bidi="en-GB"/>
    </w:rPr>
  </w:style>
  <w:style w:type="character" w:default="1" w:styleId="DefaultParagraphFont">
    <w:name w:val="Default Paragraph Font"/>
    <w:uiPriority w:val="1"/>
    <w:semiHidden/>
    <w:unhideWhenUsed/>
    <w:rPr>
      <w:lang w:val="en-GB" w:eastAsia="en-GB" w:bidi="en-GB"/>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GB" w:eastAsia="en-GB" w:bidi="en-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GB" w:eastAsia="en-GB" w:bidi="en-GB"/>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GB" w:eastAsia="en-GB" w:bidi="en-GB"/>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GB" w:eastAsia="en-GB" w:bidi="en-GB"/>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Calibri" w:hAnsi="Calibri" w:eastAsia="Calibri"/>
      <w:b/>
      <w:color w:val="1F4D78"/>
      <w:spacing w:val="5"/>
      <w:kern w:val="28"/>
      <w:sz w:val="56"/>
      <w:szCs w:val="52"/>
      <w:lang w:val="en-GB" w:eastAsia="en-GB" w:bidi="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GB" w:eastAsia="en-GB" w:bidi="en-GB"/>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eastAsia="Calibri"/>
      <w:i/>
      <w:iCs/>
      <w:color w:val="3D7D44"/>
      <w:spacing w:val="15"/>
      <w:sz w:val="30"/>
      <w:szCs w:val="24"/>
      <w:lang w:val="en-GB" w:eastAsia="en-GB" w:bidi="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GB" w:eastAsia="en-GB" w:bidi="en-GB"/>
    </w:rPr>
  </w:style>
  <w:style w:type="paragraph" w:styleId="ListParagraph">
    <w:name w:val="List Paragraph"/>
    <w:basedOn w:val="Normal"/>
    <w:uiPriority w:val="34"/>
    <w:qFormat/>
    <w:rsid w:val="00FC693F"/>
    <w:pPr>
      <w:ind w:left="720"/>
      <w:contextualSpacing/>
    </w:pPr>
    <w:rPr>
      <w:lang w:val="en-GB" w:eastAsia="en-GB" w:bidi="en-GB"/>
    </w:rPr>
  </w:style>
  <w:style w:type="paragraph" w:styleId="BodyText">
    <w:name w:val="Body Text"/>
    <w:basedOn w:val="Normal"/>
    <w:link w:val="BodyTextChar"/>
    <w:uiPriority w:val="99"/>
    <w:unhideWhenUsed/>
    <w:rsid w:val="00AA1D8D"/>
    <w:pPr>
      <w:spacing w:after="120"/>
    </w:pPr>
    <w:rPr>
      <w:lang w:val="en-GB" w:eastAsia="en-GB" w:bidi="en-GB"/>
    </w:rPr>
  </w:style>
  <w:style w:type="character" w:customStyle="1" w:styleId="BodyTextChar">
    <w:name w:val="Body Text Char"/>
    <w:basedOn w:val="DefaultParagraphFont"/>
    <w:link w:val="BodyText"/>
    <w:uiPriority w:val="99"/>
    <w:rsid w:val="00AA1D8D"/>
    <w:rPr>
      <w:lang w:val="en-GB" w:eastAsia="en-GB" w:bidi="en-GB"/>
    </w:rPr>
  </w:style>
  <w:style w:type="paragraph" w:styleId="BodyText2">
    <w:name w:val="Body Text 2"/>
    <w:basedOn w:val="Normal"/>
    <w:link w:val="BodyText2Char"/>
    <w:uiPriority w:val="99"/>
    <w:unhideWhenUsed/>
    <w:rsid w:val="00AA1D8D"/>
    <w:pPr>
      <w:spacing w:after="120" w:line="480" w:lineRule="auto"/>
    </w:pPr>
    <w:rPr>
      <w:lang w:val="en-GB" w:eastAsia="en-GB" w:bidi="en-GB"/>
    </w:rPr>
  </w:style>
  <w:style w:type="character" w:customStyle="1" w:styleId="BodyText2Char">
    <w:name w:val="Body Text 2 Char"/>
    <w:basedOn w:val="DefaultParagraphFont"/>
    <w:link w:val="BodyText2"/>
    <w:uiPriority w:val="99"/>
    <w:rsid w:val="00AA1D8D"/>
    <w:rPr>
      <w:lang w:val="en-GB" w:eastAsia="en-GB" w:bidi="en-GB"/>
    </w:rPr>
  </w:style>
  <w:style w:type="paragraph" w:styleId="BodyText3">
    <w:name w:val="Body Text 3"/>
    <w:basedOn w:val="Normal"/>
    <w:link w:val="BodyText3Char"/>
    <w:uiPriority w:val="99"/>
    <w:unhideWhenUsed/>
    <w:rsid w:val="00AA1D8D"/>
    <w:pPr>
      <w:spacing w:after="120"/>
    </w:pPr>
    <w:rPr>
      <w:sz w:val="16"/>
      <w:szCs w:val="16"/>
      <w:lang w:val="en-GB" w:eastAsia="en-GB" w:bidi="en-GB"/>
    </w:rPr>
  </w:style>
  <w:style w:type="character" w:customStyle="1" w:styleId="BodyText3Char">
    <w:name w:val="Body Text 3 Char"/>
    <w:basedOn w:val="DefaultParagraphFont"/>
    <w:link w:val="BodyText3"/>
    <w:uiPriority w:val="99"/>
    <w:rsid w:val="00AA1D8D"/>
    <w:rPr>
      <w:sz w:val="16"/>
      <w:szCs w:val="16"/>
      <w:lang w:val="en-GB" w:eastAsia="en-GB" w:bidi="en-GB"/>
    </w:rPr>
  </w:style>
  <w:style w:type="paragraph" w:styleId="List">
    <w:name w:val="List"/>
    <w:basedOn w:val="Normal"/>
    <w:uiPriority w:val="99"/>
    <w:unhideWhenUsed/>
    <w:rsid w:val="00AA1D8D"/>
    <w:pPr>
      <w:ind w:left="360" w:hanging="360"/>
      <w:contextualSpacing/>
    </w:pPr>
    <w:rPr>
      <w:lang w:val="en-GB" w:eastAsia="en-GB" w:bidi="en-GB"/>
    </w:rPr>
  </w:style>
  <w:style w:type="paragraph" w:styleId="List2">
    <w:name w:val="List 2"/>
    <w:basedOn w:val="Normal"/>
    <w:uiPriority w:val="99"/>
    <w:unhideWhenUsed/>
    <w:rsid w:val="00326F90"/>
    <w:pPr>
      <w:ind w:left="720" w:hanging="360"/>
      <w:contextualSpacing/>
    </w:pPr>
    <w:rPr>
      <w:lang w:val="en-GB" w:eastAsia="en-GB" w:bidi="en-GB"/>
    </w:rPr>
  </w:style>
  <w:style w:type="paragraph" w:styleId="List3">
    <w:name w:val="List 3"/>
    <w:basedOn w:val="Normal"/>
    <w:uiPriority w:val="99"/>
    <w:unhideWhenUsed/>
    <w:rsid w:val="00326F90"/>
    <w:pPr>
      <w:ind w:left="1080" w:hanging="360"/>
      <w:contextualSpacing/>
    </w:pPr>
    <w:rPr>
      <w:lang w:val="en-GB" w:eastAsia="en-GB" w:bidi="en-GB"/>
    </w:rPr>
  </w:style>
  <w:style w:type="paragraph" w:styleId="ListBullet">
    <w:name w:val="List Bullet"/>
    <w:basedOn w:val="Normal"/>
    <w:uiPriority w:val="99"/>
    <w:unhideWhenUsed/>
    <w:rsid w:val="00326F90"/>
    <w:pPr>
      <w:numPr>
        <w:numId w:val="1"/>
      </w:numPr>
      <w:spacing w:after="80" w:line="300" w:lineRule="auto"/>
      <w:ind w:left="540" w:hanging="271"/>
      <w:contextualSpacing/>
    </w:pPr>
    <w:rPr>
      <w:lang w:val="en-GB" w:eastAsia="en-GB" w:bidi="en-GB"/>
    </w:rPr>
  </w:style>
  <w:style w:type="paragraph" w:styleId="ListBullet2">
    <w:name w:val="List Bullet 2"/>
    <w:basedOn w:val="Normal"/>
    <w:uiPriority w:val="99"/>
    <w:unhideWhenUsed/>
    <w:rsid w:val="00326F90"/>
    <w:pPr>
      <w:numPr>
        <w:numId w:val="2"/>
      </w:numPr>
      <w:contextualSpacing/>
    </w:pPr>
    <w:rPr>
      <w:lang w:val="en-GB" w:eastAsia="en-GB" w:bidi="en-GB"/>
    </w:rPr>
  </w:style>
  <w:style w:type="paragraph" w:styleId="ListBullet3">
    <w:name w:val="List Bullet 3"/>
    <w:basedOn w:val="Normal"/>
    <w:uiPriority w:val="99"/>
    <w:unhideWhenUsed/>
    <w:rsid w:val="00326F90"/>
    <w:pPr>
      <w:numPr>
        <w:numId w:val="3"/>
      </w:numPr>
      <w:contextualSpacing/>
    </w:pPr>
    <w:rPr>
      <w:lang w:val="en-GB" w:eastAsia="en-GB" w:bidi="en-GB"/>
    </w:rPr>
  </w:style>
  <w:style w:type="paragraph" w:styleId="ListNumber">
    <w:name w:val="List Number"/>
    <w:basedOn w:val="Normal"/>
    <w:uiPriority w:val="99"/>
    <w:unhideWhenUsed/>
    <w:rsid w:val="00326F90"/>
    <w:pPr>
      <w:numPr>
        <w:numId w:val="5"/>
      </w:numPr>
      <w:spacing w:after="80" w:line="300" w:lineRule="auto"/>
      <w:ind w:left="540" w:hanging="271"/>
      <w:contextualSpacing/>
    </w:pPr>
    <w:rPr>
      <w:lang w:val="en-GB" w:eastAsia="en-GB" w:bidi="en-GB"/>
    </w:rPr>
  </w:style>
  <w:style w:type="paragraph" w:styleId="ListNumber2">
    <w:name w:val="List Number 2"/>
    <w:basedOn w:val="Normal"/>
    <w:uiPriority w:val="99"/>
    <w:unhideWhenUsed/>
    <w:rsid w:val="0029639D"/>
    <w:pPr>
      <w:numPr>
        <w:numId w:val="6"/>
      </w:numPr>
      <w:contextualSpacing/>
    </w:pPr>
    <w:rPr>
      <w:lang w:val="en-GB" w:eastAsia="en-GB" w:bidi="en-GB"/>
    </w:rPr>
  </w:style>
  <w:style w:type="paragraph" w:styleId="ListNumber3">
    <w:name w:val="List Number 3"/>
    <w:basedOn w:val="Normal"/>
    <w:uiPriority w:val="99"/>
    <w:unhideWhenUsed/>
    <w:rsid w:val="0029639D"/>
    <w:pPr>
      <w:numPr>
        <w:numId w:val="7"/>
      </w:numPr>
      <w:contextualSpacing/>
    </w:pPr>
    <w:rPr>
      <w:lang w:val="en-GB" w:eastAsia="en-GB" w:bidi="en-GB"/>
    </w:rPr>
  </w:style>
  <w:style w:type="paragraph" w:styleId="ListContinue">
    <w:name w:val="List Continue"/>
    <w:basedOn w:val="Normal"/>
    <w:uiPriority w:val="99"/>
    <w:unhideWhenUsed/>
    <w:rsid w:val="0029639D"/>
    <w:pPr>
      <w:spacing w:after="120"/>
      <w:ind w:left="360"/>
      <w:contextualSpacing/>
    </w:pPr>
    <w:rPr>
      <w:lang w:val="en-GB" w:eastAsia="en-GB" w:bidi="en-GB"/>
    </w:rPr>
  </w:style>
  <w:style w:type="paragraph" w:styleId="ListContinue2">
    <w:name w:val="List Continue 2"/>
    <w:basedOn w:val="Normal"/>
    <w:uiPriority w:val="99"/>
    <w:unhideWhenUsed/>
    <w:rsid w:val="0029639D"/>
    <w:pPr>
      <w:spacing w:after="120"/>
      <w:ind w:left="720"/>
      <w:contextualSpacing/>
    </w:pPr>
    <w:rPr>
      <w:lang w:val="en-GB" w:eastAsia="en-GB" w:bidi="en-GB"/>
    </w:rPr>
  </w:style>
  <w:style w:type="paragraph" w:styleId="ListContinue3">
    <w:name w:val="List Continue 3"/>
    <w:basedOn w:val="Normal"/>
    <w:uiPriority w:val="99"/>
    <w:unhideWhenUsed/>
    <w:rsid w:val="0029639D"/>
    <w:pPr>
      <w:spacing w:after="120"/>
      <w:ind w:left="1080"/>
      <w:contextualSpacing/>
    </w:pPr>
    <w:rPr>
      <w:lang w:val="en-GB" w:eastAsia="en-GB" w:bidi="en-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GB" w:eastAsia="en-GB" w:bidi="en-GB"/>
    </w:rPr>
  </w:style>
  <w:style w:type="character" w:customStyle="1" w:styleId="MacroTextChar">
    <w:name w:val="Macro Text Char"/>
    <w:basedOn w:val="DefaultParagraphFont"/>
    <w:link w:val="MacroText"/>
    <w:uiPriority w:val="99"/>
    <w:rsid w:val="0029639D"/>
    <w:rPr>
      <w:rFonts w:ascii="Courier" w:hAnsi="Courier"/>
      <w:sz w:val="20"/>
      <w:szCs w:val="20"/>
      <w:lang w:val="en-GB" w:eastAsia="en-GB" w:bidi="en-GB"/>
    </w:rPr>
  </w:style>
  <w:style w:type="paragraph" w:styleId="Quote">
    <w:name w:val="Quote"/>
    <w:basedOn w:val="Normal"/>
    <w:next w:val="Normal"/>
    <w:link w:val="QuoteChar"/>
    <w:uiPriority w:val="29"/>
    <w:qFormat/>
    <w:rsid w:val="00FC693F"/>
    <w:rPr>
      <w:i/>
      <w:iCs/>
      <w:color w:val="000000" w:themeColor="text1"/>
      <w:lang w:val="en-GB" w:eastAsia="en-GB" w:bidi="en-GB"/>
    </w:rPr>
  </w:style>
  <w:style w:type="character" w:customStyle="1" w:styleId="QuoteChar">
    <w:name w:val="Quote Char"/>
    <w:basedOn w:val="DefaultParagraphFont"/>
    <w:link w:val="Quote"/>
    <w:uiPriority w:val="29"/>
    <w:rsid w:val="00FC693F"/>
    <w:rPr>
      <w:i/>
      <w:iCs/>
      <w:color w:val="000000" w:themeColor="text1"/>
      <w:lang w:val="en-GB" w:eastAsia="en-GB" w:bidi="en-GB"/>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GB" w:eastAsia="en-GB" w:bidi="en-GB"/>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GB" w:eastAsia="en-GB" w:bidi="en-G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GB" w:eastAsia="en-GB" w:bidi="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GB" w:eastAsia="en-GB" w:bidi="en-GB"/>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GB" w:eastAsia="en-GB" w:bidi="en-GB"/>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GB" w:eastAsia="en-GB" w:bidi="en-GB"/>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GB" w:eastAsia="en-GB" w:bidi="en-GB"/>
    </w:rPr>
  </w:style>
  <w:style w:type="character" w:styleId="Strong">
    <w:name w:val="Strong"/>
    <w:basedOn w:val="DefaultParagraphFont"/>
    <w:uiPriority w:val="22"/>
    <w:qFormat/>
    <w:rsid w:val="00FC693F"/>
    <w:rPr>
      <w:b/>
      <w:bCs/>
      <w:lang w:val="en-GB" w:eastAsia="en-GB" w:bidi="en-GB"/>
    </w:rPr>
  </w:style>
  <w:style w:type="character" w:styleId="Emphasis">
    <w:name w:val="Emphasis"/>
    <w:basedOn w:val="DefaultParagraphFont"/>
    <w:uiPriority w:val="20"/>
    <w:qFormat/>
    <w:rsid w:val="00FC693F"/>
    <w:rPr>
      <w:i/>
      <w:iCs/>
      <w:lang w:val="en-GB" w:eastAsia="en-GB" w:bidi="en-GB"/>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GB" w:eastAsia="en-GB" w:bidi="en-GB"/>
    </w:rPr>
  </w:style>
  <w:style w:type="character" w:customStyle="1" w:styleId="IntenseQuoteChar">
    <w:name w:val="Intense Quote Char"/>
    <w:basedOn w:val="DefaultParagraphFont"/>
    <w:link w:val="IntenseQuote"/>
    <w:uiPriority w:val="30"/>
    <w:rsid w:val="00FC693F"/>
    <w:rPr>
      <w:b/>
      <w:bCs/>
      <w:i/>
      <w:iCs/>
      <w:color w:val="4F81BD" w:themeColor="accent1"/>
      <w:lang w:val="en-GB" w:eastAsia="en-GB" w:bidi="en-GB"/>
    </w:rPr>
  </w:style>
  <w:style w:type="character" w:styleId="SubtleEmphasis">
    <w:name w:val="Subtle Emphasis"/>
    <w:basedOn w:val="DefaultParagraphFont"/>
    <w:uiPriority w:val="19"/>
    <w:qFormat/>
    <w:rsid w:val="00FC693F"/>
    <w:rPr>
      <w:i/>
      <w:iCs/>
      <w:color w:val="808080" w:themeColor="text1" w:themeTint="7F"/>
      <w:lang w:val="en-GB" w:eastAsia="en-GB" w:bidi="en-GB"/>
    </w:rPr>
  </w:style>
  <w:style w:type="character" w:styleId="IntenseEmphasis">
    <w:name w:val="Intense Emphasis"/>
    <w:basedOn w:val="DefaultParagraphFont"/>
    <w:uiPriority w:val="21"/>
    <w:qFormat/>
    <w:rsid w:val="00FC693F"/>
    <w:rPr>
      <w:b/>
      <w:bCs/>
      <w:i/>
      <w:iCs/>
      <w:color w:val="4F81BD" w:themeColor="accent1"/>
      <w:lang w:val="en-GB" w:eastAsia="en-GB" w:bidi="en-GB"/>
    </w:rPr>
  </w:style>
  <w:style w:type="character" w:styleId="SubtleReference">
    <w:name w:val="Subtle Reference"/>
    <w:basedOn w:val="DefaultParagraphFont"/>
    <w:uiPriority w:val="31"/>
    <w:qFormat/>
    <w:rsid w:val="00FC693F"/>
    <w:rPr>
      <w:smallCaps/>
      <w:color w:val="C0504D" w:themeColor="accent2"/>
      <w:u w:val="single"/>
      <w:lang w:val="en-GB" w:eastAsia="en-GB" w:bidi="en-GB"/>
    </w:rPr>
  </w:style>
  <w:style w:type="character" w:styleId="IntenseReference">
    <w:name w:val="Intense Reference"/>
    <w:basedOn w:val="DefaultParagraphFont"/>
    <w:uiPriority w:val="32"/>
    <w:qFormat/>
    <w:rsid w:val="00FC693F"/>
    <w:rPr>
      <w:b/>
      <w:bCs/>
      <w:smallCaps/>
      <w:color w:val="C0504D" w:themeColor="accent2"/>
      <w:spacing w:val="5"/>
      <w:u w:val="single"/>
      <w:lang w:val="en-GB" w:eastAsia="en-GB" w:bidi="en-GB"/>
    </w:rPr>
  </w:style>
  <w:style w:type="character" w:styleId="BookTitle">
    <w:name w:val="Book Title"/>
    <w:basedOn w:val="DefaultParagraphFont"/>
    <w:uiPriority w:val="33"/>
    <w:qFormat/>
    <w:rsid w:val="00FC693F"/>
    <w:rPr>
      <w:b/>
      <w:bCs/>
      <w:smallCaps/>
      <w:spacing w:val="5"/>
      <w:lang w:val="en-GB" w:eastAsia="en-GB" w:bidi="en-GB"/>
    </w:rPr>
  </w:style>
  <w:style w:type="paragraph" w:styleId="TOCHeading">
    <w:name w:val="TOC Heading"/>
    <w:basedOn w:val="Heading1"/>
    <w:next w:val="Normal"/>
    <w:uiPriority w:val="39"/>
    <w:semiHidden/>
    <w:unhideWhenUsed/>
    <w:qFormat/>
    <w:rsid w:val="00FC693F"/>
    <w:pPr>
      <w:outlineLvl w:val="9"/>
    </w:pPr>
    <w:rPr>
      <w:lang w:val="en-GB" w:eastAsia="en-GB" w:bidi="en-GB"/>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20"/>
      <w:ind w:left="360" w:right="216"/>
    </w:pPr>
    <w:rPr>
      <w:rFonts w:ascii="Consolas" w:hAnsi="Consolas" w:eastAsia="Consolas"/>
      <w:sz w:val="18"/>
      <w:lang w:val="en-GB" w:eastAsia="en-GB" w:bidi="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FAkohoue/HapBlockR" TargetMode="External"/><Relationship Id="rId12" Type="http://schemas.openxmlformats.org/officeDocument/2006/relationships/hyperlink" Target="https://faculty.washington.edu/browning/beagle/beag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HapBlockR Breeder's Guide</dc:title>
  <dc:subject>Haplotype-aware parent selection and breeding decisions</dc:subject>
  <dc:creator>Félicien Akohoue</dc:creator>
  <cp:keywords>HapBlockR, breeding, haplotypes, parent selection, genomic selection</cp:keywords>
  <dc:description>Editable Word edition generated from the version-controlled guide source.</dc:description>
  <cp:lastModifiedBy/>
  <cp:revision>1</cp:revision>
  <dcterms:created xsi:type="dcterms:W3CDTF">2013-12-23T23:15:00Z</dcterms:created>
  <dcterms:modified xsi:type="dcterms:W3CDTF">2013-12-23T23:15:00Z</dcterms:modified>
  <cp:category/>
</cp:coreProperties>
</file>