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C31" w:rsidRDefault="009D2C31" w:rsidP="009D2C31">
      <w:pPr>
        <w:pStyle w:val="Titre"/>
        <w:ind w:left="7788"/>
        <w:jc w:val="left"/>
        <w:rPr>
          <w:b w:val="0"/>
        </w:rPr>
      </w:pPr>
    </w:p>
    <w:p w:rsidR="009D2C31" w:rsidRDefault="009D2C31" w:rsidP="009D2C31"/>
    <w:p w:rsidR="009D2C31" w:rsidRDefault="009D2C31" w:rsidP="009D2C31">
      <w:pPr>
        <w:rPr>
          <w:b/>
          <w:sz w:val="28"/>
        </w:rPr>
      </w:pPr>
      <w:r>
        <w:rPr>
          <w:b/>
          <w:sz w:val="28"/>
          <w:u w:val="single"/>
        </w:rPr>
        <w:t>État des évolutions</w:t>
      </w:r>
      <w:r>
        <w:rPr>
          <w:b/>
          <w:sz w:val="28"/>
        </w:rPr>
        <w:t> :</w:t>
      </w:r>
    </w:p>
    <w:p w:rsidR="009D2C31" w:rsidRDefault="009D2C31" w:rsidP="009D2C31">
      <w:pPr>
        <w:rPr>
          <w:b/>
          <w:sz w:val="28"/>
        </w:rPr>
      </w:pPr>
    </w:p>
    <w:tbl>
      <w:tblPr>
        <w:tblpPr w:leftFromText="141" w:rightFromText="141" w:vertAnchor="text" w:horzAnchor="margin" w:tblpXSpec="center"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1134"/>
        <w:gridCol w:w="5103"/>
        <w:gridCol w:w="2126"/>
      </w:tblGrid>
      <w:tr w:rsidR="009D2C31" w:rsidTr="00204113">
        <w:trPr>
          <w:trHeight w:val="558"/>
        </w:trPr>
        <w:tc>
          <w:tcPr>
            <w:tcW w:w="1063" w:type="dxa"/>
            <w:vAlign w:val="center"/>
          </w:tcPr>
          <w:p w:rsidR="009D2C31" w:rsidRPr="00293154" w:rsidRDefault="009D2C31" w:rsidP="00204113">
            <w:pPr>
              <w:jc w:val="center"/>
              <w:rPr>
                <w:b/>
                <w:bCs/>
              </w:rPr>
            </w:pPr>
            <w:r w:rsidRPr="00293154">
              <w:rPr>
                <w:b/>
                <w:bCs/>
              </w:rPr>
              <w:t>Version</w:t>
            </w:r>
          </w:p>
        </w:tc>
        <w:tc>
          <w:tcPr>
            <w:tcW w:w="1134" w:type="dxa"/>
            <w:vAlign w:val="center"/>
          </w:tcPr>
          <w:p w:rsidR="009D2C31" w:rsidRPr="00293154" w:rsidRDefault="009D2C31" w:rsidP="00204113">
            <w:pPr>
              <w:jc w:val="center"/>
              <w:rPr>
                <w:b/>
                <w:bCs/>
              </w:rPr>
            </w:pPr>
            <w:r w:rsidRPr="00293154">
              <w:rPr>
                <w:b/>
                <w:bCs/>
              </w:rPr>
              <w:t>Date</w:t>
            </w:r>
          </w:p>
        </w:tc>
        <w:tc>
          <w:tcPr>
            <w:tcW w:w="5103" w:type="dxa"/>
            <w:vAlign w:val="center"/>
          </w:tcPr>
          <w:p w:rsidR="009D2C31" w:rsidRPr="00293154" w:rsidRDefault="009D2C31" w:rsidP="00204113">
            <w:pPr>
              <w:jc w:val="center"/>
              <w:rPr>
                <w:b/>
                <w:bCs/>
              </w:rPr>
            </w:pPr>
            <w:r w:rsidRPr="00293154">
              <w:rPr>
                <w:b/>
                <w:bCs/>
              </w:rPr>
              <w:t>Objet</w:t>
            </w:r>
          </w:p>
        </w:tc>
        <w:tc>
          <w:tcPr>
            <w:tcW w:w="2126" w:type="dxa"/>
            <w:vAlign w:val="center"/>
          </w:tcPr>
          <w:p w:rsidR="009D2C31" w:rsidRPr="00293154" w:rsidRDefault="009D2C31" w:rsidP="00204113">
            <w:pPr>
              <w:jc w:val="center"/>
              <w:rPr>
                <w:b/>
                <w:bCs/>
              </w:rPr>
            </w:pPr>
            <w:r w:rsidRPr="00293154">
              <w:rPr>
                <w:b/>
                <w:bCs/>
              </w:rPr>
              <w:t>Pages</w:t>
            </w:r>
          </w:p>
        </w:tc>
      </w:tr>
      <w:tr w:rsidR="009D2C31" w:rsidTr="00204113">
        <w:trPr>
          <w:trHeight w:val="557"/>
        </w:trPr>
        <w:tc>
          <w:tcPr>
            <w:tcW w:w="1063" w:type="dxa"/>
          </w:tcPr>
          <w:p w:rsidR="009D2C31" w:rsidRPr="00F45FCE" w:rsidRDefault="009D2C31" w:rsidP="00204113">
            <w:pPr>
              <w:jc w:val="center"/>
            </w:pPr>
          </w:p>
          <w:p w:rsidR="009D2C31" w:rsidRPr="00F45FCE" w:rsidRDefault="009D2C31" w:rsidP="00204113">
            <w:pPr>
              <w:jc w:val="center"/>
            </w:pPr>
            <w:r>
              <w:t>V1</w:t>
            </w:r>
          </w:p>
        </w:tc>
        <w:tc>
          <w:tcPr>
            <w:tcW w:w="1134" w:type="dxa"/>
          </w:tcPr>
          <w:p w:rsidR="009D2C31" w:rsidRPr="00F45FCE" w:rsidRDefault="009D2C31" w:rsidP="00204113">
            <w:pPr>
              <w:jc w:val="center"/>
            </w:pPr>
          </w:p>
          <w:p w:rsidR="009D2C31" w:rsidRPr="00F45FCE" w:rsidRDefault="009D2C31" w:rsidP="00815AA3">
            <w:pPr>
              <w:jc w:val="center"/>
            </w:pPr>
            <w:r>
              <w:t>0</w:t>
            </w:r>
            <w:r w:rsidR="00815AA3">
              <w:t>1</w:t>
            </w:r>
            <w:r>
              <w:t>/0</w:t>
            </w:r>
            <w:r w:rsidR="00815AA3">
              <w:t>9</w:t>
            </w:r>
            <w:r w:rsidRPr="00F45FCE">
              <w:t>/</w:t>
            </w:r>
            <w:r>
              <w:t>17</w:t>
            </w:r>
          </w:p>
        </w:tc>
        <w:tc>
          <w:tcPr>
            <w:tcW w:w="5103" w:type="dxa"/>
          </w:tcPr>
          <w:p w:rsidR="009D2C31" w:rsidRPr="00F45FCE" w:rsidRDefault="009D2C31" w:rsidP="00204113">
            <w:pPr>
              <w:jc w:val="center"/>
            </w:pPr>
          </w:p>
          <w:p w:rsidR="009D2C31" w:rsidRPr="00F45FCE" w:rsidRDefault="009D2C31" w:rsidP="00204113">
            <w:pPr>
              <w:jc w:val="center"/>
            </w:pPr>
            <w:r w:rsidRPr="00F45FCE">
              <w:t>Création</w:t>
            </w:r>
            <w:r>
              <w:t xml:space="preserve"> du document</w:t>
            </w:r>
          </w:p>
        </w:tc>
        <w:tc>
          <w:tcPr>
            <w:tcW w:w="2126" w:type="dxa"/>
          </w:tcPr>
          <w:p w:rsidR="009D2C31" w:rsidRPr="00F45FCE" w:rsidRDefault="009D2C31" w:rsidP="00204113">
            <w:pPr>
              <w:jc w:val="center"/>
            </w:pPr>
          </w:p>
          <w:p w:rsidR="009D2C31" w:rsidRPr="00F45FCE" w:rsidRDefault="009D2C31" w:rsidP="00204113">
            <w:pPr>
              <w:jc w:val="center"/>
            </w:pPr>
            <w:r w:rsidRPr="00F45FCE">
              <w:t>Toutes</w:t>
            </w:r>
          </w:p>
          <w:p w:rsidR="009D2C31" w:rsidRPr="00F45FCE" w:rsidRDefault="009D2C31" w:rsidP="00204113"/>
        </w:tc>
      </w:tr>
      <w:tr w:rsidR="009D2C31" w:rsidTr="00204113">
        <w:trPr>
          <w:trHeight w:val="570"/>
        </w:trPr>
        <w:tc>
          <w:tcPr>
            <w:tcW w:w="1063" w:type="dxa"/>
            <w:vAlign w:val="center"/>
          </w:tcPr>
          <w:p w:rsidR="009D2C31" w:rsidRPr="00F45FCE" w:rsidRDefault="009D2C31" w:rsidP="00204113">
            <w:pPr>
              <w:jc w:val="center"/>
            </w:pPr>
          </w:p>
        </w:tc>
        <w:tc>
          <w:tcPr>
            <w:tcW w:w="1134" w:type="dxa"/>
            <w:vAlign w:val="center"/>
          </w:tcPr>
          <w:p w:rsidR="009D2C31" w:rsidRPr="00F45FCE" w:rsidRDefault="009D2C31" w:rsidP="00204113">
            <w:pPr>
              <w:jc w:val="center"/>
            </w:pPr>
          </w:p>
        </w:tc>
        <w:tc>
          <w:tcPr>
            <w:tcW w:w="5103" w:type="dxa"/>
            <w:vAlign w:val="center"/>
          </w:tcPr>
          <w:p w:rsidR="009D2C31" w:rsidRPr="00F45FCE" w:rsidRDefault="009D2C31" w:rsidP="00204113">
            <w:pPr>
              <w:jc w:val="center"/>
            </w:pPr>
          </w:p>
        </w:tc>
        <w:tc>
          <w:tcPr>
            <w:tcW w:w="2126" w:type="dxa"/>
            <w:vAlign w:val="center"/>
          </w:tcPr>
          <w:p w:rsidR="009D2C31" w:rsidRPr="00F45FCE" w:rsidRDefault="009D2C31" w:rsidP="00204113">
            <w:pPr>
              <w:jc w:val="center"/>
            </w:pPr>
          </w:p>
        </w:tc>
      </w:tr>
      <w:tr w:rsidR="009D2C31" w:rsidTr="00204113">
        <w:trPr>
          <w:trHeight w:val="570"/>
        </w:trPr>
        <w:tc>
          <w:tcPr>
            <w:tcW w:w="1063" w:type="dxa"/>
          </w:tcPr>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r w:rsidR="009D2C31" w:rsidTr="00204113">
        <w:trPr>
          <w:trHeight w:val="570"/>
        </w:trPr>
        <w:tc>
          <w:tcPr>
            <w:tcW w:w="1063" w:type="dxa"/>
          </w:tcPr>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r w:rsidR="009D2C31" w:rsidTr="00204113">
        <w:trPr>
          <w:trHeight w:val="570"/>
        </w:trPr>
        <w:tc>
          <w:tcPr>
            <w:tcW w:w="1063" w:type="dxa"/>
          </w:tcPr>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r w:rsidR="009D2C31" w:rsidTr="00204113">
        <w:trPr>
          <w:trHeight w:val="570"/>
        </w:trPr>
        <w:tc>
          <w:tcPr>
            <w:tcW w:w="1063" w:type="dxa"/>
          </w:tcPr>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r w:rsidR="009D2C31" w:rsidTr="00204113">
        <w:trPr>
          <w:trHeight w:val="570"/>
        </w:trPr>
        <w:tc>
          <w:tcPr>
            <w:tcW w:w="1063" w:type="dxa"/>
          </w:tcPr>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r w:rsidR="009D2C31" w:rsidTr="00204113">
        <w:trPr>
          <w:trHeight w:val="570"/>
        </w:trPr>
        <w:tc>
          <w:tcPr>
            <w:tcW w:w="1063" w:type="dxa"/>
          </w:tcPr>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r w:rsidR="009D2C31" w:rsidTr="00204113">
        <w:trPr>
          <w:trHeight w:val="570"/>
        </w:trPr>
        <w:tc>
          <w:tcPr>
            <w:tcW w:w="1063" w:type="dxa"/>
          </w:tcPr>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r w:rsidR="009D2C31" w:rsidTr="00204113">
        <w:trPr>
          <w:trHeight w:val="570"/>
        </w:trPr>
        <w:tc>
          <w:tcPr>
            <w:tcW w:w="1063" w:type="dxa"/>
          </w:tcPr>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r w:rsidR="009D2C31" w:rsidTr="00204113">
        <w:trPr>
          <w:trHeight w:val="570"/>
        </w:trPr>
        <w:tc>
          <w:tcPr>
            <w:tcW w:w="1063" w:type="dxa"/>
          </w:tcPr>
          <w:p w:rsidR="009D2C31" w:rsidRDefault="009D2C31" w:rsidP="00204113">
            <w:pPr>
              <w:jc w:val="center"/>
            </w:pPr>
          </w:p>
          <w:p w:rsidR="009D2C31" w:rsidRPr="00F45FCE" w:rsidRDefault="009D2C31" w:rsidP="00204113">
            <w:pPr>
              <w:jc w:val="center"/>
            </w:pPr>
          </w:p>
        </w:tc>
        <w:tc>
          <w:tcPr>
            <w:tcW w:w="1134" w:type="dxa"/>
          </w:tcPr>
          <w:p w:rsidR="009D2C31" w:rsidRPr="00F45FCE" w:rsidRDefault="009D2C31" w:rsidP="00204113">
            <w:pPr>
              <w:jc w:val="center"/>
            </w:pPr>
          </w:p>
        </w:tc>
        <w:tc>
          <w:tcPr>
            <w:tcW w:w="5103" w:type="dxa"/>
          </w:tcPr>
          <w:p w:rsidR="009D2C31" w:rsidRPr="00F45FCE" w:rsidRDefault="009D2C31" w:rsidP="00204113">
            <w:pPr>
              <w:jc w:val="center"/>
            </w:pPr>
          </w:p>
        </w:tc>
        <w:tc>
          <w:tcPr>
            <w:tcW w:w="2126" w:type="dxa"/>
          </w:tcPr>
          <w:p w:rsidR="009D2C31" w:rsidRPr="00F45FCE" w:rsidRDefault="009D2C31" w:rsidP="00204113">
            <w:pPr>
              <w:jc w:val="center"/>
            </w:pPr>
          </w:p>
        </w:tc>
      </w:tr>
    </w:tbl>
    <w:p w:rsidR="009D2C31" w:rsidRDefault="009D2C31" w:rsidP="009D2C31"/>
    <w:p w:rsidR="009D2C31" w:rsidRDefault="009D2C31" w:rsidP="009D2C31"/>
    <w:p w:rsidR="009D2C31" w:rsidRDefault="009D2C31" w:rsidP="009D2C31"/>
    <w:p w:rsidR="009D2C31" w:rsidRDefault="009D2C31" w:rsidP="009D2C31"/>
    <w:p w:rsidR="009D2C31" w:rsidRDefault="009D2C31" w:rsidP="009D2C31"/>
    <w:p w:rsidR="009D2C31" w:rsidRDefault="009D2C31" w:rsidP="009D2C31">
      <w:pPr>
        <w:rPr>
          <w:b/>
        </w:rPr>
      </w:pPr>
    </w:p>
    <w:p w:rsidR="009D2C31" w:rsidRDefault="009D2C31" w:rsidP="009D2C31">
      <w:pPr>
        <w:rPr>
          <w:b/>
        </w:rPr>
      </w:pPr>
    </w:p>
    <w:p w:rsidR="009D2C31" w:rsidRPr="00B276BE" w:rsidRDefault="009D2C31" w:rsidP="009D2C31">
      <w:pPr>
        <w:spacing w:line="360" w:lineRule="auto"/>
        <w:ind w:left="480"/>
        <w:rPr>
          <w:bCs/>
        </w:rPr>
      </w:pPr>
    </w:p>
    <w:p w:rsidR="009D2C31" w:rsidRDefault="009D2C31" w:rsidP="009D2C31"/>
    <w:p w:rsidR="009D2C31" w:rsidRDefault="009D2C31" w:rsidP="009D2C31">
      <w:pPr>
        <w:pStyle w:val="Titre"/>
        <w:jc w:val="both"/>
        <w:rPr>
          <w:b w:val="0"/>
          <w:i/>
        </w:rPr>
      </w:pPr>
    </w:p>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Pr="00C249AD" w:rsidRDefault="009D2C31" w:rsidP="009D2C31"/>
    <w:p w:rsidR="009D2C31" w:rsidRDefault="009D2C31" w:rsidP="009D2C31"/>
    <w:p w:rsidR="009D2C31" w:rsidRDefault="009D2C31" w:rsidP="009D2C31"/>
    <w:p w:rsidR="009D2C31" w:rsidRDefault="009D2C31" w:rsidP="009D2C31">
      <w:pPr>
        <w:tabs>
          <w:tab w:val="left" w:pos="2190"/>
        </w:tabs>
      </w:pPr>
      <w:r>
        <w:tab/>
      </w: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9D2C31">
      <w:pPr>
        <w:tabs>
          <w:tab w:val="left" w:pos="2190"/>
        </w:tabs>
      </w:pPr>
    </w:p>
    <w:p w:rsidR="009D2C31" w:rsidRDefault="009D2C31" w:rsidP="00DD066C">
      <w:pPr>
        <w:tabs>
          <w:tab w:val="left" w:pos="2190"/>
        </w:tabs>
        <w:spacing w:line="360" w:lineRule="auto"/>
      </w:pPr>
    </w:p>
    <w:p w:rsidR="009D2C31" w:rsidRPr="00C71F46" w:rsidRDefault="009D2C31" w:rsidP="00DD066C">
      <w:pPr>
        <w:pStyle w:val="Paragraphedeliste"/>
        <w:numPr>
          <w:ilvl w:val="0"/>
          <w:numId w:val="6"/>
        </w:numPr>
        <w:autoSpaceDE w:val="0"/>
        <w:autoSpaceDN w:val="0"/>
        <w:adjustRightInd w:val="0"/>
        <w:spacing w:line="360" w:lineRule="auto"/>
        <w:ind w:right="424"/>
        <w:jc w:val="both"/>
        <w:rPr>
          <w:rFonts w:eastAsiaTheme="minorHAnsi"/>
          <w:b/>
          <w:bCs/>
          <w:color w:val="000000"/>
          <w:sz w:val="24"/>
          <w:szCs w:val="24"/>
          <w:lang w:eastAsia="en-US"/>
        </w:rPr>
      </w:pPr>
      <w:r w:rsidRPr="00C71F46">
        <w:rPr>
          <w:rFonts w:eastAsiaTheme="minorHAnsi"/>
          <w:b/>
          <w:bCs/>
          <w:color w:val="000000"/>
          <w:sz w:val="24"/>
          <w:szCs w:val="24"/>
          <w:lang w:eastAsia="en-US"/>
        </w:rPr>
        <w:t>Définition :</w:t>
      </w:r>
    </w:p>
    <w:p w:rsidR="009D2C31" w:rsidRPr="00C71F46" w:rsidRDefault="009D2C31" w:rsidP="00DD066C">
      <w:pPr>
        <w:pStyle w:val="Paragraphedeliste"/>
        <w:autoSpaceDE w:val="0"/>
        <w:autoSpaceDN w:val="0"/>
        <w:adjustRightInd w:val="0"/>
        <w:spacing w:line="360" w:lineRule="auto"/>
        <w:ind w:left="1004" w:right="424"/>
        <w:jc w:val="both"/>
        <w:rPr>
          <w:rFonts w:eastAsiaTheme="minorHAnsi"/>
          <w:b/>
          <w:bCs/>
          <w:sz w:val="24"/>
          <w:szCs w:val="24"/>
          <w:lang w:eastAsia="en-US"/>
        </w:rPr>
      </w:pPr>
    </w:p>
    <w:p w:rsidR="000B4814" w:rsidRPr="000B4814" w:rsidRDefault="000B4814" w:rsidP="00DD066C">
      <w:pPr>
        <w:autoSpaceDE w:val="0"/>
        <w:autoSpaceDN w:val="0"/>
        <w:adjustRightInd w:val="0"/>
        <w:spacing w:line="360" w:lineRule="auto"/>
        <w:ind w:left="284" w:right="424"/>
        <w:jc w:val="both"/>
        <w:rPr>
          <w:rFonts w:asciiTheme="majorBidi" w:eastAsiaTheme="minorHAnsi" w:hAnsiTheme="majorBidi" w:cstheme="majorBidi"/>
          <w:b/>
          <w:bCs/>
          <w:color w:val="231F20"/>
          <w:sz w:val="24"/>
          <w:szCs w:val="24"/>
          <w:lang w:eastAsia="en-US"/>
        </w:rPr>
      </w:pPr>
      <w:r w:rsidRPr="000B4814">
        <w:rPr>
          <w:rFonts w:asciiTheme="majorBidi" w:eastAsiaTheme="minorHAnsi" w:hAnsiTheme="majorBidi" w:cstheme="majorBidi"/>
          <w:b/>
          <w:bCs/>
          <w:color w:val="231F20"/>
          <w:sz w:val="24"/>
          <w:szCs w:val="24"/>
          <w:lang w:eastAsia="en-US"/>
        </w:rPr>
        <w:t xml:space="preserve">Indice d’iode </w:t>
      </w:r>
      <w:r>
        <w:rPr>
          <w:rFonts w:asciiTheme="majorBidi" w:eastAsiaTheme="minorHAnsi" w:hAnsiTheme="majorBidi" w:cstheme="majorBidi"/>
          <w:b/>
          <w:bCs/>
          <w:color w:val="231F20"/>
          <w:sz w:val="24"/>
          <w:szCs w:val="24"/>
          <w:lang w:eastAsia="en-US"/>
        </w:rPr>
        <w:t>(</w:t>
      </w:r>
      <w:r w:rsidRPr="000B4814">
        <w:rPr>
          <w:rFonts w:asciiTheme="majorBidi" w:eastAsiaTheme="minorHAnsi" w:hAnsiTheme="majorBidi" w:cstheme="majorBidi"/>
          <w:b/>
          <w:bCs/>
          <w:color w:val="231F20"/>
          <w:sz w:val="24"/>
          <w:szCs w:val="24"/>
          <w:lang w:eastAsia="en-US"/>
        </w:rPr>
        <w:t>II</w:t>
      </w:r>
      <w:r>
        <w:rPr>
          <w:rFonts w:asciiTheme="majorBidi" w:eastAsiaTheme="minorHAnsi" w:hAnsiTheme="majorBidi" w:cstheme="majorBidi"/>
          <w:b/>
          <w:bCs/>
          <w:color w:val="231F20"/>
          <w:sz w:val="24"/>
          <w:szCs w:val="24"/>
          <w:lang w:eastAsia="en-US"/>
        </w:rPr>
        <w:t>)</w:t>
      </w:r>
    </w:p>
    <w:p w:rsidR="000B4814" w:rsidRPr="000B4814" w:rsidRDefault="000B4814" w:rsidP="00DD066C">
      <w:pPr>
        <w:autoSpaceDE w:val="0"/>
        <w:autoSpaceDN w:val="0"/>
        <w:adjustRightInd w:val="0"/>
        <w:spacing w:line="360" w:lineRule="auto"/>
        <w:ind w:left="284" w:right="424"/>
        <w:jc w:val="both"/>
        <w:rPr>
          <w:rFonts w:asciiTheme="majorBidi" w:eastAsiaTheme="minorHAnsi" w:hAnsiTheme="majorBidi" w:cstheme="majorBidi"/>
          <w:b/>
          <w:bCs/>
          <w:color w:val="231F20"/>
          <w:sz w:val="24"/>
          <w:szCs w:val="24"/>
          <w:lang w:eastAsia="en-US"/>
        </w:rPr>
      </w:pPr>
    </w:p>
    <w:p w:rsidR="000B4814" w:rsidRPr="000B4814" w:rsidRDefault="000B4814" w:rsidP="00DD066C">
      <w:pPr>
        <w:autoSpaceDE w:val="0"/>
        <w:autoSpaceDN w:val="0"/>
        <w:adjustRightInd w:val="0"/>
        <w:spacing w:line="360" w:lineRule="auto"/>
        <w:ind w:left="284" w:right="424"/>
        <w:jc w:val="both"/>
        <w:rPr>
          <w:rFonts w:asciiTheme="majorBidi" w:eastAsiaTheme="minorHAnsi" w:hAnsiTheme="majorBidi" w:cstheme="majorBidi"/>
          <w:sz w:val="24"/>
          <w:szCs w:val="24"/>
          <w:lang w:eastAsia="en-US"/>
        </w:rPr>
      </w:pPr>
      <w:r>
        <w:rPr>
          <w:rFonts w:asciiTheme="majorBidi" w:eastAsiaTheme="minorHAnsi" w:hAnsiTheme="majorBidi" w:cstheme="majorBidi"/>
          <w:color w:val="231F20"/>
          <w:sz w:val="24"/>
          <w:szCs w:val="24"/>
          <w:lang w:eastAsia="en-US"/>
        </w:rPr>
        <w:t>M</w:t>
      </w:r>
      <w:r w:rsidRPr="000B4814">
        <w:rPr>
          <w:rFonts w:asciiTheme="majorBidi" w:eastAsiaTheme="minorHAnsi" w:hAnsiTheme="majorBidi" w:cstheme="majorBidi"/>
          <w:color w:val="231F20"/>
          <w:sz w:val="24"/>
          <w:szCs w:val="24"/>
          <w:lang w:eastAsia="en-US"/>
        </w:rPr>
        <w:t>asse d’halogène, exprimée sous forme d’iode, absorbée par la prise d’essai selon le mode opératoire spécifié, divisée par la masse de la prise d’essai</w:t>
      </w:r>
    </w:p>
    <w:p w:rsidR="009D2C31" w:rsidRDefault="000B4814" w:rsidP="00DD066C">
      <w:pPr>
        <w:autoSpaceDE w:val="0"/>
        <w:autoSpaceDN w:val="0"/>
        <w:adjustRightInd w:val="0"/>
        <w:spacing w:line="360" w:lineRule="auto"/>
        <w:ind w:left="284" w:right="424"/>
        <w:jc w:val="both"/>
        <w:rPr>
          <w:rFonts w:asciiTheme="majorBidi" w:eastAsiaTheme="minorHAnsi" w:hAnsiTheme="majorBidi" w:cstheme="majorBidi"/>
          <w:color w:val="231F20"/>
          <w:sz w:val="24"/>
          <w:szCs w:val="24"/>
          <w:lang w:eastAsia="en-US"/>
        </w:rPr>
      </w:pPr>
      <w:r w:rsidRPr="000B4814">
        <w:rPr>
          <w:rFonts w:asciiTheme="majorBidi" w:eastAsiaTheme="minorHAnsi" w:hAnsiTheme="majorBidi" w:cstheme="majorBidi"/>
          <w:color w:val="231F20"/>
          <w:sz w:val="24"/>
          <w:szCs w:val="24"/>
          <w:lang w:eastAsia="en-US"/>
        </w:rPr>
        <w:t>Note 1: L’II est exprimé en grammes pour 100 g de corps gras.</w:t>
      </w:r>
    </w:p>
    <w:p w:rsidR="000B4814" w:rsidRPr="000B4814" w:rsidRDefault="000B4814" w:rsidP="00DD066C">
      <w:pPr>
        <w:autoSpaceDE w:val="0"/>
        <w:autoSpaceDN w:val="0"/>
        <w:adjustRightInd w:val="0"/>
        <w:spacing w:line="360" w:lineRule="auto"/>
        <w:ind w:left="284" w:right="424"/>
        <w:jc w:val="both"/>
        <w:rPr>
          <w:rFonts w:asciiTheme="majorBidi" w:eastAsiaTheme="minorHAnsi" w:hAnsiTheme="majorBidi" w:cstheme="majorBidi"/>
          <w:color w:val="000000"/>
          <w:sz w:val="24"/>
          <w:szCs w:val="24"/>
          <w:lang w:eastAsia="en-US"/>
        </w:rPr>
      </w:pPr>
    </w:p>
    <w:p w:rsidR="009D2C31" w:rsidRDefault="009D2C31" w:rsidP="00DD066C">
      <w:pPr>
        <w:pStyle w:val="Paragraphedeliste"/>
        <w:numPr>
          <w:ilvl w:val="0"/>
          <w:numId w:val="6"/>
        </w:numPr>
        <w:autoSpaceDE w:val="0"/>
        <w:autoSpaceDN w:val="0"/>
        <w:adjustRightInd w:val="0"/>
        <w:spacing w:line="360" w:lineRule="auto"/>
        <w:ind w:right="424"/>
        <w:jc w:val="both"/>
        <w:rPr>
          <w:rFonts w:eastAsiaTheme="minorHAnsi"/>
          <w:b/>
          <w:bCs/>
          <w:color w:val="000000"/>
          <w:sz w:val="24"/>
          <w:szCs w:val="24"/>
          <w:lang w:eastAsia="en-US"/>
        </w:rPr>
      </w:pPr>
      <w:r w:rsidRPr="00C71F46">
        <w:rPr>
          <w:rFonts w:eastAsiaTheme="minorHAnsi"/>
          <w:b/>
          <w:bCs/>
          <w:color w:val="000000"/>
          <w:sz w:val="24"/>
          <w:szCs w:val="24"/>
          <w:lang w:eastAsia="en-US"/>
        </w:rPr>
        <w:t>Principe :</w:t>
      </w:r>
    </w:p>
    <w:p w:rsidR="009D2C31" w:rsidRDefault="009D2C31" w:rsidP="00DD066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0B4814" w:rsidRPr="000B4814" w:rsidRDefault="000B4814"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sidRPr="000B4814">
        <w:rPr>
          <w:rFonts w:asciiTheme="majorBidi" w:eastAsiaTheme="minorHAnsi" w:hAnsiTheme="majorBidi" w:cstheme="majorBidi"/>
          <w:sz w:val="24"/>
          <w:szCs w:val="24"/>
          <w:lang w:eastAsia="en-US"/>
        </w:rPr>
        <w:t xml:space="preserve">Dissolution d’une prise d’essai dans du solvant et addition de réactif de </w:t>
      </w:r>
      <w:proofErr w:type="spellStart"/>
      <w:r w:rsidRPr="000B4814">
        <w:rPr>
          <w:rFonts w:asciiTheme="majorBidi" w:eastAsiaTheme="minorHAnsi" w:hAnsiTheme="majorBidi" w:cstheme="majorBidi"/>
          <w:sz w:val="24"/>
          <w:szCs w:val="24"/>
          <w:lang w:eastAsia="en-US"/>
        </w:rPr>
        <w:t>Wijs</w:t>
      </w:r>
      <w:proofErr w:type="spellEnd"/>
      <w:r w:rsidRPr="000B4814">
        <w:rPr>
          <w:rFonts w:asciiTheme="majorBidi" w:eastAsiaTheme="minorHAnsi" w:hAnsiTheme="majorBidi" w:cstheme="majorBidi"/>
          <w:sz w:val="24"/>
          <w:szCs w:val="24"/>
          <w:lang w:eastAsia="en-US"/>
        </w:rPr>
        <w:t>. Après un temps donné, addition d’iodure de potassium et d’eau, et titrage de l’iode libéré par une solution de thiosulfate de sodium.</w:t>
      </w:r>
    </w:p>
    <w:p w:rsidR="000B4814" w:rsidRPr="000B4814" w:rsidRDefault="000B4814" w:rsidP="00DD066C">
      <w:pPr>
        <w:autoSpaceDE w:val="0"/>
        <w:autoSpaceDN w:val="0"/>
        <w:adjustRightInd w:val="0"/>
        <w:spacing w:line="360" w:lineRule="auto"/>
        <w:rPr>
          <w:rFonts w:asciiTheme="majorBidi" w:eastAsiaTheme="minorHAnsi" w:hAnsiTheme="majorBidi" w:cstheme="majorBidi"/>
          <w:sz w:val="28"/>
          <w:szCs w:val="28"/>
          <w:lang w:eastAsia="en-US"/>
        </w:rPr>
      </w:pPr>
    </w:p>
    <w:p w:rsidR="009D2C31" w:rsidRDefault="009D2C31" w:rsidP="00DD066C">
      <w:pPr>
        <w:pStyle w:val="Paragraphedeliste"/>
        <w:numPr>
          <w:ilvl w:val="0"/>
          <w:numId w:val="6"/>
        </w:numPr>
        <w:spacing w:line="360" w:lineRule="auto"/>
        <w:ind w:right="424"/>
        <w:rPr>
          <w:b/>
          <w:sz w:val="24"/>
          <w:szCs w:val="24"/>
        </w:rPr>
      </w:pPr>
      <w:r w:rsidRPr="00C71F46">
        <w:rPr>
          <w:b/>
          <w:sz w:val="24"/>
          <w:szCs w:val="24"/>
        </w:rPr>
        <w:t>OBJET DU MODE OPERATOIRE:</w:t>
      </w:r>
    </w:p>
    <w:p w:rsidR="009D2C31" w:rsidRDefault="009D2C31" w:rsidP="00DD066C">
      <w:pPr>
        <w:autoSpaceDE w:val="0"/>
        <w:autoSpaceDN w:val="0"/>
        <w:adjustRightInd w:val="0"/>
        <w:spacing w:line="360" w:lineRule="auto"/>
        <w:ind w:left="284" w:right="424" w:firstLine="424"/>
        <w:rPr>
          <w:bCs/>
          <w:sz w:val="24"/>
          <w:szCs w:val="24"/>
        </w:rPr>
      </w:pPr>
    </w:p>
    <w:p w:rsidR="009D2C31" w:rsidRPr="000B4814" w:rsidRDefault="009D2C31" w:rsidP="00DD066C">
      <w:pPr>
        <w:autoSpaceDE w:val="0"/>
        <w:autoSpaceDN w:val="0"/>
        <w:adjustRightInd w:val="0"/>
        <w:spacing w:line="360" w:lineRule="auto"/>
        <w:ind w:left="284" w:right="424" w:firstLine="424"/>
        <w:jc w:val="both"/>
        <w:rPr>
          <w:rFonts w:eastAsiaTheme="minorHAnsi"/>
          <w:sz w:val="24"/>
          <w:szCs w:val="24"/>
          <w:lang w:eastAsia="en-US"/>
        </w:rPr>
      </w:pPr>
      <w:r w:rsidRPr="000B4814">
        <w:rPr>
          <w:bCs/>
          <w:sz w:val="24"/>
          <w:szCs w:val="24"/>
        </w:rPr>
        <w:t xml:space="preserve">Le présent mode opératoire a pour objet de définir </w:t>
      </w:r>
      <w:r w:rsidRPr="000B4814">
        <w:rPr>
          <w:rFonts w:eastAsiaTheme="minorHAnsi"/>
          <w:sz w:val="24"/>
          <w:szCs w:val="24"/>
          <w:lang w:eastAsia="en-US"/>
        </w:rPr>
        <w:t xml:space="preserve">une technique pratique de détermination de </w:t>
      </w:r>
      <w:r w:rsidR="000B4814" w:rsidRPr="000B4814">
        <w:rPr>
          <w:rFonts w:asciiTheme="majorBidi" w:eastAsiaTheme="minorHAnsi" w:hAnsiTheme="majorBidi" w:cstheme="majorBidi"/>
          <w:sz w:val="24"/>
          <w:szCs w:val="24"/>
          <w:lang w:eastAsia="en-US"/>
        </w:rPr>
        <w:t>l’indice d’iode pour les corps gras d’origines animale et végétale</w:t>
      </w:r>
      <w:r w:rsidRPr="000B4814">
        <w:rPr>
          <w:sz w:val="24"/>
          <w:szCs w:val="24"/>
        </w:rPr>
        <w:t>.</w:t>
      </w:r>
    </w:p>
    <w:p w:rsidR="009D2C31" w:rsidRPr="007F5B5F" w:rsidRDefault="009D2C31" w:rsidP="00DD066C">
      <w:pPr>
        <w:spacing w:line="360" w:lineRule="auto"/>
        <w:ind w:left="284" w:right="424"/>
        <w:jc w:val="both"/>
        <w:rPr>
          <w:sz w:val="22"/>
          <w:szCs w:val="22"/>
        </w:rPr>
      </w:pPr>
    </w:p>
    <w:p w:rsidR="009D2C31" w:rsidRPr="00C71F46" w:rsidRDefault="009D2C31" w:rsidP="00DD066C">
      <w:pPr>
        <w:spacing w:line="360" w:lineRule="auto"/>
        <w:ind w:right="424"/>
        <w:rPr>
          <w:b/>
          <w:sz w:val="24"/>
          <w:szCs w:val="24"/>
        </w:rPr>
      </w:pPr>
    </w:p>
    <w:p w:rsidR="009D2C31" w:rsidRPr="00C71F46" w:rsidRDefault="009D2C31" w:rsidP="00DD066C">
      <w:pPr>
        <w:pStyle w:val="Paragraphedeliste"/>
        <w:numPr>
          <w:ilvl w:val="0"/>
          <w:numId w:val="6"/>
        </w:numPr>
        <w:autoSpaceDE w:val="0"/>
        <w:autoSpaceDN w:val="0"/>
        <w:adjustRightInd w:val="0"/>
        <w:spacing w:line="360" w:lineRule="auto"/>
        <w:ind w:right="424"/>
        <w:jc w:val="both"/>
        <w:rPr>
          <w:rFonts w:eastAsiaTheme="minorHAnsi"/>
          <w:b/>
          <w:bCs/>
          <w:color w:val="000000"/>
          <w:sz w:val="24"/>
          <w:szCs w:val="24"/>
          <w:lang w:eastAsia="en-US"/>
        </w:rPr>
      </w:pPr>
      <w:r w:rsidRPr="00C249AD">
        <w:rPr>
          <w:b/>
          <w:sz w:val="24"/>
          <w:szCs w:val="24"/>
        </w:rPr>
        <w:t xml:space="preserve">DOMAINE D’APPLICATION :    </w:t>
      </w:r>
    </w:p>
    <w:p w:rsidR="009D2C31" w:rsidRDefault="009D2C31" w:rsidP="00DD066C">
      <w:pPr>
        <w:spacing w:line="360" w:lineRule="auto"/>
        <w:ind w:left="284" w:right="424" w:firstLine="424"/>
        <w:jc w:val="both"/>
        <w:rPr>
          <w:bCs/>
          <w:sz w:val="24"/>
          <w:szCs w:val="24"/>
        </w:rPr>
      </w:pPr>
    </w:p>
    <w:p w:rsidR="009D2C31" w:rsidRPr="00C249AD" w:rsidRDefault="009D2C31" w:rsidP="00DD066C">
      <w:pPr>
        <w:spacing w:line="360" w:lineRule="auto"/>
        <w:ind w:left="284" w:right="424" w:firstLine="424"/>
        <w:jc w:val="both"/>
        <w:rPr>
          <w:b/>
          <w:sz w:val="24"/>
          <w:szCs w:val="24"/>
        </w:rPr>
      </w:pPr>
      <w:r w:rsidRPr="00C249AD">
        <w:rPr>
          <w:bCs/>
          <w:sz w:val="24"/>
          <w:szCs w:val="24"/>
        </w:rPr>
        <w:t xml:space="preserve">Le présent mode opératoire s’applique à  tous les échantillons </w:t>
      </w:r>
      <w:r>
        <w:rPr>
          <w:bCs/>
          <w:sz w:val="24"/>
          <w:szCs w:val="24"/>
        </w:rPr>
        <w:t>d</w:t>
      </w:r>
      <w:r w:rsidR="004833B3">
        <w:rPr>
          <w:bCs/>
          <w:sz w:val="24"/>
          <w:szCs w:val="24"/>
        </w:rPr>
        <w:t>e</w:t>
      </w:r>
      <w:r>
        <w:rPr>
          <w:bCs/>
          <w:sz w:val="24"/>
          <w:szCs w:val="24"/>
        </w:rPr>
        <w:t xml:space="preserve"> </w:t>
      </w:r>
      <w:r w:rsidR="004833B3" w:rsidRPr="000B4814">
        <w:rPr>
          <w:rFonts w:asciiTheme="majorBidi" w:eastAsiaTheme="minorHAnsi" w:hAnsiTheme="majorBidi" w:cstheme="majorBidi"/>
          <w:sz w:val="24"/>
          <w:szCs w:val="24"/>
          <w:lang w:eastAsia="en-US"/>
        </w:rPr>
        <w:t>corps gras d’origine végétale au niveau du processus production de la</w:t>
      </w:r>
      <w:r w:rsidRPr="00C249AD">
        <w:rPr>
          <w:sz w:val="24"/>
          <w:szCs w:val="24"/>
        </w:rPr>
        <w:t xml:space="preserve"> Biscuiterie, Chocolaterie et confiserie SOBCO</w:t>
      </w:r>
      <w:r w:rsidRPr="00C249AD">
        <w:rPr>
          <w:b/>
          <w:sz w:val="24"/>
          <w:szCs w:val="24"/>
        </w:rPr>
        <w:t>.</w:t>
      </w:r>
    </w:p>
    <w:p w:rsidR="009D2C31" w:rsidRPr="00C71F46" w:rsidRDefault="009D2C31" w:rsidP="00DD066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9D2C31" w:rsidRPr="00DD066C" w:rsidRDefault="009D2C31" w:rsidP="00DD066C">
      <w:pPr>
        <w:pStyle w:val="Paragraphedeliste"/>
        <w:numPr>
          <w:ilvl w:val="0"/>
          <w:numId w:val="6"/>
        </w:numPr>
        <w:autoSpaceDE w:val="0"/>
        <w:autoSpaceDN w:val="0"/>
        <w:adjustRightInd w:val="0"/>
        <w:spacing w:line="360" w:lineRule="auto"/>
        <w:ind w:right="424"/>
        <w:jc w:val="both"/>
        <w:rPr>
          <w:rFonts w:eastAsiaTheme="minorHAnsi"/>
          <w:b/>
          <w:bCs/>
          <w:color w:val="000000"/>
          <w:sz w:val="24"/>
          <w:szCs w:val="24"/>
          <w:lang w:eastAsia="en-US"/>
        </w:rPr>
      </w:pPr>
      <w:r w:rsidRPr="00C249AD">
        <w:rPr>
          <w:b/>
          <w:sz w:val="24"/>
          <w:szCs w:val="24"/>
        </w:rPr>
        <w:t>DOCUMENTS DE REFERENCE :</w:t>
      </w:r>
    </w:p>
    <w:p w:rsidR="00DD066C" w:rsidRPr="007F7721" w:rsidRDefault="00DD066C" w:rsidP="00DD066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4833B3" w:rsidRDefault="004833B3" w:rsidP="00DD066C">
      <w:pPr>
        <w:autoSpaceDE w:val="0"/>
        <w:autoSpaceDN w:val="0"/>
        <w:adjustRightInd w:val="0"/>
        <w:spacing w:line="360" w:lineRule="auto"/>
        <w:ind w:firstLine="284"/>
        <w:rPr>
          <w:rFonts w:asciiTheme="majorBidi" w:eastAsiaTheme="minorHAnsi" w:hAnsiTheme="majorBidi" w:cstheme="majorBidi"/>
          <w:sz w:val="24"/>
          <w:szCs w:val="24"/>
          <w:lang w:eastAsia="en-US"/>
        </w:rPr>
      </w:pPr>
      <w:r>
        <w:rPr>
          <w:sz w:val="24"/>
          <w:szCs w:val="24"/>
        </w:rPr>
        <w:t xml:space="preserve">- </w:t>
      </w:r>
      <w:r w:rsidRPr="004833B3">
        <w:rPr>
          <w:rFonts w:asciiTheme="majorBidi" w:hAnsiTheme="majorBidi" w:cstheme="majorBidi"/>
          <w:sz w:val="24"/>
          <w:szCs w:val="24"/>
        </w:rPr>
        <w:t xml:space="preserve">Norme Internationale ISO 3961 </w:t>
      </w:r>
      <w:r>
        <w:rPr>
          <w:rFonts w:asciiTheme="majorBidi" w:hAnsiTheme="majorBidi" w:cstheme="majorBidi"/>
          <w:sz w:val="24"/>
          <w:szCs w:val="24"/>
        </w:rPr>
        <w:t>(</w:t>
      </w:r>
      <w:r w:rsidRPr="004833B3">
        <w:rPr>
          <w:rFonts w:asciiTheme="majorBidi" w:eastAsiaTheme="minorHAnsi" w:hAnsiTheme="majorBidi" w:cstheme="majorBidi"/>
          <w:sz w:val="24"/>
          <w:szCs w:val="24"/>
          <w:lang w:eastAsia="en-US"/>
        </w:rPr>
        <w:t>Cinquième édition 2013-07-15</w:t>
      </w:r>
      <w:r>
        <w:rPr>
          <w:rFonts w:asciiTheme="majorBidi" w:eastAsiaTheme="minorHAnsi" w:hAnsiTheme="majorBidi" w:cstheme="majorBidi"/>
          <w:sz w:val="24"/>
          <w:szCs w:val="24"/>
          <w:lang w:eastAsia="en-US"/>
        </w:rPr>
        <w:t>)</w:t>
      </w:r>
      <w:r w:rsidRPr="004833B3">
        <w:rPr>
          <w:rFonts w:asciiTheme="majorBidi" w:eastAsiaTheme="minorHAnsi" w:hAnsiTheme="majorBidi" w:cstheme="majorBidi"/>
          <w:sz w:val="24"/>
          <w:szCs w:val="24"/>
          <w:lang w:eastAsia="en-US"/>
        </w:rPr>
        <w:t>.</w:t>
      </w:r>
    </w:p>
    <w:p w:rsidR="00DD066C" w:rsidRPr="004833B3" w:rsidRDefault="00DD066C" w:rsidP="00DD066C">
      <w:pPr>
        <w:autoSpaceDE w:val="0"/>
        <w:autoSpaceDN w:val="0"/>
        <w:adjustRightInd w:val="0"/>
        <w:spacing w:line="360" w:lineRule="auto"/>
        <w:ind w:firstLine="284"/>
        <w:rPr>
          <w:rFonts w:asciiTheme="majorBidi" w:eastAsiaTheme="minorHAnsi" w:hAnsiTheme="majorBidi" w:cstheme="majorBidi"/>
          <w:sz w:val="24"/>
          <w:szCs w:val="24"/>
          <w:lang w:eastAsia="en-US"/>
        </w:rPr>
      </w:pPr>
    </w:p>
    <w:p w:rsidR="009D2C31" w:rsidRPr="007F7721" w:rsidRDefault="009D2C31" w:rsidP="00DD066C">
      <w:pPr>
        <w:pStyle w:val="Paragraphedeliste"/>
        <w:numPr>
          <w:ilvl w:val="0"/>
          <w:numId w:val="6"/>
        </w:numPr>
        <w:autoSpaceDE w:val="0"/>
        <w:autoSpaceDN w:val="0"/>
        <w:adjustRightInd w:val="0"/>
        <w:spacing w:line="360" w:lineRule="auto"/>
        <w:ind w:right="424"/>
        <w:jc w:val="both"/>
        <w:rPr>
          <w:rFonts w:eastAsiaTheme="minorHAnsi"/>
          <w:b/>
          <w:bCs/>
          <w:color w:val="000000"/>
          <w:sz w:val="24"/>
          <w:szCs w:val="24"/>
          <w:lang w:eastAsia="en-US"/>
        </w:rPr>
      </w:pPr>
      <w:r w:rsidRPr="00C249AD">
        <w:rPr>
          <w:b/>
          <w:sz w:val="24"/>
          <w:szCs w:val="24"/>
        </w:rPr>
        <w:t>DEFINITIONS ET ABREVIATIONS:</w:t>
      </w:r>
    </w:p>
    <w:p w:rsidR="0022549A" w:rsidRDefault="0022549A" w:rsidP="00DD066C">
      <w:pPr>
        <w:pStyle w:val="Paragraphedeliste"/>
        <w:autoSpaceDE w:val="0"/>
        <w:autoSpaceDN w:val="0"/>
        <w:adjustRightInd w:val="0"/>
        <w:spacing w:line="360" w:lineRule="auto"/>
        <w:ind w:left="1004" w:right="424"/>
        <w:jc w:val="both"/>
        <w:rPr>
          <w:rFonts w:asciiTheme="majorBidi" w:eastAsiaTheme="minorHAnsi" w:hAnsiTheme="majorBidi" w:cstheme="majorBidi"/>
          <w:b/>
          <w:bCs/>
          <w:color w:val="231F20"/>
          <w:sz w:val="24"/>
          <w:szCs w:val="24"/>
          <w:lang w:eastAsia="en-US"/>
        </w:rPr>
      </w:pPr>
    </w:p>
    <w:p w:rsidR="0022549A" w:rsidRPr="0022549A" w:rsidRDefault="0022549A" w:rsidP="00DD066C">
      <w:pPr>
        <w:pStyle w:val="Paragraphedeliste"/>
        <w:autoSpaceDE w:val="0"/>
        <w:autoSpaceDN w:val="0"/>
        <w:adjustRightInd w:val="0"/>
        <w:spacing w:line="360" w:lineRule="auto"/>
        <w:ind w:left="1004" w:right="424" w:hanging="720"/>
        <w:jc w:val="both"/>
        <w:rPr>
          <w:rFonts w:asciiTheme="majorBidi" w:eastAsiaTheme="minorHAnsi" w:hAnsiTheme="majorBidi" w:cstheme="majorBidi"/>
          <w:sz w:val="24"/>
          <w:szCs w:val="24"/>
          <w:lang w:eastAsia="en-US"/>
        </w:rPr>
      </w:pPr>
      <w:r w:rsidRPr="0022549A">
        <w:rPr>
          <w:rFonts w:asciiTheme="majorBidi" w:eastAsiaTheme="minorHAnsi" w:hAnsiTheme="majorBidi" w:cstheme="majorBidi"/>
          <w:sz w:val="24"/>
          <w:szCs w:val="24"/>
          <w:lang w:eastAsia="en-US"/>
        </w:rPr>
        <w:t xml:space="preserve">II : Indice d’iode </w:t>
      </w:r>
    </w:p>
    <w:p w:rsidR="009D2C31" w:rsidRDefault="009D2C31" w:rsidP="00DD066C">
      <w:pPr>
        <w:spacing w:line="360" w:lineRule="auto"/>
        <w:ind w:left="284" w:right="424"/>
        <w:rPr>
          <w:bCs/>
          <w:color w:val="000000"/>
          <w:sz w:val="24"/>
          <w:szCs w:val="24"/>
        </w:rPr>
      </w:pPr>
      <w:proofErr w:type="gramStart"/>
      <w:r w:rsidRPr="00EF4643">
        <w:rPr>
          <w:rFonts w:asciiTheme="majorBidi" w:hAnsiTheme="majorBidi" w:cstheme="majorBidi"/>
          <w:sz w:val="24"/>
          <w:szCs w:val="24"/>
        </w:rPr>
        <w:t>m</w:t>
      </w:r>
      <w:r>
        <w:rPr>
          <w:rFonts w:asciiTheme="majorBidi" w:hAnsiTheme="majorBidi" w:cstheme="majorBidi"/>
          <w:sz w:val="24"/>
          <w:szCs w:val="24"/>
        </w:rPr>
        <w:t>l</w:t>
      </w:r>
      <w:proofErr w:type="gramEnd"/>
      <w:r w:rsidRPr="00EF4643">
        <w:rPr>
          <w:b/>
          <w:color w:val="000000"/>
          <w:sz w:val="24"/>
          <w:szCs w:val="24"/>
        </w:rPr>
        <w:t>:</w:t>
      </w:r>
      <w:r w:rsidRPr="00EF4643">
        <w:rPr>
          <w:b/>
          <w:color w:val="FF0000"/>
          <w:sz w:val="24"/>
          <w:szCs w:val="24"/>
        </w:rPr>
        <w:t xml:space="preserve">   </w:t>
      </w:r>
      <w:r w:rsidRPr="00EF4643">
        <w:rPr>
          <w:bCs/>
          <w:color w:val="000000"/>
          <w:sz w:val="24"/>
          <w:szCs w:val="24"/>
        </w:rPr>
        <w:t>millilitre.</w:t>
      </w:r>
    </w:p>
    <w:p w:rsidR="009D2C31" w:rsidRDefault="009D2C31" w:rsidP="00DD066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E951D4" w:rsidRPr="007F7721" w:rsidRDefault="00E951D4" w:rsidP="00DD066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9D2C31" w:rsidRPr="008863B2" w:rsidRDefault="009D2C31" w:rsidP="00DD066C">
      <w:pPr>
        <w:pStyle w:val="Paragraphedeliste"/>
        <w:numPr>
          <w:ilvl w:val="0"/>
          <w:numId w:val="6"/>
        </w:numPr>
        <w:autoSpaceDE w:val="0"/>
        <w:autoSpaceDN w:val="0"/>
        <w:adjustRightInd w:val="0"/>
        <w:spacing w:line="360" w:lineRule="auto"/>
        <w:ind w:right="424"/>
        <w:jc w:val="both"/>
        <w:rPr>
          <w:rFonts w:eastAsiaTheme="minorHAnsi"/>
          <w:b/>
          <w:bCs/>
          <w:color w:val="000000"/>
          <w:sz w:val="24"/>
          <w:szCs w:val="24"/>
          <w:lang w:eastAsia="en-US"/>
        </w:rPr>
      </w:pPr>
      <w:r w:rsidRPr="00C249AD">
        <w:rPr>
          <w:b/>
          <w:sz w:val="24"/>
          <w:szCs w:val="24"/>
        </w:rPr>
        <w:lastRenderedPageBreak/>
        <w:t>RESPONSABILITÉS :</w:t>
      </w:r>
    </w:p>
    <w:p w:rsidR="009D2C31" w:rsidRPr="008863B2" w:rsidRDefault="009D2C31" w:rsidP="00DD066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9D2C31" w:rsidRPr="00C249AD" w:rsidRDefault="009D2C31" w:rsidP="00DD066C">
      <w:pPr>
        <w:spacing w:line="360" w:lineRule="auto"/>
        <w:ind w:left="284" w:right="424"/>
        <w:jc w:val="both"/>
        <w:rPr>
          <w:bCs/>
          <w:sz w:val="24"/>
          <w:szCs w:val="24"/>
        </w:rPr>
      </w:pPr>
      <w:r w:rsidRPr="00C249AD">
        <w:rPr>
          <w:bCs/>
          <w:sz w:val="24"/>
          <w:szCs w:val="24"/>
        </w:rPr>
        <w:t xml:space="preserve">-  Le Responsable Contrôle Qualité  a la responsabilité de la vérification de l’application et de la mise à  jour du présent mode  opératoire. </w:t>
      </w:r>
    </w:p>
    <w:p w:rsidR="009D2C31" w:rsidRPr="00C249AD" w:rsidRDefault="009D2C31" w:rsidP="00DD066C">
      <w:pPr>
        <w:pStyle w:val="En-tte"/>
        <w:tabs>
          <w:tab w:val="clear" w:pos="4536"/>
          <w:tab w:val="clear" w:pos="9072"/>
        </w:tabs>
        <w:spacing w:line="360" w:lineRule="auto"/>
        <w:ind w:left="284" w:right="424"/>
        <w:jc w:val="both"/>
        <w:rPr>
          <w:sz w:val="24"/>
          <w:szCs w:val="24"/>
        </w:rPr>
      </w:pPr>
      <w:r w:rsidRPr="00C249AD">
        <w:rPr>
          <w:sz w:val="24"/>
          <w:szCs w:val="24"/>
        </w:rPr>
        <w:t>-  L’ingénieur et le technicien du laboratoire ont  la responsabilité de la stricte application du présent    mode opératoire.</w:t>
      </w:r>
    </w:p>
    <w:p w:rsidR="009D2C31" w:rsidRPr="008863B2" w:rsidRDefault="009D2C31" w:rsidP="00DD066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9D2C31" w:rsidRPr="00257DCE" w:rsidRDefault="009D2C31" w:rsidP="00DD066C">
      <w:pPr>
        <w:pStyle w:val="Paragraphedeliste"/>
        <w:numPr>
          <w:ilvl w:val="0"/>
          <w:numId w:val="6"/>
        </w:numPr>
        <w:autoSpaceDE w:val="0"/>
        <w:autoSpaceDN w:val="0"/>
        <w:adjustRightInd w:val="0"/>
        <w:spacing w:line="360" w:lineRule="auto"/>
        <w:ind w:right="424"/>
        <w:jc w:val="both"/>
        <w:rPr>
          <w:rFonts w:eastAsiaTheme="minorHAnsi"/>
          <w:b/>
          <w:bCs/>
          <w:color w:val="000000"/>
          <w:sz w:val="24"/>
          <w:szCs w:val="24"/>
          <w:lang w:eastAsia="en-US"/>
        </w:rPr>
      </w:pPr>
      <w:r w:rsidRPr="00C249AD">
        <w:rPr>
          <w:b/>
          <w:sz w:val="24"/>
          <w:szCs w:val="24"/>
        </w:rPr>
        <w:t xml:space="preserve">CONTENU :   </w:t>
      </w:r>
    </w:p>
    <w:p w:rsidR="009D2C31" w:rsidRPr="006C7E2A" w:rsidRDefault="009D2C31" w:rsidP="00DD066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9D2C31" w:rsidRDefault="009D2C31" w:rsidP="00DD066C">
      <w:pPr>
        <w:numPr>
          <w:ilvl w:val="0"/>
          <w:numId w:val="1"/>
        </w:numPr>
        <w:spacing w:line="360" w:lineRule="auto"/>
        <w:ind w:left="284" w:right="424" w:firstLine="0"/>
        <w:rPr>
          <w:b/>
          <w:bCs/>
          <w:sz w:val="24"/>
          <w:szCs w:val="24"/>
          <w:u w:val="single"/>
        </w:rPr>
      </w:pPr>
      <w:r w:rsidRPr="00C249AD">
        <w:rPr>
          <w:b/>
          <w:bCs/>
          <w:sz w:val="24"/>
          <w:szCs w:val="24"/>
          <w:u w:val="single"/>
        </w:rPr>
        <w:t>Moyens matériels :</w:t>
      </w:r>
    </w:p>
    <w:p w:rsidR="009D2C31" w:rsidRDefault="009D2C31" w:rsidP="00DD066C">
      <w:pPr>
        <w:spacing w:line="360" w:lineRule="auto"/>
        <w:ind w:left="284" w:right="424"/>
        <w:rPr>
          <w:b/>
          <w:bCs/>
          <w:sz w:val="24"/>
          <w:szCs w:val="24"/>
          <w:u w:val="single"/>
        </w:rPr>
      </w:pPr>
    </w:p>
    <w:p w:rsidR="0081433F" w:rsidRPr="00DD066C" w:rsidRDefault="0081433F" w:rsidP="00DD066C">
      <w:pPr>
        <w:autoSpaceDE w:val="0"/>
        <w:autoSpaceDN w:val="0"/>
        <w:adjustRightInd w:val="0"/>
        <w:spacing w:line="360" w:lineRule="auto"/>
        <w:rPr>
          <w:rFonts w:asciiTheme="majorBidi" w:eastAsiaTheme="minorHAnsi" w:hAnsiTheme="majorBidi" w:cstheme="majorBidi"/>
          <w:sz w:val="24"/>
          <w:szCs w:val="24"/>
          <w:lang w:eastAsia="en-US"/>
        </w:rPr>
      </w:pPr>
      <w:r w:rsidRPr="00DD066C">
        <w:rPr>
          <w:rFonts w:asciiTheme="majorBidi" w:eastAsiaTheme="minorHAnsi" w:hAnsiTheme="majorBidi" w:cstheme="majorBidi"/>
          <w:sz w:val="24"/>
          <w:szCs w:val="24"/>
          <w:lang w:eastAsia="en-US"/>
        </w:rPr>
        <w:t>Matériel courant de laboratoire et, en particulier, ce qui suit.</w:t>
      </w:r>
    </w:p>
    <w:p w:rsidR="007A3795" w:rsidRPr="00DD066C" w:rsidRDefault="007A3795" w:rsidP="00DD066C">
      <w:pPr>
        <w:autoSpaceDE w:val="0"/>
        <w:autoSpaceDN w:val="0"/>
        <w:adjustRightInd w:val="0"/>
        <w:spacing w:line="360" w:lineRule="auto"/>
        <w:rPr>
          <w:rFonts w:asciiTheme="majorBidi" w:eastAsiaTheme="minorHAnsi" w:hAnsiTheme="majorBidi" w:cstheme="majorBidi"/>
          <w:sz w:val="24"/>
          <w:szCs w:val="24"/>
          <w:lang w:eastAsia="en-US"/>
        </w:rPr>
      </w:pPr>
    </w:p>
    <w:p w:rsidR="0081433F" w:rsidRPr="00DD066C" w:rsidRDefault="0081433F" w:rsidP="00DD066C">
      <w:pPr>
        <w:pStyle w:val="Paragraphedeliste"/>
        <w:numPr>
          <w:ilvl w:val="0"/>
          <w:numId w:val="7"/>
        </w:numPr>
        <w:autoSpaceDE w:val="0"/>
        <w:autoSpaceDN w:val="0"/>
        <w:adjustRightInd w:val="0"/>
        <w:spacing w:line="360" w:lineRule="auto"/>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Nacelles en verre</w:t>
      </w:r>
      <w:r w:rsidRPr="00DD066C">
        <w:rPr>
          <w:rFonts w:asciiTheme="majorBidi" w:eastAsiaTheme="minorHAnsi" w:hAnsiTheme="majorBidi" w:cstheme="majorBidi"/>
          <w:sz w:val="24"/>
          <w:szCs w:val="24"/>
          <w:lang w:eastAsia="en-US"/>
        </w:rPr>
        <w:t>, appropriées à la prise d’essai et pouvant être placées dan</w:t>
      </w:r>
      <w:r w:rsidR="00824510" w:rsidRPr="00DD066C">
        <w:rPr>
          <w:rFonts w:asciiTheme="majorBidi" w:eastAsiaTheme="minorHAnsi" w:hAnsiTheme="majorBidi" w:cstheme="majorBidi"/>
          <w:sz w:val="24"/>
          <w:szCs w:val="24"/>
          <w:lang w:eastAsia="en-US"/>
        </w:rPr>
        <w:t>s les fioles</w:t>
      </w:r>
      <w:r w:rsidRPr="00DD066C">
        <w:rPr>
          <w:rFonts w:asciiTheme="majorBidi" w:eastAsiaTheme="minorHAnsi" w:hAnsiTheme="majorBidi" w:cstheme="majorBidi"/>
          <w:sz w:val="24"/>
          <w:szCs w:val="24"/>
          <w:lang w:eastAsia="en-US"/>
        </w:rPr>
        <w:t>.</w:t>
      </w:r>
    </w:p>
    <w:p w:rsidR="0081433F" w:rsidRPr="00DD066C" w:rsidRDefault="0081433F" w:rsidP="00DD066C">
      <w:pPr>
        <w:pStyle w:val="Paragraphedeliste"/>
        <w:numPr>
          <w:ilvl w:val="0"/>
          <w:numId w:val="7"/>
        </w:numPr>
        <w:autoSpaceDE w:val="0"/>
        <w:autoSpaceDN w:val="0"/>
        <w:adjustRightInd w:val="0"/>
        <w:spacing w:line="360" w:lineRule="auto"/>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Fioles coniques</w:t>
      </w:r>
      <w:r w:rsidRPr="00DD066C">
        <w:rPr>
          <w:rFonts w:asciiTheme="majorBidi" w:eastAsiaTheme="minorHAnsi" w:hAnsiTheme="majorBidi" w:cstheme="majorBidi"/>
          <w:sz w:val="24"/>
          <w:szCs w:val="24"/>
          <w:lang w:eastAsia="en-US"/>
        </w:rPr>
        <w:t xml:space="preserve">, de 500 ml de capacité, munies de bouchons rodés en verre et sans aucune </w:t>
      </w:r>
    </w:p>
    <w:p w:rsidR="0081433F" w:rsidRPr="00DD066C" w:rsidRDefault="0081433F" w:rsidP="00DD066C">
      <w:pPr>
        <w:autoSpaceDE w:val="0"/>
        <w:autoSpaceDN w:val="0"/>
        <w:adjustRightInd w:val="0"/>
        <w:spacing w:line="360" w:lineRule="auto"/>
        <w:ind w:left="709"/>
        <w:jc w:val="both"/>
        <w:rPr>
          <w:rFonts w:asciiTheme="majorBidi" w:eastAsiaTheme="minorHAnsi" w:hAnsiTheme="majorBidi" w:cstheme="majorBidi"/>
          <w:sz w:val="24"/>
          <w:szCs w:val="24"/>
          <w:lang w:eastAsia="en-US"/>
        </w:rPr>
      </w:pPr>
      <w:proofErr w:type="gramStart"/>
      <w:r w:rsidRPr="00DD066C">
        <w:rPr>
          <w:rFonts w:asciiTheme="majorBidi" w:eastAsiaTheme="minorHAnsi" w:hAnsiTheme="majorBidi" w:cstheme="majorBidi"/>
          <w:sz w:val="24"/>
          <w:szCs w:val="24"/>
          <w:lang w:eastAsia="en-US"/>
        </w:rPr>
        <w:t>trace</w:t>
      </w:r>
      <w:proofErr w:type="gramEnd"/>
      <w:r w:rsidRPr="00DD066C">
        <w:rPr>
          <w:rFonts w:asciiTheme="majorBidi" w:eastAsiaTheme="minorHAnsi" w:hAnsiTheme="majorBidi" w:cstheme="majorBidi"/>
          <w:sz w:val="24"/>
          <w:szCs w:val="24"/>
          <w:lang w:eastAsia="en-US"/>
        </w:rPr>
        <w:t xml:space="preserve"> d’humidité.</w:t>
      </w:r>
    </w:p>
    <w:p w:rsidR="0081433F" w:rsidRPr="00DD066C" w:rsidRDefault="0081433F" w:rsidP="00DD066C">
      <w:pPr>
        <w:pStyle w:val="Paragraphedeliste"/>
        <w:numPr>
          <w:ilvl w:val="0"/>
          <w:numId w:val="7"/>
        </w:numPr>
        <w:autoSpaceDE w:val="0"/>
        <w:autoSpaceDN w:val="0"/>
        <w:adjustRightInd w:val="0"/>
        <w:spacing w:line="360" w:lineRule="auto"/>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Balance analytique</w:t>
      </w:r>
      <w:r w:rsidRPr="00DD066C">
        <w:rPr>
          <w:rFonts w:asciiTheme="majorBidi" w:eastAsiaTheme="minorHAnsi" w:hAnsiTheme="majorBidi" w:cstheme="majorBidi"/>
          <w:sz w:val="24"/>
          <w:szCs w:val="24"/>
          <w:lang w:eastAsia="en-US"/>
        </w:rPr>
        <w:t>, précision de lecture de 0,000 1 g et précision de pesage de 0,001 g.</w:t>
      </w:r>
    </w:p>
    <w:p w:rsidR="0081433F" w:rsidRPr="00DD066C" w:rsidRDefault="0081433F" w:rsidP="00DD066C">
      <w:pPr>
        <w:pStyle w:val="Paragraphedeliste"/>
        <w:numPr>
          <w:ilvl w:val="0"/>
          <w:numId w:val="7"/>
        </w:numPr>
        <w:autoSpaceDE w:val="0"/>
        <w:autoSpaceDN w:val="0"/>
        <w:adjustRightInd w:val="0"/>
        <w:spacing w:line="360" w:lineRule="auto"/>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Fiole jaugée</w:t>
      </w:r>
      <w:r w:rsidRPr="00DD066C">
        <w:rPr>
          <w:rFonts w:asciiTheme="majorBidi" w:eastAsiaTheme="minorHAnsi" w:hAnsiTheme="majorBidi" w:cstheme="majorBidi"/>
          <w:sz w:val="24"/>
          <w:szCs w:val="24"/>
          <w:lang w:eastAsia="en-US"/>
        </w:rPr>
        <w:t>, de 1 000 ml d</w:t>
      </w:r>
      <w:r w:rsidR="00824510" w:rsidRPr="00DD066C">
        <w:rPr>
          <w:rFonts w:asciiTheme="majorBidi" w:eastAsiaTheme="minorHAnsi" w:hAnsiTheme="majorBidi" w:cstheme="majorBidi"/>
          <w:sz w:val="24"/>
          <w:szCs w:val="24"/>
          <w:lang w:eastAsia="en-US"/>
        </w:rPr>
        <w:t>e capacité.</w:t>
      </w:r>
    </w:p>
    <w:p w:rsidR="0081433F" w:rsidRPr="00DD066C" w:rsidRDefault="0081433F" w:rsidP="00DD066C">
      <w:pPr>
        <w:pStyle w:val="Paragraphedeliste"/>
        <w:numPr>
          <w:ilvl w:val="0"/>
          <w:numId w:val="7"/>
        </w:numPr>
        <w:autoSpaceDE w:val="0"/>
        <w:autoSpaceDN w:val="0"/>
        <w:adjustRightInd w:val="0"/>
        <w:spacing w:line="360" w:lineRule="auto"/>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Pipette</w:t>
      </w:r>
      <w:r w:rsidRPr="00DD066C">
        <w:rPr>
          <w:rFonts w:asciiTheme="majorBidi" w:eastAsiaTheme="minorHAnsi" w:hAnsiTheme="majorBidi" w:cstheme="majorBidi"/>
          <w:sz w:val="24"/>
          <w:szCs w:val="24"/>
          <w:lang w:eastAsia="en-US"/>
        </w:rPr>
        <w:t>, de 25 ml de c</w:t>
      </w:r>
      <w:r w:rsidR="00824510" w:rsidRPr="00DD066C">
        <w:rPr>
          <w:rFonts w:asciiTheme="majorBidi" w:eastAsiaTheme="minorHAnsi" w:hAnsiTheme="majorBidi" w:cstheme="majorBidi"/>
          <w:sz w:val="24"/>
          <w:szCs w:val="24"/>
          <w:lang w:eastAsia="en-US"/>
        </w:rPr>
        <w:t xml:space="preserve">apacité, automatique </w:t>
      </w:r>
      <w:r w:rsidRPr="00DD066C">
        <w:rPr>
          <w:rFonts w:asciiTheme="majorBidi" w:eastAsiaTheme="minorHAnsi" w:hAnsiTheme="majorBidi" w:cstheme="majorBidi"/>
          <w:sz w:val="24"/>
          <w:szCs w:val="24"/>
          <w:lang w:eastAsia="en-US"/>
        </w:rPr>
        <w:t>équipée d’un réservoir d’aspiration.</w:t>
      </w:r>
    </w:p>
    <w:p w:rsidR="009D2C31" w:rsidRPr="00DD066C" w:rsidRDefault="0081433F" w:rsidP="00DD066C">
      <w:pPr>
        <w:pStyle w:val="Paragraphedeliste"/>
        <w:numPr>
          <w:ilvl w:val="0"/>
          <w:numId w:val="7"/>
        </w:numPr>
        <w:autoSpaceDE w:val="0"/>
        <w:autoSpaceDN w:val="0"/>
        <w:adjustRightInd w:val="0"/>
        <w:spacing w:line="360" w:lineRule="auto"/>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Burette,</w:t>
      </w:r>
      <w:r w:rsidRPr="00DD066C">
        <w:rPr>
          <w:rFonts w:asciiTheme="majorBidi" w:eastAsiaTheme="minorHAnsi" w:hAnsiTheme="majorBidi" w:cstheme="majorBidi"/>
          <w:sz w:val="24"/>
          <w:szCs w:val="24"/>
          <w:lang w:eastAsia="en-US"/>
        </w:rPr>
        <w:t xml:space="preserve"> 25 ml et 50 ml de capacité, graduée en divisions de 0,1 ml.</w:t>
      </w:r>
    </w:p>
    <w:p w:rsidR="0081433F" w:rsidRPr="0081433F" w:rsidRDefault="0081433F" w:rsidP="00DD066C">
      <w:pPr>
        <w:autoSpaceDE w:val="0"/>
        <w:autoSpaceDN w:val="0"/>
        <w:adjustRightInd w:val="0"/>
        <w:spacing w:line="360" w:lineRule="auto"/>
        <w:rPr>
          <w:rFonts w:asciiTheme="majorBidi" w:eastAsiaTheme="minorHAnsi" w:hAnsiTheme="majorBidi" w:cstheme="majorBidi"/>
          <w:sz w:val="24"/>
          <w:szCs w:val="24"/>
          <w:lang w:eastAsia="en-US"/>
        </w:rPr>
      </w:pPr>
    </w:p>
    <w:p w:rsidR="009D2C31" w:rsidRPr="000A5B76" w:rsidRDefault="009D2C31" w:rsidP="00DD066C">
      <w:pPr>
        <w:pStyle w:val="Paragraphedeliste"/>
        <w:numPr>
          <w:ilvl w:val="0"/>
          <w:numId w:val="1"/>
        </w:numPr>
        <w:tabs>
          <w:tab w:val="clear" w:pos="480"/>
          <w:tab w:val="num" w:pos="709"/>
        </w:tabs>
        <w:autoSpaceDE w:val="0"/>
        <w:autoSpaceDN w:val="0"/>
        <w:adjustRightInd w:val="0"/>
        <w:spacing w:line="360" w:lineRule="auto"/>
        <w:ind w:left="284" w:right="424" w:firstLine="0"/>
        <w:rPr>
          <w:rFonts w:eastAsiaTheme="minorHAnsi"/>
          <w:b/>
          <w:bCs/>
          <w:color w:val="000000"/>
          <w:sz w:val="24"/>
          <w:szCs w:val="24"/>
          <w:u w:val="single"/>
          <w:lang w:eastAsia="en-US"/>
        </w:rPr>
      </w:pPr>
      <w:r w:rsidRPr="000A5B76">
        <w:rPr>
          <w:rFonts w:eastAsiaTheme="minorHAnsi"/>
          <w:b/>
          <w:bCs/>
          <w:color w:val="000000"/>
          <w:sz w:val="24"/>
          <w:szCs w:val="24"/>
          <w:u w:val="single"/>
          <w:lang w:eastAsia="en-US"/>
        </w:rPr>
        <w:t>Réactifs :</w:t>
      </w:r>
    </w:p>
    <w:p w:rsidR="009D2C31" w:rsidRDefault="009D2C31" w:rsidP="00DD066C">
      <w:pPr>
        <w:spacing w:line="360" w:lineRule="auto"/>
        <w:ind w:left="284" w:right="424"/>
        <w:rPr>
          <w:rFonts w:eastAsiaTheme="minorHAnsi"/>
          <w:lang w:eastAsia="en-US"/>
        </w:rPr>
      </w:pPr>
    </w:p>
    <w:p w:rsidR="003C63FA" w:rsidRPr="00DD066C" w:rsidRDefault="003C63FA" w:rsidP="00DD066C">
      <w:pPr>
        <w:pStyle w:val="Paragraphedeliste"/>
        <w:numPr>
          <w:ilvl w:val="0"/>
          <w:numId w:val="7"/>
        </w:numPr>
        <w:autoSpaceDE w:val="0"/>
        <w:autoSpaceDN w:val="0"/>
        <w:adjustRightInd w:val="0"/>
        <w:spacing w:line="360" w:lineRule="auto"/>
        <w:ind w:right="424"/>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Eau</w:t>
      </w:r>
      <w:r w:rsidRPr="00DD066C">
        <w:rPr>
          <w:rFonts w:asciiTheme="majorBidi" w:eastAsiaTheme="minorHAnsi" w:hAnsiTheme="majorBidi" w:cstheme="majorBidi"/>
          <w:sz w:val="24"/>
          <w:szCs w:val="24"/>
          <w:lang w:eastAsia="en-US"/>
        </w:rPr>
        <w:t>.</w:t>
      </w:r>
    </w:p>
    <w:p w:rsidR="003C63FA" w:rsidRPr="00DD066C" w:rsidRDefault="003C63FA" w:rsidP="00DD066C">
      <w:pPr>
        <w:pStyle w:val="Paragraphedeliste"/>
        <w:numPr>
          <w:ilvl w:val="0"/>
          <w:numId w:val="7"/>
        </w:numPr>
        <w:autoSpaceDE w:val="0"/>
        <w:autoSpaceDN w:val="0"/>
        <w:adjustRightInd w:val="0"/>
        <w:spacing w:line="360" w:lineRule="auto"/>
        <w:ind w:right="424"/>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Iodure de potassium</w:t>
      </w:r>
      <w:r w:rsidRPr="00DD066C">
        <w:rPr>
          <w:rFonts w:asciiTheme="majorBidi" w:eastAsiaTheme="minorHAnsi" w:hAnsiTheme="majorBidi" w:cstheme="majorBidi"/>
          <w:sz w:val="24"/>
          <w:szCs w:val="24"/>
          <w:lang w:eastAsia="en-US"/>
        </w:rPr>
        <w:t xml:space="preserve">, solution ayant une concentration en masse </w:t>
      </w:r>
      <w:r w:rsidRPr="00DD066C">
        <w:rPr>
          <w:rFonts w:asciiTheme="majorBidi" w:eastAsiaTheme="minorHAnsi" w:hAnsiTheme="majorBidi" w:cstheme="majorBidi"/>
          <w:i/>
          <w:iCs/>
          <w:sz w:val="24"/>
          <w:szCs w:val="24"/>
          <w:lang w:eastAsia="en-US"/>
        </w:rPr>
        <w:t>ρ</w:t>
      </w:r>
      <w:r w:rsidRPr="00DD066C">
        <w:rPr>
          <w:rFonts w:asciiTheme="majorBidi" w:eastAsiaTheme="minorHAnsi" w:hAnsiTheme="majorBidi" w:cstheme="majorBidi"/>
          <w:sz w:val="24"/>
          <w:szCs w:val="24"/>
          <w:lang w:eastAsia="en-US"/>
        </w:rPr>
        <w:t>(KI) = 100 g/l, exempte d’iodate et d’iode libre.</w:t>
      </w:r>
    </w:p>
    <w:p w:rsidR="003C63FA" w:rsidRPr="00DD066C" w:rsidRDefault="003C63FA" w:rsidP="00DD066C">
      <w:pPr>
        <w:pStyle w:val="Paragraphedeliste"/>
        <w:numPr>
          <w:ilvl w:val="0"/>
          <w:numId w:val="7"/>
        </w:numPr>
        <w:autoSpaceDE w:val="0"/>
        <w:autoSpaceDN w:val="0"/>
        <w:adjustRightInd w:val="0"/>
        <w:spacing w:line="360" w:lineRule="auto"/>
        <w:ind w:right="424"/>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Solution d’amidon</w:t>
      </w:r>
      <w:r w:rsidRPr="00DD066C">
        <w:rPr>
          <w:rFonts w:asciiTheme="majorBidi" w:eastAsiaTheme="minorHAnsi" w:hAnsiTheme="majorBidi" w:cstheme="majorBidi"/>
          <w:sz w:val="24"/>
          <w:szCs w:val="24"/>
          <w:lang w:eastAsia="en-US"/>
        </w:rPr>
        <w:t>. Mélanger 5 g d’amidon soluble avec 30 ml d’eau et ajouter ce mélange à 1 000 ml d’eau bouillante. Faire bouillir pendant 3 min, puis laisser refroidir. Préparer une nouvelle solution d’amidon chaque jour.</w:t>
      </w:r>
    </w:p>
    <w:p w:rsidR="003C63FA" w:rsidRPr="00DD066C" w:rsidRDefault="003C63FA" w:rsidP="00DD066C">
      <w:pPr>
        <w:pStyle w:val="Paragraphedeliste"/>
        <w:numPr>
          <w:ilvl w:val="0"/>
          <w:numId w:val="7"/>
        </w:numPr>
        <w:autoSpaceDE w:val="0"/>
        <w:autoSpaceDN w:val="0"/>
        <w:adjustRightInd w:val="0"/>
        <w:spacing w:line="360" w:lineRule="auto"/>
        <w:ind w:right="424"/>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Thiosulfate de sodium</w:t>
      </w:r>
      <w:r w:rsidRPr="00DD066C">
        <w:rPr>
          <w:rFonts w:asciiTheme="majorBidi" w:eastAsiaTheme="minorHAnsi" w:hAnsiTheme="majorBidi" w:cstheme="majorBidi"/>
          <w:sz w:val="24"/>
          <w:szCs w:val="24"/>
          <w:lang w:eastAsia="en-US"/>
        </w:rPr>
        <w:t xml:space="preserve">, solution titrée, de concentration en substance </w:t>
      </w:r>
      <w:proofErr w:type="gramStart"/>
      <w:r w:rsidRPr="00DD066C">
        <w:rPr>
          <w:rFonts w:asciiTheme="majorBidi" w:eastAsiaTheme="minorHAnsi" w:hAnsiTheme="majorBidi" w:cstheme="majorBidi"/>
          <w:i/>
          <w:iCs/>
          <w:sz w:val="24"/>
          <w:szCs w:val="24"/>
          <w:lang w:eastAsia="en-US"/>
        </w:rPr>
        <w:t>c</w:t>
      </w:r>
      <w:r w:rsidRPr="00DD066C">
        <w:rPr>
          <w:rFonts w:asciiTheme="majorBidi" w:eastAsiaTheme="minorHAnsi" w:hAnsiTheme="majorBidi" w:cstheme="majorBidi"/>
          <w:sz w:val="24"/>
          <w:szCs w:val="24"/>
          <w:lang w:eastAsia="en-US"/>
        </w:rPr>
        <w:t>(</w:t>
      </w:r>
      <w:proofErr w:type="gramEnd"/>
      <w:r w:rsidRPr="00DD066C">
        <w:rPr>
          <w:rFonts w:asciiTheme="majorBidi" w:eastAsiaTheme="minorHAnsi" w:hAnsiTheme="majorBidi" w:cstheme="majorBidi"/>
          <w:sz w:val="24"/>
          <w:szCs w:val="24"/>
          <w:lang w:eastAsia="en-US"/>
        </w:rPr>
        <w:t>Na</w:t>
      </w:r>
      <w:r w:rsidR="007F5B14" w:rsidRPr="00DD066C">
        <w:rPr>
          <w:rFonts w:asciiTheme="majorBidi" w:eastAsiaTheme="minorHAnsi" w:hAnsiTheme="majorBidi" w:cstheme="majorBidi"/>
          <w:sz w:val="24"/>
          <w:szCs w:val="24"/>
          <w:vertAlign w:val="subscript"/>
          <w:lang w:eastAsia="en-US"/>
        </w:rPr>
        <w:t>2</w:t>
      </w:r>
      <w:r w:rsidRPr="00DD066C">
        <w:rPr>
          <w:rFonts w:asciiTheme="majorBidi" w:eastAsiaTheme="minorHAnsi" w:hAnsiTheme="majorBidi" w:cstheme="majorBidi"/>
          <w:sz w:val="24"/>
          <w:szCs w:val="24"/>
          <w:lang w:eastAsia="en-US"/>
        </w:rPr>
        <w:t>S</w:t>
      </w:r>
      <w:r w:rsidR="007F5B14" w:rsidRPr="00DD066C">
        <w:rPr>
          <w:rFonts w:asciiTheme="majorBidi" w:eastAsiaTheme="minorHAnsi" w:hAnsiTheme="majorBidi" w:cstheme="majorBidi"/>
          <w:sz w:val="24"/>
          <w:szCs w:val="24"/>
          <w:vertAlign w:val="subscript"/>
          <w:lang w:eastAsia="en-US"/>
        </w:rPr>
        <w:t>2</w:t>
      </w:r>
      <w:r w:rsidRPr="00DD066C">
        <w:rPr>
          <w:rFonts w:asciiTheme="majorBidi" w:eastAsiaTheme="minorHAnsi" w:hAnsiTheme="majorBidi" w:cstheme="majorBidi"/>
          <w:sz w:val="24"/>
          <w:szCs w:val="24"/>
          <w:lang w:eastAsia="en-US"/>
        </w:rPr>
        <w:t>O</w:t>
      </w:r>
      <w:r w:rsidR="007F5B14" w:rsidRPr="00DD066C">
        <w:rPr>
          <w:rFonts w:asciiTheme="majorBidi" w:eastAsiaTheme="minorHAnsi" w:hAnsiTheme="majorBidi" w:cstheme="majorBidi"/>
          <w:sz w:val="24"/>
          <w:szCs w:val="24"/>
          <w:vertAlign w:val="subscript"/>
          <w:lang w:eastAsia="en-US"/>
        </w:rPr>
        <w:t>3</w:t>
      </w:r>
      <w:r w:rsidRPr="00DD066C">
        <w:rPr>
          <w:rFonts w:asciiTheme="majorBidi" w:eastAsiaTheme="minorHAnsi" w:hAnsiTheme="majorBidi" w:cstheme="majorBidi"/>
          <w:sz w:val="24"/>
          <w:szCs w:val="24"/>
          <w:lang w:eastAsia="en-US"/>
        </w:rPr>
        <w:t>, 5H</w:t>
      </w:r>
      <w:r w:rsidR="007F5B14" w:rsidRPr="00DD066C">
        <w:rPr>
          <w:rFonts w:asciiTheme="majorBidi" w:eastAsiaTheme="minorHAnsi" w:hAnsiTheme="majorBidi" w:cstheme="majorBidi"/>
          <w:sz w:val="24"/>
          <w:szCs w:val="24"/>
          <w:vertAlign w:val="subscript"/>
          <w:lang w:eastAsia="en-US"/>
        </w:rPr>
        <w:t>2</w:t>
      </w:r>
      <w:r w:rsidR="00D01842" w:rsidRPr="00DD066C">
        <w:rPr>
          <w:rFonts w:asciiTheme="majorBidi" w:eastAsiaTheme="minorHAnsi" w:hAnsiTheme="majorBidi" w:cstheme="majorBidi"/>
          <w:sz w:val="24"/>
          <w:szCs w:val="24"/>
          <w:lang w:eastAsia="en-US"/>
        </w:rPr>
        <w:t>O</w:t>
      </w:r>
      <w:r w:rsidRPr="00DD066C">
        <w:rPr>
          <w:rFonts w:asciiTheme="majorBidi" w:eastAsiaTheme="minorHAnsi" w:hAnsiTheme="majorBidi" w:cstheme="majorBidi"/>
          <w:sz w:val="24"/>
          <w:szCs w:val="24"/>
          <w:lang w:eastAsia="en-US"/>
        </w:rPr>
        <w:t>) = 0,1 mol/l, titrée dans les 7 jours au plus précédant l’emploi.</w:t>
      </w:r>
    </w:p>
    <w:p w:rsidR="003C63FA" w:rsidRPr="00DD066C" w:rsidRDefault="005719ED" w:rsidP="00DD066C">
      <w:pPr>
        <w:tabs>
          <w:tab w:val="left" w:pos="851"/>
        </w:tabs>
        <w:autoSpaceDE w:val="0"/>
        <w:autoSpaceDN w:val="0"/>
        <w:adjustRightInd w:val="0"/>
        <w:spacing w:line="360" w:lineRule="auto"/>
        <w:ind w:left="426" w:right="424" w:hanging="425"/>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 xml:space="preserve">      -   </w:t>
      </w:r>
      <w:r w:rsidR="003C63FA" w:rsidRPr="00DD066C">
        <w:rPr>
          <w:rFonts w:asciiTheme="majorBidi" w:eastAsiaTheme="minorHAnsi" w:hAnsiTheme="majorBidi" w:cstheme="majorBidi"/>
          <w:b/>
          <w:bCs/>
          <w:sz w:val="24"/>
          <w:szCs w:val="24"/>
          <w:lang w:eastAsia="en-US"/>
        </w:rPr>
        <w:t>Solvant</w:t>
      </w:r>
      <w:r w:rsidR="003C63FA" w:rsidRPr="00DD066C">
        <w:rPr>
          <w:rFonts w:asciiTheme="majorBidi" w:eastAsiaTheme="minorHAnsi" w:hAnsiTheme="majorBidi" w:cstheme="majorBidi"/>
          <w:sz w:val="24"/>
          <w:szCs w:val="24"/>
          <w:lang w:eastAsia="en-US"/>
        </w:rPr>
        <w:t xml:space="preserve">, préparé en mélangeant un volume de cyclohexane (50 ml) et un volume d’acide acétique </w:t>
      </w:r>
      <w:r w:rsidR="000805B8" w:rsidRPr="00DD066C">
        <w:rPr>
          <w:rFonts w:asciiTheme="majorBidi" w:eastAsiaTheme="minorHAnsi" w:hAnsiTheme="majorBidi" w:cstheme="majorBidi"/>
          <w:sz w:val="24"/>
          <w:szCs w:val="24"/>
          <w:lang w:eastAsia="en-US"/>
        </w:rPr>
        <w:t xml:space="preserve">glacial </w:t>
      </w:r>
      <w:r w:rsidR="003C63FA" w:rsidRPr="00DD066C">
        <w:rPr>
          <w:rFonts w:asciiTheme="majorBidi" w:eastAsiaTheme="minorHAnsi" w:hAnsiTheme="majorBidi" w:cstheme="majorBidi"/>
          <w:sz w:val="24"/>
          <w:szCs w:val="24"/>
          <w:lang w:eastAsia="en-US"/>
        </w:rPr>
        <w:t xml:space="preserve">(50 ml), selon des fractions volumiques </w:t>
      </w:r>
      <w:r w:rsidR="00BB2A0B" w:rsidRPr="00DD066C">
        <w:rPr>
          <w:rFonts w:asciiTheme="majorBidi" w:eastAsiaTheme="minorHAnsi" w:hAnsiTheme="majorBidi" w:cstheme="majorBidi"/>
          <w:i/>
          <w:iCs/>
          <w:sz w:val="24"/>
          <w:szCs w:val="24"/>
          <w:lang w:eastAsia="en-US"/>
        </w:rPr>
        <w:t>φ</w:t>
      </w:r>
      <w:r w:rsidR="003C63FA" w:rsidRPr="00DD066C">
        <w:rPr>
          <w:rFonts w:asciiTheme="majorBidi" w:eastAsiaTheme="minorHAnsi" w:hAnsiTheme="majorBidi" w:cstheme="majorBidi"/>
          <w:i/>
          <w:iCs/>
          <w:sz w:val="24"/>
          <w:szCs w:val="24"/>
          <w:lang w:eastAsia="en-US"/>
        </w:rPr>
        <w:t> =</w:t>
      </w:r>
      <w:r w:rsidR="003C63FA" w:rsidRPr="00DD066C">
        <w:rPr>
          <w:rFonts w:asciiTheme="majorBidi" w:eastAsiaTheme="minorHAnsi" w:hAnsiTheme="majorBidi" w:cstheme="majorBidi"/>
          <w:sz w:val="24"/>
          <w:szCs w:val="24"/>
          <w:lang w:eastAsia="en-US"/>
        </w:rPr>
        <w:t xml:space="preserve"> 50 ml/100 ml.</w:t>
      </w:r>
    </w:p>
    <w:p w:rsidR="003C63FA" w:rsidRPr="00DD066C" w:rsidRDefault="005719ED" w:rsidP="00DD066C">
      <w:pPr>
        <w:autoSpaceDE w:val="0"/>
        <w:autoSpaceDN w:val="0"/>
        <w:adjustRightInd w:val="0"/>
        <w:spacing w:line="360" w:lineRule="auto"/>
        <w:ind w:left="709" w:right="424" w:hanging="425"/>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b/>
          <w:bCs/>
          <w:sz w:val="24"/>
          <w:szCs w:val="24"/>
          <w:lang w:eastAsia="en-US"/>
        </w:rPr>
        <w:t xml:space="preserve"> -    </w:t>
      </w:r>
      <w:r w:rsidR="003C63FA" w:rsidRPr="00DD066C">
        <w:rPr>
          <w:rFonts w:asciiTheme="majorBidi" w:eastAsiaTheme="minorHAnsi" w:hAnsiTheme="majorBidi" w:cstheme="majorBidi"/>
          <w:b/>
          <w:bCs/>
          <w:sz w:val="24"/>
          <w:szCs w:val="24"/>
          <w:lang w:eastAsia="en-US"/>
        </w:rPr>
        <w:t xml:space="preserve">Réactif de </w:t>
      </w:r>
      <w:proofErr w:type="spellStart"/>
      <w:r w:rsidR="003C63FA" w:rsidRPr="00DD066C">
        <w:rPr>
          <w:rFonts w:asciiTheme="majorBidi" w:eastAsiaTheme="minorHAnsi" w:hAnsiTheme="majorBidi" w:cstheme="majorBidi"/>
          <w:b/>
          <w:bCs/>
          <w:sz w:val="24"/>
          <w:szCs w:val="24"/>
          <w:lang w:eastAsia="en-US"/>
        </w:rPr>
        <w:t>Wijs</w:t>
      </w:r>
      <w:proofErr w:type="spellEnd"/>
      <w:r w:rsidR="003C63FA" w:rsidRPr="00DD066C">
        <w:rPr>
          <w:rFonts w:asciiTheme="majorBidi" w:eastAsiaTheme="minorHAnsi" w:hAnsiTheme="majorBidi" w:cstheme="majorBidi"/>
          <w:sz w:val="24"/>
          <w:szCs w:val="24"/>
          <w:lang w:eastAsia="en-US"/>
        </w:rPr>
        <w:t xml:space="preserve">, contenant du </w:t>
      </w:r>
      <w:proofErr w:type="spellStart"/>
      <w:r w:rsidR="003C63FA" w:rsidRPr="00DD066C">
        <w:rPr>
          <w:rFonts w:asciiTheme="majorBidi" w:eastAsiaTheme="minorHAnsi" w:hAnsiTheme="majorBidi" w:cstheme="majorBidi"/>
          <w:sz w:val="24"/>
          <w:szCs w:val="24"/>
          <w:lang w:eastAsia="en-US"/>
        </w:rPr>
        <w:t>monochlorure</w:t>
      </w:r>
      <w:proofErr w:type="spellEnd"/>
      <w:r w:rsidR="003C63FA" w:rsidRPr="00DD066C">
        <w:rPr>
          <w:rFonts w:asciiTheme="majorBidi" w:eastAsiaTheme="minorHAnsi" w:hAnsiTheme="majorBidi" w:cstheme="majorBidi"/>
          <w:sz w:val="24"/>
          <w:szCs w:val="24"/>
          <w:lang w:eastAsia="en-US"/>
        </w:rPr>
        <w:t xml:space="preserve"> d’iode dans de l’acide acétique. Le rapport I/Cl du réactif de </w:t>
      </w:r>
      <w:proofErr w:type="spellStart"/>
      <w:r w:rsidR="003C63FA" w:rsidRPr="00DD066C">
        <w:rPr>
          <w:rFonts w:asciiTheme="majorBidi" w:eastAsiaTheme="minorHAnsi" w:hAnsiTheme="majorBidi" w:cstheme="majorBidi"/>
          <w:sz w:val="24"/>
          <w:szCs w:val="24"/>
          <w:lang w:eastAsia="en-US"/>
        </w:rPr>
        <w:t>Wijs</w:t>
      </w:r>
      <w:proofErr w:type="spellEnd"/>
      <w:r w:rsidR="003C63FA" w:rsidRPr="00DD066C">
        <w:rPr>
          <w:rFonts w:asciiTheme="majorBidi" w:eastAsiaTheme="minorHAnsi" w:hAnsiTheme="majorBidi" w:cstheme="majorBidi"/>
          <w:sz w:val="24"/>
          <w:szCs w:val="24"/>
          <w:lang w:eastAsia="en-US"/>
        </w:rPr>
        <w:t xml:space="preserve"> doit se situer dans les limites de 1,10 ± 0,1. Le réactif de </w:t>
      </w:r>
      <w:proofErr w:type="spellStart"/>
      <w:r w:rsidR="003C63FA" w:rsidRPr="00DD066C">
        <w:rPr>
          <w:rFonts w:asciiTheme="majorBidi" w:eastAsiaTheme="minorHAnsi" w:hAnsiTheme="majorBidi" w:cstheme="majorBidi"/>
          <w:sz w:val="24"/>
          <w:szCs w:val="24"/>
          <w:lang w:eastAsia="en-US"/>
        </w:rPr>
        <w:t>Wijs</w:t>
      </w:r>
      <w:proofErr w:type="spellEnd"/>
      <w:r w:rsidR="003C63FA" w:rsidRPr="00DD066C">
        <w:rPr>
          <w:rFonts w:asciiTheme="majorBidi" w:eastAsiaTheme="minorHAnsi" w:hAnsiTheme="majorBidi" w:cstheme="majorBidi"/>
          <w:sz w:val="24"/>
          <w:szCs w:val="24"/>
          <w:lang w:eastAsia="en-US"/>
        </w:rPr>
        <w:t xml:space="preserve"> est sensible à la </w:t>
      </w:r>
      <w:r w:rsidR="003C63FA" w:rsidRPr="00DD066C">
        <w:rPr>
          <w:rFonts w:asciiTheme="majorBidi" w:eastAsiaTheme="minorHAnsi" w:hAnsiTheme="majorBidi" w:cstheme="majorBidi"/>
          <w:sz w:val="24"/>
          <w:szCs w:val="24"/>
          <w:lang w:eastAsia="en-US"/>
        </w:rPr>
        <w:lastRenderedPageBreak/>
        <w:t>température, à l’humidité et à la lumière. Conserver à l’abri de la lumière et à une température inférieure à 30 °C.</w:t>
      </w:r>
    </w:p>
    <w:p w:rsidR="00D01842" w:rsidRPr="00DD066C" w:rsidRDefault="00D01842" w:rsidP="00DD066C">
      <w:pPr>
        <w:spacing w:line="360" w:lineRule="auto"/>
        <w:ind w:left="284" w:right="424"/>
        <w:jc w:val="both"/>
        <w:rPr>
          <w:rFonts w:asciiTheme="majorBidi" w:eastAsiaTheme="minorHAnsi" w:hAnsiTheme="majorBidi" w:cstheme="majorBidi"/>
          <w:sz w:val="24"/>
          <w:szCs w:val="24"/>
          <w:lang w:eastAsia="en-US"/>
        </w:rPr>
      </w:pPr>
    </w:p>
    <w:p w:rsidR="009D2C31" w:rsidRPr="00DD066C" w:rsidRDefault="003C63FA" w:rsidP="00DD066C">
      <w:pPr>
        <w:spacing w:line="360" w:lineRule="auto"/>
        <w:ind w:left="284" w:right="424" w:firstLine="425"/>
        <w:jc w:val="both"/>
        <w:rPr>
          <w:rFonts w:asciiTheme="majorBidi" w:eastAsiaTheme="minorHAnsi" w:hAnsiTheme="majorBidi" w:cstheme="majorBidi"/>
          <w:sz w:val="24"/>
          <w:szCs w:val="24"/>
          <w:lang w:eastAsia="en-US"/>
        </w:rPr>
      </w:pPr>
      <w:r w:rsidRPr="00DD066C">
        <w:rPr>
          <w:rFonts w:asciiTheme="majorBidi" w:eastAsiaTheme="minorHAnsi" w:hAnsiTheme="majorBidi" w:cstheme="majorBidi"/>
          <w:sz w:val="24"/>
          <w:szCs w:val="24"/>
          <w:lang w:eastAsia="en-US"/>
        </w:rPr>
        <w:t xml:space="preserve">Utiliser un réactif de </w:t>
      </w:r>
      <w:proofErr w:type="spellStart"/>
      <w:r w:rsidRPr="00DD066C">
        <w:rPr>
          <w:rFonts w:asciiTheme="majorBidi" w:eastAsiaTheme="minorHAnsi" w:hAnsiTheme="majorBidi" w:cstheme="majorBidi"/>
          <w:sz w:val="24"/>
          <w:szCs w:val="24"/>
          <w:lang w:eastAsia="en-US"/>
        </w:rPr>
        <w:t>Wijs</w:t>
      </w:r>
      <w:proofErr w:type="spellEnd"/>
      <w:r w:rsidRPr="00DD066C">
        <w:rPr>
          <w:rFonts w:asciiTheme="majorBidi" w:eastAsiaTheme="minorHAnsi" w:hAnsiTheme="majorBidi" w:cstheme="majorBidi"/>
          <w:sz w:val="24"/>
          <w:szCs w:val="24"/>
          <w:lang w:eastAsia="en-US"/>
        </w:rPr>
        <w:t xml:space="preserve"> disponible dans le commerce. Respecter la durée de conservation limite du réactif.</w:t>
      </w:r>
    </w:p>
    <w:p w:rsidR="003C63FA" w:rsidRDefault="003C63FA" w:rsidP="00DD066C">
      <w:pPr>
        <w:spacing w:line="360" w:lineRule="auto"/>
        <w:ind w:left="284" w:right="424"/>
        <w:rPr>
          <w:sz w:val="24"/>
          <w:szCs w:val="24"/>
        </w:rPr>
      </w:pPr>
    </w:p>
    <w:p w:rsidR="009D2C31" w:rsidRPr="00C249AD" w:rsidRDefault="009D2C31" w:rsidP="00DD066C">
      <w:pPr>
        <w:spacing w:line="360" w:lineRule="auto"/>
        <w:ind w:right="424"/>
        <w:rPr>
          <w:b/>
          <w:bCs/>
          <w:sz w:val="24"/>
          <w:szCs w:val="24"/>
          <w:u w:val="single"/>
        </w:rPr>
      </w:pPr>
      <w:r>
        <w:rPr>
          <w:b/>
          <w:bCs/>
          <w:sz w:val="24"/>
          <w:szCs w:val="24"/>
        </w:rPr>
        <w:t xml:space="preserve">    c</w:t>
      </w:r>
      <w:r w:rsidRPr="00C249AD">
        <w:rPr>
          <w:b/>
          <w:bCs/>
          <w:sz w:val="24"/>
          <w:szCs w:val="24"/>
        </w:rPr>
        <w:t>)</w:t>
      </w:r>
      <w:r w:rsidRPr="00C249AD">
        <w:rPr>
          <w:b/>
          <w:bCs/>
          <w:sz w:val="24"/>
          <w:szCs w:val="24"/>
          <w:u w:val="single"/>
        </w:rPr>
        <w:t xml:space="preserve"> Moyens humains :</w:t>
      </w:r>
    </w:p>
    <w:p w:rsidR="009D2C31" w:rsidRPr="00C249AD" w:rsidRDefault="009D2C31" w:rsidP="00DD066C">
      <w:pPr>
        <w:spacing w:line="360" w:lineRule="auto"/>
        <w:ind w:left="284" w:right="424"/>
        <w:rPr>
          <w:sz w:val="24"/>
          <w:szCs w:val="24"/>
        </w:rPr>
      </w:pPr>
    </w:p>
    <w:p w:rsidR="009D2C31" w:rsidRPr="00C249AD" w:rsidRDefault="009D2C31" w:rsidP="00DD066C">
      <w:pPr>
        <w:spacing w:line="360" w:lineRule="auto"/>
        <w:ind w:left="284" w:right="424"/>
        <w:rPr>
          <w:sz w:val="24"/>
          <w:szCs w:val="24"/>
        </w:rPr>
      </w:pPr>
      <w:r w:rsidRPr="00C249AD">
        <w:rPr>
          <w:sz w:val="24"/>
          <w:szCs w:val="24"/>
        </w:rPr>
        <w:t>-    Ingénieur de Laboratoire</w:t>
      </w:r>
    </w:p>
    <w:p w:rsidR="009D2C31" w:rsidRDefault="009D2C31" w:rsidP="00DD066C">
      <w:pPr>
        <w:spacing w:line="360" w:lineRule="auto"/>
        <w:ind w:left="284" w:right="424"/>
        <w:rPr>
          <w:sz w:val="24"/>
          <w:szCs w:val="24"/>
        </w:rPr>
      </w:pPr>
      <w:r w:rsidRPr="00C249AD">
        <w:rPr>
          <w:sz w:val="24"/>
          <w:szCs w:val="24"/>
        </w:rPr>
        <w:t>-   Technicien de Laboratoire</w:t>
      </w:r>
    </w:p>
    <w:p w:rsidR="009D2C31" w:rsidRPr="006C7E2A" w:rsidRDefault="009D2C31" w:rsidP="009D2C31">
      <w:pPr>
        <w:pStyle w:val="Paragraphedeliste"/>
        <w:autoSpaceDE w:val="0"/>
        <w:autoSpaceDN w:val="0"/>
        <w:adjustRightInd w:val="0"/>
        <w:ind w:left="1004" w:right="424"/>
        <w:jc w:val="both"/>
        <w:rPr>
          <w:rFonts w:eastAsiaTheme="minorHAnsi"/>
          <w:b/>
          <w:bCs/>
          <w:color w:val="000000"/>
          <w:sz w:val="24"/>
          <w:szCs w:val="24"/>
          <w:lang w:eastAsia="en-US"/>
        </w:rPr>
      </w:pPr>
    </w:p>
    <w:p w:rsidR="009D2C31" w:rsidRPr="006C7E2A" w:rsidRDefault="009D2C31" w:rsidP="009D2C31">
      <w:pPr>
        <w:pStyle w:val="Paragraphedeliste"/>
        <w:autoSpaceDE w:val="0"/>
        <w:autoSpaceDN w:val="0"/>
        <w:adjustRightInd w:val="0"/>
        <w:ind w:left="1004" w:right="424"/>
        <w:jc w:val="both"/>
        <w:rPr>
          <w:rFonts w:eastAsiaTheme="minorHAnsi"/>
          <w:b/>
          <w:bCs/>
          <w:color w:val="000000"/>
          <w:sz w:val="24"/>
          <w:szCs w:val="24"/>
          <w:lang w:eastAsia="en-US"/>
        </w:rPr>
      </w:pPr>
    </w:p>
    <w:p w:rsidR="009D2C31" w:rsidRPr="00257DCE" w:rsidRDefault="009D2C31" w:rsidP="009D2C31">
      <w:pPr>
        <w:pStyle w:val="Paragraphedeliste"/>
        <w:numPr>
          <w:ilvl w:val="0"/>
          <w:numId w:val="6"/>
        </w:numPr>
        <w:autoSpaceDE w:val="0"/>
        <w:autoSpaceDN w:val="0"/>
        <w:adjustRightInd w:val="0"/>
        <w:ind w:right="424"/>
        <w:jc w:val="both"/>
        <w:rPr>
          <w:rFonts w:eastAsiaTheme="minorHAnsi"/>
          <w:b/>
          <w:bCs/>
          <w:color w:val="000000"/>
          <w:sz w:val="24"/>
          <w:szCs w:val="24"/>
          <w:lang w:eastAsia="en-US"/>
        </w:rPr>
      </w:pPr>
      <w:r w:rsidRPr="00257DCE">
        <w:rPr>
          <w:b/>
          <w:bCs/>
          <w:sz w:val="24"/>
          <w:szCs w:val="24"/>
          <w:u w:val="single"/>
        </w:rPr>
        <w:t xml:space="preserve"> METHODE :</w:t>
      </w:r>
    </w:p>
    <w:p w:rsidR="009D2C31" w:rsidRPr="00C249AD" w:rsidRDefault="009D2C31" w:rsidP="009D2C31">
      <w:pPr>
        <w:ind w:left="284" w:right="424"/>
        <w:rPr>
          <w:b/>
          <w:bCs/>
          <w:sz w:val="24"/>
          <w:szCs w:val="24"/>
          <w:u w:val="single"/>
        </w:rPr>
      </w:pPr>
    </w:p>
    <w:p w:rsidR="00F374C3" w:rsidRPr="00C55C9F" w:rsidRDefault="001E6EDB"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sidRPr="001E6EDB">
        <w:rPr>
          <w:rFonts w:asciiTheme="majorBidi" w:eastAsiaTheme="minorHAnsi" w:hAnsiTheme="majorBidi" w:cstheme="majorBidi"/>
          <w:b/>
          <w:bCs/>
          <w:sz w:val="24"/>
          <w:szCs w:val="24"/>
          <w:lang w:eastAsia="en-US"/>
        </w:rPr>
        <w:t xml:space="preserve">1 </w:t>
      </w:r>
      <w:r w:rsidR="00FA2971" w:rsidRPr="001E6EDB">
        <w:rPr>
          <w:rFonts w:asciiTheme="majorBidi" w:eastAsiaTheme="minorHAnsi" w:hAnsiTheme="majorBidi" w:cstheme="majorBidi"/>
          <w:b/>
          <w:bCs/>
          <w:sz w:val="24"/>
          <w:szCs w:val="24"/>
          <w:lang w:eastAsia="en-US"/>
        </w:rPr>
        <w:t>-</w:t>
      </w:r>
      <w:r w:rsidR="00FA2971">
        <w:rPr>
          <w:rFonts w:asciiTheme="majorBidi" w:eastAsiaTheme="minorHAnsi" w:hAnsiTheme="majorBidi" w:cstheme="majorBidi"/>
          <w:sz w:val="24"/>
          <w:szCs w:val="24"/>
          <w:lang w:eastAsia="en-US"/>
        </w:rPr>
        <w:t xml:space="preserve">  </w:t>
      </w:r>
      <w:r w:rsidR="00F374C3" w:rsidRPr="00C55C9F">
        <w:rPr>
          <w:rFonts w:asciiTheme="majorBidi" w:eastAsiaTheme="minorHAnsi" w:hAnsiTheme="majorBidi" w:cstheme="majorBidi"/>
          <w:sz w:val="24"/>
          <w:szCs w:val="24"/>
          <w:lang w:eastAsia="en-US"/>
        </w:rPr>
        <w:t>Placer la nacelle en verre contenant la prise d’essai dans une fiole conique de 500 ml e</w:t>
      </w:r>
      <w:r w:rsidR="00DD066C">
        <w:rPr>
          <w:rFonts w:asciiTheme="majorBidi" w:eastAsiaTheme="minorHAnsi" w:hAnsiTheme="majorBidi" w:cstheme="majorBidi"/>
          <w:sz w:val="24"/>
          <w:szCs w:val="24"/>
          <w:lang w:eastAsia="en-US"/>
        </w:rPr>
        <w:t>t ajouter le volume de solvant</w:t>
      </w:r>
      <w:r w:rsidR="00F374C3" w:rsidRPr="00C55C9F">
        <w:rPr>
          <w:rFonts w:asciiTheme="majorBidi" w:eastAsiaTheme="minorHAnsi" w:hAnsiTheme="majorBidi" w:cstheme="majorBidi"/>
          <w:sz w:val="24"/>
          <w:szCs w:val="24"/>
          <w:lang w:eastAsia="en-US"/>
        </w:rPr>
        <w:t xml:space="preserve"> indiqué dans le Tableau 1</w:t>
      </w:r>
      <w:r w:rsidR="00DD066C">
        <w:rPr>
          <w:rFonts w:asciiTheme="majorBidi" w:eastAsiaTheme="minorHAnsi" w:hAnsiTheme="majorBidi" w:cstheme="majorBidi"/>
          <w:sz w:val="24"/>
          <w:szCs w:val="24"/>
          <w:lang w:eastAsia="en-US"/>
        </w:rPr>
        <w:t>. À l’aide d’une pipette</w:t>
      </w:r>
      <w:r w:rsidR="00F374C3" w:rsidRPr="00C55C9F">
        <w:rPr>
          <w:rFonts w:asciiTheme="majorBidi" w:eastAsiaTheme="minorHAnsi" w:hAnsiTheme="majorBidi" w:cstheme="majorBidi"/>
          <w:sz w:val="24"/>
          <w:szCs w:val="24"/>
          <w:lang w:eastAsia="en-US"/>
        </w:rPr>
        <w:t>, ajout</w:t>
      </w:r>
      <w:r w:rsidR="00DD066C">
        <w:rPr>
          <w:rFonts w:asciiTheme="majorBidi" w:eastAsiaTheme="minorHAnsi" w:hAnsiTheme="majorBidi" w:cstheme="majorBidi"/>
          <w:sz w:val="24"/>
          <w:szCs w:val="24"/>
          <w:lang w:eastAsia="en-US"/>
        </w:rPr>
        <w:t xml:space="preserve">er 25,00 ml de réactif de </w:t>
      </w:r>
      <w:proofErr w:type="spellStart"/>
      <w:r w:rsidR="00DD066C">
        <w:rPr>
          <w:rFonts w:asciiTheme="majorBidi" w:eastAsiaTheme="minorHAnsi" w:hAnsiTheme="majorBidi" w:cstheme="majorBidi"/>
          <w:sz w:val="24"/>
          <w:szCs w:val="24"/>
          <w:lang w:eastAsia="en-US"/>
        </w:rPr>
        <w:t>Wijs</w:t>
      </w:r>
      <w:proofErr w:type="spellEnd"/>
      <w:r w:rsidR="00F374C3" w:rsidRPr="00C55C9F">
        <w:rPr>
          <w:rFonts w:asciiTheme="majorBidi" w:eastAsiaTheme="minorHAnsi" w:hAnsiTheme="majorBidi" w:cstheme="majorBidi"/>
          <w:sz w:val="24"/>
          <w:szCs w:val="24"/>
          <w:lang w:eastAsia="en-US"/>
        </w:rPr>
        <w:t>. Boucher la fiole, la remuer en tournant pour homogénéiser son contenu et la placer dans l’obscurité.</w:t>
      </w:r>
    </w:p>
    <w:p w:rsidR="00F374C3" w:rsidRPr="00C55C9F" w:rsidRDefault="00F374C3"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sidRPr="00C55C9F">
        <w:rPr>
          <w:rFonts w:asciiTheme="majorBidi" w:eastAsiaTheme="minorHAnsi" w:hAnsiTheme="majorBidi" w:cstheme="majorBidi"/>
          <w:sz w:val="24"/>
          <w:szCs w:val="24"/>
          <w:lang w:eastAsia="en-US"/>
        </w:rPr>
        <w:t xml:space="preserve">Faire fondre et dissoudre les corps gras ayant un </w:t>
      </w:r>
      <w:r w:rsidRPr="003100E1">
        <w:rPr>
          <w:rFonts w:asciiTheme="majorBidi" w:eastAsiaTheme="minorHAnsi" w:hAnsiTheme="majorBidi" w:cstheme="majorBidi"/>
          <w:b/>
          <w:bCs/>
          <w:sz w:val="24"/>
          <w:szCs w:val="24"/>
          <w:lang w:eastAsia="en-US"/>
        </w:rPr>
        <w:t>II</w:t>
      </w:r>
      <w:r w:rsidRPr="00C55C9F">
        <w:rPr>
          <w:rFonts w:asciiTheme="majorBidi" w:eastAsiaTheme="minorHAnsi" w:hAnsiTheme="majorBidi" w:cstheme="majorBidi"/>
          <w:sz w:val="24"/>
          <w:szCs w:val="24"/>
          <w:lang w:eastAsia="en-US"/>
        </w:rPr>
        <w:t xml:space="preserve"> de 20 ou moins (corps gras durs ou hydrogénés) dans un solvant chaud (60 °C). Il est également recommandé de chauffer toutes les fioles et tous les réactifs avant emploi. Utiliser des récipients fermés pour éviter toute évaporation et toute variation de concentration lors du chauffage des réactifs.</w:t>
      </w:r>
    </w:p>
    <w:p w:rsidR="00F374C3" w:rsidRPr="00C55C9F" w:rsidRDefault="00F374C3"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sidRPr="00C55C9F">
        <w:rPr>
          <w:rFonts w:asciiTheme="majorBidi" w:eastAsiaTheme="minorHAnsi" w:hAnsiTheme="majorBidi" w:cstheme="majorBidi"/>
          <w:sz w:val="24"/>
          <w:szCs w:val="24"/>
          <w:lang w:eastAsia="en-US"/>
        </w:rPr>
        <w:t>NOTE</w:t>
      </w:r>
      <w:r w:rsidR="00DD066C">
        <w:rPr>
          <w:rFonts w:asciiTheme="majorBidi" w:eastAsiaTheme="minorHAnsi" w:hAnsiTheme="majorBidi" w:cstheme="majorBidi"/>
          <w:sz w:val="24"/>
          <w:szCs w:val="24"/>
          <w:lang w:eastAsia="en-US"/>
        </w:rPr>
        <w:t> :</w:t>
      </w:r>
      <w:r w:rsidRPr="00C55C9F">
        <w:rPr>
          <w:rFonts w:asciiTheme="majorBidi" w:eastAsiaTheme="minorHAnsi" w:hAnsiTheme="majorBidi" w:cstheme="majorBidi"/>
          <w:sz w:val="24"/>
          <w:szCs w:val="24"/>
          <w:lang w:eastAsia="en-US"/>
        </w:rPr>
        <w:t xml:space="preserve"> La nacelle reste dans la fiole.</w:t>
      </w:r>
    </w:p>
    <w:p w:rsidR="00F374C3" w:rsidRDefault="00F374C3"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r w:rsidRPr="00C55C9F">
        <w:rPr>
          <w:rFonts w:asciiTheme="majorBidi" w:eastAsiaTheme="minorHAnsi" w:hAnsiTheme="majorBidi" w:cstheme="majorBidi"/>
          <w:b/>
          <w:bCs/>
          <w:sz w:val="24"/>
          <w:szCs w:val="24"/>
          <w:lang w:eastAsia="en-US"/>
        </w:rPr>
        <w:t xml:space="preserve">ATTENTION — Ne pas </w:t>
      </w:r>
      <w:proofErr w:type="spellStart"/>
      <w:r w:rsidRPr="00C55C9F">
        <w:rPr>
          <w:rFonts w:asciiTheme="majorBidi" w:eastAsiaTheme="minorHAnsi" w:hAnsiTheme="majorBidi" w:cstheme="majorBidi"/>
          <w:b/>
          <w:bCs/>
          <w:sz w:val="24"/>
          <w:szCs w:val="24"/>
          <w:lang w:eastAsia="en-US"/>
        </w:rPr>
        <w:t>pipetter</w:t>
      </w:r>
      <w:proofErr w:type="spellEnd"/>
      <w:r w:rsidRPr="00C55C9F">
        <w:rPr>
          <w:rFonts w:asciiTheme="majorBidi" w:eastAsiaTheme="minorHAnsi" w:hAnsiTheme="majorBidi" w:cstheme="majorBidi"/>
          <w:b/>
          <w:bCs/>
          <w:sz w:val="24"/>
          <w:szCs w:val="24"/>
          <w:lang w:eastAsia="en-US"/>
        </w:rPr>
        <w:t xml:space="preserve"> le réactif de </w:t>
      </w:r>
      <w:proofErr w:type="spellStart"/>
      <w:r w:rsidRPr="00C55C9F">
        <w:rPr>
          <w:rFonts w:asciiTheme="majorBidi" w:eastAsiaTheme="minorHAnsi" w:hAnsiTheme="majorBidi" w:cstheme="majorBidi"/>
          <w:b/>
          <w:bCs/>
          <w:sz w:val="24"/>
          <w:szCs w:val="24"/>
          <w:lang w:eastAsia="en-US"/>
        </w:rPr>
        <w:t>Wijs</w:t>
      </w:r>
      <w:proofErr w:type="spellEnd"/>
      <w:r w:rsidRPr="00C55C9F">
        <w:rPr>
          <w:rFonts w:asciiTheme="majorBidi" w:eastAsiaTheme="minorHAnsi" w:hAnsiTheme="majorBidi" w:cstheme="majorBidi"/>
          <w:b/>
          <w:bCs/>
          <w:sz w:val="24"/>
          <w:szCs w:val="24"/>
          <w:lang w:eastAsia="en-US"/>
        </w:rPr>
        <w:t xml:space="preserve"> à la bouche.</w:t>
      </w:r>
    </w:p>
    <w:p w:rsidR="00E951D4" w:rsidRDefault="00E951D4"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BC0336" w:rsidRDefault="00BC0336"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E951D4" w:rsidRPr="000C3131" w:rsidRDefault="00E951D4" w:rsidP="00DD066C">
      <w:pPr>
        <w:autoSpaceDE w:val="0"/>
        <w:autoSpaceDN w:val="0"/>
        <w:adjustRightInd w:val="0"/>
        <w:spacing w:line="360" w:lineRule="auto"/>
        <w:ind w:left="284" w:right="425"/>
        <w:jc w:val="both"/>
        <w:rPr>
          <w:rFonts w:asciiTheme="majorBidi" w:eastAsiaTheme="minorHAnsi" w:hAnsiTheme="majorBidi" w:cstheme="majorBidi"/>
          <w:b/>
          <w:bCs/>
          <w:color w:val="231F20"/>
          <w:sz w:val="24"/>
          <w:szCs w:val="24"/>
          <w:lang w:eastAsia="en-US"/>
        </w:rPr>
      </w:pPr>
      <w:r w:rsidRPr="000C3131">
        <w:rPr>
          <w:rFonts w:asciiTheme="majorBidi" w:eastAsiaTheme="minorHAnsi" w:hAnsiTheme="majorBidi" w:cstheme="majorBidi"/>
          <w:b/>
          <w:bCs/>
          <w:color w:val="231F20"/>
          <w:sz w:val="24"/>
          <w:szCs w:val="24"/>
          <w:lang w:eastAsia="en-US"/>
        </w:rPr>
        <w:lastRenderedPageBreak/>
        <w:t>Tableau 1 — Masse de la prise d’essai initiale (théorique) pour l’indice d’iode présumé</w:t>
      </w:r>
    </w:p>
    <w:tbl>
      <w:tblPr>
        <w:tblStyle w:val="Grilledutableau"/>
        <w:tblW w:w="0" w:type="auto"/>
        <w:jc w:val="center"/>
        <w:tblInd w:w="284" w:type="dxa"/>
        <w:tblLook w:val="04A0" w:firstRow="1" w:lastRow="0" w:firstColumn="1" w:lastColumn="0" w:noHBand="0" w:noVBand="1"/>
      </w:tblPr>
      <w:tblGrid>
        <w:gridCol w:w="2141"/>
        <w:gridCol w:w="2141"/>
        <w:gridCol w:w="2140"/>
        <w:gridCol w:w="2141"/>
        <w:gridCol w:w="2141"/>
      </w:tblGrid>
      <w:tr w:rsidR="00E951D4" w:rsidRPr="00424285" w:rsidTr="00424285">
        <w:trPr>
          <w:jc w:val="center"/>
        </w:trPr>
        <w:tc>
          <w:tcPr>
            <w:tcW w:w="2141" w:type="dxa"/>
            <w:vMerge w:val="restart"/>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b/>
                <w:bCs/>
                <w:color w:val="231F20"/>
                <w:sz w:val="24"/>
                <w:szCs w:val="24"/>
                <w:lang w:eastAsia="en-US"/>
              </w:rPr>
              <w:t>Indice d’iode présumé</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b/>
                <w:bCs/>
                <w:color w:val="231F20"/>
                <w:sz w:val="24"/>
                <w:szCs w:val="24"/>
                <w:lang w:eastAsia="en-US"/>
              </w:rPr>
              <w:t>Masse initiale pour un excès de 150 %</w:t>
            </w:r>
          </w:p>
        </w:tc>
        <w:tc>
          <w:tcPr>
            <w:tcW w:w="2140"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b/>
                <w:bCs/>
                <w:color w:val="231F20"/>
                <w:sz w:val="24"/>
                <w:szCs w:val="24"/>
                <w:lang w:eastAsia="en-US"/>
              </w:rPr>
              <w:t>Masse initiale pour un excès de 100 %</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b/>
                <w:bCs/>
                <w:color w:val="231F20"/>
                <w:sz w:val="24"/>
                <w:szCs w:val="24"/>
                <w:lang w:eastAsia="en-US"/>
              </w:rPr>
              <w:t>Précision de la masse initiale</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b/>
                <w:bCs/>
                <w:color w:val="231F20"/>
                <w:sz w:val="24"/>
                <w:szCs w:val="24"/>
                <w:lang w:eastAsia="en-US"/>
              </w:rPr>
              <w:t>Mélange de solvants</w:t>
            </w:r>
          </w:p>
        </w:tc>
      </w:tr>
      <w:tr w:rsidR="00E951D4" w:rsidRPr="00424285" w:rsidTr="00424285">
        <w:trPr>
          <w:jc w:val="center"/>
        </w:trPr>
        <w:tc>
          <w:tcPr>
            <w:tcW w:w="2141" w:type="dxa"/>
            <w:vMerge/>
          </w:tcPr>
          <w:p w:rsidR="00E951D4" w:rsidRPr="00424285" w:rsidRDefault="00E951D4" w:rsidP="00DD066C">
            <w:pPr>
              <w:autoSpaceDE w:val="0"/>
              <w:autoSpaceDN w:val="0"/>
              <w:adjustRightInd w:val="0"/>
              <w:spacing w:line="360" w:lineRule="auto"/>
              <w:ind w:right="425"/>
              <w:jc w:val="both"/>
              <w:rPr>
                <w:rFonts w:asciiTheme="majorBidi" w:eastAsiaTheme="minorHAnsi" w:hAnsiTheme="majorBidi" w:cstheme="majorBidi"/>
                <w:b/>
                <w:bCs/>
                <w:sz w:val="24"/>
                <w:szCs w:val="24"/>
                <w:lang w:eastAsia="en-US"/>
              </w:rPr>
            </w:pP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color w:val="231F20"/>
                <w:sz w:val="24"/>
                <w:szCs w:val="24"/>
                <w:lang w:eastAsia="en-US"/>
              </w:rPr>
              <w:t>g</w:t>
            </w:r>
          </w:p>
        </w:tc>
        <w:tc>
          <w:tcPr>
            <w:tcW w:w="2140"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color w:val="231F20"/>
                <w:sz w:val="24"/>
                <w:szCs w:val="24"/>
                <w:lang w:eastAsia="en-US"/>
              </w:rPr>
              <w:t>g</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color w:val="231F20"/>
                <w:sz w:val="24"/>
                <w:szCs w:val="24"/>
                <w:lang w:eastAsia="en-US"/>
              </w:rPr>
              <w:t>g</w:t>
            </w:r>
          </w:p>
        </w:tc>
        <w:tc>
          <w:tcPr>
            <w:tcW w:w="2141" w:type="dxa"/>
          </w:tcPr>
          <w:p w:rsidR="00E951D4" w:rsidRPr="00424285" w:rsidRDefault="00E951D4" w:rsidP="00424285">
            <w:pPr>
              <w:autoSpaceDE w:val="0"/>
              <w:autoSpaceDN w:val="0"/>
              <w:adjustRightInd w:val="0"/>
              <w:jc w:val="center"/>
              <w:rPr>
                <w:rFonts w:asciiTheme="majorBidi" w:eastAsiaTheme="minorHAnsi" w:hAnsiTheme="majorBidi" w:cstheme="majorBidi"/>
                <w:color w:val="231F20"/>
                <w:sz w:val="24"/>
                <w:szCs w:val="24"/>
                <w:lang w:eastAsia="en-US"/>
              </w:rPr>
            </w:pPr>
            <w:r w:rsidRPr="00424285">
              <w:rPr>
                <w:rFonts w:asciiTheme="majorBidi" w:eastAsiaTheme="minorHAnsi" w:hAnsiTheme="majorBidi" w:cstheme="majorBidi"/>
                <w:color w:val="231F20"/>
                <w:sz w:val="24"/>
                <w:szCs w:val="24"/>
                <w:lang w:eastAsia="en-US"/>
              </w:rPr>
              <w:t>ml</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color w:val="231F20"/>
                <w:sz w:val="24"/>
                <w:szCs w:val="24"/>
                <w:lang w:eastAsia="en-US"/>
              </w:rPr>
              <w:t>&lt; 3</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color w:val="231F20"/>
                <w:sz w:val="24"/>
                <w:szCs w:val="24"/>
                <w:lang w:eastAsia="en-US"/>
              </w:rPr>
              <w:t>10</w:t>
            </w:r>
          </w:p>
        </w:tc>
        <w:tc>
          <w:tcPr>
            <w:tcW w:w="2140"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color w:val="231F20"/>
                <w:sz w:val="24"/>
                <w:szCs w:val="24"/>
                <w:lang w:eastAsia="en-US"/>
              </w:rPr>
              <w:t>10</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b/>
                <w:bCs/>
                <w:sz w:val="24"/>
                <w:szCs w:val="24"/>
                <w:lang w:eastAsia="en-US"/>
              </w:rPr>
            </w:pPr>
            <w:r w:rsidRPr="00424285">
              <w:rPr>
                <w:rFonts w:asciiTheme="majorBidi" w:eastAsiaTheme="minorHAnsi" w:hAnsiTheme="majorBidi" w:cstheme="majorBidi"/>
                <w:color w:val="231F20"/>
                <w:sz w:val="24"/>
                <w:szCs w:val="24"/>
                <w:lang w:eastAsia="en-US"/>
              </w:rPr>
              <w:t>0,001</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25</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3</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8,461</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10, 576</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0,001</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25</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5</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5,077</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6,346</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0,001</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25</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10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2, 538</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3,173</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0,001</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color w:val="231F20"/>
                <w:sz w:val="24"/>
                <w:szCs w:val="24"/>
                <w:lang w:eastAsia="en-US"/>
              </w:rPr>
            </w:pPr>
            <w:r w:rsidRPr="00424285">
              <w:rPr>
                <w:rFonts w:asciiTheme="majorBidi" w:eastAsiaTheme="minorHAnsi" w:hAnsiTheme="majorBidi" w:cstheme="majorBidi"/>
                <w:color w:val="231F20"/>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20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0,846</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1,586</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0,001</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color w:val="231F20"/>
                <w:sz w:val="24"/>
                <w:szCs w:val="24"/>
                <w:lang w:eastAsia="en-US"/>
              </w:rPr>
            </w:pPr>
            <w:r w:rsidRPr="00424285">
              <w:rPr>
                <w:rFonts w:asciiTheme="majorBidi" w:eastAsiaTheme="minorHAnsi" w:hAnsiTheme="majorBidi" w:cstheme="majorBidi"/>
                <w:color w:val="231F20"/>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40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0,634</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0,793</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0,001</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color w:val="231F20"/>
                <w:sz w:val="24"/>
                <w:szCs w:val="24"/>
                <w:lang w:eastAsia="en-US"/>
              </w:rPr>
            </w:pPr>
            <w:r w:rsidRPr="00424285">
              <w:rPr>
                <w:rFonts w:asciiTheme="majorBidi" w:eastAsiaTheme="minorHAnsi" w:hAnsiTheme="majorBidi" w:cstheme="majorBidi"/>
                <w:color w:val="231F20"/>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60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0,432</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0, 529</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0,001</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color w:val="231F20"/>
                <w:sz w:val="24"/>
                <w:szCs w:val="24"/>
                <w:lang w:eastAsia="en-US"/>
              </w:rPr>
            </w:pPr>
            <w:r w:rsidRPr="00424285">
              <w:rPr>
                <w:rFonts w:asciiTheme="majorBidi" w:eastAsiaTheme="minorHAnsi" w:hAnsiTheme="majorBidi" w:cstheme="majorBidi"/>
                <w:color w:val="231F20"/>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80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0, 317</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0,397</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0,001</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color w:val="231F20"/>
                <w:sz w:val="24"/>
                <w:szCs w:val="24"/>
                <w:lang w:eastAsia="en-US"/>
              </w:rPr>
            </w:pPr>
            <w:r w:rsidRPr="00424285">
              <w:rPr>
                <w:rFonts w:asciiTheme="majorBidi" w:eastAsiaTheme="minorHAnsi" w:hAnsiTheme="majorBidi" w:cstheme="majorBidi"/>
                <w:color w:val="231F20"/>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10</w:t>
            </w:r>
            <w:r w:rsidRPr="00424285">
              <w:rPr>
                <w:rFonts w:asciiTheme="majorBidi" w:eastAsiaTheme="minorHAnsi" w:hAnsiTheme="majorBidi" w:cstheme="majorBidi"/>
                <w:sz w:val="24"/>
                <w:szCs w:val="24"/>
                <w:lang w:eastAsia="en-US"/>
              </w:rPr>
              <w:t>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0,254</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0, 317</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0,000 5</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color w:val="231F20"/>
                <w:sz w:val="24"/>
                <w:szCs w:val="24"/>
                <w:lang w:eastAsia="en-US"/>
              </w:rPr>
            </w:pPr>
            <w:r w:rsidRPr="00424285">
              <w:rPr>
                <w:rFonts w:asciiTheme="majorBidi" w:eastAsiaTheme="minorHAnsi" w:hAnsiTheme="majorBidi" w:cstheme="majorBidi"/>
                <w:color w:val="231F20"/>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1</w:t>
            </w:r>
            <w:r w:rsidRPr="00424285">
              <w:rPr>
                <w:rFonts w:asciiTheme="majorBidi" w:eastAsiaTheme="minorHAnsi" w:hAnsiTheme="majorBidi" w:cstheme="majorBidi"/>
                <w:sz w:val="24"/>
                <w:szCs w:val="24"/>
                <w:lang w:eastAsia="en-US"/>
              </w:rPr>
              <w:t>20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0,212</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0,264</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0,000 5</w:t>
            </w:r>
          </w:p>
        </w:tc>
        <w:tc>
          <w:tcPr>
            <w:tcW w:w="2141" w:type="dxa"/>
          </w:tcPr>
          <w:p w:rsidR="00E951D4" w:rsidRPr="00424285" w:rsidRDefault="000C3131" w:rsidP="00424285">
            <w:pPr>
              <w:autoSpaceDE w:val="0"/>
              <w:autoSpaceDN w:val="0"/>
              <w:adjustRightInd w:val="0"/>
              <w:jc w:val="center"/>
              <w:rPr>
                <w:rFonts w:asciiTheme="majorBidi" w:eastAsiaTheme="minorHAnsi" w:hAnsiTheme="majorBidi" w:cstheme="majorBidi"/>
                <w:color w:val="231F20"/>
                <w:sz w:val="24"/>
                <w:szCs w:val="24"/>
                <w:lang w:eastAsia="en-US"/>
              </w:rPr>
            </w:pPr>
            <w:r w:rsidRPr="00424285">
              <w:rPr>
                <w:rFonts w:asciiTheme="majorBidi" w:eastAsiaTheme="minorHAnsi" w:hAnsiTheme="majorBidi" w:cstheme="majorBidi"/>
                <w:color w:val="231F20"/>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1</w:t>
            </w:r>
            <w:r w:rsidRPr="00424285">
              <w:rPr>
                <w:rFonts w:asciiTheme="majorBidi" w:eastAsiaTheme="minorHAnsi" w:hAnsiTheme="majorBidi" w:cstheme="majorBidi"/>
                <w:sz w:val="24"/>
                <w:szCs w:val="24"/>
                <w:lang w:eastAsia="en-US"/>
              </w:rPr>
              <w:t>40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0,181</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0,227</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0,000 5</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160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0,159</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0, 198</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0,000 5</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180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0,141</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0,176</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0,000 5</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20</w:t>
            </w:r>
          </w:p>
        </w:tc>
      </w:tr>
      <w:tr w:rsidR="00E951D4" w:rsidRPr="00424285" w:rsidTr="00424285">
        <w:trPr>
          <w:jc w:val="center"/>
        </w:trPr>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200</w:t>
            </w:r>
          </w:p>
        </w:tc>
        <w:tc>
          <w:tcPr>
            <w:tcW w:w="2141" w:type="dxa"/>
          </w:tcPr>
          <w:p w:rsidR="00E951D4" w:rsidRPr="00424285" w:rsidRDefault="00E951D4"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0,127</w:t>
            </w:r>
          </w:p>
        </w:tc>
        <w:tc>
          <w:tcPr>
            <w:tcW w:w="2140"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0,159</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color w:val="231F20"/>
                <w:sz w:val="24"/>
                <w:szCs w:val="24"/>
                <w:lang w:eastAsia="en-US"/>
              </w:rPr>
              <w:t>0,000 5</w:t>
            </w:r>
          </w:p>
        </w:tc>
        <w:tc>
          <w:tcPr>
            <w:tcW w:w="2141" w:type="dxa"/>
          </w:tcPr>
          <w:p w:rsidR="00E951D4" w:rsidRPr="00424285" w:rsidRDefault="000C3131" w:rsidP="00424285">
            <w:pPr>
              <w:autoSpaceDE w:val="0"/>
              <w:autoSpaceDN w:val="0"/>
              <w:adjustRightInd w:val="0"/>
              <w:spacing w:line="360" w:lineRule="auto"/>
              <w:ind w:right="425"/>
              <w:jc w:val="center"/>
              <w:rPr>
                <w:rFonts w:asciiTheme="majorBidi" w:eastAsiaTheme="minorHAnsi" w:hAnsiTheme="majorBidi" w:cstheme="majorBidi"/>
                <w:sz w:val="24"/>
                <w:szCs w:val="24"/>
                <w:lang w:eastAsia="en-US"/>
              </w:rPr>
            </w:pPr>
            <w:r w:rsidRPr="00424285">
              <w:rPr>
                <w:rFonts w:asciiTheme="majorBidi" w:eastAsiaTheme="minorHAnsi" w:hAnsiTheme="majorBidi" w:cstheme="majorBidi"/>
                <w:sz w:val="24"/>
                <w:szCs w:val="24"/>
                <w:lang w:eastAsia="en-US"/>
              </w:rPr>
              <w:t>20</w:t>
            </w:r>
          </w:p>
        </w:tc>
      </w:tr>
    </w:tbl>
    <w:p w:rsidR="00E951D4" w:rsidRDefault="00E951D4"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E951D4" w:rsidRPr="00C55C9F" w:rsidRDefault="00E951D4"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F374C3" w:rsidRPr="00C55C9F" w:rsidRDefault="001E6EDB"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Pr>
          <w:rFonts w:asciiTheme="majorBidi" w:eastAsiaTheme="minorHAnsi" w:hAnsiTheme="majorBidi" w:cstheme="majorBidi"/>
          <w:b/>
          <w:bCs/>
          <w:sz w:val="24"/>
          <w:szCs w:val="24"/>
          <w:lang w:eastAsia="en-US"/>
        </w:rPr>
        <w:t xml:space="preserve">2 </w:t>
      </w:r>
      <w:r w:rsidR="00DD066C">
        <w:rPr>
          <w:rFonts w:asciiTheme="majorBidi" w:eastAsiaTheme="minorHAnsi" w:hAnsiTheme="majorBidi" w:cstheme="majorBidi"/>
          <w:b/>
          <w:bCs/>
          <w:sz w:val="24"/>
          <w:szCs w:val="24"/>
          <w:lang w:eastAsia="en-US"/>
        </w:rPr>
        <w:t xml:space="preserve">-   </w:t>
      </w:r>
      <w:r w:rsidR="00F374C3" w:rsidRPr="00C55C9F">
        <w:rPr>
          <w:rFonts w:asciiTheme="majorBidi" w:eastAsiaTheme="minorHAnsi" w:hAnsiTheme="majorBidi" w:cstheme="majorBidi"/>
          <w:sz w:val="24"/>
          <w:szCs w:val="24"/>
          <w:lang w:eastAsia="en-US"/>
        </w:rPr>
        <w:t xml:space="preserve">Préparer un blanc avec le solvant et le réactif comme en </w:t>
      </w:r>
      <w:r w:rsidR="007179B7">
        <w:rPr>
          <w:rFonts w:asciiTheme="majorBidi" w:eastAsiaTheme="minorHAnsi" w:hAnsiTheme="majorBidi" w:cstheme="majorBidi"/>
          <w:sz w:val="24"/>
          <w:szCs w:val="24"/>
          <w:lang w:eastAsia="en-US"/>
        </w:rPr>
        <w:t>(</w:t>
      </w:r>
      <w:r w:rsidR="00F374C3" w:rsidRPr="00C55C9F">
        <w:rPr>
          <w:rFonts w:asciiTheme="majorBidi" w:eastAsiaTheme="minorHAnsi" w:hAnsiTheme="majorBidi" w:cstheme="majorBidi"/>
          <w:sz w:val="24"/>
          <w:szCs w:val="24"/>
          <w:lang w:eastAsia="en-US"/>
        </w:rPr>
        <w:t>1</w:t>
      </w:r>
      <w:r w:rsidR="007179B7">
        <w:rPr>
          <w:rFonts w:asciiTheme="majorBidi" w:eastAsiaTheme="minorHAnsi" w:hAnsiTheme="majorBidi" w:cstheme="majorBidi"/>
          <w:sz w:val="24"/>
          <w:szCs w:val="24"/>
          <w:lang w:eastAsia="en-US"/>
        </w:rPr>
        <w:t>)</w:t>
      </w:r>
      <w:r w:rsidR="00F374C3" w:rsidRPr="00C55C9F">
        <w:rPr>
          <w:rFonts w:asciiTheme="majorBidi" w:eastAsiaTheme="minorHAnsi" w:hAnsiTheme="majorBidi" w:cstheme="majorBidi"/>
          <w:sz w:val="24"/>
          <w:szCs w:val="24"/>
          <w:lang w:eastAsia="en-US"/>
        </w:rPr>
        <w:t>, mais en omettant la prise d’essai.</w:t>
      </w:r>
    </w:p>
    <w:p w:rsidR="00F374C3" w:rsidRPr="00C55C9F" w:rsidRDefault="001E6EDB"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Pr>
          <w:rFonts w:asciiTheme="majorBidi" w:eastAsiaTheme="minorHAnsi" w:hAnsiTheme="majorBidi" w:cstheme="majorBidi"/>
          <w:b/>
          <w:bCs/>
          <w:sz w:val="24"/>
          <w:szCs w:val="24"/>
          <w:lang w:eastAsia="en-US"/>
        </w:rPr>
        <w:t xml:space="preserve">3 </w:t>
      </w:r>
      <w:r w:rsidR="00DD066C">
        <w:rPr>
          <w:rFonts w:asciiTheme="majorBidi" w:eastAsiaTheme="minorHAnsi" w:hAnsiTheme="majorBidi" w:cstheme="majorBidi"/>
          <w:b/>
          <w:bCs/>
          <w:sz w:val="24"/>
          <w:szCs w:val="24"/>
          <w:lang w:eastAsia="en-US"/>
        </w:rPr>
        <w:t xml:space="preserve">-  </w:t>
      </w:r>
      <w:r w:rsidR="00F374C3" w:rsidRPr="00C55C9F">
        <w:rPr>
          <w:rFonts w:asciiTheme="majorBidi" w:eastAsiaTheme="minorHAnsi" w:hAnsiTheme="majorBidi" w:cstheme="majorBidi"/>
          <w:b/>
          <w:bCs/>
          <w:sz w:val="24"/>
          <w:szCs w:val="24"/>
          <w:lang w:eastAsia="en-US"/>
        </w:rPr>
        <w:t xml:space="preserve"> </w:t>
      </w:r>
      <w:r w:rsidR="00F374C3" w:rsidRPr="00C55C9F">
        <w:rPr>
          <w:rFonts w:asciiTheme="majorBidi" w:eastAsiaTheme="minorHAnsi" w:hAnsiTheme="majorBidi" w:cstheme="majorBidi"/>
          <w:sz w:val="24"/>
          <w:szCs w:val="24"/>
          <w:lang w:eastAsia="en-US"/>
        </w:rPr>
        <w:t xml:space="preserve">Pour les échantillons ayant un </w:t>
      </w:r>
      <w:r w:rsidR="00F374C3" w:rsidRPr="007C39F1">
        <w:rPr>
          <w:rFonts w:asciiTheme="majorBidi" w:eastAsiaTheme="minorHAnsi" w:hAnsiTheme="majorBidi" w:cstheme="majorBidi"/>
          <w:b/>
          <w:bCs/>
          <w:sz w:val="24"/>
          <w:szCs w:val="24"/>
          <w:lang w:eastAsia="en-US"/>
        </w:rPr>
        <w:t>II</w:t>
      </w:r>
      <w:r w:rsidR="00F374C3" w:rsidRPr="00C55C9F">
        <w:rPr>
          <w:rFonts w:asciiTheme="majorBidi" w:eastAsiaTheme="minorHAnsi" w:hAnsiTheme="majorBidi" w:cstheme="majorBidi"/>
          <w:sz w:val="24"/>
          <w:szCs w:val="24"/>
          <w:lang w:eastAsia="en-US"/>
        </w:rPr>
        <w:t xml:space="preserve"> inférieur à 150, laisser les fioles dans l’obscurité pendant 1 h. </w:t>
      </w:r>
    </w:p>
    <w:p w:rsidR="009D2C31" w:rsidRPr="00C55C9F" w:rsidRDefault="00F374C3"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sidRPr="00C55C9F">
        <w:rPr>
          <w:rFonts w:asciiTheme="majorBidi" w:eastAsiaTheme="minorHAnsi" w:hAnsiTheme="majorBidi" w:cstheme="majorBidi"/>
          <w:sz w:val="24"/>
          <w:szCs w:val="24"/>
          <w:lang w:eastAsia="en-US"/>
        </w:rPr>
        <w:t xml:space="preserve">Pour les échantillons ayant un </w:t>
      </w:r>
      <w:r w:rsidRPr="007C39F1">
        <w:rPr>
          <w:rFonts w:asciiTheme="majorBidi" w:eastAsiaTheme="minorHAnsi" w:hAnsiTheme="majorBidi" w:cstheme="majorBidi"/>
          <w:b/>
          <w:bCs/>
          <w:sz w:val="24"/>
          <w:szCs w:val="24"/>
          <w:lang w:eastAsia="en-US"/>
        </w:rPr>
        <w:t>II</w:t>
      </w:r>
      <w:r w:rsidRPr="00C55C9F">
        <w:rPr>
          <w:rFonts w:asciiTheme="majorBidi" w:eastAsiaTheme="minorHAnsi" w:hAnsiTheme="majorBidi" w:cstheme="majorBidi"/>
          <w:sz w:val="24"/>
          <w:szCs w:val="24"/>
          <w:lang w:eastAsia="en-US"/>
        </w:rPr>
        <w:t xml:space="preserve"> supérieur à 150, et pour les produits polymérisés et les huiles contenant des acides gras à doubles liaisons conjuguées (telles que l’huile de </w:t>
      </w:r>
      <w:proofErr w:type="spellStart"/>
      <w:r w:rsidRPr="00C55C9F">
        <w:rPr>
          <w:rFonts w:asciiTheme="majorBidi" w:eastAsiaTheme="minorHAnsi" w:hAnsiTheme="majorBidi" w:cstheme="majorBidi"/>
          <w:sz w:val="24"/>
          <w:szCs w:val="24"/>
          <w:lang w:eastAsia="en-US"/>
        </w:rPr>
        <w:t>tung</w:t>
      </w:r>
      <w:proofErr w:type="spellEnd"/>
      <w:r w:rsidRPr="00C55C9F">
        <w:rPr>
          <w:rFonts w:asciiTheme="majorBidi" w:eastAsiaTheme="minorHAnsi" w:hAnsiTheme="majorBidi" w:cstheme="majorBidi"/>
          <w:sz w:val="24"/>
          <w:szCs w:val="24"/>
          <w:lang w:eastAsia="en-US"/>
        </w:rPr>
        <w:t>, l’huile de ricin déshydratée) et toutes les huiles contenant des acides gras cétoniques (telles que certaines huiles de ricin hydrogénées) et les produits fortement oxydés, laisser les fioles dans l’obscurité pendant 2 h.</w:t>
      </w:r>
    </w:p>
    <w:p w:rsidR="00F374C3" w:rsidRPr="00DD066C" w:rsidRDefault="001E6EDB"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sidRPr="001E6EDB">
        <w:rPr>
          <w:rFonts w:asciiTheme="majorBidi" w:eastAsiaTheme="minorHAnsi" w:hAnsiTheme="majorBidi" w:cstheme="majorBidi"/>
          <w:b/>
          <w:bCs/>
          <w:sz w:val="24"/>
          <w:szCs w:val="24"/>
          <w:lang w:eastAsia="en-US"/>
        </w:rPr>
        <w:t xml:space="preserve">4 </w:t>
      </w:r>
      <w:r w:rsidR="00DD066C" w:rsidRPr="001E6EDB">
        <w:rPr>
          <w:rFonts w:asciiTheme="majorBidi" w:eastAsiaTheme="minorHAnsi" w:hAnsiTheme="majorBidi" w:cstheme="majorBidi"/>
          <w:b/>
          <w:bCs/>
          <w:sz w:val="24"/>
          <w:szCs w:val="24"/>
          <w:lang w:eastAsia="en-US"/>
        </w:rPr>
        <w:t>-</w:t>
      </w:r>
      <w:r w:rsidR="00DD066C">
        <w:rPr>
          <w:rFonts w:asciiTheme="majorBidi" w:eastAsiaTheme="minorHAnsi" w:hAnsiTheme="majorBidi" w:cstheme="majorBidi"/>
          <w:sz w:val="24"/>
          <w:szCs w:val="24"/>
          <w:lang w:eastAsia="en-US"/>
        </w:rPr>
        <w:t xml:space="preserve">  Après le temps de réaction</w:t>
      </w:r>
      <w:r w:rsidR="00F374C3" w:rsidRPr="00DD066C">
        <w:rPr>
          <w:rFonts w:asciiTheme="majorBidi" w:eastAsiaTheme="minorHAnsi" w:hAnsiTheme="majorBidi" w:cstheme="majorBidi"/>
          <w:sz w:val="24"/>
          <w:szCs w:val="24"/>
          <w:lang w:eastAsia="en-US"/>
        </w:rPr>
        <w:t xml:space="preserve">, ajouter 20 ml de la </w:t>
      </w:r>
      <w:r w:rsidR="00DD066C">
        <w:rPr>
          <w:rFonts w:asciiTheme="majorBidi" w:eastAsiaTheme="minorHAnsi" w:hAnsiTheme="majorBidi" w:cstheme="majorBidi"/>
          <w:sz w:val="24"/>
          <w:szCs w:val="24"/>
          <w:lang w:eastAsia="en-US"/>
        </w:rPr>
        <w:t>solution d’iodure de potassium et 150 ml d’eau</w:t>
      </w:r>
      <w:r w:rsidR="00F374C3" w:rsidRPr="00DD066C">
        <w:rPr>
          <w:rFonts w:asciiTheme="majorBidi" w:eastAsiaTheme="minorHAnsi" w:hAnsiTheme="majorBidi" w:cstheme="majorBidi"/>
          <w:sz w:val="24"/>
          <w:szCs w:val="24"/>
          <w:lang w:eastAsia="en-US"/>
        </w:rPr>
        <w:t>. Titrer avec la solution é</w:t>
      </w:r>
      <w:r w:rsidR="00DD066C">
        <w:rPr>
          <w:rFonts w:asciiTheme="majorBidi" w:eastAsiaTheme="minorHAnsi" w:hAnsiTheme="majorBidi" w:cstheme="majorBidi"/>
          <w:sz w:val="24"/>
          <w:szCs w:val="24"/>
          <w:lang w:eastAsia="en-US"/>
        </w:rPr>
        <w:t>talon de thiosulfate de sodium</w:t>
      </w:r>
      <w:r w:rsidR="00F374C3" w:rsidRPr="00DD066C">
        <w:rPr>
          <w:rFonts w:asciiTheme="majorBidi" w:eastAsiaTheme="minorHAnsi" w:hAnsiTheme="majorBidi" w:cstheme="majorBidi"/>
          <w:sz w:val="24"/>
          <w:szCs w:val="24"/>
          <w:lang w:eastAsia="en-US"/>
        </w:rPr>
        <w:t xml:space="preserve"> jusqu’à ce que la couleur jaune due à l’iode ait presque disparu. Ajouter quelques gouttes de</w:t>
      </w:r>
      <w:r w:rsidR="00DD066C">
        <w:rPr>
          <w:rFonts w:asciiTheme="majorBidi" w:eastAsiaTheme="minorHAnsi" w:hAnsiTheme="majorBidi" w:cstheme="majorBidi"/>
          <w:sz w:val="24"/>
          <w:szCs w:val="24"/>
          <w:lang w:eastAsia="en-US"/>
        </w:rPr>
        <w:t xml:space="preserve"> la solution d’empois d’amidon</w:t>
      </w:r>
      <w:r w:rsidR="00F374C3" w:rsidRPr="00DD066C">
        <w:rPr>
          <w:rFonts w:asciiTheme="majorBidi" w:eastAsiaTheme="minorHAnsi" w:hAnsiTheme="majorBidi" w:cstheme="majorBidi"/>
          <w:sz w:val="24"/>
          <w:szCs w:val="24"/>
          <w:lang w:eastAsia="en-US"/>
        </w:rPr>
        <w:t xml:space="preserve"> et poursuivre le titrage jusqu’au moment où la couleur bleue disparaît après avoir agité vigoureusement.</w:t>
      </w:r>
    </w:p>
    <w:p w:rsidR="00F374C3" w:rsidRPr="00C55C9F" w:rsidRDefault="00F374C3"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F374C3" w:rsidRPr="007179B7" w:rsidRDefault="00F374C3" w:rsidP="007179B7">
      <w:pPr>
        <w:autoSpaceDE w:val="0"/>
        <w:autoSpaceDN w:val="0"/>
        <w:adjustRightInd w:val="0"/>
        <w:spacing w:line="360" w:lineRule="auto"/>
        <w:ind w:left="284" w:right="425"/>
        <w:jc w:val="both"/>
        <w:rPr>
          <w:rFonts w:asciiTheme="majorBidi" w:eastAsiaTheme="minorHAnsi" w:hAnsiTheme="majorBidi" w:cstheme="majorBidi"/>
          <w:i/>
          <w:iCs/>
          <w:sz w:val="24"/>
          <w:szCs w:val="24"/>
          <w:vertAlign w:val="subscript"/>
          <w:lang w:eastAsia="en-US"/>
        </w:rPr>
      </w:pPr>
      <w:r w:rsidRPr="00C55C9F">
        <w:rPr>
          <w:rFonts w:asciiTheme="majorBidi" w:eastAsiaTheme="minorHAnsi" w:hAnsiTheme="majorBidi" w:cstheme="majorBidi"/>
          <w:sz w:val="24"/>
          <w:szCs w:val="24"/>
          <w:lang w:eastAsia="en-US"/>
        </w:rPr>
        <w:t xml:space="preserve">Noter le volume, </w:t>
      </w:r>
      <w:r w:rsidRPr="00C55C9F">
        <w:rPr>
          <w:rFonts w:asciiTheme="majorBidi" w:eastAsiaTheme="minorHAnsi" w:hAnsiTheme="majorBidi" w:cstheme="majorBidi"/>
          <w:i/>
          <w:iCs/>
          <w:sz w:val="24"/>
          <w:szCs w:val="24"/>
          <w:lang w:eastAsia="en-US"/>
        </w:rPr>
        <w:t>V</w:t>
      </w:r>
      <w:r w:rsidR="007179B7">
        <w:rPr>
          <w:rFonts w:asciiTheme="majorBidi" w:eastAsiaTheme="minorHAnsi" w:hAnsiTheme="majorBidi" w:cstheme="majorBidi"/>
          <w:i/>
          <w:iCs/>
          <w:sz w:val="24"/>
          <w:szCs w:val="24"/>
          <w:vertAlign w:val="subscript"/>
          <w:lang w:eastAsia="en-US"/>
        </w:rPr>
        <w:t>2</w:t>
      </w:r>
      <w:r w:rsidRPr="00C55C9F">
        <w:rPr>
          <w:rFonts w:asciiTheme="majorBidi" w:eastAsiaTheme="minorHAnsi" w:hAnsiTheme="majorBidi" w:cstheme="majorBidi"/>
          <w:sz w:val="24"/>
          <w:szCs w:val="24"/>
          <w:lang w:eastAsia="en-US"/>
        </w:rPr>
        <w:t xml:space="preserve">, de solution de thiosulfate de sodium nécessaire pour atteindre le point de virage. Noter qu’il est admis de déterminer le point de virage par </w:t>
      </w:r>
      <w:proofErr w:type="spellStart"/>
      <w:r w:rsidRPr="00C55C9F">
        <w:rPr>
          <w:rFonts w:asciiTheme="majorBidi" w:eastAsiaTheme="minorHAnsi" w:hAnsiTheme="majorBidi" w:cstheme="majorBidi"/>
          <w:sz w:val="24"/>
          <w:szCs w:val="24"/>
          <w:lang w:eastAsia="en-US"/>
        </w:rPr>
        <w:t>potentiométrie</w:t>
      </w:r>
      <w:proofErr w:type="spellEnd"/>
      <w:r w:rsidRPr="00C55C9F">
        <w:rPr>
          <w:rFonts w:asciiTheme="majorBidi" w:eastAsiaTheme="minorHAnsi" w:hAnsiTheme="majorBidi" w:cstheme="majorBidi"/>
          <w:sz w:val="24"/>
          <w:szCs w:val="24"/>
          <w:lang w:eastAsia="en-US"/>
        </w:rPr>
        <w:t>.</w:t>
      </w:r>
    </w:p>
    <w:p w:rsidR="00F374C3" w:rsidRPr="00C55C9F" w:rsidRDefault="00F374C3"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p>
    <w:p w:rsidR="00F374C3" w:rsidRPr="00C55C9F" w:rsidRDefault="00F374C3"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p>
    <w:p w:rsidR="00F374C3" w:rsidRPr="00A04D5F" w:rsidRDefault="001E6EDB" w:rsidP="00A04D5F">
      <w:pPr>
        <w:autoSpaceDE w:val="0"/>
        <w:autoSpaceDN w:val="0"/>
        <w:adjustRightInd w:val="0"/>
        <w:spacing w:line="360" w:lineRule="auto"/>
        <w:ind w:left="284" w:right="425"/>
        <w:jc w:val="both"/>
        <w:rPr>
          <w:rFonts w:asciiTheme="majorBidi" w:eastAsiaTheme="minorHAnsi" w:hAnsiTheme="majorBidi" w:cstheme="majorBidi"/>
          <w:sz w:val="24"/>
          <w:szCs w:val="24"/>
          <w:vertAlign w:val="subscript"/>
          <w:lang w:eastAsia="en-US"/>
        </w:rPr>
      </w:pPr>
      <w:r>
        <w:rPr>
          <w:rFonts w:asciiTheme="majorBidi" w:eastAsiaTheme="minorHAnsi" w:hAnsiTheme="majorBidi" w:cstheme="majorBidi"/>
          <w:b/>
          <w:bCs/>
          <w:sz w:val="24"/>
          <w:szCs w:val="24"/>
          <w:lang w:eastAsia="en-US"/>
        </w:rPr>
        <w:lastRenderedPageBreak/>
        <w:t xml:space="preserve">5 </w:t>
      </w:r>
      <w:r w:rsidR="00DD066C">
        <w:rPr>
          <w:rFonts w:asciiTheme="majorBidi" w:eastAsiaTheme="minorHAnsi" w:hAnsiTheme="majorBidi" w:cstheme="majorBidi"/>
          <w:b/>
          <w:bCs/>
          <w:sz w:val="24"/>
          <w:szCs w:val="24"/>
          <w:lang w:eastAsia="en-US"/>
        </w:rPr>
        <w:t xml:space="preserve">- </w:t>
      </w:r>
      <w:r w:rsidR="00F374C3" w:rsidRPr="00DD066C">
        <w:rPr>
          <w:rFonts w:asciiTheme="majorBidi" w:eastAsiaTheme="minorHAnsi" w:hAnsiTheme="majorBidi" w:cstheme="majorBidi"/>
          <w:sz w:val="24"/>
          <w:szCs w:val="24"/>
          <w:lang w:eastAsia="en-US"/>
        </w:rPr>
        <w:t xml:space="preserve">Effectuer simultanément la détermination en utilisant la solution à blanc (2). Lors de la détermination du blanc, en </w:t>
      </w:r>
      <w:r w:rsidR="00A04D5F">
        <w:rPr>
          <w:rFonts w:asciiTheme="majorBidi" w:eastAsiaTheme="minorHAnsi" w:hAnsiTheme="majorBidi" w:cstheme="majorBidi"/>
          <w:sz w:val="24"/>
          <w:szCs w:val="24"/>
          <w:lang w:eastAsia="en-US"/>
        </w:rPr>
        <w:t>(</w:t>
      </w:r>
      <w:r w:rsidR="00F374C3" w:rsidRPr="00DD066C">
        <w:rPr>
          <w:rFonts w:asciiTheme="majorBidi" w:eastAsiaTheme="minorHAnsi" w:hAnsiTheme="majorBidi" w:cstheme="majorBidi"/>
          <w:sz w:val="24"/>
          <w:szCs w:val="24"/>
          <w:lang w:eastAsia="en-US"/>
        </w:rPr>
        <w:t>4</w:t>
      </w:r>
      <w:r w:rsidR="00A04D5F">
        <w:rPr>
          <w:rFonts w:asciiTheme="majorBidi" w:eastAsiaTheme="minorHAnsi" w:hAnsiTheme="majorBidi" w:cstheme="majorBidi"/>
          <w:sz w:val="24"/>
          <w:szCs w:val="24"/>
          <w:lang w:eastAsia="en-US"/>
        </w:rPr>
        <w:t>)</w:t>
      </w:r>
      <w:r w:rsidR="00F374C3" w:rsidRPr="00DD066C">
        <w:rPr>
          <w:rFonts w:asciiTheme="majorBidi" w:eastAsiaTheme="minorHAnsi" w:hAnsiTheme="majorBidi" w:cstheme="majorBidi"/>
          <w:sz w:val="24"/>
          <w:szCs w:val="24"/>
          <w:lang w:eastAsia="en-US"/>
        </w:rPr>
        <w:t xml:space="preserve">, noter le volume </w:t>
      </w:r>
      <w:r w:rsidR="00F374C3" w:rsidRPr="00DD066C">
        <w:rPr>
          <w:rFonts w:asciiTheme="majorBidi" w:eastAsiaTheme="minorHAnsi" w:hAnsiTheme="majorBidi" w:cstheme="majorBidi"/>
          <w:i/>
          <w:iCs/>
          <w:sz w:val="24"/>
          <w:szCs w:val="24"/>
          <w:lang w:eastAsia="en-US"/>
        </w:rPr>
        <w:t>V</w:t>
      </w:r>
      <w:r w:rsidR="00A04D5F">
        <w:rPr>
          <w:rFonts w:asciiTheme="majorBidi" w:eastAsiaTheme="minorHAnsi" w:hAnsiTheme="majorBidi" w:cstheme="majorBidi"/>
          <w:i/>
          <w:iCs/>
          <w:sz w:val="24"/>
          <w:szCs w:val="24"/>
          <w:vertAlign w:val="subscript"/>
          <w:lang w:eastAsia="en-US"/>
        </w:rPr>
        <w:t>1</w:t>
      </w:r>
      <w:r w:rsidR="00A04D5F">
        <w:rPr>
          <w:rFonts w:asciiTheme="majorBidi" w:eastAsiaTheme="minorHAnsi" w:hAnsiTheme="majorBidi" w:cstheme="majorBidi"/>
          <w:sz w:val="24"/>
          <w:szCs w:val="24"/>
          <w:vertAlign w:val="subscript"/>
          <w:lang w:eastAsia="en-US"/>
        </w:rPr>
        <w:t xml:space="preserve"> </w:t>
      </w:r>
      <w:r w:rsidR="00F374C3" w:rsidRPr="00C55C9F">
        <w:rPr>
          <w:rFonts w:asciiTheme="majorBidi" w:eastAsiaTheme="minorHAnsi" w:hAnsiTheme="majorBidi" w:cstheme="majorBidi"/>
          <w:sz w:val="24"/>
          <w:szCs w:val="24"/>
          <w:lang w:eastAsia="en-US"/>
        </w:rPr>
        <w:t>de solution de thiosulfate de sodium nécessaire pour atteindre le point de virage.</w:t>
      </w:r>
    </w:p>
    <w:p w:rsidR="00A04D5F" w:rsidRDefault="00A04D5F" w:rsidP="00DD066C">
      <w:pPr>
        <w:autoSpaceDE w:val="0"/>
        <w:autoSpaceDN w:val="0"/>
        <w:adjustRightInd w:val="0"/>
        <w:spacing w:line="360" w:lineRule="auto"/>
        <w:ind w:left="284" w:right="425"/>
        <w:jc w:val="both"/>
        <w:rPr>
          <w:rFonts w:asciiTheme="majorBidi" w:eastAsiaTheme="minorHAnsi" w:hAnsiTheme="majorBidi" w:cstheme="majorBidi"/>
          <w:b/>
          <w:bCs/>
          <w:sz w:val="24"/>
          <w:szCs w:val="24"/>
          <w:lang w:eastAsia="en-US"/>
        </w:rPr>
      </w:pPr>
      <w:bookmarkStart w:id="0" w:name="_GoBack"/>
      <w:bookmarkEnd w:id="0"/>
    </w:p>
    <w:p w:rsidR="00F374C3" w:rsidRPr="00C55C9F" w:rsidRDefault="00F374C3"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sidRPr="00C55C9F">
        <w:rPr>
          <w:rFonts w:asciiTheme="majorBidi" w:eastAsiaTheme="minorHAnsi" w:hAnsiTheme="majorBidi" w:cstheme="majorBidi"/>
          <w:b/>
          <w:bCs/>
          <w:sz w:val="24"/>
          <w:szCs w:val="24"/>
          <w:lang w:eastAsia="en-US"/>
        </w:rPr>
        <w:t>Calcul</w:t>
      </w:r>
    </w:p>
    <w:p w:rsidR="00F374C3" w:rsidRPr="00C55C9F" w:rsidRDefault="00F374C3" w:rsidP="00DD066C">
      <w:pPr>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p>
    <w:p w:rsidR="00F374C3" w:rsidRPr="00C55C9F" w:rsidRDefault="00F374C3" w:rsidP="00AF1CE8">
      <w:pPr>
        <w:pStyle w:val="Paragraphedeliste"/>
        <w:autoSpaceDE w:val="0"/>
        <w:autoSpaceDN w:val="0"/>
        <w:adjustRightInd w:val="0"/>
        <w:spacing w:line="360" w:lineRule="auto"/>
        <w:ind w:left="284" w:right="425"/>
        <w:jc w:val="both"/>
        <w:rPr>
          <w:rFonts w:asciiTheme="majorBidi" w:eastAsiaTheme="minorHAnsi" w:hAnsiTheme="majorBidi" w:cstheme="majorBidi"/>
          <w:sz w:val="24"/>
          <w:szCs w:val="24"/>
          <w:lang w:eastAsia="en-US"/>
        </w:rPr>
      </w:pPr>
      <w:r w:rsidRPr="00C55C9F">
        <w:rPr>
          <w:rFonts w:asciiTheme="majorBidi" w:eastAsiaTheme="minorHAnsi" w:hAnsiTheme="majorBidi" w:cstheme="majorBidi"/>
          <w:sz w:val="24"/>
          <w:szCs w:val="24"/>
          <w:lang w:eastAsia="en-US"/>
        </w:rPr>
        <w:t>Calculer l’indice d’iode (communément appelé II dans le secteur industriel), en grammes pour 100 g de corps gras, à l’aide de la formule suivante.</w:t>
      </w:r>
    </w:p>
    <w:p w:rsidR="009D2C31" w:rsidRDefault="004941A3" w:rsidP="004941A3">
      <w:pPr>
        <w:autoSpaceDE w:val="0"/>
        <w:autoSpaceDN w:val="0"/>
        <w:adjustRightInd w:val="0"/>
        <w:spacing w:line="360" w:lineRule="auto"/>
        <w:ind w:left="284" w:right="425"/>
        <w:jc w:val="both"/>
        <w:rPr>
          <w:rFonts w:asciiTheme="majorBidi" w:eastAsiaTheme="minorHAnsi" w:hAnsiTheme="majorBidi" w:cstheme="majorBidi"/>
          <w:b/>
          <w:bCs/>
          <w:i/>
          <w:iCs/>
          <w:sz w:val="24"/>
          <w:szCs w:val="24"/>
          <w:lang w:eastAsia="en-US"/>
        </w:rPr>
      </w:pPr>
      <w:r w:rsidRPr="004941A3">
        <w:rPr>
          <w:rFonts w:ascii="Goudy Old Style" w:eastAsiaTheme="minorHAnsi" w:hAnsi="Goudy Old Style" w:cs="Arabic Typesetting"/>
          <w:b/>
          <w:bCs/>
          <w:i/>
          <w:iCs/>
          <w:color w:val="000000"/>
          <w:sz w:val="24"/>
          <w:szCs w:val="24"/>
          <w:lang w:eastAsia="en-US"/>
        </w:rPr>
        <w:t>W</w:t>
      </w:r>
      <w:r w:rsidRPr="004941A3">
        <w:rPr>
          <w:rFonts w:ascii="Goudy Old Style" w:eastAsiaTheme="minorHAnsi" w:hAnsi="Goudy Old Style" w:cs="Arabic Typesetting"/>
          <w:b/>
          <w:bCs/>
          <w:i/>
          <w:iCs/>
          <w:color w:val="000000"/>
          <w:sz w:val="24"/>
          <w:szCs w:val="24"/>
          <w:vertAlign w:val="subscript"/>
          <w:lang w:eastAsia="en-US"/>
        </w:rPr>
        <w:t>1</w:t>
      </w:r>
      <w:r w:rsidRPr="004941A3">
        <w:rPr>
          <w:rFonts w:ascii="Goudy Old Style" w:eastAsiaTheme="minorHAnsi" w:hAnsi="Goudy Old Style" w:cs="Arabic Typesetting"/>
          <w:b/>
          <w:bCs/>
          <w:i/>
          <w:iCs/>
          <w:color w:val="000000"/>
          <w:sz w:val="24"/>
          <w:szCs w:val="24"/>
          <w:lang w:eastAsia="en-US"/>
        </w:rPr>
        <w:t>=12.69</w:t>
      </w:r>
      <w:r>
        <w:rPr>
          <w:rFonts w:ascii="Goudy Old Style" w:eastAsiaTheme="minorHAnsi" w:hAnsi="Goudy Old Style" w:cs="Arabic Typesetting"/>
          <w:b/>
          <w:bCs/>
          <w:i/>
          <w:iCs/>
          <w:color w:val="000000"/>
          <w:sz w:val="24"/>
          <w:szCs w:val="24"/>
          <w:lang w:eastAsia="en-US"/>
        </w:rPr>
        <w:t xml:space="preserve"> </w:t>
      </w:r>
      <w:r w:rsidRPr="004941A3">
        <w:rPr>
          <w:rFonts w:ascii="Goudy Old Style" w:eastAsiaTheme="minorHAnsi" w:hAnsi="Goudy Old Style" w:cs="Arabic Typesetting"/>
          <w:b/>
          <w:bCs/>
          <w:i/>
          <w:iCs/>
          <w:color w:val="000000"/>
          <w:sz w:val="24"/>
          <w:szCs w:val="24"/>
          <w:lang w:eastAsia="en-US"/>
        </w:rPr>
        <w:t>×</w:t>
      </w:r>
      <w:r>
        <w:rPr>
          <w:rFonts w:ascii="Goudy Old Style" w:eastAsiaTheme="minorHAnsi" w:hAnsi="Goudy Old Style" w:cs="Arabic Typesetting"/>
          <w:b/>
          <w:bCs/>
          <w:i/>
          <w:iCs/>
          <w:color w:val="000000"/>
          <w:sz w:val="24"/>
          <w:szCs w:val="24"/>
          <w:lang w:eastAsia="en-US"/>
        </w:rPr>
        <w:t xml:space="preserve"> </w:t>
      </w:r>
      <w:r w:rsidRPr="004941A3">
        <w:rPr>
          <w:rFonts w:ascii="Goudy Old Style" w:eastAsiaTheme="minorHAnsi" w:hAnsi="Goudy Old Style" w:cs="Arabic Typesetting"/>
          <w:b/>
          <w:bCs/>
          <w:i/>
          <w:iCs/>
          <w:color w:val="000000"/>
          <w:sz w:val="24"/>
          <w:szCs w:val="24"/>
          <w:lang w:eastAsia="en-US"/>
        </w:rPr>
        <w:t>c</w:t>
      </w:r>
      <w:r>
        <w:rPr>
          <w:rFonts w:ascii="Goudy Old Style" w:eastAsiaTheme="minorHAnsi" w:hAnsi="Goudy Old Style" w:cs="Arabic Typesetting"/>
          <w:b/>
          <w:bCs/>
          <w:i/>
          <w:iCs/>
          <w:color w:val="000000"/>
          <w:sz w:val="24"/>
          <w:szCs w:val="24"/>
          <w:lang w:eastAsia="en-US"/>
        </w:rPr>
        <w:t xml:space="preserve"> </w:t>
      </w:r>
      <w:r w:rsidRPr="004941A3">
        <w:rPr>
          <w:rFonts w:ascii="Goudy Old Style" w:eastAsiaTheme="minorHAnsi" w:hAnsi="Goudy Old Style" w:cs="Arabic Typesetting"/>
          <w:b/>
          <w:bCs/>
          <w:i/>
          <w:iCs/>
          <w:color w:val="000000"/>
          <w:sz w:val="24"/>
          <w:szCs w:val="24"/>
          <w:lang w:eastAsia="en-US"/>
        </w:rPr>
        <w:t>(</w:t>
      </w:r>
      <w:r w:rsidRPr="004941A3">
        <w:rPr>
          <w:rFonts w:asciiTheme="majorBidi" w:eastAsiaTheme="minorHAnsi" w:hAnsiTheme="majorBidi" w:cstheme="majorBidi"/>
          <w:b/>
          <w:bCs/>
          <w:i/>
          <w:iCs/>
          <w:sz w:val="24"/>
          <w:szCs w:val="24"/>
          <w:lang w:eastAsia="en-US"/>
        </w:rPr>
        <w:t>V</w:t>
      </w:r>
      <w:r w:rsidRPr="004941A3">
        <w:rPr>
          <w:rFonts w:asciiTheme="majorBidi" w:eastAsiaTheme="minorHAnsi" w:hAnsiTheme="majorBidi" w:cstheme="majorBidi"/>
          <w:b/>
          <w:bCs/>
          <w:i/>
          <w:iCs/>
          <w:sz w:val="24"/>
          <w:szCs w:val="24"/>
          <w:vertAlign w:val="subscript"/>
          <w:lang w:eastAsia="en-US"/>
        </w:rPr>
        <w:t>1</w:t>
      </w:r>
      <w:r w:rsidRPr="004941A3">
        <w:rPr>
          <w:rFonts w:asciiTheme="majorBidi" w:eastAsiaTheme="minorHAnsi" w:hAnsiTheme="majorBidi" w:cstheme="majorBidi"/>
          <w:b/>
          <w:bCs/>
          <w:i/>
          <w:iCs/>
          <w:sz w:val="24"/>
          <w:szCs w:val="24"/>
          <w:lang w:eastAsia="en-US"/>
        </w:rPr>
        <w:t>- V</w:t>
      </w:r>
      <w:r w:rsidRPr="004941A3">
        <w:rPr>
          <w:rFonts w:asciiTheme="majorBidi" w:eastAsiaTheme="minorHAnsi" w:hAnsiTheme="majorBidi" w:cstheme="majorBidi"/>
          <w:b/>
          <w:bCs/>
          <w:i/>
          <w:iCs/>
          <w:sz w:val="24"/>
          <w:szCs w:val="24"/>
          <w:vertAlign w:val="subscript"/>
          <w:lang w:eastAsia="en-US"/>
        </w:rPr>
        <w:t>2</w:t>
      </w:r>
      <w:r w:rsidRPr="004941A3">
        <w:rPr>
          <w:rFonts w:asciiTheme="majorBidi" w:eastAsiaTheme="minorHAnsi" w:hAnsiTheme="majorBidi" w:cstheme="majorBidi"/>
          <w:b/>
          <w:bCs/>
          <w:i/>
          <w:iCs/>
          <w:sz w:val="24"/>
          <w:szCs w:val="24"/>
          <w:lang w:eastAsia="en-US"/>
        </w:rPr>
        <w:t>)/m</w:t>
      </w:r>
    </w:p>
    <w:p w:rsidR="00831D0F" w:rsidRDefault="00831D0F" w:rsidP="004941A3">
      <w:pPr>
        <w:autoSpaceDE w:val="0"/>
        <w:autoSpaceDN w:val="0"/>
        <w:adjustRightInd w:val="0"/>
        <w:spacing w:line="360" w:lineRule="auto"/>
        <w:ind w:left="284" w:right="425"/>
        <w:jc w:val="both"/>
        <w:rPr>
          <w:rFonts w:ascii="Goudy Old Style" w:eastAsiaTheme="minorHAnsi" w:hAnsi="Goudy Old Style" w:cs="Arabic Typesetting"/>
          <w:b/>
          <w:bCs/>
          <w:color w:val="000000"/>
          <w:sz w:val="24"/>
          <w:szCs w:val="24"/>
          <w:lang w:eastAsia="en-US"/>
        </w:rPr>
      </w:pPr>
      <w:r>
        <w:rPr>
          <w:rFonts w:ascii="Goudy Old Style" w:eastAsiaTheme="minorHAnsi" w:hAnsi="Goudy Old Style" w:cs="Arabic Typesetting"/>
          <w:b/>
          <w:bCs/>
          <w:color w:val="000000"/>
          <w:sz w:val="24"/>
          <w:szCs w:val="24"/>
          <w:lang w:eastAsia="en-US"/>
        </w:rPr>
        <w:t>Où</w:t>
      </w:r>
    </w:p>
    <w:p w:rsidR="00831D0F" w:rsidRPr="00831D0F" w:rsidRDefault="00831D0F" w:rsidP="008E40E0">
      <w:pPr>
        <w:autoSpaceDE w:val="0"/>
        <w:autoSpaceDN w:val="0"/>
        <w:adjustRightInd w:val="0"/>
        <w:ind w:firstLine="284"/>
        <w:jc w:val="both"/>
        <w:rPr>
          <w:rFonts w:ascii="Cambria" w:eastAsiaTheme="minorHAnsi" w:hAnsi="Cambria" w:cs="Cambria"/>
          <w:i/>
          <w:iCs/>
          <w:color w:val="231F20"/>
          <w:sz w:val="22"/>
          <w:szCs w:val="22"/>
          <w:lang w:eastAsia="en-US"/>
        </w:rPr>
      </w:pPr>
      <w:r>
        <w:rPr>
          <w:rFonts w:ascii="Goudy Old Style" w:eastAsiaTheme="minorHAnsi" w:hAnsi="Goudy Old Style" w:cs="Arabic Typesetting"/>
          <w:b/>
          <w:bCs/>
          <w:color w:val="000000"/>
          <w:sz w:val="24"/>
          <w:szCs w:val="24"/>
          <w:lang w:eastAsia="en-US"/>
        </w:rPr>
        <w:t xml:space="preserve"> </w:t>
      </w:r>
      <w:proofErr w:type="gramStart"/>
      <w:r w:rsidRPr="004941A3">
        <w:rPr>
          <w:rFonts w:ascii="Goudy Old Style" w:eastAsiaTheme="minorHAnsi" w:hAnsi="Goudy Old Style" w:cs="Arabic Typesetting"/>
          <w:b/>
          <w:bCs/>
          <w:i/>
          <w:iCs/>
          <w:color w:val="000000"/>
          <w:sz w:val="24"/>
          <w:szCs w:val="24"/>
          <w:lang w:eastAsia="en-US"/>
        </w:rPr>
        <w:t>c</w:t>
      </w:r>
      <w:proofErr w:type="gramEnd"/>
      <w:r>
        <w:rPr>
          <w:rFonts w:ascii="Cambria" w:eastAsiaTheme="minorHAnsi" w:hAnsi="Cambria" w:cs="Cambria"/>
          <w:i/>
          <w:iCs/>
          <w:color w:val="231F20"/>
          <w:sz w:val="22"/>
          <w:szCs w:val="22"/>
          <w:lang w:eastAsia="en-US"/>
        </w:rPr>
        <w:t xml:space="preserve"> : </w:t>
      </w:r>
      <w:r w:rsidRPr="008E40E0">
        <w:rPr>
          <w:rFonts w:asciiTheme="majorBidi" w:eastAsiaTheme="minorHAnsi" w:hAnsiTheme="majorBidi" w:cstheme="majorBidi"/>
          <w:sz w:val="24"/>
          <w:szCs w:val="24"/>
          <w:lang w:eastAsia="en-US"/>
        </w:rPr>
        <w:t>est la concentration, en moles par litre, de la solution de thiosulfate de</w:t>
      </w:r>
      <w:r w:rsidRPr="008E40E0">
        <w:rPr>
          <w:rFonts w:ascii="Cambria" w:eastAsiaTheme="minorHAnsi" w:hAnsi="Cambria" w:cs="Cambria"/>
          <w:sz w:val="24"/>
          <w:szCs w:val="24"/>
          <w:lang w:eastAsia="en-US"/>
        </w:rPr>
        <w:t xml:space="preserve"> </w:t>
      </w:r>
      <w:r w:rsidRPr="008E40E0">
        <w:rPr>
          <w:rFonts w:asciiTheme="majorBidi" w:eastAsiaTheme="minorHAnsi" w:hAnsiTheme="majorBidi" w:cstheme="majorBidi"/>
          <w:sz w:val="24"/>
          <w:szCs w:val="24"/>
          <w:lang w:eastAsia="en-US"/>
        </w:rPr>
        <w:t>sodium ;</w:t>
      </w:r>
    </w:p>
    <w:p w:rsidR="00831D0F" w:rsidRPr="00831D0F" w:rsidRDefault="00831D0F" w:rsidP="008E40E0">
      <w:pPr>
        <w:autoSpaceDE w:val="0"/>
        <w:autoSpaceDN w:val="0"/>
        <w:adjustRightInd w:val="0"/>
        <w:ind w:firstLine="284"/>
        <w:jc w:val="both"/>
        <w:rPr>
          <w:rFonts w:asciiTheme="majorBidi" w:eastAsiaTheme="minorHAnsi" w:hAnsiTheme="majorBidi" w:cstheme="majorBidi"/>
          <w:sz w:val="24"/>
          <w:szCs w:val="24"/>
          <w:lang w:eastAsia="en-US"/>
        </w:rPr>
      </w:pPr>
      <w:r w:rsidRPr="004941A3">
        <w:rPr>
          <w:rFonts w:asciiTheme="majorBidi" w:eastAsiaTheme="minorHAnsi" w:hAnsiTheme="majorBidi" w:cstheme="majorBidi"/>
          <w:b/>
          <w:bCs/>
          <w:i/>
          <w:iCs/>
          <w:sz w:val="24"/>
          <w:szCs w:val="24"/>
          <w:lang w:eastAsia="en-US"/>
        </w:rPr>
        <w:t>V</w:t>
      </w:r>
      <w:r w:rsidRPr="004941A3">
        <w:rPr>
          <w:rFonts w:asciiTheme="majorBidi" w:eastAsiaTheme="minorHAnsi" w:hAnsiTheme="majorBidi" w:cstheme="majorBidi"/>
          <w:b/>
          <w:bCs/>
          <w:i/>
          <w:iCs/>
          <w:sz w:val="24"/>
          <w:szCs w:val="24"/>
          <w:vertAlign w:val="subscript"/>
          <w:lang w:eastAsia="en-US"/>
        </w:rPr>
        <w:t>1</w:t>
      </w:r>
      <w:r>
        <w:rPr>
          <w:rFonts w:asciiTheme="majorBidi" w:eastAsiaTheme="minorHAnsi" w:hAnsiTheme="majorBidi" w:cstheme="majorBidi"/>
          <w:b/>
          <w:bCs/>
          <w:i/>
          <w:iCs/>
          <w:sz w:val="24"/>
          <w:szCs w:val="24"/>
          <w:vertAlign w:val="subscript"/>
          <w:lang w:eastAsia="en-US"/>
        </w:rPr>
        <w:t> </w:t>
      </w:r>
      <w:r w:rsidRPr="00831D0F">
        <w:rPr>
          <w:rFonts w:asciiTheme="majorBidi" w:eastAsiaTheme="minorHAnsi" w:hAnsiTheme="majorBidi" w:cstheme="majorBidi"/>
          <w:b/>
          <w:bCs/>
          <w:i/>
          <w:iCs/>
          <w:sz w:val="24"/>
          <w:szCs w:val="24"/>
          <w:vertAlign w:val="subscript"/>
          <w:lang w:eastAsia="en-US"/>
        </w:rPr>
        <w:t xml:space="preserve">: </w:t>
      </w:r>
      <w:r w:rsidRPr="00831D0F">
        <w:rPr>
          <w:rFonts w:asciiTheme="majorBidi" w:eastAsiaTheme="minorHAnsi" w:hAnsiTheme="majorBidi" w:cstheme="majorBidi"/>
          <w:sz w:val="24"/>
          <w:szCs w:val="24"/>
          <w:lang w:eastAsia="en-US"/>
        </w:rPr>
        <w:t>est le volume, en millilitres, de la solution de thiosulfate de sodium utilisée pour l’essai à blanc;</w:t>
      </w:r>
    </w:p>
    <w:p w:rsidR="00831D0F" w:rsidRDefault="00831D0F" w:rsidP="008E40E0">
      <w:pPr>
        <w:autoSpaceDE w:val="0"/>
        <w:autoSpaceDN w:val="0"/>
        <w:adjustRightInd w:val="0"/>
        <w:ind w:firstLine="284"/>
        <w:jc w:val="both"/>
        <w:rPr>
          <w:rFonts w:eastAsiaTheme="minorHAnsi"/>
          <w:sz w:val="24"/>
          <w:szCs w:val="24"/>
          <w:lang w:eastAsia="en-US"/>
        </w:rPr>
      </w:pPr>
      <w:r w:rsidRPr="004941A3">
        <w:rPr>
          <w:rFonts w:asciiTheme="majorBidi" w:eastAsiaTheme="minorHAnsi" w:hAnsiTheme="majorBidi" w:cstheme="majorBidi"/>
          <w:b/>
          <w:bCs/>
          <w:i/>
          <w:iCs/>
          <w:sz w:val="24"/>
          <w:szCs w:val="24"/>
          <w:lang w:eastAsia="en-US"/>
        </w:rPr>
        <w:t>V</w:t>
      </w:r>
      <w:r w:rsidRPr="004941A3">
        <w:rPr>
          <w:rFonts w:asciiTheme="majorBidi" w:eastAsiaTheme="minorHAnsi" w:hAnsiTheme="majorBidi" w:cstheme="majorBidi"/>
          <w:b/>
          <w:bCs/>
          <w:i/>
          <w:iCs/>
          <w:sz w:val="24"/>
          <w:szCs w:val="24"/>
          <w:vertAlign w:val="subscript"/>
          <w:lang w:eastAsia="en-US"/>
        </w:rPr>
        <w:t>2</w:t>
      </w:r>
      <w:r>
        <w:rPr>
          <w:rFonts w:asciiTheme="majorBidi" w:eastAsiaTheme="minorHAnsi" w:hAnsiTheme="majorBidi" w:cstheme="majorBidi"/>
          <w:b/>
          <w:bCs/>
          <w:i/>
          <w:iCs/>
          <w:sz w:val="24"/>
          <w:szCs w:val="24"/>
          <w:vertAlign w:val="subscript"/>
          <w:lang w:eastAsia="en-US"/>
        </w:rPr>
        <w:t> </w:t>
      </w:r>
      <w:r w:rsidRPr="00831D0F">
        <w:rPr>
          <w:rFonts w:asciiTheme="majorBidi" w:eastAsiaTheme="minorHAnsi" w:hAnsiTheme="majorBidi" w:cstheme="majorBidi"/>
          <w:b/>
          <w:bCs/>
          <w:i/>
          <w:iCs/>
          <w:sz w:val="24"/>
          <w:szCs w:val="24"/>
          <w:vertAlign w:val="subscript"/>
          <w:lang w:eastAsia="en-US"/>
        </w:rPr>
        <w:t xml:space="preserve">: </w:t>
      </w:r>
      <w:r w:rsidRPr="00831D0F">
        <w:rPr>
          <w:rFonts w:asciiTheme="majorBidi" w:eastAsiaTheme="minorHAnsi" w:hAnsiTheme="majorBidi" w:cstheme="majorBidi"/>
          <w:sz w:val="24"/>
          <w:szCs w:val="24"/>
          <w:lang w:eastAsia="en-US"/>
        </w:rPr>
        <w:t>est le volume, en millilitres, de la solution de thiosulfate de sodium utilisée pour la détermination;</w:t>
      </w:r>
    </w:p>
    <w:p w:rsidR="00831D0F" w:rsidRPr="00831D0F" w:rsidRDefault="00831D0F" w:rsidP="008E40E0">
      <w:pPr>
        <w:autoSpaceDE w:val="0"/>
        <w:autoSpaceDN w:val="0"/>
        <w:adjustRightInd w:val="0"/>
        <w:spacing w:line="360" w:lineRule="auto"/>
        <w:ind w:right="425" w:firstLine="284"/>
        <w:jc w:val="both"/>
        <w:rPr>
          <w:rFonts w:ascii="Goudy Old Style" w:eastAsiaTheme="minorHAnsi" w:hAnsi="Goudy Old Style" w:cs="Arabic Typesetting"/>
          <w:b/>
          <w:bCs/>
          <w:color w:val="000000"/>
          <w:sz w:val="24"/>
          <w:szCs w:val="24"/>
          <w:lang w:eastAsia="en-US"/>
        </w:rPr>
      </w:pPr>
      <w:proofErr w:type="gramStart"/>
      <w:r w:rsidRPr="004941A3">
        <w:rPr>
          <w:rFonts w:asciiTheme="majorBidi" w:eastAsiaTheme="minorHAnsi" w:hAnsiTheme="majorBidi" w:cstheme="majorBidi"/>
          <w:b/>
          <w:bCs/>
          <w:i/>
          <w:iCs/>
          <w:sz w:val="24"/>
          <w:szCs w:val="24"/>
          <w:lang w:eastAsia="en-US"/>
        </w:rPr>
        <w:t>m</w:t>
      </w:r>
      <w:proofErr w:type="gramEnd"/>
      <w:r>
        <w:rPr>
          <w:rFonts w:ascii="Cambria" w:eastAsiaTheme="minorHAnsi" w:hAnsi="Cambria" w:cs="Cambria"/>
          <w:i/>
          <w:iCs/>
          <w:color w:val="231F20"/>
          <w:sz w:val="22"/>
          <w:szCs w:val="22"/>
          <w:lang w:eastAsia="en-US"/>
        </w:rPr>
        <w:t> </w:t>
      </w:r>
      <w:r w:rsidRPr="00831D0F">
        <w:rPr>
          <w:rFonts w:asciiTheme="majorBidi" w:eastAsiaTheme="minorHAnsi" w:hAnsiTheme="majorBidi" w:cstheme="majorBidi"/>
          <w:i/>
          <w:iCs/>
          <w:sz w:val="24"/>
          <w:szCs w:val="24"/>
          <w:lang w:eastAsia="en-US"/>
        </w:rPr>
        <w:t>: est</w:t>
      </w:r>
      <w:r w:rsidRPr="00831D0F">
        <w:rPr>
          <w:rFonts w:asciiTheme="majorBidi" w:eastAsiaTheme="minorHAnsi" w:hAnsiTheme="majorBidi" w:cstheme="majorBidi"/>
          <w:sz w:val="24"/>
          <w:szCs w:val="24"/>
          <w:lang w:eastAsia="en-US"/>
        </w:rPr>
        <w:t xml:space="preserve"> la masse, en grammes, de la prise d’essai.</w:t>
      </w:r>
    </w:p>
    <w:p w:rsidR="00345DAB" w:rsidRDefault="00345DAB">
      <w:pPr>
        <w:rPr>
          <w:rFonts w:asciiTheme="majorBidi" w:eastAsiaTheme="minorHAnsi" w:hAnsiTheme="majorBidi" w:cstheme="majorBidi"/>
          <w:sz w:val="24"/>
          <w:szCs w:val="24"/>
          <w:lang w:eastAsia="en-US"/>
        </w:rPr>
      </w:pPr>
    </w:p>
    <w:p w:rsidR="00345DAB" w:rsidRDefault="00345DAB">
      <w:pPr>
        <w:rPr>
          <w:rFonts w:asciiTheme="majorBidi" w:hAnsiTheme="majorBidi" w:cstheme="majorBidi"/>
          <w:sz w:val="22"/>
          <w:szCs w:val="22"/>
        </w:rPr>
      </w:pPr>
      <w:r w:rsidRPr="00345DAB">
        <w:rPr>
          <w:rFonts w:asciiTheme="majorBidi" w:eastAsiaTheme="minorHAnsi" w:hAnsiTheme="majorBidi" w:cstheme="majorBidi"/>
          <w:sz w:val="24"/>
          <w:szCs w:val="24"/>
          <w:lang w:eastAsia="en-US"/>
        </w:rPr>
        <w:t>Arrondir les résultats comme indiqué dans le Tableau 2.</w:t>
      </w:r>
    </w:p>
    <w:p w:rsidR="00345DAB" w:rsidRDefault="00345DAB" w:rsidP="00345DAB">
      <w:pPr>
        <w:rPr>
          <w:rFonts w:asciiTheme="majorBidi" w:hAnsiTheme="majorBidi" w:cstheme="majorBidi"/>
          <w:sz w:val="22"/>
          <w:szCs w:val="22"/>
        </w:rPr>
      </w:pPr>
    </w:p>
    <w:p w:rsidR="00345DAB" w:rsidRDefault="00345DAB" w:rsidP="00345DAB">
      <w:pPr>
        <w:rPr>
          <w:rFonts w:asciiTheme="majorBidi" w:hAnsiTheme="majorBidi" w:cstheme="majorBidi"/>
          <w:sz w:val="22"/>
          <w:szCs w:val="22"/>
        </w:rPr>
      </w:pPr>
    </w:p>
    <w:p w:rsidR="002618E1" w:rsidRDefault="00345DAB" w:rsidP="00345DAB">
      <w:pPr>
        <w:tabs>
          <w:tab w:val="left" w:pos="1260"/>
        </w:tabs>
        <w:jc w:val="center"/>
        <w:rPr>
          <w:rFonts w:asciiTheme="majorBidi" w:eastAsiaTheme="minorHAnsi" w:hAnsiTheme="majorBidi" w:cstheme="majorBidi"/>
          <w:b/>
          <w:bCs/>
          <w:sz w:val="24"/>
          <w:szCs w:val="24"/>
          <w:lang w:eastAsia="en-US"/>
        </w:rPr>
      </w:pPr>
      <w:r w:rsidRPr="00345DAB">
        <w:rPr>
          <w:rFonts w:asciiTheme="majorBidi" w:eastAsiaTheme="minorHAnsi" w:hAnsiTheme="majorBidi" w:cstheme="majorBidi"/>
          <w:b/>
          <w:bCs/>
          <w:sz w:val="24"/>
          <w:szCs w:val="24"/>
          <w:lang w:eastAsia="en-US"/>
        </w:rPr>
        <w:t>Tableau 2 — Arrondissage des résultats</w:t>
      </w:r>
    </w:p>
    <w:p w:rsidR="00345DAB" w:rsidRPr="00345DAB" w:rsidRDefault="00345DAB" w:rsidP="00345DAB">
      <w:pPr>
        <w:tabs>
          <w:tab w:val="left" w:pos="1260"/>
        </w:tabs>
        <w:jc w:val="center"/>
        <w:rPr>
          <w:rFonts w:asciiTheme="majorBidi" w:hAnsiTheme="majorBidi" w:cstheme="majorBidi"/>
          <w:sz w:val="24"/>
          <w:szCs w:val="24"/>
        </w:rPr>
      </w:pPr>
    </w:p>
    <w:tbl>
      <w:tblPr>
        <w:tblStyle w:val="Grilledutableau"/>
        <w:tblW w:w="0" w:type="auto"/>
        <w:tblInd w:w="2802" w:type="dxa"/>
        <w:tblLook w:val="04A0" w:firstRow="1" w:lastRow="0" w:firstColumn="1" w:lastColumn="0" w:noHBand="0" w:noVBand="1"/>
      </w:tblPr>
      <w:tblGrid>
        <w:gridCol w:w="2654"/>
        <w:gridCol w:w="2449"/>
      </w:tblGrid>
      <w:tr w:rsidR="00345DAB" w:rsidTr="00345DAB">
        <w:tc>
          <w:tcPr>
            <w:tcW w:w="2654" w:type="dxa"/>
          </w:tcPr>
          <w:p w:rsidR="00345DAB" w:rsidRPr="00345DAB" w:rsidRDefault="00345DAB" w:rsidP="00345DAB">
            <w:pPr>
              <w:autoSpaceDE w:val="0"/>
              <w:autoSpaceDN w:val="0"/>
              <w:adjustRightInd w:val="0"/>
              <w:jc w:val="center"/>
              <w:rPr>
                <w:rFonts w:asciiTheme="majorBidi" w:eastAsiaTheme="minorHAnsi" w:hAnsiTheme="majorBidi" w:cstheme="majorBidi"/>
                <w:b/>
                <w:bCs/>
                <w:sz w:val="24"/>
                <w:szCs w:val="24"/>
                <w:lang w:eastAsia="en-US"/>
              </w:rPr>
            </w:pPr>
            <w:r w:rsidRPr="00345DAB">
              <w:rPr>
                <w:rFonts w:asciiTheme="majorBidi" w:eastAsiaTheme="minorHAnsi" w:hAnsiTheme="majorBidi" w:cstheme="majorBidi"/>
                <w:b/>
                <w:bCs/>
                <w:sz w:val="24"/>
                <w:szCs w:val="24"/>
                <w:lang w:eastAsia="en-US"/>
              </w:rPr>
              <w:t>II</w:t>
            </w:r>
          </w:p>
          <w:p w:rsidR="00345DAB" w:rsidRPr="00345DAB" w:rsidRDefault="00345DAB" w:rsidP="00345DAB">
            <w:pPr>
              <w:autoSpaceDE w:val="0"/>
              <w:autoSpaceDN w:val="0"/>
              <w:adjustRightInd w:val="0"/>
              <w:jc w:val="center"/>
              <w:rPr>
                <w:rFonts w:asciiTheme="majorBidi" w:eastAsiaTheme="minorHAnsi" w:hAnsiTheme="majorBidi" w:cstheme="majorBidi"/>
                <w:sz w:val="32"/>
                <w:szCs w:val="32"/>
                <w:lang w:eastAsia="en-US"/>
              </w:rPr>
            </w:pPr>
            <w:r w:rsidRPr="00345DAB">
              <w:rPr>
                <w:rFonts w:asciiTheme="majorBidi" w:eastAsiaTheme="minorHAnsi" w:hAnsiTheme="majorBidi" w:cstheme="majorBidi"/>
                <w:sz w:val="24"/>
                <w:szCs w:val="24"/>
                <w:lang w:eastAsia="en-US"/>
              </w:rPr>
              <w:t>g/100 g</w:t>
            </w:r>
          </w:p>
        </w:tc>
        <w:tc>
          <w:tcPr>
            <w:tcW w:w="2449" w:type="dxa"/>
            <w:vAlign w:val="center"/>
          </w:tcPr>
          <w:p w:rsidR="00345DAB" w:rsidRPr="00345DAB" w:rsidRDefault="00345DAB" w:rsidP="00345DAB">
            <w:pPr>
              <w:tabs>
                <w:tab w:val="left" w:pos="1260"/>
              </w:tabs>
              <w:jc w:val="center"/>
              <w:rPr>
                <w:rFonts w:asciiTheme="majorBidi" w:hAnsiTheme="majorBidi" w:cstheme="majorBidi"/>
                <w:sz w:val="24"/>
                <w:szCs w:val="24"/>
              </w:rPr>
            </w:pPr>
            <w:r w:rsidRPr="00345DAB">
              <w:rPr>
                <w:rFonts w:asciiTheme="majorBidi" w:eastAsiaTheme="minorHAnsi" w:hAnsiTheme="majorBidi" w:cstheme="majorBidi"/>
                <w:b/>
                <w:bCs/>
                <w:sz w:val="24"/>
                <w:szCs w:val="24"/>
                <w:lang w:eastAsia="en-US"/>
              </w:rPr>
              <w:t>Arrondi à</w:t>
            </w:r>
          </w:p>
        </w:tc>
      </w:tr>
      <w:tr w:rsidR="00345DAB" w:rsidTr="00345DAB">
        <w:tc>
          <w:tcPr>
            <w:tcW w:w="2654" w:type="dxa"/>
          </w:tcPr>
          <w:p w:rsidR="00345DAB" w:rsidRPr="00345DAB" w:rsidRDefault="00345DAB" w:rsidP="00345DAB">
            <w:pPr>
              <w:autoSpaceDE w:val="0"/>
              <w:autoSpaceDN w:val="0"/>
              <w:adjustRightInd w:val="0"/>
              <w:jc w:val="center"/>
              <w:rPr>
                <w:rFonts w:asciiTheme="majorBidi" w:eastAsiaTheme="minorHAnsi" w:hAnsiTheme="majorBidi" w:cstheme="majorBidi"/>
                <w:sz w:val="24"/>
                <w:szCs w:val="24"/>
                <w:lang w:eastAsia="en-US"/>
              </w:rPr>
            </w:pPr>
            <w:r>
              <w:rPr>
                <w:rFonts w:asciiTheme="majorBidi" w:eastAsiaTheme="minorHAnsi" w:hAnsiTheme="majorBidi" w:cstheme="majorBidi"/>
                <w:sz w:val="24"/>
                <w:szCs w:val="24"/>
                <w:lang w:eastAsia="en-US"/>
              </w:rPr>
              <w:t xml:space="preserve">≤ </w:t>
            </w:r>
            <w:r w:rsidRPr="00345DAB">
              <w:rPr>
                <w:rFonts w:asciiTheme="majorBidi" w:eastAsiaTheme="minorHAnsi" w:hAnsiTheme="majorBidi" w:cstheme="majorBidi"/>
                <w:sz w:val="24"/>
                <w:szCs w:val="24"/>
                <w:lang w:eastAsia="en-US"/>
              </w:rPr>
              <w:t>60</w:t>
            </w:r>
          </w:p>
          <w:p w:rsidR="00345DAB" w:rsidRPr="00345DAB" w:rsidRDefault="00345DAB" w:rsidP="00345DAB">
            <w:pPr>
              <w:tabs>
                <w:tab w:val="left" w:pos="1260"/>
              </w:tabs>
              <w:jc w:val="center"/>
              <w:rPr>
                <w:rFonts w:asciiTheme="majorBidi" w:hAnsiTheme="majorBidi" w:cstheme="majorBidi"/>
                <w:sz w:val="24"/>
                <w:szCs w:val="24"/>
              </w:rPr>
            </w:pPr>
            <w:r w:rsidRPr="00345DAB">
              <w:rPr>
                <w:rFonts w:asciiTheme="majorBidi" w:eastAsiaTheme="minorHAnsi" w:hAnsiTheme="majorBidi" w:cstheme="majorBidi"/>
                <w:sz w:val="24"/>
                <w:szCs w:val="24"/>
                <w:lang w:eastAsia="en-US"/>
              </w:rPr>
              <w:t>&gt;</w:t>
            </w:r>
            <w:r>
              <w:rPr>
                <w:rFonts w:asciiTheme="majorBidi" w:eastAsiaTheme="minorHAnsi" w:hAnsiTheme="majorBidi" w:cstheme="majorBidi"/>
                <w:sz w:val="24"/>
                <w:szCs w:val="24"/>
                <w:lang w:eastAsia="en-US"/>
              </w:rPr>
              <w:t xml:space="preserve"> </w:t>
            </w:r>
            <w:r w:rsidRPr="00345DAB">
              <w:rPr>
                <w:rFonts w:asciiTheme="majorBidi" w:eastAsiaTheme="minorHAnsi" w:hAnsiTheme="majorBidi" w:cstheme="majorBidi"/>
                <w:sz w:val="24"/>
                <w:szCs w:val="24"/>
                <w:lang w:eastAsia="en-US"/>
              </w:rPr>
              <w:t>60</w:t>
            </w:r>
          </w:p>
        </w:tc>
        <w:tc>
          <w:tcPr>
            <w:tcW w:w="2449" w:type="dxa"/>
          </w:tcPr>
          <w:p w:rsidR="00345DAB" w:rsidRPr="00345DAB" w:rsidRDefault="00345DAB" w:rsidP="00345DAB">
            <w:pPr>
              <w:autoSpaceDE w:val="0"/>
              <w:autoSpaceDN w:val="0"/>
              <w:adjustRightInd w:val="0"/>
              <w:jc w:val="center"/>
              <w:rPr>
                <w:rFonts w:asciiTheme="majorBidi" w:eastAsiaTheme="minorHAnsi" w:hAnsiTheme="majorBidi" w:cstheme="majorBidi"/>
                <w:sz w:val="24"/>
                <w:szCs w:val="24"/>
                <w:lang w:eastAsia="en-US"/>
              </w:rPr>
            </w:pPr>
            <w:r w:rsidRPr="00345DAB">
              <w:rPr>
                <w:rFonts w:asciiTheme="majorBidi" w:eastAsiaTheme="minorHAnsi" w:hAnsiTheme="majorBidi" w:cstheme="majorBidi"/>
                <w:sz w:val="24"/>
                <w:szCs w:val="24"/>
                <w:lang w:eastAsia="en-US"/>
              </w:rPr>
              <w:t>0,1</w:t>
            </w:r>
          </w:p>
          <w:p w:rsidR="00345DAB" w:rsidRPr="00345DAB" w:rsidRDefault="00345DAB" w:rsidP="00345DAB">
            <w:pPr>
              <w:tabs>
                <w:tab w:val="left" w:pos="1260"/>
              </w:tabs>
              <w:jc w:val="center"/>
              <w:rPr>
                <w:rFonts w:asciiTheme="majorBidi" w:hAnsiTheme="majorBidi" w:cstheme="majorBidi"/>
                <w:sz w:val="24"/>
                <w:szCs w:val="24"/>
              </w:rPr>
            </w:pPr>
            <w:r w:rsidRPr="00345DAB">
              <w:rPr>
                <w:rFonts w:asciiTheme="majorBidi" w:eastAsiaTheme="minorHAnsi" w:hAnsiTheme="majorBidi" w:cstheme="majorBidi"/>
                <w:sz w:val="24"/>
                <w:szCs w:val="24"/>
                <w:lang w:eastAsia="en-US"/>
              </w:rPr>
              <w:t>1</w:t>
            </w:r>
          </w:p>
        </w:tc>
      </w:tr>
    </w:tbl>
    <w:p w:rsidR="00345DAB" w:rsidRPr="00345DAB" w:rsidRDefault="00345DAB">
      <w:pPr>
        <w:tabs>
          <w:tab w:val="left" w:pos="1260"/>
        </w:tabs>
        <w:jc w:val="center"/>
        <w:rPr>
          <w:rFonts w:asciiTheme="majorBidi" w:hAnsiTheme="majorBidi" w:cstheme="majorBidi"/>
          <w:sz w:val="24"/>
          <w:szCs w:val="24"/>
        </w:rPr>
      </w:pPr>
    </w:p>
    <w:sectPr w:rsidR="00345DAB" w:rsidRPr="00345DAB" w:rsidSect="0098604E">
      <w:headerReference w:type="default" r:id="rId8"/>
      <w:headerReference w:type="first" r:id="rId9"/>
      <w:pgSz w:w="11906" w:h="16838" w:code="9"/>
      <w:pgMar w:top="567" w:right="567" w:bottom="567" w:left="567" w:header="720" w:footer="1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F47" w:rsidRDefault="00336F47" w:rsidP="009D2C31">
      <w:r>
        <w:separator/>
      </w:r>
    </w:p>
  </w:endnote>
  <w:endnote w:type="continuationSeparator" w:id="0">
    <w:p w:rsidR="00336F47" w:rsidRDefault="00336F47" w:rsidP="009D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F47" w:rsidRDefault="00336F47" w:rsidP="009D2C31">
      <w:r>
        <w:separator/>
      </w:r>
    </w:p>
  </w:footnote>
  <w:footnote w:type="continuationSeparator" w:id="0">
    <w:p w:rsidR="00336F47" w:rsidRDefault="00336F47" w:rsidP="009D2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0" w:type="dxa"/>
      <w:tblLayout w:type="fixed"/>
      <w:tblCellMar>
        <w:top w:w="68" w:type="dxa"/>
        <w:left w:w="70" w:type="dxa"/>
        <w:bottom w:w="68" w:type="dxa"/>
        <w:right w:w="70" w:type="dxa"/>
      </w:tblCellMar>
      <w:tblLook w:val="0000" w:firstRow="0" w:lastRow="0" w:firstColumn="0" w:lastColumn="0" w:noHBand="0" w:noVBand="0"/>
    </w:tblPr>
    <w:tblGrid>
      <w:gridCol w:w="1985"/>
      <w:gridCol w:w="6662"/>
      <w:gridCol w:w="851"/>
      <w:gridCol w:w="1302"/>
    </w:tblGrid>
    <w:tr w:rsidR="0098604E">
      <w:trPr>
        <w:cantSplit/>
        <w:trHeight w:val="292"/>
      </w:trPr>
      <w:tc>
        <w:tcPr>
          <w:tcW w:w="1985" w:type="dxa"/>
          <w:tcMar>
            <w:top w:w="68" w:type="dxa"/>
            <w:bottom w:w="68" w:type="dxa"/>
          </w:tcMar>
        </w:tcPr>
        <w:p w:rsidR="0098604E" w:rsidRDefault="00336F47"/>
      </w:tc>
      <w:tc>
        <w:tcPr>
          <w:tcW w:w="6662" w:type="dxa"/>
          <w:tcMar>
            <w:top w:w="68" w:type="dxa"/>
            <w:bottom w:w="68" w:type="dxa"/>
          </w:tcMar>
        </w:tcPr>
        <w:p w:rsidR="0098604E" w:rsidRDefault="00336F47">
          <w:pPr>
            <w:ind w:left="31"/>
          </w:pPr>
        </w:p>
      </w:tc>
      <w:tc>
        <w:tcPr>
          <w:tcW w:w="851" w:type="dxa"/>
          <w:tcMar>
            <w:top w:w="68" w:type="dxa"/>
            <w:bottom w:w="68" w:type="dxa"/>
          </w:tcMar>
        </w:tcPr>
        <w:p w:rsidR="0098604E" w:rsidRDefault="00766EF3">
          <w:pPr>
            <w:ind w:left="72"/>
          </w:pPr>
          <w:r>
            <w:t xml:space="preserve">Page :   </w:t>
          </w:r>
        </w:p>
      </w:tc>
      <w:tc>
        <w:tcPr>
          <w:tcW w:w="1302" w:type="dxa"/>
        </w:tcPr>
        <w:p w:rsidR="0098604E" w:rsidRDefault="00766EF3">
          <w:pPr>
            <w:ind w:left="72"/>
          </w:pPr>
          <w:r>
            <w:fldChar w:fldCharType="begin"/>
          </w:r>
          <w:r>
            <w:instrText xml:space="preserve"> PAGE </w:instrText>
          </w:r>
          <w:r>
            <w:fldChar w:fldCharType="separate"/>
          </w:r>
          <w:r w:rsidR="00BC0336">
            <w:rPr>
              <w:noProof/>
            </w:rPr>
            <w:t>6</w:t>
          </w:r>
          <w:r>
            <w:fldChar w:fldCharType="end"/>
          </w:r>
          <w:r>
            <w:t>/</w:t>
          </w:r>
          <w:fldSimple w:instr=" NUMPAGES ">
            <w:r w:rsidR="00BC0336">
              <w:rPr>
                <w:noProof/>
              </w:rPr>
              <w:t>6</w:t>
            </w:r>
          </w:fldSimple>
        </w:p>
      </w:tc>
    </w:tr>
  </w:tbl>
  <w:p w:rsidR="0098604E" w:rsidRPr="00276174" w:rsidRDefault="00336F47" w:rsidP="0098604E">
    <w:pPr>
      <w:pStyle w:val="En-tte"/>
      <w:rPr>
        <w:sz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8" w:type="dxa"/>
        <w:left w:w="70" w:type="dxa"/>
        <w:bottom w:w="68" w:type="dxa"/>
        <w:right w:w="70" w:type="dxa"/>
      </w:tblCellMar>
      <w:tblLook w:val="0000" w:firstRow="0" w:lastRow="0" w:firstColumn="0" w:lastColumn="0" w:noHBand="0" w:noVBand="0"/>
    </w:tblPr>
    <w:tblGrid>
      <w:gridCol w:w="2340"/>
      <w:gridCol w:w="1346"/>
      <w:gridCol w:w="3675"/>
      <w:gridCol w:w="559"/>
      <w:gridCol w:w="1800"/>
      <w:gridCol w:w="1080"/>
    </w:tblGrid>
    <w:tr w:rsidR="0098604E" w:rsidTr="0098604E">
      <w:trPr>
        <w:cantSplit/>
        <w:trHeight w:val="278"/>
      </w:trPr>
      <w:tc>
        <w:tcPr>
          <w:tcW w:w="2340" w:type="dxa"/>
          <w:vMerge w:val="restart"/>
          <w:tcMar>
            <w:top w:w="68" w:type="dxa"/>
            <w:bottom w:w="68" w:type="dxa"/>
          </w:tcMar>
        </w:tcPr>
        <w:p w:rsidR="0098604E" w:rsidRDefault="009D2C31">
          <w:pPr>
            <w:ind w:left="72"/>
          </w:pPr>
          <w:r>
            <w:rPr>
              <w:noProof/>
            </w:rPr>
            <w:drawing>
              <wp:inline distT="0" distB="0" distL="0" distR="0" wp14:anchorId="2A00D09B" wp14:editId="7C4F8A5E">
                <wp:extent cx="11811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19125"/>
                        </a:xfrm>
                        <a:prstGeom prst="rect">
                          <a:avLst/>
                        </a:prstGeom>
                        <a:noFill/>
                        <a:ln>
                          <a:noFill/>
                        </a:ln>
                      </pic:spPr>
                    </pic:pic>
                  </a:graphicData>
                </a:graphic>
              </wp:inline>
            </w:drawing>
          </w:r>
        </w:p>
      </w:tc>
      <w:tc>
        <w:tcPr>
          <w:tcW w:w="5580" w:type="dxa"/>
          <w:gridSpan w:val="3"/>
          <w:tcMar>
            <w:top w:w="68" w:type="dxa"/>
            <w:bottom w:w="68" w:type="dxa"/>
          </w:tcMar>
        </w:tcPr>
        <w:p w:rsidR="0098604E" w:rsidRDefault="00766EF3" w:rsidP="0098604E">
          <w:pPr>
            <w:ind w:left="31"/>
            <w:jc w:val="center"/>
            <w:rPr>
              <w:b/>
              <w:bCs/>
              <w:sz w:val="32"/>
            </w:rPr>
          </w:pPr>
          <w:r w:rsidRPr="00957401">
            <w:rPr>
              <w:b/>
              <w:bCs/>
              <w:sz w:val="24"/>
              <w:szCs w:val="24"/>
            </w:rPr>
            <w:t>MODE  OPERATOIRE</w:t>
          </w:r>
        </w:p>
      </w:tc>
      <w:tc>
        <w:tcPr>
          <w:tcW w:w="2880" w:type="dxa"/>
          <w:gridSpan w:val="2"/>
          <w:tcMar>
            <w:top w:w="68" w:type="dxa"/>
            <w:bottom w:w="68" w:type="dxa"/>
          </w:tcMar>
        </w:tcPr>
        <w:p w:rsidR="0098604E" w:rsidRDefault="00766EF3" w:rsidP="0098604E">
          <w:pPr>
            <w:tabs>
              <w:tab w:val="left" w:pos="214"/>
            </w:tabs>
            <w:ind w:left="72" w:right="213"/>
          </w:pPr>
          <w:r>
            <w:rPr>
              <w:lang w:val="en-GB"/>
            </w:rPr>
            <w:t>N° :   MO/QUA/01</w:t>
          </w:r>
        </w:p>
      </w:tc>
    </w:tr>
    <w:tr w:rsidR="0098604E">
      <w:trPr>
        <w:cantSplit/>
        <w:trHeight w:val="277"/>
      </w:trPr>
      <w:tc>
        <w:tcPr>
          <w:tcW w:w="2340" w:type="dxa"/>
          <w:vMerge/>
          <w:tcMar>
            <w:top w:w="68" w:type="dxa"/>
            <w:bottom w:w="68" w:type="dxa"/>
          </w:tcMar>
        </w:tcPr>
        <w:p w:rsidR="0098604E" w:rsidRDefault="00336F47">
          <w:pPr>
            <w:ind w:left="426"/>
          </w:pPr>
        </w:p>
      </w:tc>
      <w:tc>
        <w:tcPr>
          <w:tcW w:w="5580" w:type="dxa"/>
          <w:gridSpan w:val="3"/>
          <w:vMerge w:val="restart"/>
          <w:tcMar>
            <w:top w:w="68" w:type="dxa"/>
            <w:bottom w:w="68" w:type="dxa"/>
          </w:tcMar>
        </w:tcPr>
        <w:p w:rsidR="0098604E" w:rsidRPr="009D2C31" w:rsidRDefault="009D2C31" w:rsidP="009D2C31">
          <w:pPr>
            <w:tabs>
              <w:tab w:val="left" w:pos="1080"/>
              <w:tab w:val="center" w:pos="2720"/>
            </w:tabs>
            <w:jc w:val="center"/>
            <w:rPr>
              <w:rFonts w:asciiTheme="majorBidi" w:hAnsiTheme="majorBidi" w:cstheme="majorBidi"/>
              <w:b/>
              <w:bCs/>
              <w:sz w:val="36"/>
            </w:rPr>
          </w:pPr>
          <w:r w:rsidRPr="009D2C31">
            <w:rPr>
              <w:rFonts w:asciiTheme="majorBidi" w:eastAsiaTheme="minorHAnsi" w:hAnsiTheme="majorBidi" w:cstheme="majorBidi"/>
              <w:b/>
              <w:bCs/>
              <w:color w:val="231F20"/>
              <w:sz w:val="36"/>
              <w:szCs w:val="36"/>
              <w:lang w:eastAsia="en-US"/>
            </w:rPr>
            <w:t xml:space="preserve">Détermination de l’indice d’iode </w:t>
          </w:r>
          <w:r>
            <w:rPr>
              <w:rFonts w:asciiTheme="majorBidi" w:eastAsiaTheme="minorHAnsi" w:hAnsiTheme="majorBidi" w:cstheme="majorBidi"/>
              <w:b/>
              <w:bCs/>
              <w:color w:val="231F20"/>
              <w:sz w:val="36"/>
              <w:szCs w:val="36"/>
              <w:lang w:eastAsia="en-US"/>
            </w:rPr>
            <w:t>pour les c</w:t>
          </w:r>
          <w:r w:rsidRPr="009D2C31">
            <w:rPr>
              <w:rFonts w:asciiTheme="majorBidi" w:eastAsiaTheme="minorHAnsi" w:hAnsiTheme="majorBidi" w:cstheme="majorBidi"/>
              <w:b/>
              <w:bCs/>
              <w:color w:val="231F20"/>
              <w:sz w:val="36"/>
              <w:szCs w:val="36"/>
              <w:lang w:eastAsia="en-US"/>
            </w:rPr>
            <w:t>orps gras d’origines animale et végétale</w:t>
          </w:r>
        </w:p>
      </w:tc>
      <w:tc>
        <w:tcPr>
          <w:tcW w:w="1800" w:type="dxa"/>
          <w:tcBorders>
            <w:right w:val="nil"/>
          </w:tcBorders>
          <w:tcMar>
            <w:top w:w="68" w:type="dxa"/>
            <w:bottom w:w="68" w:type="dxa"/>
          </w:tcMar>
        </w:tcPr>
        <w:p w:rsidR="0098604E" w:rsidRDefault="00766EF3">
          <w:pPr>
            <w:ind w:left="72"/>
          </w:pPr>
          <w:r>
            <w:t xml:space="preserve">Version : </w:t>
          </w:r>
        </w:p>
      </w:tc>
      <w:tc>
        <w:tcPr>
          <w:tcW w:w="1080" w:type="dxa"/>
          <w:tcBorders>
            <w:left w:val="nil"/>
          </w:tcBorders>
        </w:tcPr>
        <w:p w:rsidR="0098604E" w:rsidRDefault="00766EF3">
          <w:pPr>
            <w:pStyle w:val="CSATIT1"/>
            <w:spacing w:after="0"/>
            <w:ind w:left="72"/>
            <w:rPr>
              <w:rFonts w:ascii="Times New Roman" w:hAnsi="Times New Roman"/>
            </w:rPr>
          </w:pPr>
          <w:r>
            <w:rPr>
              <w:rFonts w:ascii="Times New Roman" w:hAnsi="Times New Roman"/>
            </w:rPr>
            <w:t>1</w:t>
          </w:r>
        </w:p>
      </w:tc>
    </w:tr>
    <w:tr w:rsidR="0098604E">
      <w:trPr>
        <w:cantSplit/>
        <w:trHeight w:val="379"/>
      </w:trPr>
      <w:tc>
        <w:tcPr>
          <w:tcW w:w="2340" w:type="dxa"/>
          <w:vMerge/>
          <w:tcBorders>
            <w:bottom w:val="single" w:sz="4" w:space="0" w:color="auto"/>
          </w:tcBorders>
          <w:tcMar>
            <w:top w:w="68" w:type="dxa"/>
            <w:bottom w:w="68" w:type="dxa"/>
          </w:tcMar>
        </w:tcPr>
        <w:p w:rsidR="0098604E" w:rsidRDefault="00336F47">
          <w:pPr>
            <w:ind w:left="426"/>
          </w:pPr>
        </w:p>
      </w:tc>
      <w:tc>
        <w:tcPr>
          <w:tcW w:w="5580" w:type="dxa"/>
          <w:gridSpan w:val="3"/>
          <w:vMerge/>
          <w:tcBorders>
            <w:bottom w:val="single" w:sz="4" w:space="0" w:color="auto"/>
          </w:tcBorders>
          <w:tcMar>
            <w:top w:w="68" w:type="dxa"/>
            <w:bottom w:w="68" w:type="dxa"/>
          </w:tcMar>
        </w:tcPr>
        <w:p w:rsidR="0098604E" w:rsidRDefault="00336F47">
          <w:pPr>
            <w:ind w:left="31"/>
          </w:pPr>
        </w:p>
      </w:tc>
      <w:tc>
        <w:tcPr>
          <w:tcW w:w="1800" w:type="dxa"/>
          <w:tcBorders>
            <w:bottom w:val="single" w:sz="4" w:space="0" w:color="auto"/>
            <w:right w:val="nil"/>
          </w:tcBorders>
          <w:tcMar>
            <w:top w:w="68" w:type="dxa"/>
            <w:bottom w:w="68" w:type="dxa"/>
          </w:tcMar>
        </w:tcPr>
        <w:p w:rsidR="0098604E" w:rsidRDefault="00766EF3">
          <w:pPr>
            <w:ind w:left="72"/>
          </w:pPr>
          <w:r>
            <w:t xml:space="preserve">Page :   </w:t>
          </w:r>
        </w:p>
      </w:tc>
      <w:tc>
        <w:tcPr>
          <w:tcW w:w="1080" w:type="dxa"/>
          <w:tcBorders>
            <w:left w:val="nil"/>
            <w:bottom w:val="single" w:sz="4" w:space="0" w:color="auto"/>
          </w:tcBorders>
        </w:tcPr>
        <w:p w:rsidR="0098604E" w:rsidRDefault="00766EF3">
          <w:pPr>
            <w:ind w:left="72"/>
          </w:pPr>
          <w:r>
            <w:fldChar w:fldCharType="begin"/>
          </w:r>
          <w:r>
            <w:instrText xml:space="preserve"> PAGE </w:instrText>
          </w:r>
          <w:r>
            <w:fldChar w:fldCharType="separate"/>
          </w:r>
          <w:r w:rsidR="00BC0336">
            <w:rPr>
              <w:noProof/>
            </w:rPr>
            <w:t>1</w:t>
          </w:r>
          <w:r>
            <w:fldChar w:fldCharType="end"/>
          </w:r>
          <w:r>
            <w:t>/</w:t>
          </w:r>
          <w:fldSimple w:instr=" NUMPAGES ">
            <w:r w:rsidR="00BC0336">
              <w:rPr>
                <w:noProof/>
              </w:rPr>
              <w:t>6</w:t>
            </w:r>
          </w:fldSimple>
        </w:p>
      </w:tc>
    </w:tr>
    <w:tr w:rsidR="0098604E" w:rsidTr="0098604E">
      <w:trPr>
        <w:cantSplit/>
        <w:trHeight w:val="212"/>
      </w:trPr>
      <w:tc>
        <w:tcPr>
          <w:tcW w:w="10800" w:type="dxa"/>
          <w:gridSpan w:val="6"/>
          <w:tcMar>
            <w:top w:w="68" w:type="dxa"/>
            <w:bottom w:w="68" w:type="dxa"/>
          </w:tcMar>
        </w:tcPr>
        <w:p w:rsidR="0098604E" w:rsidRDefault="00766EF3" w:rsidP="0098604E">
          <w:pPr>
            <w:ind w:left="72"/>
            <w:jc w:val="center"/>
          </w:pPr>
          <w:r>
            <w:t xml:space="preserve">Date de validité : </w:t>
          </w:r>
        </w:p>
      </w:tc>
    </w:tr>
    <w:tr w:rsidR="0098604E" w:rsidTr="0098604E">
      <w:trPr>
        <w:cantSplit/>
        <w:trHeight w:val="801"/>
      </w:trPr>
      <w:tc>
        <w:tcPr>
          <w:tcW w:w="3686" w:type="dxa"/>
          <w:gridSpan w:val="2"/>
          <w:tcMar>
            <w:top w:w="68" w:type="dxa"/>
            <w:bottom w:w="68" w:type="dxa"/>
          </w:tcMar>
        </w:tcPr>
        <w:p w:rsidR="0098604E" w:rsidRDefault="00766EF3" w:rsidP="0098604E">
          <w:pPr>
            <w:ind w:left="31"/>
          </w:pPr>
          <w:r>
            <w:t xml:space="preserve">Préparé par : Le </w:t>
          </w:r>
          <w:r w:rsidRPr="006C0D82">
            <w:t>Responsable Laboratoire Contrôle Qualité</w:t>
          </w:r>
          <w:r>
            <w:t xml:space="preserve">, Mr </w:t>
          </w:r>
          <w:r w:rsidRPr="006C0D82">
            <w:t xml:space="preserve"> BOUZAR Ahmed </w:t>
          </w:r>
          <w:proofErr w:type="spellStart"/>
          <w:r w:rsidRPr="006C0D82">
            <w:t>Chiheb</w:t>
          </w:r>
          <w:proofErr w:type="spellEnd"/>
        </w:p>
      </w:tc>
      <w:tc>
        <w:tcPr>
          <w:tcW w:w="3675" w:type="dxa"/>
          <w:tcMar>
            <w:top w:w="68" w:type="dxa"/>
            <w:bottom w:w="68" w:type="dxa"/>
          </w:tcMar>
        </w:tcPr>
        <w:p w:rsidR="0098604E" w:rsidRDefault="00766EF3" w:rsidP="0098604E">
          <w:pPr>
            <w:ind w:left="72"/>
          </w:pPr>
          <w:r>
            <w:t>Approuvé par : le Grant,  Mr</w:t>
          </w:r>
          <w:r w:rsidRPr="006C0D82">
            <w:rPr>
              <w:szCs w:val="32"/>
            </w:rPr>
            <w:t xml:space="preserve"> AMRANI</w:t>
          </w:r>
          <w:r w:rsidRPr="006C0D82">
            <w:rPr>
              <w:sz w:val="32"/>
              <w:szCs w:val="40"/>
            </w:rPr>
            <w:t xml:space="preserve"> </w:t>
          </w:r>
          <w:r w:rsidRPr="006C0D82">
            <w:rPr>
              <w:szCs w:val="32"/>
            </w:rPr>
            <w:t>Abdelkrim</w:t>
          </w:r>
        </w:p>
      </w:tc>
      <w:tc>
        <w:tcPr>
          <w:tcW w:w="3439" w:type="dxa"/>
          <w:gridSpan w:val="3"/>
        </w:tcPr>
        <w:p w:rsidR="0098604E" w:rsidRDefault="00766EF3" w:rsidP="0098604E">
          <w:r>
            <w:t>Vérifié par :</w:t>
          </w:r>
        </w:p>
      </w:tc>
    </w:tr>
  </w:tbl>
  <w:p w:rsidR="0098604E" w:rsidRDefault="00766EF3" w:rsidP="0098604E">
    <w:pPr>
      <w:pStyle w:val="En-tte"/>
      <w:spacing w:before="120" w:after="120"/>
      <w:ind w:left="425"/>
    </w:pPr>
    <w:r>
      <w:rPr>
        <w:sz w:val="24"/>
      </w:rPr>
      <w:t>Destinataires : Service Qualité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0AD8"/>
    <w:multiLevelType w:val="hybridMultilevel"/>
    <w:tmpl w:val="C9067A28"/>
    <w:lvl w:ilvl="0" w:tplc="3E0A6874">
      <w:numFmt w:val="bullet"/>
      <w:lvlText w:val="-"/>
      <w:lvlJc w:val="left"/>
      <w:pPr>
        <w:ind w:left="780" w:hanging="360"/>
      </w:pPr>
      <w:rPr>
        <w:rFonts w:ascii="Times New Roman" w:eastAsia="Times New Roman" w:hAnsi="Times New Roman"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14052790"/>
    <w:multiLevelType w:val="multilevel"/>
    <w:tmpl w:val="FADC5268"/>
    <w:lvl w:ilvl="0">
      <w:start w:val="1"/>
      <w:numFmt w:val="upperRoman"/>
      <w:lvlText w:val="%1."/>
      <w:lvlJc w:val="left"/>
      <w:pPr>
        <w:ind w:left="1004" w:hanging="720"/>
      </w:pPr>
      <w:rPr>
        <w:rFonts w:eastAsia="Times New Roman" w:hint="default"/>
        <w:color w:val="auto"/>
      </w:rPr>
    </w:lvl>
    <w:lvl w:ilvl="1">
      <w:start w:val="4"/>
      <w:numFmt w:val="decimal"/>
      <w:isLgl/>
      <w:lvlText w:val="%1.%2"/>
      <w:lvlJc w:val="left"/>
      <w:pPr>
        <w:ind w:left="689" w:hanging="40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2">
    <w:nsid w:val="18DB4714"/>
    <w:multiLevelType w:val="hybridMultilevel"/>
    <w:tmpl w:val="265E5C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D863B6"/>
    <w:multiLevelType w:val="hybridMultilevel"/>
    <w:tmpl w:val="275417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A649C5"/>
    <w:multiLevelType w:val="multilevel"/>
    <w:tmpl w:val="FADC5268"/>
    <w:lvl w:ilvl="0">
      <w:start w:val="1"/>
      <w:numFmt w:val="upperRoman"/>
      <w:lvlText w:val="%1."/>
      <w:lvlJc w:val="left"/>
      <w:pPr>
        <w:ind w:left="1004" w:hanging="720"/>
      </w:pPr>
      <w:rPr>
        <w:rFonts w:eastAsia="Times New Roman" w:hint="default"/>
        <w:color w:val="auto"/>
      </w:rPr>
    </w:lvl>
    <w:lvl w:ilvl="1">
      <w:start w:val="4"/>
      <w:numFmt w:val="decimal"/>
      <w:isLgl/>
      <w:lvlText w:val="%1.%2"/>
      <w:lvlJc w:val="left"/>
      <w:pPr>
        <w:ind w:left="689" w:hanging="40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5">
    <w:nsid w:val="4DEA6144"/>
    <w:multiLevelType w:val="hybridMultilevel"/>
    <w:tmpl w:val="80745342"/>
    <w:lvl w:ilvl="0" w:tplc="2C7E5A66">
      <w:start w:val="6"/>
      <w:numFmt w:val="bullet"/>
      <w:lvlText w:val="-"/>
      <w:lvlJc w:val="left"/>
      <w:pPr>
        <w:ind w:left="720" w:hanging="360"/>
      </w:pPr>
      <w:rPr>
        <w:rFonts w:ascii="Times New Roman" w:eastAsiaTheme="minorHAns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1B5099E"/>
    <w:multiLevelType w:val="hybridMultilevel"/>
    <w:tmpl w:val="9608190C"/>
    <w:lvl w:ilvl="0" w:tplc="B97EC74E">
      <w:start w:val="6"/>
      <w:numFmt w:val="bullet"/>
      <w:lvlText w:val="-"/>
      <w:lvlJc w:val="left"/>
      <w:pPr>
        <w:ind w:left="840" w:hanging="360"/>
      </w:pPr>
      <w:rPr>
        <w:rFonts w:ascii="Times New Roman" w:eastAsia="Times New Roman" w:hAnsi="Times New Roman" w:cs="Times New Roman"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7">
    <w:nsid w:val="7FE963C1"/>
    <w:multiLevelType w:val="hybridMultilevel"/>
    <w:tmpl w:val="CD5CD61C"/>
    <w:lvl w:ilvl="0" w:tplc="92485770">
      <w:start w:val="1"/>
      <w:numFmt w:val="lowerLetter"/>
      <w:lvlText w:val="%1)"/>
      <w:lvlJc w:val="left"/>
      <w:pPr>
        <w:tabs>
          <w:tab w:val="num" w:pos="480"/>
        </w:tabs>
        <w:ind w:left="480" w:hanging="360"/>
      </w:pPr>
      <w:rPr>
        <w:rFonts w:hint="default"/>
      </w:rPr>
    </w:lvl>
    <w:lvl w:ilvl="1" w:tplc="040C0019">
      <w:start w:val="1"/>
      <w:numFmt w:val="lowerLetter"/>
      <w:lvlText w:val="%2."/>
      <w:lvlJc w:val="left"/>
      <w:pPr>
        <w:tabs>
          <w:tab w:val="num" w:pos="1200"/>
        </w:tabs>
        <w:ind w:left="1200" w:hanging="360"/>
      </w:pPr>
    </w:lvl>
    <w:lvl w:ilvl="2" w:tplc="040C001B" w:tentative="1">
      <w:start w:val="1"/>
      <w:numFmt w:val="lowerRoman"/>
      <w:lvlText w:val="%3."/>
      <w:lvlJc w:val="right"/>
      <w:pPr>
        <w:tabs>
          <w:tab w:val="num" w:pos="1920"/>
        </w:tabs>
        <w:ind w:left="1920" w:hanging="180"/>
      </w:pPr>
    </w:lvl>
    <w:lvl w:ilvl="3" w:tplc="040C000F" w:tentative="1">
      <w:start w:val="1"/>
      <w:numFmt w:val="decimal"/>
      <w:lvlText w:val="%4."/>
      <w:lvlJc w:val="left"/>
      <w:pPr>
        <w:tabs>
          <w:tab w:val="num" w:pos="2640"/>
        </w:tabs>
        <w:ind w:left="2640" w:hanging="360"/>
      </w:pPr>
    </w:lvl>
    <w:lvl w:ilvl="4" w:tplc="040C0019" w:tentative="1">
      <w:start w:val="1"/>
      <w:numFmt w:val="lowerLetter"/>
      <w:lvlText w:val="%5."/>
      <w:lvlJc w:val="left"/>
      <w:pPr>
        <w:tabs>
          <w:tab w:val="num" w:pos="3360"/>
        </w:tabs>
        <w:ind w:left="3360" w:hanging="360"/>
      </w:pPr>
    </w:lvl>
    <w:lvl w:ilvl="5" w:tplc="040C001B" w:tentative="1">
      <w:start w:val="1"/>
      <w:numFmt w:val="lowerRoman"/>
      <w:lvlText w:val="%6."/>
      <w:lvlJc w:val="right"/>
      <w:pPr>
        <w:tabs>
          <w:tab w:val="num" w:pos="4080"/>
        </w:tabs>
        <w:ind w:left="4080" w:hanging="180"/>
      </w:pPr>
    </w:lvl>
    <w:lvl w:ilvl="6" w:tplc="040C000F" w:tentative="1">
      <w:start w:val="1"/>
      <w:numFmt w:val="decimal"/>
      <w:lvlText w:val="%7."/>
      <w:lvlJc w:val="left"/>
      <w:pPr>
        <w:tabs>
          <w:tab w:val="num" w:pos="4800"/>
        </w:tabs>
        <w:ind w:left="4800" w:hanging="360"/>
      </w:pPr>
    </w:lvl>
    <w:lvl w:ilvl="7" w:tplc="040C0019" w:tentative="1">
      <w:start w:val="1"/>
      <w:numFmt w:val="lowerLetter"/>
      <w:lvlText w:val="%8."/>
      <w:lvlJc w:val="left"/>
      <w:pPr>
        <w:tabs>
          <w:tab w:val="num" w:pos="5520"/>
        </w:tabs>
        <w:ind w:left="5520" w:hanging="360"/>
      </w:pPr>
    </w:lvl>
    <w:lvl w:ilvl="8" w:tplc="040C001B" w:tentative="1">
      <w:start w:val="1"/>
      <w:numFmt w:val="lowerRoman"/>
      <w:lvlText w:val="%9."/>
      <w:lvlJc w:val="right"/>
      <w:pPr>
        <w:tabs>
          <w:tab w:val="num" w:pos="6240"/>
        </w:tabs>
        <w:ind w:left="6240" w:hanging="180"/>
      </w:pPr>
    </w:lvl>
  </w:abstractNum>
  <w:num w:numId="1">
    <w:abstractNumId w:val="7"/>
  </w:num>
  <w:num w:numId="2">
    <w:abstractNumId w:val="6"/>
  </w:num>
  <w:num w:numId="3">
    <w:abstractNumId w:val="0"/>
  </w:num>
  <w:num w:numId="4">
    <w:abstractNumId w:val="3"/>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C31"/>
    <w:rsid w:val="000805B8"/>
    <w:rsid w:val="000B4814"/>
    <w:rsid w:val="000C3131"/>
    <w:rsid w:val="001E6EDB"/>
    <w:rsid w:val="0022549A"/>
    <w:rsid w:val="003100E1"/>
    <w:rsid w:val="00336F47"/>
    <w:rsid w:val="00345DAB"/>
    <w:rsid w:val="003C63FA"/>
    <w:rsid w:val="00424285"/>
    <w:rsid w:val="004833B3"/>
    <w:rsid w:val="004879E0"/>
    <w:rsid w:val="004941A3"/>
    <w:rsid w:val="005719ED"/>
    <w:rsid w:val="00645380"/>
    <w:rsid w:val="007179B7"/>
    <w:rsid w:val="00766EF3"/>
    <w:rsid w:val="007A3795"/>
    <w:rsid w:val="007C39F1"/>
    <w:rsid w:val="007F5B14"/>
    <w:rsid w:val="0081433F"/>
    <w:rsid w:val="00815AA3"/>
    <w:rsid w:val="00824510"/>
    <w:rsid w:val="00831D0F"/>
    <w:rsid w:val="008E40E0"/>
    <w:rsid w:val="009D2C31"/>
    <w:rsid w:val="00A04D5F"/>
    <w:rsid w:val="00AB7727"/>
    <w:rsid w:val="00AC6671"/>
    <w:rsid w:val="00AF1CE8"/>
    <w:rsid w:val="00BB2A0B"/>
    <w:rsid w:val="00BC0336"/>
    <w:rsid w:val="00C55C9F"/>
    <w:rsid w:val="00CA67ED"/>
    <w:rsid w:val="00D01842"/>
    <w:rsid w:val="00DD066C"/>
    <w:rsid w:val="00E951D4"/>
    <w:rsid w:val="00EA625A"/>
    <w:rsid w:val="00F374C3"/>
    <w:rsid w:val="00FA29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31"/>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9D2C31"/>
    <w:pPr>
      <w:jc w:val="center"/>
    </w:pPr>
    <w:rPr>
      <w:b/>
      <w:bCs/>
      <w:sz w:val="24"/>
    </w:rPr>
  </w:style>
  <w:style w:type="character" w:customStyle="1" w:styleId="TitreCar">
    <w:name w:val="Titre Car"/>
    <w:basedOn w:val="Policepardfaut"/>
    <w:link w:val="Titre"/>
    <w:rsid w:val="009D2C31"/>
    <w:rPr>
      <w:rFonts w:ascii="Times New Roman" w:eastAsia="Times New Roman" w:hAnsi="Times New Roman" w:cs="Times New Roman"/>
      <w:b/>
      <w:bCs/>
      <w:sz w:val="24"/>
      <w:szCs w:val="20"/>
      <w:lang w:eastAsia="fr-FR"/>
    </w:rPr>
  </w:style>
  <w:style w:type="paragraph" w:styleId="En-tte">
    <w:name w:val="header"/>
    <w:basedOn w:val="Normal"/>
    <w:link w:val="En-tteCar"/>
    <w:rsid w:val="009D2C31"/>
    <w:pPr>
      <w:tabs>
        <w:tab w:val="center" w:pos="4536"/>
        <w:tab w:val="right" w:pos="9072"/>
      </w:tabs>
    </w:pPr>
  </w:style>
  <w:style w:type="character" w:customStyle="1" w:styleId="En-tteCar">
    <w:name w:val="En-tête Car"/>
    <w:basedOn w:val="Policepardfaut"/>
    <w:link w:val="En-tte"/>
    <w:rsid w:val="009D2C31"/>
    <w:rPr>
      <w:rFonts w:ascii="Times New Roman" w:eastAsia="Times New Roman" w:hAnsi="Times New Roman" w:cs="Times New Roman"/>
      <w:sz w:val="20"/>
      <w:szCs w:val="20"/>
      <w:lang w:eastAsia="fr-FR"/>
    </w:rPr>
  </w:style>
  <w:style w:type="paragraph" w:customStyle="1" w:styleId="CSATIT1">
    <w:name w:val="CSATIT1"/>
    <w:basedOn w:val="Normal"/>
    <w:rsid w:val="009D2C31"/>
    <w:pPr>
      <w:spacing w:after="240"/>
      <w:jc w:val="both"/>
    </w:pPr>
    <w:rPr>
      <w:rFonts w:ascii="Arial" w:hAnsi="Arial"/>
      <w:b/>
      <w:bCs/>
      <w:sz w:val="24"/>
      <w:szCs w:val="24"/>
    </w:rPr>
  </w:style>
  <w:style w:type="paragraph" w:styleId="Paragraphedeliste">
    <w:name w:val="List Paragraph"/>
    <w:basedOn w:val="Normal"/>
    <w:uiPriority w:val="34"/>
    <w:qFormat/>
    <w:rsid w:val="009D2C31"/>
    <w:pPr>
      <w:ind w:left="720"/>
      <w:contextualSpacing/>
    </w:pPr>
  </w:style>
  <w:style w:type="table" w:styleId="Grilledutableau">
    <w:name w:val="Table Grid"/>
    <w:basedOn w:val="TableauNormal"/>
    <w:uiPriority w:val="59"/>
    <w:rsid w:val="009D2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D2C31"/>
    <w:rPr>
      <w:rFonts w:ascii="Tahoma" w:hAnsi="Tahoma" w:cs="Tahoma"/>
      <w:sz w:val="16"/>
      <w:szCs w:val="16"/>
    </w:rPr>
  </w:style>
  <w:style w:type="character" w:customStyle="1" w:styleId="TextedebullesCar">
    <w:name w:val="Texte de bulles Car"/>
    <w:basedOn w:val="Policepardfaut"/>
    <w:link w:val="Textedebulles"/>
    <w:uiPriority w:val="99"/>
    <w:semiHidden/>
    <w:rsid w:val="009D2C31"/>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9D2C31"/>
    <w:pPr>
      <w:tabs>
        <w:tab w:val="center" w:pos="4536"/>
        <w:tab w:val="right" w:pos="9072"/>
      </w:tabs>
    </w:pPr>
  </w:style>
  <w:style w:type="character" w:customStyle="1" w:styleId="PieddepageCar">
    <w:name w:val="Pied de page Car"/>
    <w:basedOn w:val="Policepardfaut"/>
    <w:link w:val="Pieddepage"/>
    <w:uiPriority w:val="99"/>
    <w:rsid w:val="009D2C31"/>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31"/>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9D2C31"/>
    <w:pPr>
      <w:jc w:val="center"/>
    </w:pPr>
    <w:rPr>
      <w:b/>
      <w:bCs/>
      <w:sz w:val="24"/>
    </w:rPr>
  </w:style>
  <w:style w:type="character" w:customStyle="1" w:styleId="TitreCar">
    <w:name w:val="Titre Car"/>
    <w:basedOn w:val="Policepardfaut"/>
    <w:link w:val="Titre"/>
    <w:rsid w:val="009D2C31"/>
    <w:rPr>
      <w:rFonts w:ascii="Times New Roman" w:eastAsia="Times New Roman" w:hAnsi="Times New Roman" w:cs="Times New Roman"/>
      <w:b/>
      <w:bCs/>
      <w:sz w:val="24"/>
      <w:szCs w:val="20"/>
      <w:lang w:eastAsia="fr-FR"/>
    </w:rPr>
  </w:style>
  <w:style w:type="paragraph" w:styleId="En-tte">
    <w:name w:val="header"/>
    <w:basedOn w:val="Normal"/>
    <w:link w:val="En-tteCar"/>
    <w:rsid w:val="009D2C31"/>
    <w:pPr>
      <w:tabs>
        <w:tab w:val="center" w:pos="4536"/>
        <w:tab w:val="right" w:pos="9072"/>
      </w:tabs>
    </w:pPr>
  </w:style>
  <w:style w:type="character" w:customStyle="1" w:styleId="En-tteCar">
    <w:name w:val="En-tête Car"/>
    <w:basedOn w:val="Policepardfaut"/>
    <w:link w:val="En-tte"/>
    <w:rsid w:val="009D2C31"/>
    <w:rPr>
      <w:rFonts w:ascii="Times New Roman" w:eastAsia="Times New Roman" w:hAnsi="Times New Roman" w:cs="Times New Roman"/>
      <w:sz w:val="20"/>
      <w:szCs w:val="20"/>
      <w:lang w:eastAsia="fr-FR"/>
    </w:rPr>
  </w:style>
  <w:style w:type="paragraph" w:customStyle="1" w:styleId="CSATIT1">
    <w:name w:val="CSATIT1"/>
    <w:basedOn w:val="Normal"/>
    <w:rsid w:val="009D2C31"/>
    <w:pPr>
      <w:spacing w:after="240"/>
      <w:jc w:val="both"/>
    </w:pPr>
    <w:rPr>
      <w:rFonts w:ascii="Arial" w:hAnsi="Arial"/>
      <w:b/>
      <w:bCs/>
      <w:sz w:val="24"/>
      <w:szCs w:val="24"/>
    </w:rPr>
  </w:style>
  <w:style w:type="paragraph" w:styleId="Paragraphedeliste">
    <w:name w:val="List Paragraph"/>
    <w:basedOn w:val="Normal"/>
    <w:uiPriority w:val="34"/>
    <w:qFormat/>
    <w:rsid w:val="009D2C31"/>
    <w:pPr>
      <w:ind w:left="720"/>
      <w:contextualSpacing/>
    </w:pPr>
  </w:style>
  <w:style w:type="table" w:styleId="Grilledutableau">
    <w:name w:val="Table Grid"/>
    <w:basedOn w:val="TableauNormal"/>
    <w:uiPriority w:val="59"/>
    <w:rsid w:val="009D2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D2C31"/>
    <w:rPr>
      <w:rFonts w:ascii="Tahoma" w:hAnsi="Tahoma" w:cs="Tahoma"/>
      <w:sz w:val="16"/>
      <w:szCs w:val="16"/>
    </w:rPr>
  </w:style>
  <w:style w:type="character" w:customStyle="1" w:styleId="TextedebullesCar">
    <w:name w:val="Texte de bulles Car"/>
    <w:basedOn w:val="Policepardfaut"/>
    <w:link w:val="Textedebulles"/>
    <w:uiPriority w:val="99"/>
    <w:semiHidden/>
    <w:rsid w:val="009D2C31"/>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9D2C31"/>
    <w:pPr>
      <w:tabs>
        <w:tab w:val="center" w:pos="4536"/>
        <w:tab w:val="right" w:pos="9072"/>
      </w:tabs>
    </w:pPr>
  </w:style>
  <w:style w:type="character" w:customStyle="1" w:styleId="PieddepageCar">
    <w:name w:val="Pied de page Car"/>
    <w:basedOn w:val="Policepardfaut"/>
    <w:link w:val="Pieddepage"/>
    <w:uiPriority w:val="99"/>
    <w:rsid w:val="009D2C31"/>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6</Pages>
  <Words>1045</Words>
  <Characters>5753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b.ahmed</dc:creator>
  <cp:lastModifiedBy>b.ahmed</cp:lastModifiedBy>
  <cp:revision>34</cp:revision>
  <dcterms:created xsi:type="dcterms:W3CDTF">2017-08-16T08:35:00Z</dcterms:created>
  <dcterms:modified xsi:type="dcterms:W3CDTF">2017-08-22T10:10:00Z</dcterms:modified>
</cp:coreProperties>
</file>