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double" w:color="241D15" w:sz="6"/>
        </w:pBdr>
        <w:spacing w:after="300"/>
        <w:jc w:val="center"/>
      </w:pPr>
      <w:r>
        <w:t xml:space="preserve">Bande</w:t>
      </w:r>
    </w:p>
    <w:p>
      <w:pPr>
        <w:spacing w:after="200"/>
        <w:jc w:val="center"/>
      </w:pPr>
      <w:r>
        <w:rPr>
          <w:i/>
          <w:iCs/>
          <w:color w:val="5A4A30"/>
        </w:rPr>
        <w:t xml:space="preserve">Gunnery School Of Nuln (1b)</w:t>
      </w:r>
    </w:p>
    <w:p>
      <w:pPr>
        <w:spacing w:after="60" w:before="160"/>
      </w:pPr>
      <w:r>
        <w:rPr>
          <w:b/>
          <w:bCs/>
          <w:color w:val="7A2E2E"/>
          <w:sz w:val="18"/>
          <w:szCs w:val="18"/>
        </w:rPr>
        <w:t xml:space="preserve">NOM DE LA BANDE</w:t>
      </w:r>
    </w:p>
    <w:p>
      <w:pPr>
        <w:spacing w:after="80"/>
      </w:pPr>
      <w:r>
        <w:t xml:space="preserve">La section 625 de Powdergwarts</w:t>
      </w:r>
    </w:p>
    <w:p>
      <w:pPr>
        <w:spacing w:after="60" w:before="160"/>
      </w:pPr>
      <w:r>
        <w:rPr>
          <w:b/>
          <w:bCs/>
          <w:color w:val="7A2E2E"/>
          <w:sz w:val="18"/>
          <w:szCs w:val="18"/>
        </w:rPr>
        <w:t xml:space="preserve">MAGOT</w:t>
      </w:r>
    </w:p>
    <w:p>
      <w:pPr>
        <w:spacing w:after="80"/>
      </w:pPr>
      <w:r>
        <w:t xml:space="preserve">Couronnes d'or : 7 — Pierres magiques : 0</w:t>
      </w:r>
    </w:p>
    <w:p>
      <w:pPr>
        <w:spacing w:after="60" w:before="160"/>
      </w:pPr>
      <w:r>
        <w:rPr>
          <w:b/>
          <w:bCs/>
          <w:color w:val="7A2E2E"/>
          <w:sz w:val="18"/>
          <w:szCs w:val="18"/>
        </w:rPr>
        <w:t xml:space="preserve">VALEUR DE BANDE</w:t>
      </w:r>
    </w:p>
    <w:p>
      <w:pPr>
        <w:spacing w:after="80"/>
      </w:pPr>
      <w:r>
        <w:t xml:space="preserve">Expérience totale des membres (113) × 5 = 565</w:t>
      </w:r>
    </w:p>
    <w:p>
      <w:pPr>
        <w:spacing w:after="60" w:before="160"/>
      </w:pPr>
      <w:r>
        <w:rPr>
          <w:b/>
          <w:bCs/>
          <w:color w:val="7A2E2E"/>
          <w:sz w:val="18"/>
          <w:szCs w:val="18"/>
        </w:rPr>
        <w:t xml:space="preserve">COÛT TOTAL</w:t>
      </w:r>
    </w:p>
    <w:p>
      <w:pPr>
        <w:spacing w:after="80"/>
      </w:pPr>
      <w:r>
        <w:t xml:space="preserve">642 po — Valeur de Bande officielle : 173</w:t>
      </w:r>
    </w:p>
    <w:p>
      <w:pPr>
        <w:spacing w:after="60" w:before="160"/>
      </w:pPr>
      <w:r>
        <w:rPr>
          <w:b/>
          <w:bCs/>
          <w:color w:val="7A2E2E"/>
          <w:sz w:val="18"/>
          <w:szCs w:val="18"/>
        </w:rPr>
        <w:t xml:space="preserve">RÈGLES DE BANDE</w:t>
      </w:r>
    </w:p>
    <w:p>
      <w:pPr>
        <w:spacing w:after="80"/>
      </w:pPr>
      <w:r>
        <w:t xml:space="preserve">Soin Impeccable · Progressions · Bon Usage · Fierté Mal Placée ! · Officielle · 1a</w:t>
      </w:r>
    </w:p>
    <w:p>
      <w:r>
        <w:rPr>
          <w:i/>
          <w:iCs/>
        </w:rPr>
        <w:t xml:space="preserve">Voir le détail de chaque règle dans le chapitre « Règles » en fin de document.</w:t>
      </w:r>
    </w:p>
    <w:p>
      <w:r>
        <w:br w:type="page"/>
      </w:r>
    </w:p>
    <w:p>
      <w:pPr>
        <w:pStyle w:val="Heading1"/>
        <w:pBdr>
          <w:bottom w:val="double" w:color="241D15" w:sz="6"/>
        </w:pBdr>
        <w:spacing w:after="300"/>
        <w:jc w:val="center"/>
      </w:pPr>
      <w:r>
        <w:t xml:space="preserve">Héros</w:t>
      </w:r>
    </w:p>
    <w:p>
      <w:pPr>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pStyle w:val="Heading2"/>
        <w:spacing w:after="40"/>
        <w:jc w:val="center"/>
      </w:pPr>
      <w:r>
        <w:rPr>
          <w:b/>
          <w:bCs/>
        </w:rPr>
        <w:t xml:space="preserve">Gaspard le Balafré</w:t>
      </w:r>
    </w:p>
    <w:p>
      <w:pPr>
        <w:spacing w:after="120"/>
        <w:jc w:val="center"/>
      </w:pPr>
      <w:r>
        <w:rPr>
          <w:i/>
          <w:iCs/>
          <w:color w:val="5A4A30"/>
        </w:rPr>
        <w:t xml:space="preserve">Instructeur · 45 po · Valeur de Bande 5 · Expérience 13</w:t>
      </w:r>
    </w:p>
    <w:p>
      <w:pPr>
        <w:spacing w:after="160"/>
        <w:jc w:val="center"/>
      </w:pPr>
      <w:r>
        <w:rPr>
          <w:i/>
          <w:iCs/>
        </w:rPr>
        <w:t xml:space="preserve">Ancien artilleur devenu instructeur après l'incident du canon de Marienburg.</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3</w:t>
            </w:r>
          </w:p>
        </w:tc>
        <w:tc>
          <w:tcPr>
            <w:vAlign w:val="center"/>
          </w:tcPr>
          <w:p>
            <w:pPr>
              <w:jc w:val="center"/>
            </w:pPr>
            <w:r>
              <w:t xml:space="preserve">4</w:t>
            </w:r>
          </w:p>
        </w:tc>
        <w:tc>
          <w:tcPr>
            <w:vAlign w:val="center"/>
          </w:tcPr>
          <w:p>
            <w:pPr>
              <w:jc w:val="center"/>
            </w:pPr>
            <w:r>
              <w:t xml:space="preserve">3</w:t>
            </w:r>
          </w:p>
        </w:tc>
        <w:tc>
          <w:tcPr>
            <w:vAlign w:val="center"/>
          </w:tcPr>
          <w:p>
            <w:pPr>
              <w:jc w:val="center"/>
            </w:pPr>
            <w:r>
              <w:t xml:space="preserve">4</w:t>
            </w:r>
          </w:p>
        </w:tc>
        <w:tc>
          <w:tcPr>
            <w:vAlign w:val="center"/>
          </w:tcPr>
          <w:p>
            <w:pPr>
              <w:jc w:val="center"/>
            </w:pPr>
            <w:r>
              <w:t xml:space="preserve">1</w:t>
            </w:r>
          </w:p>
        </w:tc>
        <w:tc>
          <w:tcPr>
            <w:vAlign w:val="center"/>
          </w:tcPr>
          <w:p>
            <w:pPr>
              <w:jc w:val="center"/>
            </w:pPr>
            <w:r>
              <w:t xml:space="preserve">5</w:t>
            </w:r>
          </w:p>
        </w:tc>
        <w:tc>
          <w:tcPr>
            <w:vAlign w:val="center"/>
          </w:tcPr>
          <w:p>
            <w:pPr>
              <w:jc w:val="center"/>
            </w:pPr>
            <w:r>
              <w:t xml:space="preserve">1</w:t>
            </w:r>
          </w:p>
        </w:tc>
        <w:tc>
          <w:tcPr>
            <w:vAlign w:val="center"/>
          </w:tcPr>
          <w:p>
            <w:pPr>
              <w:jc w:val="center"/>
            </w:pPr>
            <w:r>
              <w:t xml:space="preserve">7</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Arquebuse</w:t>
      </w:r>
      <w:r>
        <w:rPr>
          <w:i/>
          <w:iCs/>
        </w:rPr>
        <w:t xml:space="preserve">  (Portée : 24 — Force : 4)</w:t>
      </w:r>
    </w:p>
    <w:p>
      <w:pPr>
        <w:spacing w:after="60" w:before="160"/>
      </w:pPr>
      <w:r>
        <w:rPr>
          <w:b/>
          <w:bCs/>
          <w:color w:val="7A2E2E"/>
          <w:sz w:val="18"/>
          <w:szCs w:val="18"/>
        </w:rPr>
        <w:t xml:space="preserve">AUGMENTATIONS</w:t>
      </w:r>
    </w:p>
    <w:p>
      <w:pPr>
        <w:spacing w:after="80"/>
      </w:pPr>
      <w:r>
        <w:t xml:space="preserve">+1 E, +1 I</w:t>
      </w:r>
    </w:p>
    <w:p>
      <w:r>
        <w:br w:type="page"/>
      </w:r>
    </w:p>
    <w:p>
      <w:pPr>
        <w:pStyle w:val="Heading2"/>
        <w:spacing w:after="40"/>
        <w:jc w:val="center"/>
      </w:pPr>
      <w:r>
        <w:rPr>
          <w:b/>
          <w:bCs/>
        </w:rPr>
        <w:t xml:space="preserve">Officier d'Artillerie Chevronné</w:t>
      </w:r>
    </w:p>
    <w:p>
      <w:pPr>
        <w:spacing w:after="120"/>
        <w:jc w:val="center"/>
      </w:pPr>
      <w:r>
        <w:rPr>
          <w:i/>
          <w:iCs/>
          <w:color w:val="5A4A30"/>
        </w:rPr>
        <w:t xml:space="preserve">60 po · Valeur de Bande 5 · Expérience 37</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6</w:t>
            </w:r>
          </w:p>
        </w:tc>
        <w:tc>
          <w:tcPr>
            <w:vAlign w:val="center"/>
          </w:tcPr>
          <w:p>
            <w:pPr>
              <w:jc w:val="center"/>
            </w:pPr>
            <w:r>
              <w:t xml:space="preserve">4</w:t>
            </w:r>
          </w:p>
        </w:tc>
        <w:tc>
          <w:tcPr>
            <w:vAlign w:val="center"/>
          </w:tcPr>
          <w:p>
            <w:pPr>
              <w:jc w:val="center"/>
            </w:pPr>
            <w:r>
              <w:t xml:space="preserve">4</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5</w:t>
            </w:r>
          </w:p>
        </w:tc>
        <w:tc>
          <w:tcPr>
            <w:vAlign w:val="center"/>
          </w:tcPr>
          <w:p>
            <w:pPr>
              <w:jc w:val="center"/>
            </w:pPr>
            <w:r>
              <w:t xml:space="preserve">2</w:t>
            </w:r>
          </w:p>
        </w:tc>
        <w:tc>
          <w:tcPr>
            <w:vAlign w:val="center"/>
          </w:tcPr>
          <w:p>
            <w:pPr>
              <w:jc w:val="center"/>
            </w:pPr>
            <w:r>
              <w:t xml:space="preserve">9</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Armure légère</w:t>
      </w:r>
      <w:r>
        <w:rPr>
          <w:i/>
          <w:iCs/>
        </w:rPr>
        <w:t xml:space="preserve">  (Svg. d'Armure : 6+)</w:t>
      </w:r>
    </w:p>
    <w:p>
      <w:pPr>
        <w:pStyle w:val="ListParagraph"/>
        <w:numPr>
          <w:ilvl w:val="0"/>
          <w:numId w:val="1"/>
        </w:numPr>
      </w:pPr>
      <w:r>
        <w:rPr>
          <w:b/>
          <w:bCs/>
        </w:rPr>
        <w:t xml:space="preserve">Rondache</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Épée</w:t>
      </w:r>
      <w:r>
        <w:rPr>
          <w:i/>
          <w:iCs/>
        </w:rPr>
        <w:t xml:space="preserve">  (Force : Comme l'utilisateur)</w:t>
      </w:r>
    </w:p>
    <w:p>
      <w:pPr>
        <w:spacing w:after="60" w:before="160"/>
      </w:pPr>
      <w:r>
        <w:rPr>
          <w:b/>
          <w:bCs/>
          <w:color w:val="7A2E2E"/>
          <w:sz w:val="18"/>
          <w:szCs w:val="18"/>
        </w:rPr>
        <w:t xml:space="preserve">AUGMENTATIONS</w:t>
      </w:r>
    </w:p>
    <w:p>
      <w:pPr>
        <w:spacing w:after="80"/>
      </w:pPr>
      <w:r>
        <w:t xml:space="preserve">+1 A, +1 CC, +1 Cd, +1 F, +1 I</w:t>
      </w:r>
    </w:p>
    <w:p>
      <w:r>
        <w:br w:type="page"/>
      </w:r>
    </w:p>
    <w:p>
      <w:pPr>
        <w:pStyle w:val="Heading2"/>
        <w:spacing w:after="40"/>
        <w:jc w:val="center"/>
      </w:pPr>
      <w:r>
        <w:rPr>
          <w:b/>
          <w:bCs/>
        </w:rPr>
        <w:t xml:space="preserve">Élève</w:t>
      </w:r>
    </w:p>
    <w:p>
      <w:pPr>
        <w:spacing w:after="120"/>
        <w:jc w:val="center"/>
      </w:pPr>
      <w:r>
        <w:rPr>
          <w:i/>
          <w:iCs/>
          <w:color w:val="5A4A30"/>
        </w:rPr>
        <w:t xml:space="preserve">20 po · Valeur de Bande 5 · Expérience 12</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2</w:t>
            </w:r>
          </w:p>
        </w:tc>
        <w:tc>
          <w:tcPr>
            <w:vAlign w:val="center"/>
          </w:tcPr>
          <w:p>
            <w:pPr>
              <w:jc w:val="center"/>
            </w:pPr>
            <w:r>
              <w:t xml:space="preserve">2</w:t>
            </w:r>
          </w:p>
        </w:tc>
        <w:tc>
          <w:tcPr>
            <w:vAlign w:val="center"/>
          </w:tcPr>
          <w:p>
            <w:pPr>
              <w:jc w:val="center"/>
            </w:pPr>
            <w:r>
              <w:t xml:space="preserve">3</w:t>
            </w:r>
          </w:p>
        </w:tc>
        <w:tc>
          <w:tcPr>
            <w:vAlign w:val="center"/>
          </w:tcPr>
          <w:p>
            <w:pPr>
              <w:jc w:val="center"/>
            </w:pPr>
            <w:r>
              <w:t xml:space="preserve">4</w:t>
            </w:r>
          </w:p>
        </w:tc>
        <w:tc>
          <w:tcPr>
            <w:vAlign w:val="center"/>
          </w:tcPr>
          <w:p>
            <w:pPr>
              <w:jc w:val="center"/>
            </w:pPr>
            <w:r>
              <w:t xml:space="preserve">1</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6</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Casque</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Hallebarde</w:t>
      </w:r>
      <w:r>
        <w:rPr>
          <w:i/>
          <w:iCs/>
        </w:rPr>
        <w:t xml:space="preserve">  (Force : Utilisateur +1)</w:t>
      </w:r>
    </w:p>
    <w:p>
      <w:pPr>
        <w:spacing w:after="60" w:before="160"/>
      </w:pPr>
      <w:r>
        <w:rPr>
          <w:b/>
          <w:bCs/>
          <w:color w:val="7A2E2E"/>
          <w:sz w:val="18"/>
          <w:szCs w:val="18"/>
        </w:rPr>
        <w:t xml:space="preserve">BLESSURES</w:t>
      </w:r>
    </w:p>
    <w:p>
      <w:pPr>
        <w:spacing w:after="40" w:before="140"/>
      </w:pPr>
      <w:r>
        <w:rPr>
          <w:b/>
          <w:bCs/>
          <w:color w:val="241D15"/>
        </w:rPr>
        <w:t xml:space="preserve">Blessure à la main</w:t>
      </w:r>
    </w:p>
    <w:p>
      <w:pPr>
        <w:spacing w:after="60"/>
      </w:pPr>
      <w:r>
        <w:t xml:space="preserve">La main du guerrier est très abîmée. Sa Capacité de Combat est définitivement réduite de -1.</w:t>
      </w:r>
    </w:p>
    <w:p>
      <w:pPr>
        <w:spacing w:after="60" w:before="160"/>
      </w:pPr>
      <w:r>
        <w:rPr>
          <w:b/>
          <w:bCs/>
          <w:color w:val="7A2E2E"/>
          <w:sz w:val="18"/>
          <w:szCs w:val="18"/>
        </w:rPr>
        <w:t xml:space="preserve">AUGMENTATIONS</w:t>
      </w:r>
    </w:p>
    <w:p>
      <w:pPr>
        <w:spacing w:after="80"/>
      </w:pPr>
      <w:r>
        <w:t xml:space="preserve">+1 E</w:t>
      </w:r>
    </w:p>
    <w:p>
      <w:r>
        <w:br w:type="page"/>
      </w:r>
    </w:p>
    <w:p>
      <w:pPr>
        <w:pStyle w:val="Heading2"/>
        <w:spacing w:after="40"/>
        <w:jc w:val="center"/>
      </w:pPr>
      <w:r>
        <w:rPr>
          <w:b/>
          <w:bCs/>
        </w:rPr>
        <w:t xml:space="preserve">Élève</w:t>
      </w:r>
    </w:p>
    <w:p>
      <w:pPr>
        <w:spacing w:after="120"/>
        <w:jc w:val="center"/>
      </w:pPr>
      <w:r>
        <w:rPr>
          <w:i/>
          <w:iCs/>
          <w:color w:val="5A4A30"/>
        </w:rPr>
        <w:t xml:space="preserve">20 po · Valeur de Bande 5 · Expérience 14</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3</w:t>
            </w:r>
          </w:p>
        </w:tc>
        <w:tc>
          <w:tcPr>
            <w:vAlign w:val="center"/>
          </w:tcPr>
          <w:p>
            <w:pPr>
              <w:jc w:val="center"/>
            </w:pPr>
            <w:r>
              <w:t xml:space="preserve">2</w:t>
            </w:r>
          </w:p>
        </w:tc>
        <w:tc>
          <w:tcPr>
            <w:vAlign w:val="center"/>
          </w:tcPr>
          <w:p>
            <w:pPr>
              <w:jc w:val="center"/>
            </w:pPr>
            <w:r>
              <w:t xml:space="preserve">1</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6</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Épée</w:t>
      </w:r>
      <w:r>
        <w:rPr>
          <w:i/>
          <w:iCs/>
        </w:rPr>
        <w:t xml:space="preserve">  (Force : Comme l'utilisateur)</w:t>
      </w:r>
    </w:p>
    <w:p>
      <w:pPr>
        <w:spacing w:after="60" w:before="160"/>
      </w:pPr>
      <w:r>
        <w:rPr>
          <w:b/>
          <w:bCs/>
          <w:color w:val="7A2E2E"/>
          <w:sz w:val="18"/>
          <w:szCs w:val="18"/>
        </w:rPr>
        <w:t xml:space="preserve">BLESSURES</w:t>
      </w:r>
    </w:p>
    <w:p>
      <w:pPr>
        <w:spacing w:after="40" w:before="140"/>
      </w:pPr>
      <w:r>
        <w:rPr>
          <w:b/>
          <w:bCs/>
          <w:color w:val="241D15"/>
        </w:rPr>
        <w:t xml:space="preserve">Blessure à la jambe</w:t>
      </w:r>
    </w:p>
    <w:p>
      <w:pPr>
        <w:spacing w:after="60"/>
      </w:pPr>
      <w:r>
        <w:t xml:space="preserve">La jambe du guerrier est brisée. Il subit dorénavant une pénalité de -1 à sa caractéristique Mouvement.</w:t>
      </w:r>
    </w:p>
    <w:p>
      <w:pPr>
        <w:spacing w:after="40" w:before="140"/>
      </w:pPr>
      <w:r>
        <w:rPr>
          <w:b/>
          <w:bCs/>
          <w:color w:val="241D15"/>
        </w:rPr>
        <w:t xml:space="preserve">Blessure à la main</w:t>
      </w:r>
    </w:p>
    <w:p>
      <w:pPr>
        <w:spacing w:after="60"/>
      </w:pPr>
      <w:r>
        <w:t xml:space="preserve">La main du guerrier est très abîmée. Sa Capacité de Combat est définitivement réduite de -1.</w:t>
      </w:r>
    </w:p>
    <w:p>
      <w:pPr>
        <w:spacing w:after="40" w:before="140"/>
      </w:pPr>
      <w:r>
        <w:rPr>
          <w:b/>
          <w:bCs/>
          <w:color w:val="241D15"/>
        </w:rPr>
        <w:t xml:space="preserve">Blessure grave au bras</w:t>
      </w:r>
    </w:p>
    <w:p>
      <w:pPr>
        <w:spacing w:after="60"/>
      </w:pPr>
      <w:r>
        <w:t xml:space="preserve">Blessure majeure : le bras doit être amputé et le guerrier ne peut dorénavant utiliser que des armes à une main.</w:t>
      </w:r>
    </w:p>
    <w:p>
      <w:pPr>
        <w:spacing w:after="40" w:before="140"/>
      </w:pPr>
      <w:r>
        <w:rPr>
          <w:b/>
          <w:bCs/>
          <w:color w:val="241D15"/>
        </w:rPr>
        <w:t xml:space="preserve">Horribles balafres</w:t>
      </w:r>
    </w:p>
    <w:p>
      <w:pPr>
        <w:spacing w:after="60"/>
      </w:pPr>
      <w:r>
        <w:t xml:space="preserve">Le guerrier cause dorénavant la peur.</w:t>
      </w:r>
    </w:p>
    <w:p>
      <w:pPr>
        <w:spacing w:after="40" w:before="140"/>
      </w:pPr>
      <w:r>
        <w:rPr>
          <w:b/>
          <w:bCs/>
          <w:color w:val="241D15"/>
        </w:rPr>
        <w:t xml:space="preserve">Peur</w:t>
      </w:r>
    </w:p>
    <w:p>
      <w:pPr>
        <w:spacing w:after="60"/>
      </w:pPr>
      <w:r>
        <w:t xml:space="preserve">La peur est une réaction naturelle aux créatures énormes ou effrayantes. Une figurine doit passer un test de Peur (un test de Commandement) dans les situations suivantes. Notez que les créatures causant la peur n’ont pas à faire de tels tests.</w:t>
      </w:r>
    </w:p>
    <w:p>
      <w:pPr>
        <w:spacing w:after="60"/>
      </w:pPr>
      <w:r>
        <w:t xml:space="preserve">a) Si la figurine est chargée par un guerrier ou une créature causant la peur. Si un guerrier est chargé par un ennemi dont il a peur, il doit faire un test pour surmonter sa frayeur. Effectuez celui-ci lorsque la charge est déclarée et qu’elle s’avère ne pas être ratée. Si le test est réussi, la figurine se bat normalement. S’il est raté, la figurine doit obtenir des 6 pour toucher lors de ce tour de combat.</w:t>
      </w:r>
    </w:p>
    <w:p>
      <w:pPr>
        <w:spacing w:after="60"/>
      </w:pPr>
      <w:r>
        <w:t xml:space="preserve">b) Si la figurine désire charger un ennemi qui cause la peur. Si un guerrier désire charger un ennemi dont il a peur, il doit faire un test pour y parvenir. En cas d’échec, la figurine ne peut pas charger et reste immobile pour le tour. Considérez qu’il s’agit d’une charge ratée.</w:t>
      </w:r>
    </w:p>
    <w:p>
      <w:pPr>
        <w:spacing w:after="40" w:before="140"/>
      </w:pPr>
      <w:r>
        <w:rPr>
          <w:b/>
          <w:bCs/>
          <w:color w:val="241D15"/>
        </w:rPr>
        <w:t xml:space="preserve">Jambe écrasée</w:t>
      </w:r>
    </w:p>
    <w:p>
      <w:pPr>
        <w:spacing w:after="60"/>
      </w:pPr>
      <w:r>
        <w:t xml:space="preserve">Le guerrier ne peut dorénavant plus courir, mais peut toujours charger.</w:t>
      </w:r>
    </w:p>
    <w:p>
      <w:pPr>
        <w:spacing w:after="40" w:before="140"/>
      </w:pPr>
      <w:r>
        <w:rPr>
          <w:b/>
          <w:bCs/>
          <w:color w:val="241D15"/>
        </w:rPr>
        <w:t xml:space="preserve">Œil crevé</w:t>
      </w:r>
    </w:p>
    <w:p>
      <w:pPr>
        <w:spacing w:after="60"/>
      </w:pPr>
      <w:r>
        <w:t xml:space="preserve">Le guerrier survit mais perd un œil. Sa Capacité de Tir est définitivement réduite de -1. S’il perd ensuite son œil restant, il doit quitter la bande.</w:t>
      </w:r>
    </w:p>
    <w:p>
      <w:r>
        <w:br w:type="page"/>
      </w:r>
    </w:p>
    <w:p>
      <w:pPr>
        <w:pStyle w:val="Heading1"/>
        <w:pBdr>
          <w:bottom w:val="double" w:color="241D15" w:sz="6"/>
        </w:pBdr>
        <w:spacing w:after="300"/>
        <w:jc w:val="center"/>
      </w:pPr>
      <w:r>
        <w:t xml:space="preserve">Hommes de main</w:t>
      </w:r>
    </w:p>
    <w:p>
      <w:pPr>
        <w:pStyle w:val="Heading2"/>
        <w:spacing w:after="40"/>
        <w:jc w:val="center"/>
      </w:pPr>
      <w:r>
        <w:rPr>
          <w:b/>
          <w:bCs/>
        </w:rPr>
        <w:t xml:space="preserve">Pistoliers</w:t>
      </w:r>
    </w:p>
    <w:p>
      <w:pPr>
        <w:spacing w:after="120"/>
        <w:jc w:val="center"/>
      </w:pPr>
      <w:r>
        <w:rPr>
          <w:i/>
          <w:iCs/>
          <w:color w:val="5A4A30"/>
        </w:rPr>
        <w:t xml:space="preserve">35 po · Valeur de Bande 5 · Expérience 9</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5</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9</w:t>
            </w:r>
          </w:p>
        </w:tc>
      </w:tr>
    </w:tbl>
    <w:p>
      <w:pPr>
        <w:spacing w:before="100"/>
      </w:pPr>
      <w:r>
        <w:rPr>
          <w:i/>
          <w:iCs/>
        </w:rPr>
        <w:t xml:space="preserve">Figurine promue.</w:t>
      </w:r>
    </w:p>
    <w:p>
      <w:pPr>
        <w:spacing w:after="60" w:before="160"/>
      </w:pPr>
      <w:r>
        <w:rPr>
          <w:b/>
          <w:bCs/>
          <w:color w:val="7A2E2E"/>
          <w:sz w:val="18"/>
          <w:szCs w:val="18"/>
        </w:rPr>
        <w:t xml:space="preserve">ÉQUIPEMENT</w:t>
      </w:r>
    </w:p>
    <w:p>
      <w:pPr>
        <w:pStyle w:val="ListParagraph"/>
        <w:numPr>
          <w:ilvl w:val="0"/>
          <w:numId w:val="1"/>
        </w:numPr>
      </w:pPr>
      <w:r>
        <w:rPr>
          <w:b/>
          <w:bCs/>
        </w:rPr>
        <w:t xml:space="preserve">Casque</w:t>
      </w:r>
    </w:p>
    <w:p>
      <w:pPr>
        <w:pStyle w:val="ListParagraph"/>
        <w:numPr>
          <w:ilvl w:val="0"/>
          <w:numId w:val="1"/>
        </w:numPr>
      </w:pPr>
      <w:r>
        <w:rPr>
          <w:b/>
          <w:bCs/>
        </w:rPr>
        <w:t xml:space="preserve">Rondache</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Épée</w:t>
      </w:r>
      <w:r>
        <w:rPr>
          <w:i/>
          <w:iCs/>
        </w:rPr>
        <w:t xml:space="preserve">  (Force : Comme l'utilisateur)</w:t>
      </w:r>
    </w:p>
    <w:p>
      <w:pPr>
        <w:pStyle w:val="ListParagraph"/>
        <w:numPr>
          <w:ilvl w:val="0"/>
          <w:numId w:val="1"/>
        </w:numPr>
      </w:pPr>
      <w:r>
        <w:rPr>
          <w:b/>
          <w:bCs/>
        </w:rPr>
        <w:t xml:space="preserve">Pistolet (paire)</w:t>
      </w:r>
      <w:r>
        <w:rPr>
          <w:i/>
          <w:iCs/>
        </w:rPr>
        <w:t xml:space="preserve">  (Portée : 6 — Force : 4)</w:t>
      </w:r>
    </w:p>
    <w:p>
      <w:pPr>
        <w:spacing w:after="60" w:before="160"/>
      </w:pPr>
      <w:r>
        <w:rPr>
          <w:b/>
          <w:bCs/>
          <w:color w:val="7A2E2E"/>
          <w:sz w:val="18"/>
          <w:szCs w:val="18"/>
        </w:rPr>
        <w:t xml:space="preserve">AUGMENTATIONS</w:t>
      </w:r>
    </w:p>
    <w:p>
      <w:pPr>
        <w:spacing w:after="80"/>
      </w:pPr>
      <w:r>
        <w:t xml:space="preserve">+1 CC, +1 Cd</w:t>
      </w:r>
    </w:p>
    <w:p>
      <w:r>
        <w:br w:type="page"/>
      </w:r>
    </w:p>
    <w:p>
      <w:pPr>
        <w:pStyle w:val="Heading2"/>
        <w:spacing w:after="40"/>
        <w:jc w:val="center"/>
      </w:pPr>
      <w:r>
        <w:rPr>
          <w:b/>
          <w:bCs/>
        </w:rPr>
        <w:t xml:space="preserve">Pistoliers</w:t>
      </w:r>
    </w:p>
    <w:p>
      <w:pPr>
        <w:spacing w:after="120"/>
        <w:jc w:val="center"/>
      </w:pPr>
      <w:r>
        <w:rPr>
          <w:i/>
          <w:iCs/>
          <w:color w:val="5A4A30"/>
        </w:rPr>
        <w:t xml:space="preserve">35 po · Valeur de Bande 5 · Expérience 6</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6</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4</w:t>
            </w:r>
          </w:p>
        </w:tc>
        <w:tc>
          <w:tcPr>
            <w:vAlign w:val="center"/>
          </w:tcPr>
          <w:p>
            <w:pPr>
              <w:jc w:val="center"/>
            </w:pPr>
            <w:r>
              <w:t xml:space="preserve">1</w:t>
            </w:r>
          </w:p>
        </w:tc>
        <w:tc>
          <w:tcPr>
            <w:vAlign w:val="center"/>
          </w:tcPr>
          <w:p>
            <w:pPr>
              <w:jc w:val="center"/>
            </w:pPr>
            <w:r>
              <w:t xml:space="preserve">7</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Rondache</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Épée</w:t>
      </w:r>
      <w:r>
        <w:rPr>
          <w:i/>
          <w:iCs/>
        </w:rPr>
        <w:t xml:space="preserve">  (Force : Comme l'utilisateur)</w:t>
      </w:r>
    </w:p>
    <w:p>
      <w:pPr>
        <w:pStyle w:val="ListParagraph"/>
        <w:numPr>
          <w:ilvl w:val="0"/>
          <w:numId w:val="1"/>
        </w:numPr>
      </w:pPr>
      <w:r>
        <w:rPr>
          <w:b/>
          <w:bCs/>
        </w:rPr>
        <w:t xml:space="preserve">Pistolet (paire)</w:t>
      </w:r>
      <w:r>
        <w:rPr>
          <w:i/>
          <w:iCs/>
        </w:rPr>
        <w:t xml:space="preserve">  (Portée : 6 — Force : 4)</w:t>
      </w:r>
    </w:p>
    <w:p>
      <w:pPr>
        <w:spacing w:after="60" w:before="160"/>
      </w:pPr>
      <w:r>
        <w:rPr>
          <w:b/>
          <w:bCs/>
          <w:color w:val="7A2E2E"/>
          <w:sz w:val="18"/>
          <w:szCs w:val="18"/>
        </w:rPr>
        <w:t xml:space="preserve">AUGMENTATIONS</w:t>
      </w:r>
    </w:p>
    <w:p>
      <w:pPr>
        <w:spacing w:after="80"/>
      </w:pPr>
      <w:r>
        <w:t xml:space="preserve">+1 CC, +1 I</w:t>
      </w:r>
    </w:p>
    <w:p>
      <w:r>
        <w:br w:type="page"/>
      </w:r>
    </w:p>
    <w:p>
      <w:pPr>
        <w:pStyle w:val="Heading2"/>
        <w:spacing w:after="40"/>
        <w:jc w:val="center"/>
      </w:pPr>
      <w:r>
        <w:rPr>
          <w:b/>
          <w:bCs/>
        </w:rPr>
        <w:t xml:space="preserve">Fils des Armes à Feu</w:t>
      </w:r>
    </w:p>
    <w:p>
      <w:pPr>
        <w:spacing w:after="120"/>
        <w:jc w:val="center"/>
      </w:pPr>
      <w:r>
        <w:rPr>
          <w:i/>
          <w:iCs/>
          <w:color w:val="5A4A30"/>
        </w:rPr>
        <w:t xml:space="preserve">25 po · Valeur de Bande 5 · Expérience 6</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5</w:t>
            </w:r>
          </w:p>
        </w:tc>
        <w:tc>
          <w:tcPr>
            <w:vAlign w:val="center"/>
          </w:tcPr>
          <w:p>
            <w:pPr>
              <w:jc w:val="center"/>
            </w:pPr>
            <w:r>
              <w:t xml:space="preserve">1</w:t>
            </w:r>
          </w:p>
        </w:tc>
        <w:tc>
          <w:tcPr>
            <w:vAlign w:val="center"/>
          </w:tcPr>
          <w:p>
            <w:pPr>
              <w:jc w:val="center"/>
            </w:pPr>
            <w:r>
              <w:t xml:space="preserve">8</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Hallebarde</w:t>
      </w:r>
      <w:r>
        <w:rPr>
          <w:i/>
          <w:iCs/>
        </w:rPr>
        <w:t xml:space="preserve">  (Force : Utilisateur +1)</w:t>
      </w:r>
    </w:p>
    <w:p>
      <w:pPr>
        <w:spacing w:after="60" w:before="160"/>
      </w:pPr>
      <w:r>
        <w:rPr>
          <w:b/>
          <w:bCs/>
          <w:color w:val="7A2E2E"/>
          <w:sz w:val="18"/>
          <w:szCs w:val="18"/>
        </w:rPr>
        <w:t xml:space="preserve">AUGMENTATIONS</w:t>
      </w:r>
    </w:p>
    <w:p>
      <w:pPr>
        <w:spacing w:after="80"/>
      </w:pPr>
      <w:r>
        <w:t xml:space="preserve">+1 Cd, +1 I</w:t>
      </w:r>
    </w:p>
    <w:p>
      <w:r>
        <w:br w:type="page"/>
      </w:r>
    </w:p>
    <w:p>
      <w:pPr>
        <w:pStyle w:val="Heading2"/>
        <w:spacing w:after="40"/>
        <w:jc w:val="center"/>
      </w:pPr>
      <w:r>
        <w:rPr>
          <w:b/>
          <w:bCs/>
        </w:rPr>
        <w:t xml:space="preserve">Fils des Armes à Feu</w:t>
      </w:r>
    </w:p>
    <w:p>
      <w:pPr>
        <w:spacing w:after="120"/>
        <w:jc w:val="center"/>
      </w:pPr>
      <w:r>
        <w:rPr>
          <w:i/>
          <w:iCs/>
          <w:color w:val="5A4A30"/>
        </w:rPr>
        <w:t xml:space="preserve">25 po · Valeur de Bande 5 · Expérience 5</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5</w:t>
            </w:r>
          </w:p>
        </w:tc>
        <w:tc>
          <w:tcPr>
            <w:vAlign w:val="center"/>
          </w:tcPr>
          <w:p>
            <w:pPr>
              <w:jc w:val="center"/>
            </w:pPr>
            <w:r>
              <w:t xml:space="preserve">1</w:t>
            </w:r>
          </w:p>
        </w:tc>
        <w:tc>
          <w:tcPr>
            <w:vAlign w:val="center"/>
          </w:tcPr>
          <w:p>
            <w:pPr>
              <w:jc w:val="center"/>
            </w:pPr>
            <w:r>
              <w:t xml:space="preserve">8</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Hallebarde</w:t>
      </w:r>
      <w:r>
        <w:rPr>
          <w:i/>
          <w:iCs/>
        </w:rPr>
        <w:t xml:space="preserve">  (Force : Utilisateur +1)</w:t>
      </w:r>
    </w:p>
    <w:p>
      <w:pPr>
        <w:spacing w:after="60" w:before="160"/>
      </w:pPr>
      <w:r>
        <w:rPr>
          <w:b/>
          <w:bCs/>
          <w:color w:val="7A2E2E"/>
          <w:sz w:val="18"/>
          <w:szCs w:val="18"/>
        </w:rPr>
        <w:t xml:space="preserve">AUGMENTATIONS</w:t>
      </w:r>
    </w:p>
    <w:p>
      <w:pPr>
        <w:spacing w:after="80"/>
      </w:pPr>
      <w:r>
        <w:t xml:space="preserve">+1 Cd, +1 I</w:t>
      </w:r>
    </w:p>
    <w:p>
      <w:r>
        <w:br w:type="page"/>
      </w:r>
    </w:p>
    <w:p>
      <w:pPr>
        <w:pStyle w:val="Heading2"/>
        <w:spacing w:after="40"/>
        <w:jc w:val="center"/>
      </w:pPr>
      <w:r>
        <w:rPr>
          <w:b/>
          <w:bCs/>
        </w:rPr>
        <w:t xml:space="preserve">Fils des Armes à Feu</w:t>
      </w:r>
    </w:p>
    <w:p>
      <w:pPr>
        <w:spacing w:after="120"/>
        <w:jc w:val="center"/>
      </w:pPr>
      <w:r>
        <w:rPr>
          <w:i/>
          <w:iCs/>
          <w:color w:val="5A4A30"/>
        </w:rPr>
        <w:t xml:space="preserve">25 po · Valeur de Bande 5 · Expérience 0</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4</w:t>
            </w:r>
          </w:p>
        </w:tc>
        <w:tc>
          <w:tcPr>
            <w:vAlign w:val="center"/>
          </w:tcPr>
          <w:p>
            <w:pPr>
              <w:jc w:val="center"/>
            </w:pPr>
            <w:r>
              <w:t xml:space="preserve">1</w:t>
            </w:r>
          </w:p>
        </w:tc>
        <w:tc>
          <w:tcPr>
            <w:vAlign w:val="center"/>
          </w:tcPr>
          <w:p>
            <w:pPr>
              <w:jc w:val="center"/>
            </w:pPr>
            <w:r>
              <w:t xml:space="preserve">8</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Hallebarde</w:t>
      </w:r>
      <w:r>
        <w:rPr>
          <w:i/>
          <w:iCs/>
        </w:rPr>
        <w:t xml:space="preserve">  (Force : Utilisateur +1)</w:t>
      </w:r>
    </w:p>
    <w:p>
      <w:pPr>
        <w:spacing w:after="60" w:before="160"/>
      </w:pPr>
      <w:r>
        <w:rPr>
          <w:b/>
          <w:bCs/>
          <w:color w:val="7A2E2E"/>
          <w:sz w:val="18"/>
          <w:szCs w:val="18"/>
        </w:rPr>
        <w:t xml:space="preserve">AUGMENTATIONS</w:t>
      </w:r>
    </w:p>
    <w:p>
      <w:pPr>
        <w:spacing w:after="80"/>
      </w:pPr>
      <w:r>
        <w:t xml:space="preserve">+1 Cd, +1 I</w:t>
      </w:r>
    </w:p>
    <w:p>
      <w:r>
        <w:br w:type="page"/>
      </w:r>
    </w:p>
    <w:p>
      <w:pPr>
        <w:pStyle w:val="Heading2"/>
        <w:spacing w:after="40"/>
        <w:jc w:val="center"/>
      </w:pPr>
      <w:r>
        <w:rPr>
          <w:b/>
          <w:bCs/>
        </w:rPr>
        <w:t xml:space="preserve">Fils des Armes à Feu</w:t>
      </w:r>
    </w:p>
    <w:p>
      <w:pPr>
        <w:spacing w:after="120"/>
        <w:jc w:val="center"/>
      </w:pPr>
      <w:r>
        <w:rPr>
          <w:i/>
          <w:iCs/>
          <w:color w:val="5A4A30"/>
        </w:rPr>
        <w:t xml:space="preserve">25 po · Valeur de Bande 5 · Expérience 0</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7</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Hallebarde</w:t>
      </w:r>
      <w:r>
        <w:rPr>
          <w:i/>
          <w:iCs/>
        </w:rPr>
        <w:t xml:space="preserve">  (Force : Utilisateur +1)</w:t>
      </w:r>
    </w:p>
    <w:p>
      <w:r>
        <w:br w:type="page"/>
      </w:r>
    </w:p>
    <w:p>
      <w:pPr>
        <w:pStyle w:val="Heading2"/>
        <w:spacing w:after="40"/>
        <w:jc w:val="center"/>
      </w:pPr>
      <w:r>
        <w:rPr>
          <w:b/>
          <w:bCs/>
        </w:rPr>
        <w:t xml:space="preserve">Tireurs</w:t>
      </w:r>
    </w:p>
    <w:p>
      <w:pPr>
        <w:spacing w:after="120"/>
        <w:jc w:val="center"/>
      </w:pPr>
      <w:r>
        <w:rPr>
          <w:i/>
          <w:iCs/>
          <w:color w:val="5A4A30"/>
        </w:rPr>
        <w:t xml:space="preserve">30 po · Valeur de Bande 5 · Expérience 6</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3</w:t>
            </w:r>
          </w:p>
        </w:tc>
        <w:tc>
          <w:tcPr>
            <w:vAlign w:val="center"/>
          </w:tcPr>
          <w:p>
            <w:pPr>
              <w:jc w:val="center"/>
            </w:pPr>
            <w:r>
              <w:t xml:space="preserve">5</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8</w:t>
            </w:r>
          </w:p>
        </w:tc>
      </w:tr>
    </w:tbl>
    <w:p>
      <w:pPr>
        <w:spacing w:before="100"/>
      </w:pPr>
      <w:r>
        <w:rPr>
          <w:i/>
          <w:iCs/>
        </w:rPr>
        <w:t xml:space="preserve">Figurine promue.</w:t>
      </w:r>
    </w:p>
    <w:p>
      <w:pPr>
        <w:spacing w:after="60" w:before="160"/>
      </w:pPr>
      <w:r>
        <w:rPr>
          <w:b/>
          <w:bCs/>
          <w:color w:val="7A2E2E"/>
          <w:sz w:val="18"/>
          <w:szCs w:val="18"/>
        </w:rPr>
        <w:t xml:space="preserve">ÉQUIPEMENT</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Arquebuse</w:t>
      </w:r>
      <w:r>
        <w:rPr>
          <w:i/>
          <w:iCs/>
        </w:rPr>
        <w:t xml:space="preserve">  (Portée : 24 — Force : 4)</w:t>
      </w:r>
    </w:p>
    <w:p>
      <w:pPr>
        <w:spacing w:after="60" w:before="160"/>
      </w:pPr>
      <w:r>
        <w:rPr>
          <w:b/>
          <w:bCs/>
          <w:color w:val="7A2E2E"/>
          <w:sz w:val="18"/>
          <w:szCs w:val="18"/>
        </w:rPr>
        <w:t xml:space="preserve">BLESSURES</w:t>
      </w:r>
    </w:p>
    <w:p>
      <w:pPr>
        <w:spacing w:after="40" w:before="140"/>
      </w:pPr>
      <w:r>
        <w:rPr>
          <w:b/>
          <w:bCs/>
          <w:color w:val="241D15"/>
        </w:rPr>
        <w:t xml:space="preserve">Endurci</w:t>
      </w:r>
    </w:p>
    <w:p>
      <w:pPr>
        <w:spacing w:after="60"/>
      </w:pPr>
      <w:r>
        <w:t xml:space="preserve">Le guerrier survit et devient insensible aux horreurs de Mordheim. Il est dorénavant immunisé à la peur.</w:t>
      </w:r>
    </w:p>
    <w:p>
      <w:pPr>
        <w:spacing w:after="60" w:before="160"/>
      </w:pPr>
      <w:r>
        <w:rPr>
          <w:b/>
          <w:bCs/>
          <w:color w:val="7A2E2E"/>
          <w:sz w:val="18"/>
          <w:szCs w:val="18"/>
        </w:rPr>
        <w:t xml:space="preserve">AUGMENTATIONS</w:t>
      </w:r>
    </w:p>
    <w:p>
      <w:pPr>
        <w:spacing w:after="80"/>
      </w:pPr>
      <w:r>
        <w:t xml:space="preserve">+1 Cd, +1 CT</w:t>
      </w:r>
    </w:p>
    <w:p>
      <w:r>
        <w:br w:type="page"/>
      </w:r>
    </w:p>
    <w:p>
      <w:pPr>
        <w:pStyle w:val="Heading2"/>
        <w:spacing w:after="40"/>
        <w:jc w:val="center"/>
      </w:pPr>
      <w:r>
        <w:rPr>
          <w:b/>
          <w:bCs/>
        </w:rPr>
        <w:t xml:space="preserve">Tireurs</w:t>
      </w:r>
    </w:p>
    <w:p>
      <w:pPr>
        <w:spacing w:after="120"/>
        <w:jc w:val="center"/>
      </w:pPr>
      <w:r>
        <w:rPr>
          <w:i/>
          <w:iCs/>
          <w:color w:val="5A4A30"/>
        </w:rPr>
        <w:t xml:space="preserve">30 po · Valeur de Bande 5 · Expérience 5</w:t>
      </w:r>
    </w:p>
    <w:tbl>
      <w:tblPr>
        <w:tblW w:type="pct" w:w="100%"/>
        <w:tblBorders>
          <w:top w:val="single" w:color="8A6E3D" w:sz="4"/>
          <w:left w:val="single" w:color="8A6E3D" w:sz="4"/>
          <w:bottom w:val="single" w:color="8A6E3D" w:sz="4"/>
          <w:right w:val="single" w:color="8A6E3D" w:sz="4"/>
          <w:insideH w:val="single" w:color="8A6E3D" w:sz="4"/>
          <w:insideV w:val="single" w:color="8A6E3D" w:sz="4"/>
        </w:tblBorders>
      </w:tblPr>
      <w:tblGrid>
        <w:gridCol w:w="100"/>
        <w:gridCol w:w="100"/>
        <w:gridCol w:w="100"/>
        <w:gridCol w:w="100"/>
        <w:gridCol w:w="100"/>
        <w:gridCol w:w="100"/>
        <w:gridCol w:w="100"/>
        <w:gridCol w:w="100"/>
        <w:gridCol w:w="100"/>
      </w:tblGrid>
      <w:tr>
        <w:tc>
          <w:tcPr>
            <w:shd w:fill="241D15" w:val="clear"/>
            <w:vAlign w:val="center"/>
          </w:tcPr>
          <w:p>
            <w:pPr>
              <w:jc w:val="center"/>
            </w:pPr>
            <w:r>
              <w:rPr>
                <w:b/>
                <w:bCs/>
                <w:color w:val="FFFFFF"/>
              </w:rPr>
              <w:t xml:space="preserve">M</w:t>
            </w:r>
          </w:p>
        </w:tc>
        <w:tc>
          <w:tcPr>
            <w:shd w:fill="241D15" w:val="clear"/>
            <w:vAlign w:val="center"/>
          </w:tcPr>
          <w:p>
            <w:pPr>
              <w:jc w:val="center"/>
            </w:pPr>
            <w:r>
              <w:rPr>
                <w:b/>
                <w:bCs/>
                <w:color w:val="FFFFFF"/>
              </w:rPr>
              <w:t xml:space="preserve">CC</w:t>
            </w:r>
          </w:p>
        </w:tc>
        <w:tc>
          <w:tcPr>
            <w:shd w:fill="241D15" w:val="clear"/>
            <w:vAlign w:val="center"/>
          </w:tcPr>
          <w:p>
            <w:pPr>
              <w:jc w:val="center"/>
            </w:pPr>
            <w:r>
              <w:rPr>
                <w:b/>
                <w:bCs/>
                <w:color w:val="FFFFFF"/>
              </w:rPr>
              <w:t xml:space="preserve">CT</w:t>
            </w:r>
          </w:p>
        </w:tc>
        <w:tc>
          <w:tcPr>
            <w:shd w:fill="241D15" w:val="clear"/>
            <w:vAlign w:val="center"/>
          </w:tcPr>
          <w:p>
            <w:pPr>
              <w:jc w:val="center"/>
            </w:pPr>
            <w:r>
              <w:rPr>
                <w:b/>
                <w:bCs/>
                <w:color w:val="FFFFFF"/>
              </w:rPr>
              <w:t xml:space="preserve">F</w:t>
            </w:r>
          </w:p>
        </w:tc>
        <w:tc>
          <w:tcPr>
            <w:shd w:fill="241D15" w:val="clear"/>
            <w:vAlign w:val="center"/>
          </w:tcPr>
          <w:p>
            <w:pPr>
              <w:jc w:val="center"/>
            </w:pPr>
            <w:r>
              <w:rPr>
                <w:b/>
                <w:bCs/>
                <w:color w:val="FFFFFF"/>
              </w:rPr>
              <w:t xml:space="preserve">E</w:t>
            </w:r>
          </w:p>
        </w:tc>
        <w:tc>
          <w:tcPr>
            <w:shd w:fill="241D15" w:val="clear"/>
            <w:vAlign w:val="center"/>
          </w:tcPr>
          <w:p>
            <w:pPr>
              <w:jc w:val="center"/>
            </w:pPr>
            <w:r>
              <w:rPr>
                <w:b/>
                <w:bCs/>
                <w:color w:val="FFFFFF"/>
              </w:rPr>
              <w:t xml:space="preserve">PV</w:t>
            </w:r>
          </w:p>
        </w:tc>
        <w:tc>
          <w:tcPr>
            <w:shd w:fill="241D15" w:val="clear"/>
            <w:vAlign w:val="center"/>
          </w:tcPr>
          <w:p>
            <w:pPr>
              <w:jc w:val="center"/>
            </w:pPr>
            <w:r>
              <w:rPr>
                <w:b/>
                <w:bCs/>
                <w:color w:val="FFFFFF"/>
              </w:rPr>
              <w:t xml:space="preserve">I</w:t>
            </w:r>
          </w:p>
        </w:tc>
        <w:tc>
          <w:tcPr>
            <w:shd w:fill="241D15" w:val="clear"/>
            <w:vAlign w:val="center"/>
          </w:tcPr>
          <w:p>
            <w:pPr>
              <w:jc w:val="center"/>
            </w:pPr>
            <w:r>
              <w:rPr>
                <w:b/>
                <w:bCs/>
                <w:color w:val="FFFFFF"/>
              </w:rPr>
              <w:t xml:space="preserve">A</w:t>
            </w:r>
          </w:p>
        </w:tc>
        <w:tc>
          <w:tcPr>
            <w:shd w:fill="241D15" w:val="clear"/>
            <w:vAlign w:val="center"/>
          </w:tcPr>
          <w:p>
            <w:pPr>
              <w:jc w:val="center"/>
            </w:pPr>
            <w:r>
              <w:rPr>
                <w:b/>
                <w:bCs/>
                <w:color w:val="FFFFFF"/>
              </w:rPr>
              <w:t xml:space="preserve">Cd</w:t>
            </w:r>
          </w:p>
        </w:tc>
      </w:tr>
      <w:tr>
        <w:tc>
          <w:tcPr>
            <w:vAlign w:val="center"/>
          </w:tcPr>
          <w:p>
            <w:pPr>
              <w:jc w:val="center"/>
            </w:pPr>
            <w:r>
              <w:t xml:space="preserve">4</w:t>
            </w:r>
          </w:p>
        </w:tc>
        <w:tc>
          <w:tcPr>
            <w:vAlign w:val="center"/>
          </w:tcPr>
          <w:p>
            <w:pPr>
              <w:jc w:val="center"/>
            </w:pPr>
            <w:r>
              <w:t xml:space="preserve">3</w:t>
            </w:r>
          </w:p>
        </w:tc>
        <w:tc>
          <w:tcPr>
            <w:vAlign w:val="center"/>
          </w:tcPr>
          <w:p>
            <w:pPr>
              <w:jc w:val="center"/>
            </w:pPr>
            <w:r>
              <w:t xml:space="preserve">5</w:t>
            </w:r>
          </w:p>
        </w:tc>
        <w:tc>
          <w:tcPr>
            <w:vAlign w:val="center"/>
          </w:tcPr>
          <w:p>
            <w:pPr>
              <w:jc w:val="center"/>
            </w:pPr>
            <w:r>
              <w:t xml:space="preserve">3</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3</w:t>
            </w:r>
          </w:p>
        </w:tc>
        <w:tc>
          <w:tcPr>
            <w:vAlign w:val="center"/>
          </w:tcPr>
          <w:p>
            <w:pPr>
              <w:jc w:val="center"/>
            </w:pPr>
            <w:r>
              <w:t xml:space="preserve">1</w:t>
            </w:r>
          </w:p>
        </w:tc>
        <w:tc>
          <w:tcPr>
            <w:vAlign w:val="center"/>
          </w:tcPr>
          <w:p>
            <w:pPr>
              <w:jc w:val="center"/>
            </w:pPr>
            <w:r>
              <w:t xml:space="preserve">8</w:t>
            </w:r>
          </w:p>
        </w:tc>
      </w:tr>
    </w:tbl>
    <w:p>
      <w:pPr>
        <w:spacing w:after="60" w:before="160"/>
      </w:pPr>
      <w:r>
        <w:rPr>
          <w:b/>
          <w:bCs/>
          <w:color w:val="7A2E2E"/>
          <w:sz w:val="18"/>
          <w:szCs w:val="18"/>
        </w:rPr>
        <w:t xml:space="preserve">ÉQUIPEMENT</w:t>
      </w:r>
    </w:p>
    <w:p>
      <w:pPr>
        <w:pStyle w:val="ListParagraph"/>
        <w:numPr>
          <w:ilvl w:val="0"/>
          <w:numId w:val="1"/>
        </w:numPr>
      </w:pPr>
      <w:r>
        <w:rPr>
          <w:b/>
          <w:bCs/>
        </w:rPr>
        <w:t xml:space="preserve">Dague gratuite</w:t>
      </w:r>
      <w:r>
        <w:rPr>
          <w:i/>
          <w:iCs/>
        </w:rPr>
        <w:t xml:space="preserve">  (Force : Comme l'utilisateur)</w:t>
      </w:r>
    </w:p>
    <w:p>
      <w:pPr>
        <w:pStyle w:val="ListParagraph"/>
        <w:numPr>
          <w:ilvl w:val="0"/>
          <w:numId w:val="1"/>
        </w:numPr>
      </w:pPr>
      <w:r>
        <w:rPr>
          <w:b/>
          <w:bCs/>
        </w:rPr>
        <w:t xml:space="preserve">Arquebuse</w:t>
      </w:r>
      <w:r>
        <w:rPr>
          <w:i/>
          <w:iCs/>
        </w:rPr>
        <w:t xml:space="preserve">  (Portée : 24 — Force : 4)</w:t>
      </w:r>
    </w:p>
    <w:p>
      <w:pPr>
        <w:spacing w:after="60" w:before="160"/>
      </w:pPr>
      <w:r>
        <w:rPr>
          <w:b/>
          <w:bCs/>
          <w:color w:val="7A2E2E"/>
          <w:sz w:val="18"/>
          <w:szCs w:val="18"/>
        </w:rPr>
        <w:t xml:space="preserve">AUGMENTATIONS</w:t>
      </w:r>
    </w:p>
    <w:p>
      <w:pPr>
        <w:spacing w:after="80"/>
      </w:pPr>
      <w:r>
        <w:t xml:space="preserve">+1 Cd, +1 CT</w:t>
      </w:r>
    </w:p>
    <w:p>
      <w:r>
        <w:br w:type="page"/>
      </w:r>
    </w:p>
    <w:p>
      <w:pPr>
        <w:pStyle w:val="Heading1"/>
        <w:pBdr>
          <w:bottom w:val="double" w:color="241D15" w:sz="6"/>
        </w:pBdr>
        <w:spacing w:after="300"/>
        <w:jc w:val="center"/>
      </w:pPr>
      <w:r>
        <w:t xml:space="preserve">Règles</w:t>
      </w:r>
    </w:p>
    <w:p>
      <w:pPr>
        <w:pStyle w:val="Heading2"/>
        <w:spacing w:after="120" w:before="200"/>
      </w:pPr>
      <w:r>
        <w:t xml:space="preserve">Règles des Armes</w:t>
      </w:r>
    </w:p>
    <w:p>
      <w:pPr>
        <w:spacing w:after="40" w:before="140"/>
      </w:pPr>
      <w:r>
        <w:rPr>
          <w:b/>
          <w:bCs/>
          <w:color w:val="241D15"/>
        </w:rPr>
        <w:t xml:space="preserve">Arquebuse</w:t>
      </w:r>
    </w:p>
    <w:p>
      <w:pPr>
        <w:spacing w:after="60"/>
      </w:pPr>
      <w:r>
        <w:t xml:space="preserve">Préparation du tir : une arquebuse nécessite un tour complet pour être rechargée ; vous ne pouvez donc tirer qu'un tour sur deux. Se déplacer ou tirer : vous ne pouvez pas vous déplacer et tirer avec une arquebuse le même tour, sauf pour pivoter sur place afin de faire face à votre cible ou pour vous relever. Modificateur de sauvegarde : les arquebuses sont encore meilleures pour percer les armures que ne le laisse penser leur Force de 4. Un guerrier blessé par une arquebuse doit effectuer sa sauvegarde d'armure avec un malus de -2.</w:t>
      </w:r>
    </w:p>
    <w:p>
      <w:pPr>
        <w:spacing w:after="40" w:before="140"/>
      </w:pPr>
      <w:r>
        <w:rPr>
          <w:b/>
          <w:bCs/>
          <w:color w:val="241D15"/>
        </w:rPr>
        <w:t xml:space="preserve">Casque</w:t>
      </w:r>
    </w:p>
    <w:p>
      <w:pPr>
        <w:spacing w:after="60"/>
      </w:pPr>
      <w:r>
        <w:t xml:space="preserve">Éviter l'étourdissement : une figurine équipée d'un casque bénéficie d'une sauvegarde spéciale de 4+ sur 1D6 contre le résultat étourdi. Si la sauvegarde est réussie, traitez le résultat étourdi comme un résultat à terre à la place. Cette sauvegarde n'est pas modifiée par la Force de l'adversaire.</w:t>
      </w:r>
    </w:p>
    <w:p>
      <w:pPr>
        <w:spacing w:after="40" w:before="140"/>
      </w:pPr>
      <w:r>
        <w:rPr>
          <w:b/>
          <w:bCs/>
          <w:color w:val="241D15"/>
        </w:rPr>
        <w:t xml:space="preserve">Dague gratuite</w:t>
      </w:r>
    </w:p>
    <w:p>
      <w:pPr>
        <w:spacing w:after="60"/>
      </w:pPr>
      <w:r>
        <w:t xml:space="preserve">+1 à la sauvegarde d'armure ennemie : les dagues ne sont pas les meilleures armes pour percer l'armure d'un adversaire. Une figurine blessée par une dague bénéficie d'un bonus de +1 à sa sauvegarde d'armure, et d'une sauvegarde d'armure de 6+ si elle n'en possède normalement aucune.</w:t>
      </w:r>
    </w:p>
    <w:p>
      <w:pPr>
        <w:spacing w:after="40" w:before="140"/>
      </w:pPr>
      <w:r>
        <w:rPr>
          <w:b/>
          <w:bCs/>
          <w:color w:val="241D15"/>
        </w:rPr>
        <w:t xml:space="preserve">Épée</w:t>
      </w:r>
    </w:p>
    <w:p>
      <w:pPr>
        <w:spacing w:after="60"/>
      </w:pPr>
      <w:r>
        <w:t xml:space="preserve">Parade : les épées offrent un excellent équilibre entre attaque et défense. Une figurine armée d'une épée peut parer les coups. Lorsque son adversaire lance ses dés pour toucher, la figurine armée d'une épée peut lancer un D6. Si le résultat est supérieur au meilleur score pour toucher de son adversaire, le coup est paré et cette attaque est annulée. Une figurine ne peut pas parer les attaques portées par une Force égale ou supérieure au double de la sienne — elles sont tout simplement trop puissantes pour être arrêtées.</w:t>
      </w:r>
    </w:p>
    <w:p>
      <w:pPr>
        <w:spacing w:after="40" w:before="140"/>
      </w:pPr>
      <w:r>
        <w:rPr>
          <w:b/>
          <w:bCs/>
          <w:color w:val="241D15"/>
        </w:rPr>
        <w:t xml:space="preserve">Hallebarde</w:t>
      </w:r>
    </w:p>
    <w:p>
      <w:pPr>
        <w:spacing w:after="60"/>
      </w:pPr>
      <w:r>
        <w:t xml:space="preserve">Arme à deux mains : une figurine armée d'une hallebarde ne peut pas utiliser de bouclier, de rondache ou d'arme supplémentaire au corps à corps. Si la figurine possède un bouclier, elle conserve tout de même le bonus de +1 à sa sauvegarde d'armure contre le tir.</w:t>
      </w:r>
    </w:p>
    <w:p>
      <w:pPr>
        <w:spacing w:after="40" w:before="140"/>
      </w:pPr>
      <w:r>
        <w:rPr>
          <w:b/>
          <w:bCs/>
          <w:color w:val="241D15"/>
        </w:rPr>
        <w:t xml:space="preserve">Pistolet (paire)</w:t>
      </w:r>
    </w:p>
    <w:p>
      <w:pPr>
        <w:spacing w:after="60"/>
      </w:pPr>
      <w:r>
        <w:t xml:space="preserve">Préparation du tir : un pistolet nécessite un tour complet pour être rechargé ; vous ne pouvez donc tirer qu'un tour sur deux. Si vous possédez une paire de pistolets (c'est-à-dire deux), vous pouvez tirer chaque tour. Modificateur de sauvegarde : les pistolets sont encore meilleurs pour percer les armures que ne le laisse penser leur Force de 4. Une figurine blessée par un pistolet doit effectuer sa sauvegarde d'armure avec un malus de -2. Corps à corps : les pistolets peuvent être utilisés au corps à corps aussi bien qu'au tir. Une figurine armée d'un pistolet et d'une autre arme de corps à corps gagne +1 Attaque, résolue à une Force de 4 avec un malus de -2 à la sauvegarde. Cette attaque bonus ne peut être utilisée qu'une seule fois par combat. Si vous tirez avec une paire de pistolets, votre figurine peut combattre avec 2 Attaques au premier round du combat au corps à corps. Ces attaques sont résolues avec la Capacité de Combat de la figurine comme n'importe quelle attaque de corps à corps normale, et peuvent donc être parées. Les touches réussies sont résolues à Force 4 avec un malus de -2 à la sauvegarde, quelle que soit la Force du tireur.</w:t>
      </w:r>
    </w:p>
    <w:p>
      <w:pPr>
        <w:spacing w:after="40" w:before="140"/>
      </w:pPr>
      <w:r>
        <w:rPr>
          <w:b/>
          <w:bCs/>
          <w:color w:val="241D15"/>
        </w:rPr>
        <w:t xml:space="preserve">Rondache</w:t>
      </w:r>
    </w:p>
    <w:p>
      <w:pPr>
        <w:spacing w:after="60"/>
      </w:pPr>
      <w:r>
        <w:t xml:space="preserve">Parade : une figurine équipée d'une rondache peut parer le premier coup de chaque round de combat au corps à corps. Lorsque son adversaire obtient une touche, la figurine munie d'une rondache peut lancer 1D6. Si le résultat est supérieur au meilleur score pour toucher de son adversaire, le coup est paré et cette attaque est annulée. Une figurine ne peut pas parer les attaques portées par une Force égale ou supérieure au double de la sienne — elles sont tout simplement trop puissantes pour être arrêtées.</w:t>
      </w:r>
    </w:p>
    <w:p>
      <w:r>
        <w:br w:type="page"/>
      </w:r>
    </w:p>
    <w:p>
      <w:pPr>
        <w:pStyle w:val="Heading2"/>
        <w:spacing w:after="120" w:before="200"/>
      </w:pPr>
      <w:r>
        <w:t xml:space="preserve">Règles Spéciales</w:t>
      </w:r>
    </w:p>
    <w:p>
      <w:pPr>
        <w:spacing w:after="40" w:before="140"/>
      </w:pPr>
      <w:r>
        <w:rPr>
          <w:b/>
          <w:bCs/>
          <w:color w:val="241D15"/>
        </w:rPr>
        <w:t xml:space="preserve">Chasseur</w:t>
      </w:r>
    </w:p>
    <w:p>
      <w:pPr>
        <w:spacing w:after="60"/>
      </w:pPr>
      <w:r>
        <w:t xml:space="preserve">Le guerrier peut tirer à chaque tour même avec une arquebuse ou un long fusil du Hochland.</w:t>
      </w:r>
    </w:p>
    <w:p>
      <w:pPr>
        <w:spacing w:after="40" w:before="140"/>
      </w:pPr>
      <w:r>
        <w:rPr>
          <w:b/>
          <w:bCs/>
          <w:color w:val="241D15"/>
        </w:rPr>
        <w:t xml:space="preserve">Chef</w:t>
      </w:r>
    </w:p>
    <w:p>
      <w:pPr>
        <w:spacing w:after="60"/>
      </w:pPr>
      <w:r>
        <w:t xml:space="preserve">Toute figurine de la bande située à moins de 12 ps de l'Officier d'Artillerie Chevronné peut utiliser sa valeur de Commandement lors des tests de Commandement.</w:t>
      </w:r>
    </w:p>
    <w:p>
      <w:pPr>
        <w:spacing w:after="40" w:before="140"/>
      </w:pPr>
      <w:r>
        <w:rPr>
          <w:b/>
          <w:bCs/>
          <w:color w:val="241D15"/>
        </w:rPr>
        <w:t xml:space="preserve">Coup Précis</w:t>
      </w:r>
    </w:p>
    <w:p>
      <w:pPr>
        <w:spacing w:after="60"/>
      </w:pPr>
      <w:r>
        <w:t xml:space="preserve">Le guerrier porte ses coups avec une grande précision. Ajoutez +1 à tous les jets de dégâts causés par la figurine au corps à corps.</w:t>
      </w:r>
    </w:p>
    <w:p>
      <w:pPr>
        <w:spacing w:after="40" w:before="140"/>
      </w:pPr>
      <w:r>
        <w:rPr>
          <w:b/>
          <w:bCs/>
          <w:color w:val="241D15"/>
        </w:rPr>
        <w:t xml:space="preserve">Effrayant</w:t>
      </w:r>
    </w:p>
    <w:p>
      <w:pPr>
        <w:spacing w:after="60"/>
      </w:pPr>
      <w:r>
        <w:t xml:space="preserve">La réputation et l’apparence du guerrier sont telles qu’il cause la peur à ses ennemis.</w:t>
      </w:r>
    </w:p>
    <w:p>
      <w:pPr>
        <w:spacing w:after="40" w:before="140"/>
      </w:pPr>
      <w:r>
        <w:rPr>
          <w:b/>
          <w:bCs/>
          <w:color w:val="241D15"/>
        </w:rPr>
        <w:t xml:space="preserve">Gladiateur</w:t>
      </w:r>
    </w:p>
    <w:p>
      <w:pPr>
        <w:spacing w:after="60"/>
      </w:pPr>
      <w:r>
        <w:t xml:space="preserve">Le guerrier bénéficie de +1 en CC et de +1 Attaque s’il se bat dans un bâtiment ou des ruines.</w:t>
      </w:r>
    </w:p>
    <w:p>
      <w:pPr>
        <w:spacing w:after="40" w:before="140"/>
      </w:pPr>
      <w:r>
        <w:rPr>
          <w:b/>
          <w:bCs/>
          <w:color w:val="241D15"/>
        </w:rPr>
        <w:t xml:space="preserve">Maître Armurier</w:t>
      </w:r>
    </w:p>
    <w:p>
      <w:pPr>
        <w:spacing w:after="60"/>
      </w:pPr>
      <w:r>
        <w:t xml:space="preserve">Les Instructeurs connaissent toutes les ficelles du métier lorsqu'il s'agit de manier les armes à poudre noire. Tant qu'un Instructeur fait partie de la bande, tous les pistolets bénéficient d'un bonus de portée de +3 ps, et toutes les autres armes à poudre noire d'un bonus de portée de +6 ps.</w:t>
      </w:r>
    </w:p>
    <w:p>
      <w:pPr>
        <w:spacing w:after="40" w:before="140"/>
      </w:pPr>
      <w:r>
        <w:rPr>
          <w:b/>
          <w:bCs/>
          <w:color w:val="241D15"/>
        </w:rPr>
        <w:t xml:space="preserve">Maître Escrimeur</w:t>
      </w:r>
    </w:p>
    <w:p>
      <w:pPr>
        <w:spacing w:after="60"/>
      </w:pPr>
      <w:r>
        <w:t xml:space="preserve">S’il utilise une épée, le guerrier peut relancer ses attaques ratées lors de la phase de corps à corps du tour où il charge. Ce bonus ne s’applique qu’avec une épée ordinaire ou une lame suintante, pas avec une épée à deux mains ni une autre arme.</w:t>
      </w:r>
    </w:p>
    <w:p>
      <w:pPr>
        <w:spacing w:after="40" w:before="140"/>
      </w:pPr>
      <w:r>
        <w:rPr>
          <w:b/>
          <w:bCs/>
          <w:color w:val="241D15"/>
        </w:rPr>
        <w:t xml:space="preserve">Mur d’Acier</w:t>
      </w:r>
    </w:p>
    <w:p>
      <w:pPr>
        <w:spacing w:after="60"/>
      </w:pPr>
      <w:r>
        <w:t xml:space="preserve">La figurine bénéficie de +1 à tous ses jets sur les Tableaux de Coups Critiques au corps à corps.</w:t>
      </w:r>
    </w:p>
    <w:p>
      <w:pPr>
        <w:spacing w:after="40" w:before="140"/>
      </w:pPr>
      <w:r>
        <w:rPr>
          <w:b/>
          <w:bCs/>
          <w:color w:val="241D15"/>
        </w:rPr>
        <w:t xml:space="preserve">Œil de Faucon</w:t>
      </w:r>
    </w:p>
    <w:p>
      <w:pPr>
        <w:spacing w:after="60"/>
      </w:pPr>
      <w:r>
        <w:t xml:space="preserve">Le guerrier ajoute +6ps à la portée de toute arme de tir qu’il utilise, sauf s’il s’agit d’un tromblon.</w:t>
      </w:r>
    </w:p>
    <w:p>
      <w:pPr>
        <w:spacing w:after="40" w:before="140"/>
      </w:pPr>
      <w:r>
        <w:rPr>
          <w:b/>
          <w:bCs/>
          <w:color w:val="241D15"/>
        </w:rPr>
        <w:t xml:space="preserve">Rechargement Rapide</w:t>
      </w:r>
    </w:p>
    <w:p>
      <w:pPr>
        <w:spacing w:after="60"/>
      </w:pPr>
      <w:r>
        <w:t xml:space="preserve">Les Tireurs formés à l'École d'Artillerie s'entraînent jour après jour à de nombreux exercices, notamment ceux qui leur apprennent à recharger rapidement leurs armes dans des conditions de forte pression. Les Tireurs possèdent la compétence Chasseur du livre de règles de Mordheim. Un Tireur qui devient Héros ne tire aucun bénéfice supplémentaire à prendre la compétence Chasseur en plus de celle-ci.</w:t>
      </w:r>
    </w:p>
    <w:p>
      <w:pPr>
        <w:spacing w:after="40" w:before="140"/>
      </w:pPr>
      <w:r>
        <w:rPr>
          <w:b/>
          <w:bCs/>
          <w:color w:val="241D15"/>
        </w:rPr>
        <w:t xml:space="preserve">Saut de Côté</w:t>
      </w:r>
    </w:p>
    <w:p>
      <w:pPr>
        <w:spacing w:after="60"/>
      </w:pPr>
      <w:r>
        <w:t xml:space="preserve">Le guerrier sait éviter les coups au combat. À chaque fois qu’il subit une blessure, il peut tenter une sauvegarde supplémentaire de 5+. Cette sauvegarde n’est jamais modifiée et s’effectue après toutes les autres sauvegardes d’armure.</w:t>
      </w:r>
    </w:p>
    <w:p>
      <w:pPr>
        <w:spacing w:after="40" w:before="140"/>
      </w:pPr>
      <w:r>
        <w:rPr>
          <w:b/>
          <w:bCs/>
          <w:color w:val="241D15"/>
        </w:rPr>
        <w:t xml:space="preserve">Tireur d’Élite</w:t>
      </w:r>
    </w:p>
    <w:p>
      <w:pPr>
        <w:spacing w:after="60"/>
      </w:pPr>
      <w:r>
        <w:t xml:space="preserve">Le guerrier ignore tous les malus de couvert lorsqu’il utilise une arme de tir.</w:t>
      </w:r>
    </w:p>
    <w:p>
      <w:pPr>
        <w:spacing w:after="40" w:before="140"/>
      </w:pPr>
      <w:r>
        <w:rPr>
          <w:b/>
          <w:bCs/>
          <w:color w:val="241D15"/>
        </w:rPr>
        <w:t xml:space="preserve">Tireur Hors Pair</w:t>
      </w:r>
    </w:p>
    <w:p>
      <w:pPr>
        <w:spacing w:after="60"/>
      </w:pPr>
      <w:r>
        <w:t xml:space="preserve">Experts du pistolet au corps à corps, ils ont un don étrange pour transformer un tir manqué en réussite. Lorsqu'ils utilisent des pistolets en combat rapproché, ils peuvent relancer tout jet pour toucher raté avec le pistolet lors du premier round de combat.</w:t>
      </w:r>
    </w:p>
    <w:p>
      <w:r>
        <w:br w:type="page"/>
      </w:r>
    </w:p>
    <w:p>
      <w:pPr>
        <w:pStyle w:val="Heading2"/>
        <w:spacing w:after="120" w:before="200"/>
      </w:pPr>
      <w:r>
        <w:t xml:space="preserve">Règles d'Équipe</w:t>
      </w:r>
    </w:p>
    <w:p>
      <w:pPr>
        <w:spacing w:after="40" w:before="140"/>
      </w:pPr>
      <w:r>
        <w:rPr>
          <w:b/>
          <w:bCs/>
          <w:color w:val="241D15"/>
        </w:rPr>
        <w:t xml:space="preserve">1a</w:t>
      </w:r>
    </w:p>
    <w:p>
      <w:pPr>
        <w:spacing w:after="60"/>
      </w:pPr>
      <w:r>
        <w:t xml:space="preserve">Règles GW/Fanatic jugées « officielles » lors de la révision des règles de 2005.</w:t>
      </w:r>
    </w:p>
    <w:p>
      <w:pPr>
        <w:spacing w:after="40" w:before="140"/>
      </w:pPr>
      <w:r>
        <w:rPr>
          <w:b/>
          <w:bCs/>
          <w:color w:val="241D15"/>
        </w:rPr>
        <w:t xml:space="preserve">Bon Usage</w:t>
      </w:r>
    </w:p>
    <w:p>
      <w:pPr>
        <w:spacing w:after="60"/>
      </w:pPr>
      <w:r>
        <w:t xml:space="preserve">Les élèves savent utiliser correctement leurs armes, ayant passé de nombreuses heures sur le stand de tir de l'école. C'est considéré comme une bonne occupation du temps entre les cours et c'est recommandé par tous les instructeurs de l'école — après tout, si les élèves se faisaient sans cesse exploser avec leurs propres armes, il y aurait bien peu de diplômés. Lorsque l'on utilise les règles optionnelles d'enrayage, si un 1 est obtenu, relancez un second dé. Sur un résultat de 3+, l'enrayage est ignoré (le tir rate quand même, mais l'arme n'explose PAS).</w:t>
      </w:r>
    </w:p>
    <w:p>
      <w:pPr>
        <w:spacing w:after="40" w:before="140"/>
      </w:pPr>
      <w:r>
        <w:rPr>
          <w:b/>
          <w:bCs/>
          <w:color w:val="241D15"/>
        </w:rPr>
        <w:t xml:space="preserve">Fierté Mal Placée !</w:t>
      </w:r>
    </w:p>
    <w:p>
      <w:pPr>
        <w:spacing w:after="60"/>
      </w:pPr>
      <w:r>
        <w:t xml:space="preserve">Quiconque étudie à l'École d'Artillerie en est extrêmement fier, tant il est un grand honneur d'y être accepté. Après avoir commencé à utiliser des armes à poudre noire, les élèves reconnaissent la supériorité de ces armes et refusent de s'abaisser à utiliser des armes de tir « inférieures ». Les membres de cette bande n'utilisent JAMAIS d'armes à distance qui ne soient pas des armes à poudre noire (cette interdiction ne s'applique PAS aux Épées Louées ni aux Personae Dramatis, qui sont des auxiliaires n'ayant pas reçu la formation propre à Nuln).</w:t>
      </w:r>
    </w:p>
    <w:p>
      <w:pPr>
        <w:spacing w:after="40" w:before="140"/>
      </w:pPr>
      <w:r>
        <w:rPr>
          <w:b/>
          <w:bCs/>
          <w:color w:val="241D15"/>
        </w:rPr>
        <w:t xml:space="preserve">Officielle</w:t>
      </w:r>
    </w:p>
    <w:p>
      <w:pPr>
        <w:spacing w:after="60"/>
      </w:pPr>
      <w:r>
        <w:t xml:space="preserve">Publiée dans le livre de règles original de Mordheim.</w:t>
      </w:r>
    </w:p>
    <w:p>
      <w:pPr>
        <w:spacing w:after="40" w:before="140"/>
      </w:pPr>
      <w:r>
        <w:rPr>
          <w:b/>
          <w:bCs/>
          <w:color w:val="241D15"/>
        </w:rPr>
        <w:t xml:space="preserve">Progressions</w:t>
      </w:r>
    </w:p>
    <w:p>
      <w:pPr>
        <w:spacing w:after="60"/>
      </w:pPr>
      <w:r>
        <w:t xml:space="preserve">Les héros gagnent de nouvelles progressions à 2, 4, 6, 8, 11, 14, 17, 20, 24, 28, 32, 36, 41, 46, 51, 57, 63, 69, 76, 83 et 90 points d’expérience. Les hommes de main et les francs-tireurs gagnent de nouvelles progressions à 2, 5, 9 et 14 points d’expérience.</w:t>
      </w:r>
    </w:p>
    <w:p>
      <w:pPr>
        <w:spacing w:after="40" w:before="140"/>
      </w:pPr>
      <w:r>
        <w:rPr>
          <w:b/>
          <w:bCs/>
          <w:color w:val="241D15"/>
        </w:rPr>
        <w:t xml:space="preserve">Soin Impeccable</w:t>
      </w:r>
    </w:p>
    <w:p>
      <w:pPr>
        <w:spacing w:after="60"/>
      </w:pPr>
      <w:r>
        <w:t xml:space="preserve">Une des premières choses que l'on enseigne aux élèves est de prendre soin de leur équipement et la bonne manière d'en assurer l'entretien. Une fois cette compétence maîtrisée, ils apprennent à réparer eux-mêmes leurs armes lorsqu'elles sont endommagées ; grâce à cela, ils peuvent acheter ces armes à poudre noire à bas prix et les remettre rapidement en état de marche. Ils peuvent donc se procurer ces armes à un tarif nettement réduit ! Ils peuvent TOUJOURS utiliser le coût réduit des armes à poudre noire indiqué dans leur liste d'équipement de départ, et bénéficient d'un bonus supplémentaire de +2 sur les jets de rareté pour trouver ce type d'armes, car personne ne rechigne à vendre une arme cassée !</w:t>
      </w:r>
    </w:p>
    <w:sectPr>
      <w:pgSz w:w="21cm" w:h="29.7cm" w:orient="portrait"/>
      <w:pgMar w:top="1.6cm" w:right="1.8cm" w:bottom="1.6cm" w:left="1.8cm"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41D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11d22bfffad7eba1d109f8f13966900ea63fdc.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section 625 de Powdergwarts</dc:title>
  <dc:creator>Générateur de fiches Mordheim</dc:creator>
  <cp:lastModifiedBy>Un-named</cp:lastModifiedBy>
  <cp:revision>1</cp:revision>
  <dcterms:created xsi:type="dcterms:W3CDTF">2026-10-14T15:01:45.855Z</dcterms:created>
  <dcterms:modified xsi:type="dcterms:W3CDTF">2026-10-14T15:01:45.855Z</dcterms:modified>
</cp:coreProperties>
</file>

<file path=docProps/custom.xml><?xml version="1.0" encoding="utf-8"?>
<Properties xmlns="http://schemas.openxmlformats.org/officeDocument/2006/custom-properties" xmlns:vt="http://schemas.openxmlformats.org/officeDocument/2006/docPropsVTypes"/>
</file>