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theme/theme1.xml" ContentType="application/vnd.openxmlformats-officedocument.theme+xml"/>
</Types>
</file>

<file path=_rels/.rels><?xml version="1.0" encoding="UTF-8" standalone="yes"?><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Title"/>
        <w:spacing w:after="80" w:line="240" w:lineRule="atLeast"/>
      </w:pPr>
      <w:r>
        <w:rPr>
          <w:rtl w:val="0"/>
          <w:lang w:val="en-US"/>
        </w:rPr>
        <w:t>Pregeometric Relational Dynamics and Universal Causal Structure</w:t>
      </w:r>
    </w:p>
    <w:p>
      <w:pPr>
        <w:pStyle w:val="Subtitle"/>
        <w:spacing w:after="80" w:line="240" w:lineRule="atLeast"/>
      </w:pPr>
      <w:r>
        <w:rPr>
          <w:rtl w:val="0"/>
          <w:lang w:val="en-US"/>
        </w:rPr>
        <w:t>Spectral Constraints, Response Limits, Universal Null Calibration, Functional Consistency of Light, and a Quantitative Reconstruction</w:t>
      </w:r>
      <w:r>
        <w:rPr>
          <w:rtl w:val="0"/>
          <w:lang w:val="en-US"/>
        </w:rPr>
        <w:t>–</w:t>
      </w:r>
      <w:r>
        <w:rPr>
          <w:rtl w:val="0"/>
          <w:lang w:val="en-US"/>
        </w:rPr>
        <w:t>Locality Interface</w:t>
      </w:r>
    </w:p>
    <w:p>
      <w:pPr>
        <w:pStyle w:val="Normal.0"/>
        <w:spacing w:after="80" w:line="240" w:lineRule="atLeast"/>
        <w:jc w:val="center"/>
      </w:pPr>
    </w:p>
    <w:p>
      <w:pPr>
        <w:pStyle w:val="Normal.0"/>
        <w:spacing w:after="80" w:line="240" w:lineRule="atLeast"/>
        <w:jc w:val="center"/>
      </w:pPr>
      <w:r>
        <w:rPr>
          <w:b w:val="1"/>
          <w:bCs w:val="1"/>
          <w:sz w:val="22"/>
          <w:szCs w:val="22"/>
          <w:rtl w:val="0"/>
          <w:lang w:val="en-US"/>
        </w:rPr>
        <w:t>Andrei Preece and Boris Batenin</w:t>
      </w:r>
    </w:p>
    <w:p>
      <w:pPr>
        <w:pStyle w:val="Normal.0"/>
        <w:spacing w:after="80" w:line="240" w:lineRule="atLeast"/>
        <w:jc w:val="center"/>
        <w:rPr>
          <w:sz w:val="22"/>
          <w:szCs w:val="22"/>
        </w:rPr>
      </w:pPr>
      <w:r>
        <w:rPr>
          <w:sz w:val="22"/>
          <w:szCs w:val="22"/>
          <w:rtl w:val="0"/>
          <w:lang w:val="en-US"/>
        </w:rPr>
        <w:t xml:space="preserve">Independent Researchers </w:t>
      </w:r>
      <w:r>
        <w:rPr>
          <w:sz w:val="22"/>
          <w:szCs w:val="22"/>
          <w:rtl w:val="0"/>
          <w:lang w:val="en-US"/>
        </w:rPr>
        <w:t xml:space="preserve">· </w:t>
      </w:r>
    </w:p>
    <w:p>
      <w:pPr>
        <w:pStyle w:val="Normal.0"/>
        <w:spacing w:after="80" w:line="240" w:lineRule="atLeast"/>
        <w:jc w:val="center"/>
        <w:rPr>
          <w:sz w:val="22"/>
          <w:szCs w:val="22"/>
        </w:rPr>
      </w:pPr>
      <w:r>
        <w:rPr>
          <w:sz w:val="22"/>
          <w:szCs w:val="22"/>
          <w:rtl w:val="0"/>
          <w:lang w:val="en-US"/>
        </w:rPr>
        <w:t>Berlin, Germany</w:t>
      </w:r>
    </w:p>
    <w:p>
      <w:pPr>
        <w:pStyle w:val="Normal.0"/>
        <w:spacing w:after="80" w:line="240" w:lineRule="atLeast"/>
        <w:jc w:val="center"/>
      </w:pPr>
      <w:r>
        <w:rPr>
          <w:rtl w:val="0"/>
          <w:lang w:val="en-US"/>
        </w:rPr>
        <w:t>2026</w:t>
      </w:r>
    </w:p>
    <w:p>
      <w:pPr>
        <w:pStyle w:val="Заголовок 2"/>
        <w:spacing w:line="240" w:lineRule="atLeast"/>
      </w:pPr>
      <w:r>
        <w:rPr>
          <w:rtl w:val="0"/>
          <w:lang w:val="de-DE"/>
        </w:rPr>
        <w:t>Abstract</w:t>
      </w:r>
    </w:p>
    <w:p>
      <w:pPr>
        <w:pStyle w:val="Normal.0"/>
        <w:spacing w:after="80" w:line="240" w:lineRule="atLeast"/>
      </w:pPr>
      <w:r>
        <w:rPr>
          <w:sz w:val="22"/>
          <w:szCs w:val="22"/>
          <w:rtl w:val="0"/>
          <w:lang w:val="en-US"/>
        </w:rPr>
        <w:t>We investigate a programme in which quasilocality, spatial geometry and causal structure are treated as effective properties of a closed relational system. The unified manuscript collects four technical layers. First, finite weighted networks and multicomponent quadratic dynamics are analysed to identify spectral conditions for a common low-energy characteristic cone. Second, controlled response limits on prescribed chains show how properly normalised microscopic tails disappear outside enlarged continuum cones, while coarse-graining, locality and stability of cone universality remain separate requirements. Third, universal null calibration is formulated as a physical common-cone condition rather than a numerical convention for c; reconstruction invariance, spectral length-time correspondence and a quantum continuum limit are treated with explicit hypotheses. Fourth, a Maxwell control sector is used to test which optical observables are linked by one functional structure, including stress-energy, radiation pressure, gauge reduction, commutator support and Hadamard-type state control. The conclusions are conditional: neither a manifold, a time orientation, a global causal order, nor a stable electromagnetic sector is derived from arbitrary neutral relational data.</w:t>
      </w:r>
    </w:p>
    <w:p>
      <w:pPr>
        <w:pStyle w:val="Normal.0"/>
        <w:spacing w:line="240" w:lineRule="atLeast"/>
      </w:pPr>
      <w:r>
        <w:rPr>
          <w:rtl w:val="0"/>
          <w:lang w:val="en-US"/>
        </w:rPr>
        <w:t>Version 3.0 addition. Part V supplies four elementary but explicit compatibility and obstruction results: a buffered-locality inheritance lemma for admissible coarse-grainings; a no-go theorem for uniform bounded-degree expansion coexisting with uniform polynomial volume growth; a stability bound for a compressed common-cone defect under variation of both the stiffness matrix and the massless projector; and a stationary time-reversal symmetry obstruction to a nonzero mean orientation. A reproducible finite-size chain experiment and a literature-to-observable transfer audit are included. These results do not establish self-generated locality, a preferred future, or the emergence of Maxwell theory from a neutral graph.</w:t>
      </w:r>
    </w:p>
    <w:p>
      <w:pPr>
        <w:pStyle w:val="Normal.0"/>
        <w:spacing w:after="80" w:line="240" w:lineRule="atLeast"/>
      </w:pPr>
      <w:r>
        <w:rPr>
          <w:b w:val="1"/>
          <w:bCs w:val="1"/>
          <w:sz w:val="22"/>
          <w:szCs w:val="22"/>
          <w:rtl w:val="0"/>
          <w:lang w:val="en-US"/>
        </w:rPr>
        <w:t xml:space="preserve">Keywords: </w:t>
      </w:r>
      <w:r>
        <w:rPr>
          <w:sz w:val="22"/>
          <w:szCs w:val="22"/>
          <w:rtl w:val="0"/>
          <w:lang w:val="en-US"/>
        </w:rPr>
        <w:t>pregeometry; relational dynamics; quasilocality; common cone; response convergence; universal null calibration; Weyl algebra; Maxwell theory; stress-energy; radiation pressure; reconstruction.</w:t>
      </w:r>
    </w:p>
    <w:p>
      <w:pPr>
        <w:pStyle w:val="Заголовок 2"/>
        <w:spacing w:after="100" w:line="240" w:lineRule="atLeast"/>
      </w:pPr>
      <w:r>
        <w:rPr>
          <w:rtl w:val="0"/>
          <w:lang w:val="de-DE"/>
        </w:rPr>
        <w:t>Version 3.0 integration note</w:t>
      </w:r>
    </w:p>
    <w:p>
      <w:pPr>
        <w:pStyle w:val="Normal.0"/>
        <w:spacing w:after="100" w:line="240" w:lineRule="atLeast"/>
      </w:pPr>
      <w:r>
        <w:rPr>
          <w:rtl w:val="0"/>
          <w:lang w:val="en-US"/>
        </w:rPr>
        <w:t>The September 2026 manuscript is retained in full as Parts I</w:t>
      </w:r>
      <w:r>
        <w:rPr>
          <w:rtl w:val="0"/>
          <w:lang w:val="en-US"/>
        </w:rPr>
        <w:t>–</w:t>
      </w:r>
      <w:r>
        <w:rPr>
          <w:rtl w:val="0"/>
          <w:lang w:val="en-US"/>
        </w:rPr>
        <w:t>IV. The new Part V does not relabel their established chain convergence, common-cone criterion, or Maxwell control identities as newly discovered. It closes selected methodological gaps by proving additional interface lemmas and sharpening the separation between emergence, preservation, and falsification. Parts I</w:t>
      </w:r>
      <w:r>
        <w:rPr>
          <w:rtl w:val="0"/>
          <w:lang w:val="en-US"/>
        </w:rPr>
        <w:t>–</w:t>
      </w:r>
      <w:r>
        <w:rPr>
          <w:rtl w:val="0"/>
          <w:lang w:val="en-US"/>
        </w:rPr>
        <w:t>IV retain their original internal section and equation numbers; Part V uses the prefix V.</w:t>
      </w:r>
    </w:p>
    <w:p>
      <w:pPr>
        <w:pStyle w:val="Normal.0"/>
        <w:spacing w:after="100" w:line="240" w:lineRule="atLeast"/>
      </w:pPr>
      <w:r>
        <w:rPr>
          <w:rtl w:val="0"/>
          <w:lang w:val="en-US"/>
        </w:rPr>
        <w:t>Claim types used below: (E) established in the original stated mathematical model; (V) proved in this Version 3 extension; (C) conditional transfer only; (N) negative/insufficient mechanism; (O) open. External OpenAI Math papers are assessed for transferable proof infrastructure, not cited as if they had derived pregeometry, Lorentzian signatures, or fundamental photons.</w:t>
      </w:r>
    </w:p>
    <w:p>
      <w:pPr>
        <w:pStyle w:val="Заголовок"/>
        <w:rPr>
          <w:color w:val="4f81bd"/>
        </w:rPr>
      </w:pPr>
      <w:r>
        <w:rPr>
          <w:color w:val="4f81bd"/>
          <w:rtl w:val="0"/>
          <w:lang w:val="en-US"/>
        </w:rPr>
        <w:t>Part I. Relational and spectral foundation</w:t>
      </w:r>
    </w:p>
    <w:p>
      <w:pPr>
        <w:pStyle w:val="Заголовок"/>
        <w:rPr>
          <w:color w:val="4f81bd"/>
          <w:sz w:val="25"/>
          <w:szCs w:val="25"/>
        </w:rPr>
      </w:pPr>
      <w:r>
        <w:rPr>
          <w:color w:val="4f81bd"/>
          <w:sz w:val="25"/>
          <w:szCs w:val="25"/>
          <w:rtl w:val="0"/>
          <w:lang w:val="de-DE"/>
        </w:rPr>
        <w:t>1.</w:t>
      </w:r>
      <w:r>
        <w:rPr>
          <w:color w:val="4f81bd"/>
          <w:sz w:val="25"/>
          <w:szCs w:val="25"/>
          <w:rtl w:val="0"/>
          <w:lang w:val="en-US"/>
        </w:rPr>
        <w:t>Problem Statement and Main Results</w:t>
      </w:r>
    </w:p>
    <w:p>
      <w:pPr>
        <w:pStyle w:val="Normal.0"/>
        <w:spacing w:after="80" w:line="240" w:lineRule="atLeast"/>
        <w:ind w:firstLine="0"/>
      </w:pPr>
      <w:r>
        <w:rPr>
          <w:sz w:val="22"/>
          <w:szCs w:val="22"/>
          <w:rtl w:val="0"/>
          <w:lang w:val="en-US"/>
        </w:rPr>
        <w:t>The starting physical idea is that an object may be a stable mode of organization of an entire system, while geometrical separation may be an effective relation among such modes. The reality of an observed phenomenon does not require its independence from all other degrees of freedom. This process-oriented viewpoint is used here as a guide for choosing variables and questions. Its physical validity must be established by explicit dynamics and observable consequences.</w:t>
      </w:r>
    </w:p>
    <w:p>
      <w:pPr>
        <w:pStyle w:val="Normal.0"/>
        <w:spacing w:after="80" w:line="240" w:lineRule="atLeast"/>
      </w:pPr>
      <w:r>
        <w:rPr>
          <w:sz w:val="22"/>
          <w:szCs w:val="22"/>
          <w:rtl w:val="0"/>
          <w:lang w:val="en-US"/>
        </w:rPr>
        <w:t>The central question is formulated in terms of causal structure: under what conditions do different physical excitations reproduce one and the same local characteristic cone? The dimensional number c is secondary here. In local coordinates it specifies the relative calibration of spatial and temporal units for a common cone, and its numerical value depends on the chosen units. The substantive problem is to explain the universality of the propagation structure and its stability under changes in the state of the system.</w:t>
      </w:r>
    </w:p>
    <w:p>
      <w:pPr>
        <w:pStyle w:val="Normal.0"/>
        <w:spacing w:after="80" w:line="240" w:lineRule="atLeast"/>
      </w:pPr>
      <w:r>
        <w:rPr>
          <w:sz w:val="22"/>
          <w:szCs w:val="22"/>
          <w:rtl w:val="0"/>
          <w:lang w:val="en-US"/>
        </w:rPr>
        <w:t xml:space="preserve">Let R denote a neutral relation of interdependence. It is not assumed in advance to be a causal order. The program seeks to connect R first to stable quasilocal sectors, then to oriented propagation, and, in a suitable limit, to a Lorentzian conformal class [g]. None of these mappings follows from the word </w:t>
      </w:r>
      <w:r>
        <w:rPr>
          <w:sz w:val="22"/>
          <w:szCs w:val="22"/>
          <w:rtl w:val="0"/>
          <w:lang w:val="en-US"/>
        </w:rPr>
        <w:t>“</w:t>
      </w:r>
      <w:r>
        <w:rPr>
          <w:sz w:val="22"/>
          <w:szCs w:val="22"/>
          <w:rtl w:val="0"/>
          <w:lang w:val="en-US"/>
        </w:rPr>
        <w:t>relational</w:t>
      </w:r>
      <w:r>
        <w:rPr>
          <w:sz w:val="22"/>
          <w:szCs w:val="22"/>
          <w:rtl w:val="0"/>
          <w:lang w:val="en-US"/>
        </w:rPr>
        <w:t xml:space="preserve">” </w:t>
      </w:r>
      <w:r>
        <w:rPr>
          <w:sz w:val="22"/>
          <w:szCs w:val="22"/>
          <w:rtl w:val="0"/>
          <w:lang w:val="en-US"/>
        </w:rPr>
        <w:t>itself. In particular, a finite graph without an embedding does not define physical distance, although it already contains combinatorial adjacency and a chosen set of degrees of freedom. The class studied below is therefore a nonmetric model with explicit structural assumptions.</w:t>
      </w:r>
    </w:p>
    <w:p>
      <w:pPr>
        <w:pStyle w:val="Normal.0"/>
        <w:spacing w:after="80" w:line="240" w:lineRule="atLeast"/>
      </w:pPr>
      <w:r>
        <w:rPr>
          <w:sz w:val="22"/>
          <w:szCs w:val="22"/>
          <w:rtl w:val="0"/>
          <w:lang w:val="en-US"/>
        </w:rPr>
        <w:t>This work implements a first technical stage of that program. Its core is a spectral analysis of multicomponent dynamics and a test of which mechanisms actually yield a common low-energy cone. We obtain a no-go result for speed equalization by a common network operator alone, a criterion for spectral quasilocality, a universality condition on the massless subspace, an exact two-component dispersion relation, and a closed balance law coupling fields to dynamical relations. All statements are proved within an explicitly specified class of finite models; numerical examples check the formulas and illustrate the size of the corrections.</w:t>
      </w:r>
    </w:p>
    <w:p>
      <w:pPr>
        <w:pStyle w:val="Normal.0"/>
        <w:spacing w:after="80" w:line="240" w:lineRule="atLeast"/>
      </w:pPr>
      <w:r>
        <w:rPr>
          <w:sz w:val="22"/>
          <w:szCs w:val="22"/>
          <w:rtl w:val="0"/>
          <w:lang w:val="en-US"/>
        </w:rPr>
        <w:t>We do not claim to derive all observed physics from R. A positive kinetic form, Hamiltonian structure, and the existence of a suitable spatial continuum limit remain assumptions behind the corresponding results. The contribution of this paper is to make the original program more precise and more restrictive: conditions for success become testable matrix and spectral conditions, while several natural but insufficient mechanisms are excluded by exact arguments. Standard methods of perturbation theory, elimination of gapped modes, and internal symmetries are used with their roles stated explicitly; no claim of priority for those methods is intended.</w:t>
      </w:r>
    </w:p>
    <w:p>
      <w:pPr>
        <w:pStyle w:val="Normal.0"/>
        <w:spacing w:after="80" w:line="240" w:lineRule="atLeast"/>
      </w:pPr>
      <w:r>
        <w:rPr>
          <w:sz w:val="22"/>
          <w:szCs w:val="22"/>
          <w:rtl w:val="0"/>
          <w:lang w:val="en-US"/>
        </w:rPr>
        <w:t>Epistemic caution is also appropriate in cosmology. A reconstructed history depends on both the data and the theory used to interpret them; a singular limit of a classical description does not by itself establish the ontology of an initial state. This is not an objection to the well-supported hot cosmological history. No alternative early-Universe history is used here as evidence for the model.</w:t>
      </w:r>
    </w:p>
    <w:p>
      <w:pPr>
        <w:pStyle w:val="Заголовок 2"/>
        <w:spacing w:line="240" w:lineRule="atLeast"/>
      </w:pPr>
      <w:r>
        <w:rPr>
          <w:rtl w:val="0"/>
          <w:lang w:val="en-US"/>
        </w:rPr>
        <w:t>2. Relation to Existing Work</w:t>
      </w:r>
    </w:p>
    <w:p>
      <w:pPr>
        <w:pStyle w:val="Normal.0"/>
        <w:spacing w:after="80" w:line="240" w:lineRule="atLeast"/>
        <w:ind w:firstLine="0"/>
      </w:pPr>
      <w:r>
        <w:rPr>
          <w:sz w:val="22"/>
          <w:szCs w:val="22"/>
          <w:rtl w:val="0"/>
          <w:lang w:val="en-US"/>
        </w:rPr>
        <w:t>Causal reconstruction theorems concern Lorentzian spacetimes subject to appropriate causal distinguishability and regularity conditions. Malament</w:t>
      </w:r>
      <w:r>
        <w:rPr>
          <w:sz w:val="22"/>
          <w:szCs w:val="22"/>
          <w:rtl w:val="0"/>
          <w:lang w:val="en-US"/>
        </w:rPr>
        <w:t>’</w:t>
      </w:r>
      <w:r>
        <w:rPr>
          <w:sz w:val="22"/>
          <w:szCs w:val="22"/>
          <w:rtl w:val="0"/>
          <w:lang w:val="en-US"/>
        </w:rPr>
        <w:t>s result [1] demonstrates the deep relation between causal and topological structures. In causal set theory, order and counting information are taken as primitive data, and their connection to conformal geometry and volume has been developed in detail [2]. An arbitrary partial order, however, need not possess a manifoldlike limit. For the present program there is an additional question: how can an oriented order itself arise from an initially neutral relational structure?</w:t>
      </w:r>
    </w:p>
    <w:p>
      <w:pPr>
        <w:pStyle w:val="Normal.0"/>
        <w:spacing w:after="80" w:line="240" w:lineRule="atLeast"/>
      </w:pPr>
      <w:r>
        <w:rPr>
          <w:sz w:val="22"/>
          <w:szCs w:val="22"/>
          <w:rtl w:val="0"/>
          <w:lang w:val="en-US"/>
        </w:rPr>
        <w:t>Quantum graphity [3] provides a concrete framework for studying a transition from highly connected graph configurations to states exhibiting locality and low-dimensional behavior. It is therefore an important reference point for network dynamics. It does not replace a proof that an arbitrarily chosen evolution law for the weights generates an appropriate geometric phase, nor does it by itself establish coincidence of the characteristics of arbitrary field sectors.</w:t>
      </w:r>
    </w:p>
    <w:p>
      <w:pPr>
        <w:pStyle w:val="Normal.0"/>
        <w:spacing w:after="80" w:line="240" w:lineRule="atLeast"/>
      </w:pPr>
      <w:r>
        <w:rPr>
          <w:sz w:val="22"/>
          <w:szCs w:val="22"/>
          <w:rtl w:val="0"/>
          <w:lang w:val="en-US"/>
        </w:rPr>
        <w:t>Interactions are especially important for the universality of limiting speeds. In the models of Anber and Donoghue [4], distinct limiting speeds approach one another under renormalization-group flow. A generic logarithmic approach may be too slow, and faster power-law behavior has also been considered. In strongly coupled holographic models [5], deviations from Lorentzian form may be suppressed by a power of the ratio between infrared and ultraviolet scales. These results demonstrate the feasibility of such mechanisms in specific theories, but the spacetime and field structures of those theories are already given.</w:t>
      </w:r>
    </w:p>
    <w:p>
      <w:pPr>
        <w:pStyle w:val="Normal.0"/>
        <w:spacing w:after="80" w:line="240" w:lineRule="atLeast"/>
      </w:pPr>
      <w:r>
        <w:rPr>
          <w:sz w:val="22"/>
          <w:szCs w:val="22"/>
          <w:rtl w:val="0"/>
          <w:lang w:val="en-US"/>
        </w:rPr>
        <w:t>Analogue gravity provides another useful control case. A two-component Bose</w:t>
      </w:r>
      <w:r>
        <w:rPr>
          <w:sz w:val="22"/>
          <w:szCs w:val="22"/>
          <w:rtl w:val="0"/>
          <w:lang w:val="en-US"/>
        </w:rPr>
        <w:t>–</w:t>
      </w:r>
      <w:r>
        <w:rPr>
          <w:sz w:val="22"/>
          <w:szCs w:val="22"/>
          <w:rtl w:val="0"/>
          <w:lang w:val="en-US"/>
        </w:rPr>
        <w:t>Einstein condensate [6] can support massless and massive modes with matched effective kinematics under special conditions. Thus the number of microscopic components, the number of massless modes, and the number of characteristic cones must be counted separately. This distinction is central to Section 6.</w:t>
      </w:r>
    </w:p>
    <w:p>
      <w:pPr>
        <w:pStyle w:val="Normal.0"/>
        <w:spacing w:after="80" w:line="240" w:lineRule="atLeast"/>
      </w:pPr>
      <w:r>
        <w:rPr>
          <w:sz w:val="22"/>
          <w:szCs w:val="22"/>
          <w:rtl w:val="0"/>
          <w:lang w:val="en-US"/>
        </w:rPr>
        <w:t>The relation between entanglement and geometric connectivity in Ref. [7] was obtained in a specific quantum-gravitational and holographic setting. It does not imply that mutual information between an arbitrary pair of subsystems is already a distance. Likewise, Lieb</w:t>
      </w:r>
      <w:r>
        <w:rPr>
          <w:sz w:val="22"/>
          <w:szCs w:val="22"/>
          <w:rtl w:val="0"/>
          <w:lang w:val="en-US"/>
        </w:rPr>
        <w:t>–</w:t>
      </w:r>
      <w:r>
        <w:rPr>
          <w:sz w:val="22"/>
          <w:szCs w:val="22"/>
          <w:rtl w:val="0"/>
          <w:lang w:val="en-US"/>
        </w:rPr>
        <w:t>Robinson-type bounds for harmonic and anharmonic lattices [8] constrain the propagation of disturbances but do not turn an exponentially small response into an exactly vanishing one. For unbounded harmonic variables, the chosen class of observables, for example Weyl operators, is essential.</w:t>
      </w:r>
    </w:p>
    <w:p>
      <w:pPr>
        <w:pStyle w:val="Normal.0"/>
        <w:spacing w:after="80" w:line="240" w:lineRule="atLeast"/>
      </w:pPr>
      <w:r>
        <w:rPr>
          <w:sz w:val="22"/>
          <w:szCs w:val="22"/>
          <w:rtl w:val="0"/>
          <w:lang w:val="en-US"/>
        </w:rPr>
        <w:t>In a 2026 study [9], spatially inhomogeneous couplings of an XXZ chain are programmed on a quantum processor, producing dynamics consistent with an effective curved metric. This recent example is useful for operational tests of propagation, but the geometric inhomogeneity is engineered through the couplings of the chain. It is not a demonstration that space emerges without prior structure.</w:t>
      </w:r>
    </w:p>
    <w:p>
      <w:pPr>
        <w:pStyle w:val="caption"/>
        <w:keepNext w:val="1"/>
        <w:spacing w:before="60" w:after="120" w:line="240" w:lineRule="atLeast"/>
      </w:pPr>
      <w:r>
        <w:rPr>
          <w:b w:val="1"/>
          <w:bCs w:val="1"/>
          <w:rtl w:val="0"/>
          <w:lang w:val="en-US"/>
        </w:rPr>
        <w:t xml:space="preserve">Table 1. </w:t>
      </w:r>
      <w:r>
        <w:rPr>
          <w:rtl w:val="0"/>
          <w:lang w:val="en-US"/>
        </w:rPr>
        <w:t>Relation of the present program to selected existing approaches.</w:t>
      </w:r>
    </w:p>
    <w:tbl>
      <w:tblPr>
        <w:tblW w:w="9411"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882"/>
        <w:gridCol w:w="2259"/>
        <w:gridCol w:w="2540"/>
        <w:gridCol w:w="2730"/>
      </w:tblGrid>
      <w:tr>
        <w:tblPrEx>
          <w:shd w:val="clear" w:color="auto" w:fill="4f81bd"/>
        </w:tblPrEx>
        <w:trPr>
          <w:trHeight w:val="206" w:hRule="atLeast"/>
          <w:tblHeader/>
        </w:trPr>
        <w:tc>
          <w:tcPr>
            <w:tcW w:type="dxa" w:w="1882"/>
            <w:tcBorders>
              <w:top w:val="single" w:color="777777" w:sz="8" w:space="0" w:shadow="0" w:frame="0"/>
              <w:left w:val="nil"/>
              <w:bottom w:val="single" w:color="d0d0d0" w:sz="3" w:space="0" w:shadow="0" w:frame="0"/>
              <w:right w:val="nil"/>
            </w:tcBorders>
            <w:shd w:val="clear" w:color="auto" w:fill="f2f2f2"/>
            <w:tcMar>
              <w:top w:type="dxa" w:w="80"/>
              <w:left w:type="dxa" w:w="80"/>
              <w:bottom w:type="dxa" w:w="80"/>
              <w:right w:type="dxa" w:w="80"/>
            </w:tcMar>
            <w:vAlign w:val="top"/>
          </w:tcPr>
          <w:p>
            <w:pPr>
              <w:pStyle w:val="Normal.0"/>
              <w:spacing w:after="40" w:line="240" w:lineRule="auto"/>
              <w:ind w:firstLine="0"/>
              <w:jc w:val="left"/>
            </w:pPr>
            <w:r>
              <w:rPr>
                <w:b w:val="1"/>
                <w:bCs w:val="1"/>
                <w:sz w:val="18"/>
                <w:szCs w:val="18"/>
                <w:rtl w:val="0"/>
                <w:lang w:val="en-US"/>
              </w:rPr>
              <w:t>Approach</w:t>
            </w:r>
          </w:p>
        </w:tc>
        <w:tc>
          <w:tcPr>
            <w:tcW w:type="dxa" w:w="2259"/>
            <w:tcBorders>
              <w:top w:val="single" w:color="777777" w:sz="8" w:space="0" w:shadow="0" w:frame="0"/>
              <w:left w:val="nil"/>
              <w:bottom w:val="single" w:color="d0d0d0" w:sz="3" w:space="0" w:shadow="0" w:frame="0"/>
              <w:right w:val="nil"/>
            </w:tcBorders>
            <w:shd w:val="clear" w:color="auto" w:fill="f2f2f2"/>
            <w:tcMar>
              <w:top w:type="dxa" w:w="80"/>
              <w:left w:type="dxa" w:w="80"/>
              <w:bottom w:type="dxa" w:w="80"/>
              <w:right w:type="dxa" w:w="80"/>
            </w:tcMar>
            <w:vAlign w:val="top"/>
          </w:tcPr>
          <w:p>
            <w:pPr>
              <w:pStyle w:val="Normal.0"/>
              <w:spacing w:after="40" w:line="240" w:lineRule="auto"/>
              <w:ind w:firstLine="0"/>
              <w:jc w:val="left"/>
            </w:pPr>
            <w:r>
              <w:rPr>
                <w:b w:val="1"/>
                <w:bCs w:val="1"/>
                <w:sz w:val="18"/>
                <w:szCs w:val="18"/>
                <w:rtl w:val="0"/>
                <w:lang w:val="en-US"/>
              </w:rPr>
              <w:t>What is assumed</w:t>
            </w:r>
          </w:p>
        </w:tc>
        <w:tc>
          <w:tcPr>
            <w:tcW w:type="dxa" w:w="2540"/>
            <w:tcBorders>
              <w:top w:val="single" w:color="777777" w:sz="8" w:space="0" w:shadow="0" w:frame="0"/>
              <w:left w:val="nil"/>
              <w:bottom w:val="single" w:color="d0d0d0" w:sz="3" w:space="0" w:shadow="0" w:frame="0"/>
              <w:right w:val="nil"/>
            </w:tcBorders>
            <w:shd w:val="clear" w:color="auto" w:fill="f2f2f2"/>
            <w:tcMar>
              <w:top w:type="dxa" w:w="80"/>
              <w:left w:type="dxa" w:w="80"/>
              <w:bottom w:type="dxa" w:w="80"/>
              <w:right w:type="dxa" w:w="80"/>
            </w:tcMar>
            <w:vAlign w:val="top"/>
          </w:tcPr>
          <w:p>
            <w:pPr>
              <w:pStyle w:val="Normal.0"/>
              <w:spacing w:after="40" w:line="240" w:lineRule="auto"/>
              <w:ind w:firstLine="0"/>
              <w:jc w:val="left"/>
            </w:pPr>
            <w:r>
              <w:rPr>
                <w:b w:val="1"/>
                <w:bCs w:val="1"/>
                <w:sz w:val="18"/>
                <w:szCs w:val="18"/>
                <w:rtl w:val="0"/>
                <w:lang w:val="en-US"/>
              </w:rPr>
              <w:t>What is obtained</w:t>
            </w:r>
          </w:p>
        </w:tc>
        <w:tc>
          <w:tcPr>
            <w:tcW w:type="dxa" w:w="2729"/>
            <w:tcBorders>
              <w:top w:val="single" w:color="777777" w:sz="8" w:space="0" w:shadow="0" w:frame="0"/>
              <w:left w:val="nil"/>
              <w:bottom w:val="single" w:color="d0d0d0" w:sz="3" w:space="0" w:shadow="0" w:frame="0"/>
              <w:right w:val="nil"/>
            </w:tcBorders>
            <w:shd w:val="clear" w:color="auto" w:fill="f2f2f2"/>
            <w:tcMar>
              <w:top w:type="dxa" w:w="80"/>
              <w:left w:type="dxa" w:w="80"/>
              <w:bottom w:type="dxa" w:w="80"/>
              <w:right w:type="dxa" w:w="80"/>
            </w:tcMar>
            <w:vAlign w:val="top"/>
          </w:tcPr>
          <w:p>
            <w:pPr>
              <w:pStyle w:val="Normal.0"/>
              <w:spacing w:after="40" w:line="240" w:lineRule="auto"/>
              <w:ind w:firstLine="0"/>
              <w:jc w:val="left"/>
            </w:pPr>
            <w:r>
              <w:rPr>
                <w:b w:val="1"/>
                <w:bCs w:val="1"/>
                <w:sz w:val="18"/>
                <w:szCs w:val="18"/>
                <w:rtl w:val="0"/>
                <w:lang w:val="en-US"/>
              </w:rPr>
              <w:t>Unresolved step for this program</w:t>
            </w:r>
          </w:p>
        </w:tc>
      </w:tr>
      <w:tr>
        <w:tblPrEx>
          <w:shd w:val="clear" w:color="auto" w:fill="ced7e7"/>
        </w:tblPrEx>
        <w:trPr>
          <w:trHeight w:val="400" w:hRule="atLeast"/>
        </w:trPr>
        <w:tc>
          <w:tcPr>
            <w:tcW w:type="dxa" w:w="1882"/>
            <w:tcBorders>
              <w:top w:val="single" w:color="d0d0d0" w:sz="3" w:space="0" w:shadow="0" w:frame="0"/>
              <w:left w:val="nil"/>
              <w:bottom w:val="single" w:color="d0d0d0" w:sz="3" w:space="0" w:shadow="0" w:frame="0"/>
              <w:right w:val="nil"/>
            </w:tcBorders>
            <w:shd w:val="clear" w:color="auto" w:fill="auto"/>
            <w:tcMar>
              <w:top w:type="dxa" w:w="80"/>
              <w:left w:type="dxa" w:w="80"/>
              <w:bottom w:type="dxa" w:w="80"/>
              <w:right w:type="dxa" w:w="80"/>
            </w:tcMar>
            <w:vAlign w:val="top"/>
          </w:tcPr>
          <w:p>
            <w:pPr>
              <w:pStyle w:val="Normal.0"/>
              <w:spacing w:after="40" w:line="240" w:lineRule="auto"/>
              <w:ind w:firstLine="0"/>
              <w:jc w:val="left"/>
            </w:pPr>
            <w:r>
              <w:rPr>
                <w:sz w:val="18"/>
                <w:szCs w:val="18"/>
                <w:rtl w:val="0"/>
                <w:lang w:val="en-US"/>
              </w:rPr>
              <w:t>Causal reconstruction [1, 2]</w:t>
            </w:r>
          </w:p>
        </w:tc>
        <w:tc>
          <w:tcPr>
            <w:tcW w:type="dxa" w:w="2259"/>
            <w:tcBorders>
              <w:top w:val="single" w:color="d0d0d0" w:sz="3" w:space="0" w:shadow="0" w:frame="0"/>
              <w:left w:val="nil"/>
              <w:bottom w:val="single" w:color="d0d0d0" w:sz="3" w:space="0" w:shadow="0" w:frame="0"/>
              <w:right w:val="nil"/>
            </w:tcBorders>
            <w:shd w:val="clear" w:color="auto" w:fill="auto"/>
            <w:tcMar>
              <w:top w:type="dxa" w:w="80"/>
              <w:left w:type="dxa" w:w="80"/>
              <w:bottom w:type="dxa" w:w="80"/>
              <w:right w:type="dxa" w:w="80"/>
            </w:tcMar>
            <w:vAlign w:val="top"/>
          </w:tcPr>
          <w:p>
            <w:pPr>
              <w:pStyle w:val="Normal.0"/>
              <w:spacing w:after="40" w:line="240" w:lineRule="auto"/>
              <w:ind w:firstLine="0"/>
              <w:jc w:val="left"/>
            </w:pPr>
            <w:r>
              <w:rPr>
                <w:sz w:val="18"/>
                <w:szCs w:val="18"/>
                <w:rtl w:val="0"/>
                <w:lang w:val="en-US"/>
              </w:rPr>
              <w:t>Causal and regularity conditions</w:t>
            </w:r>
          </w:p>
        </w:tc>
        <w:tc>
          <w:tcPr>
            <w:tcW w:type="dxa" w:w="2540"/>
            <w:tcBorders>
              <w:top w:val="single" w:color="d0d0d0" w:sz="3" w:space="0" w:shadow="0" w:frame="0"/>
              <w:left w:val="nil"/>
              <w:bottom w:val="single" w:color="d0d0d0" w:sz="3" w:space="0" w:shadow="0" w:frame="0"/>
              <w:right w:val="nil"/>
            </w:tcBorders>
            <w:shd w:val="clear" w:color="auto" w:fill="auto"/>
            <w:tcMar>
              <w:top w:type="dxa" w:w="80"/>
              <w:left w:type="dxa" w:w="80"/>
              <w:bottom w:type="dxa" w:w="80"/>
              <w:right w:type="dxa" w:w="80"/>
            </w:tcMar>
            <w:vAlign w:val="top"/>
          </w:tcPr>
          <w:p>
            <w:pPr>
              <w:pStyle w:val="Normal.0"/>
              <w:spacing w:after="40" w:line="240" w:lineRule="auto"/>
              <w:ind w:firstLine="0"/>
              <w:jc w:val="left"/>
            </w:pPr>
            <w:r>
              <w:rPr>
                <w:sz w:val="18"/>
                <w:szCs w:val="18"/>
                <w:rtl w:val="0"/>
                <w:lang w:val="en-US"/>
              </w:rPr>
              <w:t>Topological and conformal information</w:t>
            </w:r>
          </w:p>
        </w:tc>
        <w:tc>
          <w:tcPr>
            <w:tcW w:type="dxa" w:w="2729"/>
            <w:tcBorders>
              <w:top w:val="single" w:color="d0d0d0" w:sz="3" w:space="0" w:shadow="0" w:frame="0"/>
              <w:left w:val="nil"/>
              <w:bottom w:val="single" w:color="d0d0d0" w:sz="3" w:space="0" w:shadow="0" w:frame="0"/>
              <w:right w:val="nil"/>
            </w:tcBorders>
            <w:shd w:val="clear" w:color="auto" w:fill="auto"/>
            <w:tcMar>
              <w:top w:type="dxa" w:w="80"/>
              <w:left w:type="dxa" w:w="80"/>
              <w:bottom w:type="dxa" w:w="80"/>
              <w:right w:type="dxa" w:w="80"/>
            </w:tcMar>
            <w:vAlign w:val="top"/>
          </w:tcPr>
          <w:p>
            <w:pPr>
              <w:pStyle w:val="Normal.0"/>
              <w:spacing w:after="40" w:line="240" w:lineRule="auto"/>
              <w:ind w:firstLine="0"/>
              <w:jc w:val="left"/>
            </w:pPr>
            <w:r>
              <w:rPr>
                <w:sz w:val="18"/>
                <w:szCs w:val="18"/>
                <w:rtl w:val="0"/>
                <w:lang w:val="en-US"/>
              </w:rPr>
              <w:t>Origin of order from R</w:t>
            </w:r>
          </w:p>
        </w:tc>
      </w:tr>
      <w:tr>
        <w:tblPrEx>
          <w:shd w:val="clear" w:color="auto" w:fill="ced7e7"/>
        </w:tblPrEx>
        <w:trPr>
          <w:trHeight w:val="400" w:hRule="atLeast"/>
        </w:trPr>
        <w:tc>
          <w:tcPr>
            <w:tcW w:type="dxa" w:w="1882"/>
            <w:tcBorders>
              <w:top w:val="single" w:color="d0d0d0" w:sz="3" w:space="0" w:shadow="0" w:frame="0"/>
              <w:left w:val="nil"/>
              <w:bottom w:val="single" w:color="d0d0d0" w:sz="3" w:space="0" w:shadow="0" w:frame="0"/>
              <w:right w:val="nil"/>
            </w:tcBorders>
            <w:shd w:val="clear" w:color="auto" w:fill="auto"/>
            <w:tcMar>
              <w:top w:type="dxa" w:w="80"/>
              <w:left w:type="dxa" w:w="80"/>
              <w:bottom w:type="dxa" w:w="80"/>
              <w:right w:type="dxa" w:w="80"/>
            </w:tcMar>
            <w:vAlign w:val="top"/>
          </w:tcPr>
          <w:p>
            <w:pPr>
              <w:pStyle w:val="Normal.0"/>
              <w:spacing w:after="40" w:line="240" w:lineRule="auto"/>
              <w:ind w:firstLine="0"/>
              <w:jc w:val="left"/>
            </w:pPr>
            <w:r>
              <w:rPr>
                <w:sz w:val="18"/>
                <w:szCs w:val="18"/>
                <w:rtl w:val="0"/>
                <w:lang w:val="en-US"/>
              </w:rPr>
              <w:t>Quantum graphity [3]</w:t>
            </w:r>
          </w:p>
        </w:tc>
        <w:tc>
          <w:tcPr>
            <w:tcW w:type="dxa" w:w="2259"/>
            <w:tcBorders>
              <w:top w:val="single" w:color="d0d0d0" w:sz="3" w:space="0" w:shadow="0" w:frame="0"/>
              <w:left w:val="nil"/>
              <w:bottom w:val="single" w:color="d0d0d0" w:sz="3" w:space="0" w:shadow="0" w:frame="0"/>
              <w:right w:val="nil"/>
            </w:tcBorders>
            <w:shd w:val="clear" w:color="auto" w:fill="auto"/>
            <w:tcMar>
              <w:top w:type="dxa" w:w="80"/>
              <w:left w:type="dxa" w:w="80"/>
              <w:bottom w:type="dxa" w:w="80"/>
              <w:right w:type="dxa" w:w="80"/>
            </w:tcMar>
            <w:vAlign w:val="top"/>
          </w:tcPr>
          <w:p>
            <w:pPr>
              <w:pStyle w:val="Normal.0"/>
              <w:spacing w:after="40" w:line="240" w:lineRule="auto"/>
              <w:ind w:firstLine="0"/>
              <w:jc w:val="left"/>
            </w:pPr>
            <w:r>
              <w:rPr>
                <w:sz w:val="18"/>
                <w:szCs w:val="18"/>
                <w:rtl w:val="0"/>
                <w:lang w:val="en-US"/>
              </w:rPr>
              <w:t>Graph states and Hamiltonian</w:t>
            </w:r>
          </w:p>
        </w:tc>
        <w:tc>
          <w:tcPr>
            <w:tcW w:type="dxa" w:w="2540"/>
            <w:tcBorders>
              <w:top w:val="single" w:color="d0d0d0" w:sz="3" w:space="0" w:shadow="0" w:frame="0"/>
              <w:left w:val="nil"/>
              <w:bottom w:val="single" w:color="d0d0d0" w:sz="3" w:space="0" w:shadow="0" w:frame="0"/>
              <w:right w:val="nil"/>
            </w:tcBorders>
            <w:shd w:val="clear" w:color="auto" w:fill="auto"/>
            <w:tcMar>
              <w:top w:type="dxa" w:w="80"/>
              <w:left w:type="dxa" w:w="80"/>
              <w:bottom w:type="dxa" w:w="80"/>
              <w:right w:type="dxa" w:w="80"/>
            </w:tcMar>
            <w:vAlign w:val="top"/>
          </w:tcPr>
          <w:p>
            <w:pPr>
              <w:pStyle w:val="Normal.0"/>
              <w:spacing w:after="40" w:line="240" w:lineRule="auto"/>
              <w:ind w:firstLine="0"/>
              <w:jc w:val="left"/>
            </w:pPr>
            <w:r>
              <w:rPr>
                <w:sz w:val="18"/>
                <w:szCs w:val="18"/>
                <w:rtl w:val="0"/>
                <w:lang w:val="en-US"/>
              </w:rPr>
              <w:t>Signatures of a geometric phase</w:t>
            </w:r>
          </w:p>
        </w:tc>
        <w:tc>
          <w:tcPr>
            <w:tcW w:type="dxa" w:w="2729"/>
            <w:tcBorders>
              <w:top w:val="single" w:color="d0d0d0" w:sz="3" w:space="0" w:shadow="0" w:frame="0"/>
              <w:left w:val="nil"/>
              <w:bottom w:val="single" w:color="d0d0d0" w:sz="3" w:space="0" w:shadow="0" w:frame="0"/>
              <w:right w:val="nil"/>
            </w:tcBorders>
            <w:shd w:val="clear" w:color="auto" w:fill="auto"/>
            <w:tcMar>
              <w:top w:type="dxa" w:w="80"/>
              <w:left w:type="dxa" w:w="80"/>
              <w:bottom w:type="dxa" w:w="80"/>
              <w:right w:type="dxa" w:w="80"/>
            </w:tcMar>
            <w:vAlign w:val="top"/>
          </w:tcPr>
          <w:p>
            <w:pPr>
              <w:pStyle w:val="Normal.0"/>
              <w:spacing w:after="40" w:line="240" w:lineRule="auto"/>
              <w:ind w:firstLine="0"/>
              <w:jc w:val="left"/>
            </w:pPr>
            <w:r>
              <w:rPr>
                <w:sz w:val="18"/>
                <w:szCs w:val="18"/>
                <w:rtl w:val="0"/>
                <w:lang w:val="en-US"/>
              </w:rPr>
              <w:t>Universality of physical cones</w:t>
            </w:r>
          </w:p>
        </w:tc>
      </w:tr>
      <w:tr>
        <w:tblPrEx>
          <w:shd w:val="clear" w:color="auto" w:fill="ced7e7"/>
        </w:tblPrEx>
        <w:trPr>
          <w:trHeight w:val="400" w:hRule="atLeast"/>
        </w:trPr>
        <w:tc>
          <w:tcPr>
            <w:tcW w:type="dxa" w:w="1882"/>
            <w:tcBorders>
              <w:top w:val="single" w:color="d0d0d0" w:sz="3" w:space="0" w:shadow="0" w:frame="0"/>
              <w:left w:val="nil"/>
              <w:bottom w:val="single" w:color="d0d0d0" w:sz="3" w:space="0" w:shadow="0" w:frame="0"/>
              <w:right w:val="nil"/>
            </w:tcBorders>
            <w:shd w:val="clear" w:color="auto" w:fill="auto"/>
            <w:tcMar>
              <w:top w:type="dxa" w:w="80"/>
              <w:left w:type="dxa" w:w="80"/>
              <w:bottom w:type="dxa" w:w="80"/>
              <w:right w:type="dxa" w:w="80"/>
            </w:tcMar>
            <w:vAlign w:val="top"/>
          </w:tcPr>
          <w:p>
            <w:pPr>
              <w:pStyle w:val="Normal.0"/>
              <w:spacing w:after="40" w:line="240" w:lineRule="auto"/>
              <w:ind w:firstLine="0"/>
              <w:jc w:val="left"/>
            </w:pPr>
            <w:r>
              <w:rPr>
                <w:sz w:val="18"/>
                <w:szCs w:val="18"/>
                <w:rtl w:val="0"/>
                <w:lang w:val="en-US"/>
              </w:rPr>
              <w:t>Renormalization group [4, 5]</w:t>
            </w:r>
          </w:p>
        </w:tc>
        <w:tc>
          <w:tcPr>
            <w:tcW w:type="dxa" w:w="2259"/>
            <w:tcBorders>
              <w:top w:val="single" w:color="d0d0d0" w:sz="3" w:space="0" w:shadow="0" w:frame="0"/>
              <w:left w:val="nil"/>
              <w:bottom w:val="single" w:color="d0d0d0" w:sz="3" w:space="0" w:shadow="0" w:frame="0"/>
              <w:right w:val="nil"/>
            </w:tcBorders>
            <w:shd w:val="clear" w:color="auto" w:fill="auto"/>
            <w:tcMar>
              <w:top w:type="dxa" w:w="80"/>
              <w:left w:type="dxa" w:w="80"/>
              <w:bottom w:type="dxa" w:w="80"/>
              <w:right w:type="dxa" w:w="80"/>
            </w:tcMar>
            <w:vAlign w:val="top"/>
          </w:tcPr>
          <w:p>
            <w:pPr>
              <w:pStyle w:val="Normal.0"/>
              <w:spacing w:after="40" w:line="240" w:lineRule="auto"/>
              <w:ind w:firstLine="0"/>
              <w:jc w:val="left"/>
            </w:pPr>
            <w:r>
              <w:rPr>
                <w:sz w:val="18"/>
                <w:szCs w:val="18"/>
                <w:rtl w:val="0"/>
                <w:lang w:val="en-US"/>
              </w:rPr>
              <w:t>Interacting fields and scale dependence</w:t>
            </w:r>
          </w:p>
        </w:tc>
        <w:tc>
          <w:tcPr>
            <w:tcW w:type="dxa" w:w="2540"/>
            <w:tcBorders>
              <w:top w:val="single" w:color="d0d0d0" w:sz="3" w:space="0" w:shadow="0" w:frame="0"/>
              <w:left w:val="nil"/>
              <w:bottom w:val="single" w:color="d0d0d0" w:sz="3" w:space="0" w:shadow="0" w:frame="0"/>
              <w:right w:val="nil"/>
            </w:tcBorders>
            <w:shd w:val="clear" w:color="auto" w:fill="auto"/>
            <w:tcMar>
              <w:top w:type="dxa" w:w="80"/>
              <w:left w:type="dxa" w:w="80"/>
              <w:bottom w:type="dxa" w:w="80"/>
              <w:right w:type="dxa" w:w="80"/>
            </w:tcMar>
            <w:vAlign w:val="top"/>
          </w:tcPr>
          <w:p>
            <w:pPr>
              <w:pStyle w:val="Normal.0"/>
              <w:spacing w:after="40" w:line="240" w:lineRule="auto"/>
              <w:ind w:firstLine="0"/>
              <w:jc w:val="left"/>
            </w:pPr>
            <w:r>
              <w:rPr>
                <w:sz w:val="18"/>
                <w:szCs w:val="18"/>
                <w:rtl w:val="0"/>
                <w:lang w:val="en-US"/>
              </w:rPr>
              <w:t>Infrared convergence of limiting speeds</w:t>
            </w:r>
          </w:p>
        </w:tc>
        <w:tc>
          <w:tcPr>
            <w:tcW w:type="dxa" w:w="2729"/>
            <w:tcBorders>
              <w:top w:val="single" w:color="d0d0d0" w:sz="3" w:space="0" w:shadow="0" w:frame="0"/>
              <w:left w:val="nil"/>
              <w:bottom w:val="single" w:color="d0d0d0" w:sz="3" w:space="0" w:shadow="0" w:frame="0"/>
              <w:right w:val="nil"/>
            </w:tcBorders>
            <w:shd w:val="clear" w:color="auto" w:fill="auto"/>
            <w:tcMar>
              <w:top w:type="dxa" w:w="80"/>
              <w:left w:type="dxa" w:w="80"/>
              <w:bottom w:type="dxa" w:w="80"/>
              <w:right w:type="dxa" w:w="80"/>
            </w:tcMar>
            <w:vAlign w:val="top"/>
          </w:tcPr>
          <w:p>
            <w:pPr>
              <w:pStyle w:val="Normal.0"/>
              <w:spacing w:after="40" w:line="240" w:lineRule="auto"/>
              <w:ind w:firstLine="0"/>
              <w:jc w:val="left"/>
            </w:pPr>
            <w:r>
              <w:rPr>
                <w:sz w:val="18"/>
                <w:szCs w:val="18"/>
                <w:rtl w:val="0"/>
                <w:lang w:val="en-US"/>
              </w:rPr>
              <w:t>Joint derivation of geometry</w:t>
            </w:r>
          </w:p>
        </w:tc>
      </w:tr>
      <w:tr>
        <w:tblPrEx>
          <w:shd w:val="clear" w:color="auto" w:fill="ced7e7"/>
        </w:tblPrEx>
        <w:trPr>
          <w:trHeight w:val="400" w:hRule="atLeast"/>
        </w:trPr>
        <w:tc>
          <w:tcPr>
            <w:tcW w:type="dxa" w:w="1882"/>
            <w:tcBorders>
              <w:top w:val="single" w:color="d0d0d0" w:sz="3" w:space="0" w:shadow="0" w:frame="0"/>
              <w:left w:val="nil"/>
              <w:bottom w:val="single" w:color="d0d0d0" w:sz="3" w:space="0" w:shadow="0" w:frame="0"/>
              <w:right w:val="nil"/>
            </w:tcBorders>
            <w:shd w:val="clear" w:color="auto" w:fill="auto"/>
            <w:tcMar>
              <w:top w:type="dxa" w:w="80"/>
              <w:left w:type="dxa" w:w="80"/>
              <w:bottom w:type="dxa" w:w="80"/>
              <w:right w:type="dxa" w:w="80"/>
            </w:tcMar>
            <w:vAlign w:val="top"/>
          </w:tcPr>
          <w:p>
            <w:pPr>
              <w:pStyle w:val="Normal.0"/>
              <w:spacing w:after="40" w:line="240" w:lineRule="auto"/>
              <w:ind w:firstLine="0"/>
              <w:jc w:val="left"/>
            </w:pPr>
            <w:r>
              <w:rPr>
                <w:sz w:val="18"/>
                <w:szCs w:val="18"/>
                <w:rtl w:val="0"/>
                <w:lang w:val="en-US"/>
              </w:rPr>
              <w:t>Bose</w:t>
            </w:r>
            <w:r>
              <w:rPr>
                <w:sz w:val="18"/>
                <w:szCs w:val="18"/>
                <w:rtl w:val="0"/>
                <w:lang w:val="en-US"/>
              </w:rPr>
              <w:t>–</w:t>
            </w:r>
            <w:r>
              <w:rPr>
                <w:sz w:val="18"/>
                <w:szCs w:val="18"/>
                <w:rtl w:val="0"/>
                <w:lang w:val="en-US"/>
              </w:rPr>
              <w:t>Einstein condensates [6]</w:t>
            </w:r>
          </w:p>
        </w:tc>
        <w:tc>
          <w:tcPr>
            <w:tcW w:type="dxa" w:w="2259"/>
            <w:tcBorders>
              <w:top w:val="single" w:color="d0d0d0" w:sz="3" w:space="0" w:shadow="0" w:frame="0"/>
              <w:left w:val="nil"/>
              <w:bottom w:val="single" w:color="d0d0d0" w:sz="3" w:space="0" w:shadow="0" w:frame="0"/>
              <w:right w:val="nil"/>
            </w:tcBorders>
            <w:shd w:val="clear" w:color="auto" w:fill="auto"/>
            <w:tcMar>
              <w:top w:type="dxa" w:w="80"/>
              <w:left w:type="dxa" w:w="80"/>
              <w:bottom w:type="dxa" w:w="80"/>
              <w:right w:type="dxa" w:w="80"/>
            </w:tcMar>
            <w:vAlign w:val="top"/>
          </w:tcPr>
          <w:p>
            <w:pPr>
              <w:pStyle w:val="Normal.0"/>
              <w:spacing w:after="40" w:line="240" w:lineRule="auto"/>
              <w:ind w:firstLine="0"/>
              <w:jc w:val="left"/>
            </w:pPr>
            <w:r>
              <w:rPr>
                <w:sz w:val="18"/>
                <w:szCs w:val="18"/>
                <w:rtl w:val="0"/>
                <w:lang w:val="en-US"/>
              </w:rPr>
              <w:t>Medium and interaction parameters</w:t>
            </w:r>
          </w:p>
        </w:tc>
        <w:tc>
          <w:tcPr>
            <w:tcW w:type="dxa" w:w="2540"/>
            <w:tcBorders>
              <w:top w:val="single" w:color="d0d0d0" w:sz="3" w:space="0" w:shadow="0" w:frame="0"/>
              <w:left w:val="nil"/>
              <w:bottom w:val="single" w:color="d0d0d0" w:sz="3" w:space="0" w:shadow="0" w:frame="0"/>
              <w:right w:val="nil"/>
            </w:tcBorders>
            <w:shd w:val="clear" w:color="auto" w:fill="auto"/>
            <w:tcMar>
              <w:top w:type="dxa" w:w="80"/>
              <w:left w:type="dxa" w:w="80"/>
              <w:bottom w:type="dxa" w:w="80"/>
              <w:right w:type="dxa" w:w="80"/>
            </w:tcMar>
            <w:vAlign w:val="top"/>
          </w:tcPr>
          <w:p>
            <w:pPr>
              <w:pStyle w:val="Normal.0"/>
              <w:spacing w:after="40" w:line="240" w:lineRule="auto"/>
              <w:ind w:firstLine="0"/>
              <w:jc w:val="left"/>
            </w:pPr>
            <w:r>
              <w:rPr>
                <w:sz w:val="18"/>
                <w:szCs w:val="18"/>
                <w:rtl w:val="0"/>
                <w:lang w:val="en-US"/>
              </w:rPr>
              <w:t>Effective wave metrics</w:t>
            </w:r>
          </w:p>
        </w:tc>
        <w:tc>
          <w:tcPr>
            <w:tcW w:type="dxa" w:w="2729"/>
            <w:tcBorders>
              <w:top w:val="single" w:color="d0d0d0" w:sz="3" w:space="0" w:shadow="0" w:frame="0"/>
              <w:left w:val="nil"/>
              <w:bottom w:val="single" w:color="d0d0d0" w:sz="3" w:space="0" w:shadow="0" w:frame="0"/>
              <w:right w:val="nil"/>
            </w:tcBorders>
            <w:shd w:val="clear" w:color="auto" w:fill="auto"/>
            <w:tcMar>
              <w:top w:type="dxa" w:w="80"/>
              <w:left w:type="dxa" w:w="80"/>
              <w:bottom w:type="dxa" w:w="80"/>
              <w:right w:type="dxa" w:w="80"/>
            </w:tcMar>
            <w:vAlign w:val="top"/>
          </w:tcPr>
          <w:p>
            <w:pPr>
              <w:pStyle w:val="Normal.0"/>
              <w:spacing w:after="40" w:line="240" w:lineRule="auto"/>
              <w:ind w:firstLine="0"/>
              <w:jc w:val="left"/>
            </w:pPr>
            <w:r>
              <w:rPr>
                <w:sz w:val="18"/>
                <w:szCs w:val="18"/>
                <w:rtl w:val="0"/>
                <w:lang w:val="en-US"/>
              </w:rPr>
              <w:t>Protection of parameter matching</w:t>
            </w:r>
          </w:p>
        </w:tc>
      </w:tr>
      <w:tr>
        <w:tblPrEx>
          <w:shd w:val="clear" w:color="auto" w:fill="ced7e7"/>
        </w:tblPrEx>
        <w:trPr>
          <w:trHeight w:val="400" w:hRule="atLeast"/>
        </w:trPr>
        <w:tc>
          <w:tcPr>
            <w:tcW w:type="dxa" w:w="1882"/>
            <w:tcBorders>
              <w:top w:val="single" w:color="d0d0d0" w:sz="3" w:space="0" w:shadow="0" w:frame="0"/>
              <w:left w:val="nil"/>
              <w:bottom w:val="single" w:color="d0d0d0" w:sz="3" w:space="0" w:shadow="0" w:frame="0"/>
              <w:right w:val="nil"/>
            </w:tcBorders>
            <w:shd w:val="clear" w:color="auto" w:fill="auto"/>
            <w:tcMar>
              <w:top w:type="dxa" w:w="80"/>
              <w:left w:type="dxa" w:w="80"/>
              <w:bottom w:type="dxa" w:w="80"/>
              <w:right w:type="dxa" w:w="80"/>
            </w:tcMar>
            <w:vAlign w:val="top"/>
          </w:tcPr>
          <w:p>
            <w:pPr>
              <w:pStyle w:val="Normal.0"/>
              <w:spacing w:after="40" w:line="240" w:lineRule="auto"/>
              <w:ind w:firstLine="0"/>
              <w:jc w:val="left"/>
            </w:pPr>
            <w:r>
              <w:rPr>
                <w:sz w:val="18"/>
                <w:szCs w:val="18"/>
                <w:rtl w:val="0"/>
                <w:lang w:val="en-US"/>
              </w:rPr>
              <w:t>Entanglement geometry [7]</w:t>
            </w:r>
          </w:p>
        </w:tc>
        <w:tc>
          <w:tcPr>
            <w:tcW w:type="dxa" w:w="2259"/>
            <w:tcBorders>
              <w:top w:val="single" w:color="d0d0d0" w:sz="3" w:space="0" w:shadow="0" w:frame="0"/>
              <w:left w:val="nil"/>
              <w:bottom w:val="single" w:color="d0d0d0" w:sz="3" w:space="0" w:shadow="0" w:frame="0"/>
              <w:right w:val="nil"/>
            </w:tcBorders>
            <w:shd w:val="clear" w:color="auto" w:fill="auto"/>
            <w:tcMar>
              <w:top w:type="dxa" w:w="80"/>
              <w:left w:type="dxa" w:w="80"/>
              <w:bottom w:type="dxa" w:w="80"/>
              <w:right w:type="dxa" w:w="80"/>
            </w:tcMar>
            <w:vAlign w:val="top"/>
          </w:tcPr>
          <w:p>
            <w:pPr>
              <w:pStyle w:val="Normal.0"/>
              <w:spacing w:after="40" w:line="240" w:lineRule="auto"/>
              <w:ind w:firstLine="0"/>
              <w:jc w:val="left"/>
            </w:pPr>
            <w:r>
              <w:rPr>
                <w:sz w:val="18"/>
                <w:szCs w:val="18"/>
                <w:rtl w:val="0"/>
                <w:lang w:val="en-US"/>
              </w:rPr>
              <w:t>Specific quantum-gravitational description</w:t>
            </w:r>
          </w:p>
        </w:tc>
        <w:tc>
          <w:tcPr>
            <w:tcW w:type="dxa" w:w="2540"/>
            <w:tcBorders>
              <w:top w:val="single" w:color="d0d0d0" w:sz="3" w:space="0" w:shadow="0" w:frame="0"/>
              <w:left w:val="nil"/>
              <w:bottom w:val="single" w:color="d0d0d0" w:sz="3" w:space="0" w:shadow="0" w:frame="0"/>
              <w:right w:val="nil"/>
            </w:tcBorders>
            <w:shd w:val="clear" w:color="auto" w:fill="auto"/>
            <w:tcMar>
              <w:top w:type="dxa" w:w="80"/>
              <w:left w:type="dxa" w:w="80"/>
              <w:bottom w:type="dxa" w:w="80"/>
              <w:right w:type="dxa" w:w="80"/>
            </w:tcMar>
            <w:vAlign w:val="top"/>
          </w:tcPr>
          <w:p>
            <w:pPr>
              <w:pStyle w:val="Normal.0"/>
              <w:spacing w:after="40" w:line="240" w:lineRule="auto"/>
              <w:ind w:firstLine="0"/>
              <w:jc w:val="left"/>
            </w:pPr>
            <w:r>
              <w:rPr>
                <w:sz w:val="18"/>
                <w:szCs w:val="18"/>
                <w:rtl w:val="0"/>
                <w:lang w:val="en-US"/>
              </w:rPr>
              <w:t>Relation between correlations and connectivity</w:t>
            </w:r>
          </w:p>
        </w:tc>
        <w:tc>
          <w:tcPr>
            <w:tcW w:type="dxa" w:w="2729"/>
            <w:tcBorders>
              <w:top w:val="single" w:color="d0d0d0" w:sz="3" w:space="0" w:shadow="0" w:frame="0"/>
              <w:left w:val="nil"/>
              <w:bottom w:val="single" w:color="d0d0d0" w:sz="3" w:space="0" w:shadow="0" w:frame="0"/>
              <w:right w:val="nil"/>
            </w:tcBorders>
            <w:shd w:val="clear" w:color="auto" w:fill="auto"/>
            <w:tcMar>
              <w:top w:type="dxa" w:w="80"/>
              <w:left w:type="dxa" w:w="80"/>
              <w:bottom w:type="dxa" w:w="80"/>
              <w:right w:type="dxa" w:w="80"/>
            </w:tcMar>
            <w:vAlign w:val="top"/>
          </w:tcPr>
          <w:p>
            <w:pPr>
              <w:pStyle w:val="Normal.0"/>
              <w:spacing w:after="40" w:line="240" w:lineRule="auto"/>
              <w:ind w:firstLine="0"/>
              <w:jc w:val="left"/>
            </w:pPr>
            <w:r>
              <w:rPr>
                <w:sz w:val="18"/>
                <w:szCs w:val="18"/>
                <w:rtl w:val="0"/>
                <w:lang w:val="en-US"/>
              </w:rPr>
              <w:t>General reconstruction from correlations</w:t>
            </w:r>
          </w:p>
        </w:tc>
      </w:tr>
      <w:tr>
        <w:tblPrEx>
          <w:shd w:val="clear" w:color="auto" w:fill="ced7e7"/>
        </w:tblPrEx>
        <w:trPr>
          <w:trHeight w:val="200" w:hRule="atLeast"/>
        </w:trPr>
        <w:tc>
          <w:tcPr>
            <w:tcW w:type="dxa" w:w="1882"/>
            <w:tcBorders>
              <w:top w:val="single" w:color="d0d0d0" w:sz="3" w:space="0" w:shadow="0" w:frame="0"/>
              <w:left w:val="nil"/>
              <w:bottom w:val="single" w:color="d0d0d0" w:sz="3" w:space="0" w:shadow="0" w:frame="0"/>
              <w:right w:val="nil"/>
            </w:tcBorders>
            <w:shd w:val="clear" w:color="auto" w:fill="auto"/>
            <w:tcMar>
              <w:top w:type="dxa" w:w="80"/>
              <w:left w:type="dxa" w:w="80"/>
              <w:bottom w:type="dxa" w:w="80"/>
              <w:right w:type="dxa" w:w="80"/>
            </w:tcMar>
            <w:vAlign w:val="top"/>
          </w:tcPr>
          <w:p>
            <w:pPr>
              <w:pStyle w:val="Normal.0"/>
              <w:spacing w:after="40" w:line="240" w:lineRule="auto"/>
              <w:ind w:firstLine="0"/>
              <w:jc w:val="left"/>
            </w:pPr>
            <w:r>
              <w:rPr>
                <w:sz w:val="18"/>
                <w:szCs w:val="18"/>
                <w:rtl w:val="0"/>
                <w:lang w:val="en-US"/>
              </w:rPr>
              <w:t>Propagation bounds [8]</w:t>
            </w:r>
          </w:p>
        </w:tc>
        <w:tc>
          <w:tcPr>
            <w:tcW w:type="dxa" w:w="2259"/>
            <w:tcBorders>
              <w:top w:val="single" w:color="d0d0d0" w:sz="3" w:space="0" w:shadow="0" w:frame="0"/>
              <w:left w:val="nil"/>
              <w:bottom w:val="single" w:color="d0d0d0" w:sz="3" w:space="0" w:shadow="0" w:frame="0"/>
              <w:right w:val="nil"/>
            </w:tcBorders>
            <w:shd w:val="clear" w:color="auto" w:fill="auto"/>
            <w:tcMar>
              <w:top w:type="dxa" w:w="80"/>
              <w:left w:type="dxa" w:w="80"/>
              <w:bottom w:type="dxa" w:w="80"/>
              <w:right w:type="dxa" w:w="80"/>
            </w:tcMar>
            <w:vAlign w:val="top"/>
          </w:tcPr>
          <w:p>
            <w:pPr>
              <w:pStyle w:val="Normal.0"/>
              <w:spacing w:after="40" w:line="240" w:lineRule="auto"/>
              <w:ind w:firstLine="0"/>
              <w:jc w:val="left"/>
            </w:pPr>
            <w:r>
              <w:rPr>
                <w:sz w:val="18"/>
                <w:szCs w:val="18"/>
                <w:rtl w:val="0"/>
                <w:lang w:val="en-US"/>
              </w:rPr>
              <w:t>Local lattice dynamics</w:t>
            </w:r>
          </w:p>
        </w:tc>
        <w:tc>
          <w:tcPr>
            <w:tcW w:type="dxa" w:w="2540"/>
            <w:tcBorders>
              <w:top w:val="single" w:color="d0d0d0" w:sz="3" w:space="0" w:shadow="0" w:frame="0"/>
              <w:left w:val="nil"/>
              <w:bottom w:val="single" w:color="d0d0d0" w:sz="3" w:space="0" w:shadow="0" w:frame="0"/>
              <w:right w:val="nil"/>
            </w:tcBorders>
            <w:shd w:val="clear" w:color="auto" w:fill="auto"/>
            <w:tcMar>
              <w:top w:type="dxa" w:w="80"/>
              <w:left w:type="dxa" w:w="80"/>
              <w:bottom w:type="dxa" w:w="80"/>
              <w:right w:type="dxa" w:w="80"/>
            </w:tcMar>
            <w:vAlign w:val="top"/>
          </w:tcPr>
          <w:p>
            <w:pPr>
              <w:pStyle w:val="Normal.0"/>
              <w:spacing w:after="40" w:line="240" w:lineRule="auto"/>
              <w:ind w:firstLine="0"/>
              <w:jc w:val="left"/>
            </w:pPr>
            <w:r>
              <w:rPr>
                <w:sz w:val="18"/>
                <w:szCs w:val="18"/>
                <w:rtl w:val="0"/>
                <w:lang w:val="en-US"/>
              </w:rPr>
              <w:t>Control of spatial tails</w:t>
            </w:r>
          </w:p>
        </w:tc>
        <w:tc>
          <w:tcPr>
            <w:tcW w:type="dxa" w:w="2729"/>
            <w:tcBorders>
              <w:top w:val="single" w:color="d0d0d0" w:sz="3" w:space="0" w:shadow="0" w:frame="0"/>
              <w:left w:val="nil"/>
              <w:bottom w:val="single" w:color="d0d0d0" w:sz="3" w:space="0" w:shadow="0" w:frame="0"/>
              <w:right w:val="nil"/>
            </w:tcBorders>
            <w:shd w:val="clear" w:color="auto" w:fill="auto"/>
            <w:tcMar>
              <w:top w:type="dxa" w:w="80"/>
              <w:left w:type="dxa" w:w="80"/>
              <w:bottom w:type="dxa" w:w="80"/>
              <w:right w:type="dxa" w:w="80"/>
            </w:tcMar>
            <w:vAlign w:val="top"/>
          </w:tcPr>
          <w:p>
            <w:pPr>
              <w:pStyle w:val="Normal.0"/>
              <w:spacing w:after="40" w:line="240" w:lineRule="auto"/>
              <w:ind w:firstLine="0"/>
              <w:jc w:val="left"/>
            </w:pPr>
            <w:r>
              <w:rPr>
                <w:sz w:val="18"/>
                <w:szCs w:val="18"/>
                <w:rtl w:val="0"/>
                <w:lang w:val="en-US"/>
              </w:rPr>
              <w:t>Strict microcausality</w:t>
            </w:r>
          </w:p>
        </w:tc>
      </w:tr>
      <w:tr>
        <w:tblPrEx>
          <w:shd w:val="clear" w:color="auto" w:fill="ced7e7"/>
        </w:tblPrEx>
        <w:trPr>
          <w:trHeight w:val="406" w:hRule="atLeast"/>
        </w:trPr>
        <w:tc>
          <w:tcPr>
            <w:tcW w:type="dxa" w:w="1882"/>
            <w:tcBorders>
              <w:top w:val="single" w:color="d0d0d0" w:sz="3" w:space="0" w:shadow="0" w:frame="0"/>
              <w:left w:val="nil"/>
              <w:bottom w:val="single" w:color="777777" w:sz="8" w:space="0" w:shadow="0" w:frame="0"/>
              <w:right w:val="nil"/>
            </w:tcBorders>
            <w:shd w:val="clear" w:color="auto" w:fill="auto"/>
            <w:tcMar>
              <w:top w:type="dxa" w:w="80"/>
              <w:left w:type="dxa" w:w="80"/>
              <w:bottom w:type="dxa" w:w="80"/>
              <w:right w:type="dxa" w:w="80"/>
            </w:tcMar>
            <w:vAlign w:val="top"/>
          </w:tcPr>
          <w:p>
            <w:pPr>
              <w:pStyle w:val="Normal.0"/>
              <w:spacing w:after="40" w:line="240" w:lineRule="auto"/>
              <w:ind w:firstLine="0"/>
              <w:jc w:val="left"/>
            </w:pPr>
            <w:r>
              <w:rPr>
                <w:sz w:val="18"/>
                <w:szCs w:val="18"/>
                <w:rtl w:val="0"/>
                <w:lang w:val="en-US"/>
              </w:rPr>
              <w:t>Quantum simulation [9]</w:t>
            </w:r>
          </w:p>
        </w:tc>
        <w:tc>
          <w:tcPr>
            <w:tcW w:type="dxa" w:w="2259"/>
            <w:tcBorders>
              <w:top w:val="single" w:color="d0d0d0" w:sz="3" w:space="0" w:shadow="0" w:frame="0"/>
              <w:left w:val="nil"/>
              <w:bottom w:val="single" w:color="777777" w:sz="8" w:space="0" w:shadow="0" w:frame="0"/>
              <w:right w:val="nil"/>
            </w:tcBorders>
            <w:shd w:val="clear" w:color="auto" w:fill="auto"/>
            <w:tcMar>
              <w:top w:type="dxa" w:w="80"/>
              <w:left w:type="dxa" w:w="80"/>
              <w:bottom w:type="dxa" w:w="80"/>
              <w:right w:type="dxa" w:w="80"/>
            </w:tcMar>
            <w:vAlign w:val="top"/>
          </w:tcPr>
          <w:p>
            <w:pPr>
              <w:pStyle w:val="Normal.0"/>
              <w:spacing w:after="40" w:line="240" w:lineRule="auto"/>
              <w:ind w:firstLine="0"/>
              <w:jc w:val="left"/>
            </w:pPr>
            <w:r>
              <w:rPr>
                <w:sz w:val="18"/>
                <w:szCs w:val="18"/>
                <w:rtl w:val="0"/>
                <w:lang w:val="en-US"/>
              </w:rPr>
              <w:t>Programmable XXZ chain</w:t>
            </w:r>
          </w:p>
        </w:tc>
        <w:tc>
          <w:tcPr>
            <w:tcW w:type="dxa" w:w="2540"/>
            <w:tcBorders>
              <w:top w:val="single" w:color="d0d0d0" w:sz="3" w:space="0" w:shadow="0" w:frame="0"/>
              <w:left w:val="nil"/>
              <w:bottom w:val="single" w:color="777777" w:sz="8" w:space="0" w:shadow="0" w:frame="0"/>
              <w:right w:val="nil"/>
            </w:tcBorders>
            <w:shd w:val="clear" w:color="auto" w:fill="auto"/>
            <w:tcMar>
              <w:top w:type="dxa" w:w="80"/>
              <w:left w:type="dxa" w:w="80"/>
              <w:bottom w:type="dxa" w:w="80"/>
              <w:right w:type="dxa" w:w="80"/>
            </w:tcMar>
            <w:vAlign w:val="top"/>
          </w:tcPr>
          <w:p>
            <w:pPr>
              <w:pStyle w:val="Normal.0"/>
              <w:spacing w:after="40" w:line="240" w:lineRule="auto"/>
              <w:ind w:firstLine="0"/>
              <w:jc w:val="left"/>
            </w:pPr>
            <w:r>
              <w:rPr>
                <w:sz w:val="18"/>
                <w:szCs w:val="18"/>
                <w:rtl w:val="0"/>
                <w:lang w:val="en-US"/>
              </w:rPr>
              <w:t>Dynamics in an effective background</w:t>
            </w:r>
          </w:p>
        </w:tc>
        <w:tc>
          <w:tcPr>
            <w:tcW w:type="dxa" w:w="2729"/>
            <w:tcBorders>
              <w:top w:val="single" w:color="d0d0d0" w:sz="3" w:space="0" w:shadow="0" w:frame="0"/>
              <w:left w:val="nil"/>
              <w:bottom w:val="single" w:color="777777" w:sz="8" w:space="0" w:shadow="0" w:frame="0"/>
              <w:right w:val="nil"/>
            </w:tcBorders>
            <w:shd w:val="clear" w:color="auto" w:fill="auto"/>
            <w:tcMar>
              <w:top w:type="dxa" w:w="80"/>
              <w:left w:type="dxa" w:w="80"/>
              <w:bottom w:type="dxa" w:w="80"/>
              <w:right w:type="dxa" w:w="80"/>
            </w:tcMar>
            <w:vAlign w:val="top"/>
          </w:tcPr>
          <w:p>
            <w:pPr>
              <w:pStyle w:val="Normal.0"/>
              <w:spacing w:after="40" w:line="240" w:lineRule="auto"/>
              <w:ind w:firstLine="0"/>
              <w:jc w:val="left"/>
            </w:pPr>
            <w:r>
              <w:rPr>
                <w:sz w:val="18"/>
                <w:szCs w:val="18"/>
                <w:rtl w:val="0"/>
                <w:lang w:val="en-US"/>
              </w:rPr>
              <w:t>Dynamical selection of the background itself</w:t>
            </w:r>
          </w:p>
        </w:tc>
      </w:tr>
    </w:tbl>
    <w:p>
      <w:pPr>
        <w:pStyle w:val="caption"/>
        <w:keepNext w:val="1"/>
        <w:widowControl w:val="0"/>
        <w:spacing w:before="60" w:after="120" w:line="240" w:lineRule="atLeast"/>
      </w:pPr>
    </w:p>
    <w:p>
      <w:pPr>
        <w:pStyle w:val="Normal.0"/>
        <w:spacing w:after="80" w:line="240" w:lineRule="atLeast"/>
      </w:pPr>
      <w:r>
        <w:rPr>
          <w:sz w:val="22"/>
          <w:szCs w:val="22"/>
          <w:rtl w:val="0"/>
          <w:lang w:val="en-US"/>
        </w:rPr>
        <w:t>For a subsequent transition toward gravity, the thermodynamic derivation of Einstein</w:t>
      </w:r>
      <w:r>
        <w:rPr>
          <w:sz w:val="22"/>
          <w:szCs w:val="22"/>
          <w:rtl w:val="0"/>
          <w:lang w:val="en-US"/>
        </w:rPr>
        <w:t>’</w:t>
      </w:r>
      <w:r>
        <w:rPr>
          <w:sz w:val="22"/>
          <w:szCs w:val="22"/>
          <w:rtl w:val="0"/>
          <w:lang w:val="en-US"/>
        </w:rPr>
        <w:t>s equations [10] and the Brown</w:t>
      </w:r>
      <w:r>
        <w:rPr>
          <w:sz w:val="22"/>
          <w:szCs w:val="22"/>
          <w:rtl w:val="0"/>
          <w:lang w:val="en-US"/>
        </w:rPr>
        <w:t>–</w:t>
      </w:r>
      <w:r>
        <w:rPr>
          <w:sz w:val="22"/>
          <w:szCs w:val="22"/>
          <w:rtl w:val="0"/>
          <w:lang w:val="en-US"/>
        </w:rPr>
        <w:t>York quasilocal charges [11] are relevant. The former uses local causal horizons and thermodynamic assumptions; the latter are defined through the gravitational action and boundary data. Neither result can therefore be directly identified with a sum of vertex energies of a graph. The radiative-stability problem for Lorentz symmetry emphasized in Ref. [12] further prevents one from assuming that all unwanted effects are automatically suppressed at high energy.</w:t>
      </w:r>
    </w:p>
    <w:p>
      <w:pPr>
        <w:pStyle w:val="Заголовок 2"/>
        <w:spacing w:line="240" w:lineRule="atLeast"/>
      </w:pPr>
      <w:r>
        <w:rPr>
          <w:rtl w:val="0"/>
          <w:lang w:val="en-US"/>
        </w:rPr>
        <w:t>3. Nonmetric Network, Change, and Closure</w:t>
      </w:r>
    </w:p>
    <w:p>
      <w:pPr>
        <w:pStyle w:val="Заголовок 3"/>
        <w:spacing w:line="240" w:lineRule="atLeast"/>
        <w:rPr>
          <w:u w:val="single"/>
        </w:rPr>
      </w:pPr>
      <w:r>
        <w:rPr>
          <w:u w:val="single"/>
          <w:rtl w:val="0"/>
          <w:lang w:val="en-US"/>
        </w:rPr>
        <w:t>3.1. Variables and Conventions</w:t>
      </w:r>
    </w:p>
    <w:p>
      <w:pPr>
        <w:pStyle w:val="Normal.0"/>
        <w:spacing w:after="80" w:line="240" w:lineRule="atLeast"/>
        <w:ind w:firstLine="0"/>
      </w:pPr>
      <w:r>
        <w:rPr>
          <w:sz w:val="22"/>
          <w:szCs w:val="22"/>
          <w:rtl w:val="0"/>
          <w:lang w:val="en-US"/>
        </w:rPr>
        <w:t xml:space="preserve">Let V be a finite set of N vertices and W a symmetric matrix of nonnegative weights with wᵢᵢ = 0. Nonzero weights define undirected connectivity; the vertices are not embedded in physical space. Permutations of their labels must not change physical statements. The edge sum </w:t>
      </w:r>
      <w:r>
        <w:rPr>
          <w:rFonts w:ascii="Arial Unicode MS" w:cs="Arial Unicode MS" w:hAnsi="Arial Unicode MS" w:eastAsia="Arial Unicode MS" w:hint="default"/>
          <w:b w:val="0"/>
          <w:bCs w:val="0"/>
          <w:i w:val="0"/>
          <w:iCs w:val="0"/>
          <w:sz w:val="22"/>
          <w:szCs w:val="22"/>
          <w:rtl w:val="0"/>
          <w:lang w:val="en-US"/>
        </w:rPr>
        <w:t>⟨</w:t>
      </w:r>
      <w:r>
        <w:rPr>
          <w:sz w:val="22"/>
          <w:szCs w:val="22"/>
          <w:rtl w:val="0"/>
          <w:lang w:val="en-US"/>
        </w:rPr>
        <w:t>ij</w:t>
      </w:r>
      <w:r>
        <w:rPr>
          <w:rFonts w:ascii="Arial Unicode MS" w:cs="Arial Unicode MS" w:hAnsi="Arial Unicode MS" w:eastAsia="Arial Unicode MS" w:hint="default"/>
          <w:b w:val="0"/>
          <w:bCs w:val="0"/>
          <w:i w:val="0"/>
          <w:iCs w:val="0"/>
          <w:sz w:val="22"/>
          <w:szCs w:val="22"/>
          <w:rtl w:val="0"/>
          <w:lang w:val="en-US"/>
        </w:rPr>
        <w:t>⟩</w:t>
      </w:r>
      <w:r>
        <w:rPr>
          <w:sz w:val="22"/>
          <w:szCs w:val="22"/>
          <w:rtl w:val="0"/>
          <w:lang w:val="en-US"/>
        </w:rPr>
        <w:t xml:space="preserve"> </w:t>
      </w:r>
      <w:r>
        <w:rPr>
          <w:sz w:val="22"/>
          <w:szCs w:val="22"/>
          <w:rtl w:val="0"/>
          <w:lang w:val="en-US"/>
        </w:rPr>
        <w:t>below includes each unordered pair exactly once. The graph Laplacian is</w:t>
      </w:r>
    </w:p>
    <w:tbl>
      <w:tblPr>
        <w:tblW w:w="9411"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8846"/>
        <w:gridCol w:w="565"/>
      </w:tblGrid>
      <w:tr>
        <w:tblPrEx>
          <w:shd w:val="clear" w:color="auto" w:fill="ced7e7"/>
        </w:tblPrEx>
        <w:trPr>
          <w:trHeight w:val="223" w:hRule="atLeast"/>
        </w:trPr>
        <w:tc>
          <w:tcPr>
            <w:tcW w:type="dxa" w:w="8846"/>
            <w:tcBorders>
              <w:top w:val="nil"/>
              <w:left w:val="nil"/>
              <w:bottom w:val="nil"/>
              <w:right w:val="nil"/>
            </w:tcBorders>
            <w:shd w:val="clear" w:color="auto" w:fill="auto"/>
            <w:tcMar>
              <w:top w:type="dxa" w:w="80"/>
              <w:left w:type="dxa" w:w="80"/>
              <w:bottom w:type="dxa" w:w="80"/>
              <w:right w:type="dxa" w:w="80"/>
            </w:tcMar>
            <w:vAlign w:val="top"/>
          </w:tcPr>
          <w:p>
            <w:pPr>
              <w:pStyle w:val="Equation"/>
              <w:keepLines w:val="1"/>
              <w:spacing w:after="40"/>
              <w:ind w:firstLine="0"/>
            </w:pPr>
            <w:r>
              <w:rPr>
                <w:rFonts w:ascii="Times New Roman" w:hAnsi="Times New Roman"/>
                <w:sz w:val="18"/>
                <w:szCs w:val="18"/>
                <w:rtl w:val="0"/>
                <w:lang w:val="en-US"/>
              </w:rPr>
              <w:t xml:space="preserve">L = D </w:t>
            </w:r>
            <w:r>
              <w:rPr>
                <w:rFonts w:ascii="Times New Roman" w:hAnsi="Times New Roman" w:hint="default"/>
                <w:sz w:val="18"/>
                <w:szCs w:val="18"/>
                <w:rtl w:val="0"/>
                <w:lang w:val="en-US"/>
              </w:rPr>
              <w:t xml:space="preserve">− </w:t>
            </w:r>
            <w:r>
              <w:rPr>
                <w:rFonts w:ascii="Times New Roman" w:hAnsi="Times New Roman"/>
                <w:sz w:val="18"/>
                <w:szCs w:val="18"/>
                <w:rtl w:val="0"/>
                <w:lang w:val="en-US"/>
              </w:rPr>
              <w:t xml:space="preserve">W,     Dᵢᵢ = </w:t>
            </w:r>
            <w:r>
              <w:rPr>
                <w:rFonts w:ascii="Times New Roman" w:hAnsi="Times New Roman" w:hint="default"/>
                <w:sz w:val="18"/>
                <w:szCs w:val="18"/>
                <w:rtl w:val="0"/>
                <w:lang w:val="en-US"/>
              </w:rPr>
              <w:t>∑</w:t>
            </w:r>
            <w:r>
              <w:rPr>
                <w:rFonts w:ascii="Arial Unicode MS" w:cs="Arial Unicode MS" w:hAnsi="Arial Unicode MS" w:eastAsia="Arial Unicode MS" w:hint="default"/>
                <w:b w:val="0"/>
                <w:bCs w:val="0"/>
                <w:i w:val="0"/>
                <w:iCs w:val="0"/>
                <w:sz w:val="18"/>
                <w:szCs w:val="18"/>
                <w:rtl w:val="0"/>
                <w:lang w:val="en-US"/>
              </w:rPr>
              <w:t>ⱼ</w:t>
            </w:r>
            <w:r>
              <w:rPr>
                <w:rFonts w:ascii="Times New Roman" w:hAnsi="Times New Roman"/>
                <w:sz w:val="18"/>
                <w:szCs w:val="18"/>
                <w:rtl w:val="0"/>
                <w:lang w:val="en-US"/>
              </w:rPr>
              <w:t xml:space="preserve"> </w:t>
            </w:r>
            <w:r>
              <w:rPr>
                <w:rFonts w:ascii="Times New Roman" w:hAnsi="Times New Roman"/>
                <w:sz w:val="18"/>
                <w:szCs w:val="18"/>
                <w:rtl w:val="0"/>
                <w:lang w:val="en-US"/>
              </w:rPr>
              <w:t>wᵢ</w:t>
            </w:r>
            <w:r>
              <w:rPr>
                <w:rFonts w:ascii="Arial Unicode MS" w:cs="Arial Unicode MS" w:hAnsi="Arial Unicode MS" w:eastAsia="Arial Unicode MS" w:hint="default"/>
                <w:b w:val="0"/>
                <w:bCs w:val="0"/>
                <w:i w:val="0"/>
                <w:iCs w:val="0"/>
                <w:sz w:val="18"/>
                <w:szCs w:val="18"/>
                <w:rtl w:val="0"/>
                <w:lang w:val="en-US"/>
              </w:rPr>
              <w:t>ⱼ</w:t>
            </w:r>
            <w:r>
              <w:rPr>
                <w:rFonts w:ascii="Times New Roman" w:hAnsi="Times New Roman"/>
                <w:sz w:val="18"/>
                <w:szCs w:val="18"/>
                <w:rtl w:val="0"/>
                <w:lang w:val="en-US"/>
              </w:rPr>
              <w:t xml:space="preserve">,     zᵀLz = </w:t>
            </w:r>
            <w:r>
              <w:rPr>
                <w:rFonts w:ascii="Times New Roman" w:hAnsi="Times New Roman" w:hint="default"/>
                <w:sz w:val="18"/>
                <w:szCs w:val="18"/>
                <w:rtl w:val="0"/>
                <w:lang w:val="en-US"/>
              </w:rPr>
              <w:t>∑</w:t>
            </w:r>
            <w:r>
              <w:rPr>
                <w:rFonts w:ascii="Arial Unicode MS" w:cs="Arial Unicode MS" w:hAnsi="Arial Unicode MS" w:eastAsia="Arial Unicode MS" w:hint="default"/>
                <w:b w:val="0"/>
                <w:bCs w:val="0"/>
                <w:i w:val="0"/>
                <w:iCs w:val="0"/>
                <w:sz w:val="18"/>
                <w:szCs w:val="18"/>
                <w:rtl w:val="0"/>
                <w:lang w:val="en-US"/>
              </w:rPr>
              <w:t>⟨</w:t>
            </w:r>
            <w:r>
              <w:rPr>
                <w:rFonts w:ascii="Times New Roman" w:hAnsi="Times New Roman"/>
                <w:sz w:val="18"/>
                <w:szCs w:val="18"/>
                <w:rtl w:val="0"/>
                <w:lang w:val="en-US"/>
              </w:rPr>
              <w:t>ij</w:t>
            </w:r>
            <w:r>
              <w:rPr>
                <w:rFonts w:ascii="Arial Unicode MS" w:cs="Arial Unicode MS" w:hAnsi="Arial Unicode MS" w:eastAsia="Arial Unicode MS" w:hint="default"/>
                <w:b w:val="0"/>
                <w:bCs w:val="0"/>
                <w:i w:val="0"/>
                <w:iCs w:val="0"/>
                <w:sz w:val="18"/>
                <w:szCs w:val="18"/>
                <w:rtl w:val="0"/>
                <w:lang w:val="en-US"/>
              </w:rPr>
              <w:t>⟩</w:t>
            </w:r>
            <w:r>
              <w:rPr>
                <w:rFonts w:ascii="Times New Roman" w:hAnsi="Times New Roman"/>
                <w:sz w:val="18"/>
                <w:szCs w:val="18"/>
                <w:rtl w:val="0"/>
                <w:lang w:val="en-US"/>
              </w:rPr>
              <w:t xml:space="preserve"> </w:t>
            </w:r>
            <w:r>
              <w:rPr>
                <w:rFonts w:ascii="Times New Roman" w:hAnsi="Times New Roman"/>
                <w:sz w:val="18"/>
                <w:szCs w:val="18"/>
                <w:rtl w:val="0"/>
                <w:lang w:val="en-US"/>
              </w:rPr>
              <w:t>wᵢ</w:t>
            </w:r>
            <w:r>
              <w:rPr>
                <w:rFonts w:ascii="Arial Unicode MS" w:cs="Arial Unicode MS" w:hAnsi="Arial Unicode MS" w:eastAsia="Arial Unicode MS" w:hint="default"/>
                <w:b w:val="0"/>
                <w:bCs w:val="0"/>
                <w:i w:val="0"/>
                <w:iCs w:val="0"/>
                <w:sz w:val="18"/>
                <w:szCs w:val="18"/>
                <w:rtl w:val="0"/>
                <w:lang w:val="en-US"/>
              </w:rPr>
              <w:t>ⱼ</w:t>
            </w:r>
            <w:r>
              <w:rPr>
                <w:rFonts w:ascii="Times New Roman" w:hAnsi="Times New Roman"/>
                <w:sz w:val="18"/>
                <w:szCs w:val="18"/>
                <w:rtl w:val="0"/>
                <w:lang w:val="en-US"/>
              </w:rPr>
              <w:t xml:space="preserve">(zᵢ </w:t>
            </w:r>
            <w:r>
              <w:rPr>
                <w:rFonts w:ascii="Times New Roman" w:hAnsi="Times New Roman" w:hint="default"/>
                <w:sz w:val="18"/>
                <w:szCs w:val="18"/>
                <w:rtl w:val="0"/>
                <w:lang w:val="en-US"/>
              </w:rPr>
              <w:t xml:space="preserve">− </w:t>
            </w:r>
            <w:r>
              <w:rPr>
                <w:rFonts w:ascii="Times New Roman" w:hAnsi="Times New Roman"/>
                <w:sz w:val="18"/>
                <w:szCs w:val="18"/>
                <w:rtl w:val="0"/>
                <w:lang w:val="en-US"/>
              </w:rPr>
              <w:t>z</w:t>
            </w:r>
            <w:r>
              <w:rPr>
                <w:rFonts w:ascii="Arial Unicode MS" w:cs="Arial Unicode MS" w:hAnsi="Arial Unicode MS" w:eastAsia="Arial Unicode MS" w:hint="default"/>
                <w:b w:val="0"/>
                <w:bCs w:val="0"/>
                <w:i w:val="0"/>
                <w:iCs w:val="0"/>
                <w:sz w:val="18"/>
                <w:szCs w:val="18"/>
                <w:rtl w:val="0"/>
                <w:lang w:val="en-US"/>
              </w:rPr>
              <w:t>ⱼ</w:t>
            </w:r>
            <w:r>
              <w:rPr>
                <w:rFonts w:ascii="Times New Roman" w:hAnsi="Times New Roman"/>
                <w:sz w:val="18"/>
                <w:szCs w:val="18"/>
                <w:rtl w:val="0"/>
                <w:lang w:val="en-US"/>
              </w:rPr>
              <w:t>)</w:t>
            </w:r>
            <w:r>
              <w:rPr>
                <w:rFonts w:ascii="Times New Roman" w:hAnsi="Times New Roman" w:hint="default"/>
                <w:sz w:val="18"/>
                <w:szCs w:val="18"/>
                <w:rtl w:val="0"/>
                <w:lang w:val="en-US"/>
              </w:rPr>
              <w:t xml:space="preserve">² ≥ </w:t>
            </w:r>
            <w:r>
              <w:rPr>
                <w:rFonts w:ascii="Times New Roman" w:hAnsi="Times New Roman"/>
                <w:sz w:val="18"/>
                <w:szCs w:val="18"/>
                <w:rtl w:val="0"/>
                <w:lang w:val="en-US"/>
              </w:rPr>
              <w:t>0.</w:t>
            </w:r>
          </w:p>
        </w:tc>
        <w:tc>
          <w:tcPr>
            <w:tcW w:type="dxa" w:w="565"/>
            <w:tcBorders>
              <w:top w:val="nil"/>
              <w:left w:val="nil"/>
              <w:bottom w:val="nil"/>
              <w:right w:val="nil"/>
            </w:tcBorders>
            <w:shd w:val="clear" w:color="auto" w:fill="auto"/>
            <w:tcMar>
              <w:top w:type="dxa" w:w="80"/>
              <w:left w:type="dxa" w:w="80"/>
              <w:bottom w:type="dxa" w:w="80"/>
              <w:right w:type="dxa" w:w="80"/>
            </w:tcMar>
            <w:vAlign w:val="top"/>
          </w:tcPr>
          <w:p>
            <w:pPr>
              <w:pStyle w:val="Normal.0"/>
              <w:keepLines w:val="1"/>
              <w:spacing w:after="40" w:line="240" w:lineRule="auto"/>
              <w:ind w:firstLine="0"/>
              <w:jc w:val="right"/>
            </w:pPr>
            <w:r>
              <w:rPr>
                <w:sz w:val="18"/>
                <w:szCs w:val="18"/>
                <w:rtl w:val="0"/>
                <w:lang w:val="en-US"/>
              </w:rPr>
              <w:t>(1)</w:t>
            </w:r>
          </w:p>
        </w:tc>
      </w:tr>
    </w:tbl>
    <w:p>
      <w:pPr>
        <w:pStyle w:val="Normal.0"/>
        <w:widowControl w:val="0"/>
        <w:spacing w:after="80" w:line="240" w:lineRule="atLeast"/>
        <w:ind w:firstLine="0"/>
        <w:jc w:val="center"/>
      </w:pPr>
    </w:p>
    <w:p>
      <w:pPr>
        <w:pStyle w:val="Normal.0"/>
        <w:spacing w:after="80" w:line="240" w:lineRule="atLeast"/>
      </w:pPr>
      <w:r>
        <w:rPr>
          <w:sz w:val="22"/>
          <w:szCs w:val="22"/>
          <w:rtl w:val="0"/>
          <w:lang w:val="en-US"/>
        </w:rPr>
        <w:t xml:space="preserve">For a connected graph, ker L consists of constant vectors. The eigenvalues are ordered as 0 = </w:t>
      </w:r>
      <w:r>
        <w:rPr>
          <w:sz w:val="22"/>
          <w:szCs w:val="22"/>
          <w:rtl w:val="0"/>
          <w:lang w:val="en-US"/>
        </w:rPr>
        <w:t>ν</w:t>
      </w:r>
      <w:r>
        <w:rPr>
          <w:rFonts w:ascii="Arial Unicode MS" w:cs="Arial Unicode MS" w:hAnsi="Arial Unicode MS" w:eastAsia="Arial Unicode MS" w:hint="default"/>
          <w:b w:val="0"/>
          <w:bCs w:val="0"/>
          <w:i w:val="0"/>
          <w:iCs w:val="0"/>
          <w:sz w:val="22"/>
          <w:szCs w:val="22"/>
          <w:rtl w:val="0"/>
          <w:lang w:val="en-US"/>
        </w:rPr>
        <w:t>₀</w:t>
      </w:r>
      <w:r>
        <w:rPr>
          <w:sz w:val="22"/>
          <w:szCs w:val="22"/>
          <w:rtl w:val="0"/>
          <w:lang w:val="en-US"/>
        </w:rPr>
        <w:t xml:space="preserve"> </w:t>
      </w:r>
      <w:r>
        <w:rPr>
          <w:sz w:val="22"/>
          <w:szCs w:val="22"/>
          <w:rtl w:val="0"/>
          <w:lang w:val="en-US"/>
        </w:rPr>
        <w:t xml:space="preserve">&lt; </w:t>
      </w:r>
      <w:r>
        <w:rPr>
          <w:sz w:val="22"/>
          <w:szCs w:val="22"/>
          <w:rtl w:val="0"/>
          <w:lang w:val="en-US"/>
        </w:rPr>
        <w:t>ν</w:t>
      </w:r>
      <w:r>
        <w:rPr>
          <w:rFonts w:ascii="Arial Unicode MS" w:cs="Arial Unicode MS" w:hAnsi="Arial Unicode MS" w:eastAsia="Arial Unicode MS" w:hint="default"/>
          <w:b w:val="0"/>
          <w:bCs w:val="0"/>
          <w:i w:val="0"/>
          <w:iCs w:val="0"/>
          <w:sz w:val="22"/>
          <w:szCs w:val="22"/>
          <w:rtl w:val="0"/>
          <w:lang w:val="en-US"/>
        </w:rPr>
        <w:t>₁</w:t>
      </w:r>
      <w:r>
        <w:rPr>
          <w:sz w:val="22"/>
          <w:szCs w:val="22"/>
          <w:rtl w:val="0"/>
          <w:lang w:val="en-US"/>
        </w:rPr>
        <w:t xml:space="preserve"> ≤ … ≤ ν</w:t>
      </w:r>
      <w:r>
        <w:rPr>
          <w:rFonts w:ascii="Arial Unicode MS" w:cs="Arial Unicode MS" w:hAnsi="Arial Unicode MS" w:eastAsia="Arial Unicode MS" w:hint="default"/>
          <w:b w:val="0"/>
          <w:bCs w:val="0"/>
          <w:i w:val="0"/>
          <w:iCs w:val="0"/>
          <w:sz w:val="22"/>
          <w:szCs w:val="22"/>
          <w:rtl w:val="0"/>
          <w:lang w:val="en-US"/>
        </w:rPr>
        <w:t>ₙ₋₁</w:t>
      </w:r>
      <w:r>
        <w:rPr>
          <w:sz w:val="22"/>
          <w:szCs w:val="22"/>
          <w:rtl w:val="0"/>
          <w:lang w:val="en-US"/>
        </w:rPr>
        <w:t xml:space="preserve">. The symbol </w:t>
      </w:r>
      <w:r>
        <w:rPr>
          <w:sz w:val="22"/>
          <w:szCs w:val="22"/>
          <w:rtl w:val="0"/>
          <w:lang w:val="en-US"/>
        </w:rPr>
        <w:t xml:space="preserve">ν </w:t>
      </w:r>
      <w:r>
        <w:rPr>
          <w:sz w:val="22"/>
          <w:szCs w:val="22"/>
          <w:rtl w:val="0"/>
          <w:lang w:val="en-US"/>
        </w:rPr>
        <w:t>always denotes the spectrum of the candidate spatial operator, not a dynamical frequency or a physical momentum.</w:t>
      </w:r>
    </w:p>
    <w:p>
      <w:pPr>
        <w:pStyle w:val="Normal.0"/>
        <w:spacing w:after="80" w:line="240" w:lineRule="atLeast"/>
      </w:pPr>
      <w:r>
        <w:rPr>
          <w:sz w:val="22"/>
          <w:szCs w:val="22"/>
          <w:rtl w:val="0"/>
          <w:lang w:val="en-US"/>
        </w:rPr>
        <w:t xml:space="preserve">At each vertex we introduce a real vector of field coordinates </w:t>
      </w:r>
      <w:r>
        <w:rPr>
          <w:sz w:val="22"/>
          <w:szCs w:val="22"/>
          <w:rtl w:val="0"/>
          <w:lang w:val="en-US"/>
        </w:rPr>
        <w:t>Φ</w:t>
      </w:r>
      <w:r>
        <w:rPr>
          <w:sz w:val="22"/>
          <w:szCs w:val="22"/>
          <w:rtl w:val="0"/>
          <w:lang w:val="en-US"/>
        </w:rPr>
        <w:t xml:space="preserve">ᵢ </w:t>
      </w:r>
      <w:r>
        <w:rPr>
          <w:rFonts w:ascii="Arial Unicode MS" w:cs="Arial Unicode MS" w:hAnsi="Arial Unicode MS" w:eastAsia="Arial Unicode MS" w:hint="default"/>
          <w:b w:val="0"/>
          <w:bCs w:val="0"/>
          <w:i w:val="0"/>
          <w:iCs w:val="0"/>
          <w:sz w:val="22"/>
          <w:szCs w:val="22"/>
          <w:rtl w:val="0"/>
          <w:lang w:val="en-US"/>
        </w:rPr>
        <w:t>∈</w:t>
      </w:r>
      <w:r>
        <w:rPr>
          <w:sz w:val="22"/>
          <w:szCs w:val="22"/>
          <w:rtl w:val="0"/>
          <w:lang w:val="en-US"/>
        </w:rPr>
        <w:t xml:space="preserve"> </w:t>
      </w:r>
      <w:r>
        <w:rPr>
          <w:rFonts w:ascii="Arial Unicode MS" w:cs="Arial Unicode MS" w:hAnsi="Arial Unicode MS" w:eastAsia="Arial Unicode MS" w:hint="default"/>
          <w:b w:val="0"/>
          <w:bCs w:val="0"/>
          <w:i w:val="0"/>
          <w:iCs w:val="0"/>
          <w:sz w:val="22"/>
          <w:szCs w:val="22"/>
          <w:rtl w:val="0"/>
          <w:lang w:val="en-US"/>
        </w:rPr>
        <w:t>ℝ</w:t>
      </w:r>
      <w:r>
        <w:rPr>
          <w:sz w:val="22"/>
          <w:szCs w:val="22"/>
          <w:rtl w:val="0"/>
          <w:lang w:val="en-US"/>
        </w:rPr>
        <w:t xml:space="preserve">ᵐ with conjugate momentum pᵢ. Matrices A = Aᵀ &gt; 0, B = Bᵀ &gt; 0, and U = Uᵀ </w:t>
      </w:r>
      <w:r>
        <w:rPr>
          <w:sz w:val="22"/>
          <w:szCs w:val="22"/>
          <w:rtl w:val="0"/>
          <w:lang w:val="en-US"/>
        </w:rPr>
        <w:t xml:space="preserve">≥ </w:t>
      </w:r>
      <w:r>
        <w:rPr>
          <w:sz w:val="22"/>
          <w:szCs w:val="22"/>
          <w:rtl w:val="0"/>
          <w:lang w:val="en-US"/>
        </w:rPr>
        <w:t>0 act on component space. A defines the kinetic form, B the intervertex stiffness, and U the intravertex coupling. Their independence of the vertex label is an assumption of the model class considered here. The matrix U should not be confused with the vertex set V.</w:t>
      </w:r>
    </w:p>
    <w:p>
      <w:pPr>
        <w:pStyle w:val="Normal.0"/>
        <w:spacing w:after="80" w:line="240" w:lineRule="atLeast"/>
        <w:rPr>
          <w:sz w:val="22"/>
          <w:szCs w:val="22"/>
        </w:rPr>
      </w:pPr>
      <w:r>
        <w:rPr>
          <w:sz w:val="22"/>
          <w:szCs w:val="22"/>
          <w:rtl w:val="0"/>
          <w:lang w:val="en-US"/>
        </w:rPr>
        <w:t>For a changing network it is convenient to write w</w:t>
      </w:r>
      <w:r>
        <w:rPr>
          <w:sz w:val="22"/>
          <w:szCs w:val="22"/>
          <w:rtl w:val="0"/>
          <w:lang w:val="en-US"/>
        </w:rPr>
        <w:t xml:space="preserve">ₑ </w:t>
      </w:r>
      <w:r>
        <w:rPr>
          <w:sz w:val="22"/>
          <w:szCs w:val="22"/>
          <w:rtl w:val="0"/>
          <w:lang w:val="en-US"/>
        </w:rPr>
        <w:t>= exp(y</w:t>
      </w:r>
      <w:r>
        <w:rPr>
          <w:sz w:val="22"/>
          <w:szCs w:val="22"/>
          <w:rtl w:val="0"/>
          <w:lang w:val="en-US"/>
        </w:rPr>
        <w:t>ₑ</w:t>
      </w:r>
      <w:r>
        <w:rPr>
          <w:sz w:val="22"/>
          <w:szCs w:val="22"/>
          <w:rtl w:val="0"/>
          <w:lang w:val="en-US"/>
        </w:rPr>
        <w:t xml:space="preserve">) and introduce a momentum </w:t>
      </w:r>
      <w:r>
        <w:rPr>
          <w:sz w:val="22"/>
          <w:szCs w:val="22"/>
          <w:rtl w:val="0"/>
          <w:lang w:val="en-US"/>
        </w:rPr>
        <w:t xml:space="preserve">Πₑ </w:t>
      </w:r>
      <w:r>
        <w:rPr>
          <w:sz w:val="22"/>
          <w:szCs w:val="22"/>
          <w:rtl w:val="0"/>
          <w:lang w:val="en-US"/>
        </w:rPr>
        <w:t>conjugate to y</w:t>
      </w:r>
      <w:r>
        <w:rPr>
          <w:sz w:val="22"/>
          <w:szCs w:val="22"/>
          <w:rtl w:val="0"/>
          <w:lang w:val="en-US"/>
        </w:rPr>
        <w:t>ₑ</w:t>
      </w:r>
      <w:r>
        <w:rPr>
          <w:sz w:val="22"/>
          <w:szCs w:val="22"/>
          <w:rtl w:val="0"/>
          <w:lang w:val="en-US"/>
        </w:rPr>
        <w:t>. This parametrization preserves positivity of the weights. Exact zero weights may instead be represented by absent edges; on a complete graph, sufficiently small weights describe weak effective coupling. The choice of the set of possible edges is itself part of the model specification.</w:t>
      </w:r>
    </w:p>
    <w:p>
      <w:pPr>
        <w:pStyle w:val="Normal.0"/>
        <w:spacing w:after="80" w:line="240" w:lineRule="atLeast"/>
        <w:rPr>
          <w:sz w:val="22"/>
          <w:szCs w:val="22"/>
        </w:rPr>
      </w:pPr>
    </w:p>
    <w:p>
      <w:pPr>
        <w:pStyle w:val="Normal.0"/>
        <w:spacing w:after="80" w:line="240" w:lineRule="atLeast"/>
      </w:pPr>
    </w:p>
    <w:p>
      <w:pPr>
        <w:pStyle w:val="Заголовок 3"/>
        <w:spacing w:line="240" w:lineRule="atLeast"/>
        <w:rPr>
          <w:u w:val="single"/>
        </w:rPr>
      </w:pPr>
      <w:r>
        <w:rPr>
          <w:u w:val="single"/>
          <w:rtl w:val="0"/>
          <w:lang w:val="en-US"/>
        </w:rPr>
        <w:t>3.2. A Unified Hamiltonian</w:t>
      </w:r>
    </w:p>
    <w:p>
      <w:pPr>
        <w:pStyle w:val="Normal.0"/>
        <w:spacing w:after="80" w:line="240" w:lineRule="atLeast"/>
        <w:ind w:firstLine="0"/>
      </w:pPr>
      <w:r>
        <w:rPr>
          <w:sz w:val="22"/>
          <w:szCs w:val="22"/>
          <w:rtl w:val="0"/>
          <w:lang w:val="en-US"/>
        </w:rPr>
        <w:t>Consider the closed system</w:t>
      </w:r>
    </w:p>
    <w:tbl>
      <w:tblPr>
        <w:tblW w:w="9411"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8846"/>
        <w:gridCol w:w="565"/>
      </w:tblGrid>
      <w:tr>
        <w:tblPrEx>
          <w:shd w:val="clear" w:color="auto" w:fill="ced7e7"/>
        </w:tblPrEx>
        <w:trPr>
          <w:trHeight w:val="241" w:hRule="atLeast"/>
        </w:trPr>
        <w:tc>
          <w:tcPr>
            <w:tcW w:type="dxa" w:w="8846"/>
            <w:tcBorders>
              <w:top w:val="nil"/>
              <w:left w:val="nil"/>
              <w:bottom w:val="nil"/>
              <w:right w:val="nil"/>
            </w:tcBorders>
            <w:shd w:val="clear" w:color="auto" w:fill="auto"/>
            <w:tcMar>
              <w:top w:type="dxa" w:w="80"/>
              <w:left w:type="dxa" w:w="80"/>
              <w:bottom w:type="dxa" w:w="80"/>
              <w:right w:type="dxa" w:w="80"/>
            </w:tcMar>
            <w:vAlign w:val="top"/>
          </w:tcPr>
          <w:p>
            <w:pPr>
              <w:pStyle w:val="Equation"/>
              <w:keepLines w:val="1"/>
              <w:spacing w:after="40"/>
              <w:ind w:firstLine="0"/>
            </w:pPr>
            <w:r>
              <w:rPr>
                <w:rFonts w:ascii="Times New Roman" w:hAnsi="Times New Roman"/>
                <w:sz w:val="18"/>
                <w:szCs w:val="18"/>
                <w:rtl w:val="0"/>
                <w:lang w:val="en-US"/>
              </w:rPr>
              <w:t>H = H</w:t>
            </w:r>
            <w:r>
              <w:rPr>
                <w:rFonts w:ascii="Arial Unicode MS" w:cs="Arial Unicode MS" w:hAnsi="Arial Unicode MS" w:eastAsia="Arial Unicode MS" w:hint="default"/>
                <w:b w:val="0"/>
                <w:bCs w:val="0"/>
                <w:i w:val="0"/>
                <w:iCs w:val="0"/>
                <w:sz w:val="18"/>
                <w:szCs w:val="18"/>
                <w:rtl w:val="0"/>
                <w:lang w:val="en-US"/>
              </w:rPr>
              <w:t>ₚ</w:t>
            </w:r>
            <w:r>
              <w:rPr>
                <w:rFonts w:ascii="Times New Roman" w:hAnsi="Times New Roman"/>
                <w:sz w:val="18"/>
                <w:szCs w:val="18"/>
                <w:rtl w:val="0"/>
                <w:lang w:val="en-US"/>
              </w:rPr>
              <w:t xml:space="preserve"> </w:t>
            </w:r>
            <w:r>
              <w:rPr>
                <w:rFonts w:ascii="Times New Roman" w:hAnsi="Times New Roman"/>
                <w:sz w:val="18"/>
                <w:szCs w:val="18"/>
                <w:rtl w:val="0"/>
                <w:lang w:val="en-US"/>
              </w:rPr>
              <w:t>+ Hᵣ,</w:t>
            </w:r>
          </w:p>
        </w:tc>
        <w:tc>
          <w:tcPr>
            <w:tcW w:type="dxa" w:w="565"/>
            <w:tcBorders>
              <w:top w:val="nil"/>
              <w:left w:val="nil"/>
              <w:bottom w:val="nil"/>
              <w:right w:val="nil"/>
            </w:tcBorders>
            <w:shd w:val="clear" w:color="auto" w:fill="auto"/>
            <w:tcMar>
              <w:top w:type="dxa" w:w="80"/>
              <w:left w:type="dxa" w:w="80"/>
              <w:bottom w:type="dxa" w:w="80"/>
              <w:right w:type="dxa" w:w="80"/>
            </w:tcMar>
            <w:vAlign w:val="top"/>
          </w:tcPr>
          <w:p>
            <w:pPr>
              <w:pStyle w:val="Normal.0"/>
              <w:keepLines w:val="1"/>
              <w:spacing w:after="40" w:line="240" w:lineRule="auto"/>
              <w:ind w:firstLine="0"/>
              <w:jc w:val="right"/>
            </w:pPr>
            <w:r>
              <w:rPr>
                <w:sz w:val="18"/>
                <w:szCs w:val="18"/>
                <w:rtl w:val="0"/>
                <w:lang w:val="en-US"/>
              </w:rPr>
              <w:t>(2)</w:t>
            </w:r>
          </w:p>
        </w:tc>
      </w:tr>
      <w:tr>
        <w:tblPrEx>
          <w:shd w:val="clear" w:color="auto" w:fill="ced7e7"/>
        </w:tblPrEx>
        <w:trPr>
          <w:trHeight w:val="247" w:hRule="atLeast"/>
        </w:trPr>
        <w:tc>
          <w:tcPr>
            <w:tcW w:type="dxa" w:w="8846"/>
            <w:tcBorders>
              <w:top w:val="nil"/>
              <w:left w:val="nil"/>
              <w:bottom w:val="nil"/>
              <w:right w:val="nil"/>
            </w:tcBorders>
            <w:shd w:val="clear" w:color="auto" w:fill="auto"/>
            <w:tcMar>
              <w:top w:type="dxa" w:w="80"/>
              <w:left w:type="dxa" w:w="80"/>
              <w:bottom w:type="dxa" w:w="80"/>
              <w:right w:type="dxa" w:w="80"/>
            </w:tcMar>
            <w:vAlign w:val="top"/>
          </w:tcPr>
          <w:p>
            <w:pPr>
              <w:pStyle w:val="Equation"/>
              <w:keepLines w:val="1"/>
              <w:spacing w:after="40"/>
              <w:ind w:firstLine="0"/>
            </w:pPr>
            <w:r>
              <w:rPr>
                <w:rFonts w:ascii="Times New Roman" w:hAnsi="Times New Roman"/>
                <w:sz w:val="18"/>
                <w:szCs w:val="18"/>
                <w:rtl w:val="0"/>
                <w:lang w:val="en-US"/>
              </w:rPr>
              <w:t>H</w:t>
            </w:r>
            <w:r>
              <w:rPr>
                <w:rFonts w:ascii="Arial Unicode MS" w:cs="Arial Unicode MS" w:hAnsi="Arial Unicode MS" w:eastAsia="Arial Unicode MS" w:hint="default"/>
                <w:b w:val="0"/>
                <w:bCs w:val="0"/>
                <w:i w:val="0"/>
                <w:iCs w:val="0"/>
                <w:sz w:val="18"/>
                <w:szCs w:val="18"/>
                <w:rtl w:val="0"/>
                <w:lang w:val="en-US"/>
              </w:rPr>
              <w:t>ₚ</w:t>
            </w:r>
            <w:r>
              <w:rPr>
                <w:rFonts w:ascii="Times New Roman" w:hAnsi="Times New Roman"/>
                <w:sz w:val="18"/>
                <w:szCs w:val="18"/>
                <w:rtl w:val="0"/>
                <w:lang w:val="en-US"/>
              </w:rPr>
              <w:t xml:space="preserve"> </w:t>
            </w:r>
            <w:r>
              <w:rPr>
                <w:rFonts w:ascii="Times New Roman" w:hAnsi="Times New Roman"/>
                <w:sz w:val="18"/>
                <w:szCs w:val="18"/>
                <w:rtl w:val="0"/>
                <w:lang w:val="en-US"/>
              </w:rPr>
              <w:t xml:space="preserve">= </w:t>
            </w:r>
            <w:r>
              <w:rPr>
                <w:rFonts w:ascii="Times New Roman" w:hAnsi="Times New Roman" w:hint="default"/>
                <w:sz w:val="18"/>
                <w:szCs w:val="18"/>
                <w:rtl w:val="0"/>
                <w:lang w:val="en-US"/>
              </w:rPr>
              <w:t>½∑</w:t>
            </w:r>
            <w:r>
              <w:rPr>
                <w:rFonts w:ascii="Times New Roman" w:hAnsi="Times New Roman"/>
                <w:sz w:val="18"/>
                <w:szCs w:val="18"/>
                <w:rtl w:val="0"/>
                <w:lang w:val="en-US"/>
              </w:rPr>
              <w:t>ᵢ pᵢᵀA</w:t>
            </w:r>
            <w:r>
              <w:rPr>
                <w:rFonts w:ascii="Arial Unicode MS" w:cs="Arial Unicode MS" w:hAnsi="Arial Unicode MS" w:eastAsia="Arial Unicode MS" w:hint="default"/>
                <w:b w:val="0"/>
                <w:bCs w:val="0"/>
                <w:i w:val="0"/>
                <w:iCs w:val="0"/>
                <w:sz w:val="18"/>
                <w:szCs w:val="18"/>
                <w:rtl w:val="0"/>
                <w:lang w:val="en-US"/>
              </w:rPr>
              <w:t>⁻</w:t>
            </w:r>
            <w:r>
              <w:rPr>
                <w:rFonts w:ascii="Times New Roman" w:hAnsi="Times New Roman" w:hint="default"/>
                <w:sz w:val="18"/>
                <w:szCs w:val="18"/>
                <w:rtl w:val="0"/>
                <w:lang w:val="en-US"/>
              </w:rPr>
              <w:t>¹</w:t>
            </w:r>
            <w:r>
              <w:rPr>
                <w:rFonts w:ascii="Times New Roman" w:hAnsi="Times New Roman"/>
                <w:sz w:val="18"/>
                <w:szCs w:val="18"/>
                <w:rtl w:val="0"/>
                <w:lang w:val="en-US"/>
              </w:rPr>
              <w:t xml:space="preserve">pᵢ + </w:t>
            </w:r>
            <w:r>
              <w:rPr>
                <w:rFonts w:ascii="Times New Roman" w:hAnsi="Times New Roman" w:hint="default"/>
                <w:sz w:val="18"/>
                <w:szCs w:val="18"/>
                <w:rtl w:val="0"/>
                <w:lang w:val="en-US"/>
              </w:rPr>
              <w:t>½∑</w:t>
            </w:r>
            <w:r>
              <w:rPr>
                <w:rFonts w:ascii="Arial Unicode MS" w:cs="Arial Unicode MS" w:hAnsi="Arial Unicode MS" w:eastAsia="Arial Unicode MS" w:hint="default"/>
                <w:b w:val="0"/>
                <w:bCs w:val="0"/>
                <w:i w:val="0"/>
                <w:iCs w:val="0"/>
                <w:sz w:val="18"/>
                <w:szCs w:val="18"/>
                <w:rtl w:val="0"/>
                <w:lang w:val="en-US"/>
              </w:rPr>
              <w:t>⟨</w:t>
            </w:r>
            <w:r>
              <w:rPr>
                <w:rFonts w:ascii="Times New Roman" w:hAnsi="Times New Roman"/>
                <w:sz w:val="18"/>
                <w:szCs w:val="18"/>
                <w:rtl w:val="0"/>
                <w:lang w:val="en-US"/>
              </w:rPr>
              <w:t>ij</w:t>
            </w:r>
            <w:r>
              <w:rPr>
                <w:rFonts w:ascii="Arial Unicode MS" w:cs="Arial Unicode MS" w:hAnsi="Arial Unicode MS" w:eastAsia="Arial Unicode MS" w:hint="default"/>
                <w:b w:val="0"/>
                <w:bCs w:val="0"/>
                <w:i w:val="0"/>
                <w:iCs w:val="0"/>
                <w:sz w:val="18"/>
                <w:szCs w:val="18"/>
                <w:rtl w:val="0"/>
                <w:lang w:val="en-US"/>
              </w:rPr>
              <w:t>⟩</w:t>
            </w:r>
            <w:r>
              <w:rPr>
                <w:rFonts w:ascii="Times New Roman" w:hAnsi="Times New Roman"/>
                <w:sz w:val="18"/>
                <w:szCs w:val="18"/>
                <w:rtl w:val="0"/>
                <w:lang w:val="en-US"/>
              </w:rPr>
              <w:t xml:space="preserve"> </w:t>
            </w:r>
            <w:r>
              <w:rPr>
                <w:rFonts w:ascii="Times New Roman" w:hAnsi="Times New Roman"/>
                <w:sz w:val="18"/>
                <w:szCs w:val="18"/>
                <w:rtl w:val="0"/>
                <w:lang w:val="en-US"/>
              </w:rPr>
              <w:t>wᵢ</w:t>
            </w:r>
            <w:r>
              <w:rPr>
                <w:rFonts w:ascii="Arial Unicode MS" w:cs="Arial Unicode MS" w:hAnsi="Arial Unicode MS" w:eastAsia="Arial Unicode MS" w:hint="default"/>
                <w:b w:val="0"/>
                <w:bCs w:val="0"/>
                <w:i w:val="0"/>
                <w:iCs w:val="0"/>
                <w:sz w:val="18"/>
                <w:szCs w:val="18"/>
                <w:rtl w:val="0"/>
                <w:lang w:val="en-US"/>
              </w:rPr>
              <w:t>ⱼ</w:t>
            </w:r>
            <w:r>
              <w:rPr>
                <w:rFonts w:ascii="Times New Roman" w:hAnsi="Times New Roman"/>
                <w:sz w:val="18"/>
                <w:szCs w:val="18"/>
                <w:rtl w:val="0"/>
                <w:lang w:val="en-US"/>
              </w:rPr>
              <w:t>(</w:t>
            </w:r>
            <w:r>
              <w:rPr>
                <w:rFonts w:ascii="Times New Roman" w:hAnsi="Times New Roman" w:hint="default"/>
                <w:sz w:val="18"/>
                <w:szCs w:val="18"/>
                <w:rtl w:val="0"/>
                <w:lang w:val="en-US"/>
              </w:rPr>
              <w:t>Φ</w:t>
            </w:r>
            <w:r>
              <w:rPr>
                <w:rFonts w:ascii="Times New Roman" w:hAnsi="Times New Roman"/>
                <w:sz w:val="18"/>
                <w:szCs w:val="18"/>
                <w:rtl w:val="0"/>
                <w:lang w:val="en-US"/>
              </w:rPr>
              <w:t xml:space="preserve">ᵢ </w:t>
            </w:r>
            <w:r>
              <w:rPr>
                <w:rFonts w:ascii="Times New Roman" w:hAnsi="Times New Roman" w:hint="default"/>
                <w:sz w:val="18"/>
                <w:szCs w:val="18"/>
                <w:rtl w:val="0"/>
                <w:lang w:val="en-US"/>
              </w:rPr>
              <w:t>− Φ</w:t>
            </w:r>
            <w:r>
              <w:rPr>
                <w:rFonts w:ascii="Arial Unicode MS" w:cs="Arial Unicode MS" w:hAnsi="Arial Unicode MS" w:eastAsia="Arial Unicode MS" w:hint="default"/>
                <w:b w:val="0"/>
                <w:bCs w:val="0"/>
                <w:i w:val="0"/>
                <w:iCs w:val="0"/>
                <w:sz w:val="18"/>
                <w:szCs w:val="18"/>
                <w:rtl w:val="0"/>
                <w:lang w:val="en-US"/>
              </w:rPr>
              <w:t>ⱼ</w:t>
            </w:r>
            <w:r>
              <w:rPr>
                <w:rFonts w:ascii="Times New Roman" w:hAnsi="Times New Roman"/>
                <w:sz w:val="18"/>
                <w:szCs w:val="18"/>
                <w:rtl w:val="0"/>
                <w:lang w:val="en-US"/>
              </w:rPr>
              <w:t>)ᵀB(</w:t>
            </w:r>
            <w:r>
              <w:rPr>
                <w:rFonts w:ascii="Times New Roman" w:hAnsi="Times New Roman" w:hint="default"/>
                <w:sz w:val="18"/>
                <w:szCs w:val="18"/>
                <w:rtl w:val="0"/>
                <w:lang w:val="en-US"/>
              </w:rPr>
              <w:t>Φ</w:t>
            </w:r>
            <w:r>
              <w:rPr>
                <w:rFonts w:ascii="Times New Roman" w:hAnsi="Times New Roman"/>
                <w:sz w:val="18"/>
                <w:szCs w:val="18"/>
                <w:rtl w:val="0"/>
                <w:lang w:val="en-US"/>
              </w:rPr>
              <w:t xml:space="preserve">ᵢ </w:t>
            </w:r>
            <w:r>
              <w:rPr>
                <w:rFonts w:ascii="Times New Roman" w:hAnsi="Times New Roman" w:hint="default"/>
                <w:sz w:val="18"/>
                <w:szCs w:val="18"/>
                <w:rtl w:val="0"/>
                <w:lang w:val="en-US"/>
              </w:rPr>
              <w:t>− Φ</w:t>
            </w:r>
            <w:r>
              <w:rPr>
                <w:rFonts w:ascii="Arial Unicode MS" w:cs="Arial Unicode MS" w:hAnsi="Arial Unicode MS" w:eastAsia="Arial Unicode MS" w:hint="default"/>
                <w:b w:val="0"/>
                <w:bCs w:val="0"/>
                <w:i w:val="0"/>
                <w:iCs w:val="0"/>
                <w:sz w:val="18"/>
                <w:szCs w:val="18"/>
                <w:rtl w:val="0"/>
                <w:lang w:val="en-US"/>
              </w:rPr>
              <w:t>ⱼ</w:t>
            </w:r>
            <w:r>
              <w:rPr>
                <w:rFonts w:ascii="Times New Roman" w:hAnsi="Times New Roman"/>
                <w:sz w:val="18"/>
                <w:szCs w:val="18"/>
                <w:rtl w:val="0"/>
                <w:lang w:val="en-US"/>
              </w:rPr>
              <w:t xml:space="preserve">) + </w:t>
            </w:r>
            <w:r>
              <w:rPr>
                <w:rFonts w:ascii="Times New Roman" w:hAnsi="Times New Roman" w:hint="default"/>
                <w:sz w:val="18"/>
                <w:szCs w:val="18"/>
                <w:rtl w:val="0"/>
                <w:lang w:val="en-US"/>
              </w:rPr>
              <w:t>½∑</w:t>
            </w:r>
            <w:r>
              <w:rPr>
                <w:rFonts w:ascii="Times New Roman" w:hAnsi="Times New Roman"/>
                <w:sz w:val="18"/>
                <w:szCs w:val="18"/>
                <w:rtl w:val="0"/>
                <w:lang w:val="en-US"/>
              </w:rPr>
              <w:t xml:space="preserve">ᵢ </w:t>
            </w:r>
            <w:r>
              <w:rPr>
                <w:rFonts w:ascii="Times New Roman" w:hAnsi="Times New Roman" w:hint="default"/>
                <w:sz w:val="18"/>
                <w:szCs w:val="18"/>
                <w:rtl w:val="0"/>
                <w:lang w:val="en-US"/>
              </w:rPr>
              <w:t>Φ</w:t>
            </w:r>
            <w:r>
              <w:rPr>
                <w:rFonts w:ascii="Times New Roman" w:hAnsi="Times New Roman"/>
                <w:sz w:val="18"/>
                <w:szCs w:val="18"/>
                <w:rtl w:val="0"/>
                <w:lang w:val="en-US"/>
              </w:rPr>
              <w:t>ᵢᵀU</w:t>
            </w:r>
            <w:r>
              <w:rPr>
                <w:rFonts w:ascii="Times New Roman" w:hAnsi="Times New Roman" w:hint="default"/>
                <w:sz w:val="18"/>
                <w:szCs w:val="18"/>
                <w:rtl w:val="0"/>
                <w:lang w:val="en-US"/>
              </w:rPr>
              <w:t>Φ</w:t>
            </w:r>
            <w:r>
              <w:rPr>
                <w:rFonts w:ascii="Times New Roman" w:hAnsi="Times New Roman"/>
                <w:sz w:val="18"/>
                <w:szCs w:val="18"/>
                <w:rtl w:val="0"/>
                <w:lang w:val="en-US"/>
              </w:rPr>
              <w:t>ᵢ,</w:t>
            </w:r>
          </w:p>
        </w:tc>
        <w:tc>
          <w:tcPr>
            <w:tcW w:type="dxa" w:w="565"/>
            <w:tcBorders>
              <w:top w:val="nil"/>
              <w:left w:val="nil"/>
              <w:bottom w:val="nil"/>
              <w:right w:val="nil"/>
            </w:tcBorders>
            <w:shd w:val="clear" w:color="auto" w:fill="auto"/>
            <w:tcMar>
              <w:top w:type="dxa" w:w="80"/>
              <w:left w:type="dxa" w:w="80"/>
              <w:bottom w:type="dxa" w:w="80"/>
              <w:right w:type="dxa" w:w="80"/>
            </w:tcMar>
            <w:vAlign w:val="top"/>
          </w:tcPr>
          <w:p>
            <w:pPr>
              <w:pStyle w:val="Normal.0"/>
              <w:keepLines w:val="1"/>
              <w:spacing w:after="40" w:line="240" w:lineRule="auto"/>
              <w:ind w:firstLine="0"/>
              <w:jc w:val="right"/>
            </w:pPr>
            <w:r>
              <w:rPr>
                <w:sz w:val="18"/>
                <w:szCs w:val="18"/>
                <w:rtl w:val="0"/>
                <w:lang w:val="en-US"/>
              </w:rPr>
              <w:t>(3)</w:t>
            </w:r>
          </w:p>
        </w:tc>
      </w:tr>
      <w:tr>
        <w:tblPrEx>
          <w:shd w:val="clear" w:color="auto" w:fill="ced7e7"/>
        </w:tblPrEx>
        <w:trPr>
          <w:trHeight w:val="212" w:hRule="atLeast"/>
        </w:trPr>
        <w:tc>
          <w:tcPr>
            <w:tcW w:type="dxa" w:w="8846"/>
            <w:tcBorders>
              <w:top w:val="nil"/>
              <w:left w:val="nil"/>
              <w:bottom w:val="nil"/>
              <w:right w:val="nil"/>
            </w:tcBorders>
            <w:shd w:val="clear" w:color="auto" w:fill="auto"/>
            <w:tcMar>
              <w:top w:type="dxa" w:w="80"/>
              <w:left w:type="dxa" w:w="80"/>
              <w:bottom w:type="dxa" w:w="80"/>
              <w:right w:type="dxa" w:w="80"/>
            </w:tcMar>
            <w:vAlign w:val="top"/>
          </w:tcPr>
          <w:p>
            <w:pPr>
              <w:pStyle w:val="Equation"/>
              <w:keepLines w:val="1"/>
              <w:spacing w:after="40"/>
              <w:ind w:firstLine="0"/>
            </w:pPr>
            <w:r>
              <w:rPr>
                <w:rFonts w:ascii="Times New Roman" w:hAnsi="Times New Roman"/>
                <w:sz w:val="18"/>
                <w:szCs w:val="18"/>
                <w:rtl w:val="0"/>
                <w:lang w:val="en-US"/>
              </w:rPr>
              <w:t xml:space="preserve">Hᵣ = </w:t>
            </w:r>
            <w:r>
              <w:rPr>
                <w:rFonts w:ascii="Times New Roman" w:hAnsi="Times New Roman" w:hint="default"/>
                <w:sz w:val="18"/>
                <w:szCs w:val="18"/>
                <w:rtl w:val="0"/>
                <w:lang w:val="en-US"/>
              </w:rPr>
              <w:t>∑ₑ Πₑ²</w:t>
            </w:r>
            <w:r>
              <w:rPr>
                <w:rFonts w:ascii="Times New Roman" w:hAnsi="Times New Roman"/>
                <w:sz w:val="18"/>
                <w:szCs w:val="18"/>
                <w:rtl w:val="0"/>
                <w:lang w:val="en-US"/>
              </w:rPr>
              <w:t>/(2I</w:t>
            </w:r>
            <w:r>
              <w:rPr>
                <w:rFonts w:ascii="Times New Roman" w:hAnsi="Times New Roman" w:hint="default"/>
                <w:sz w:val="18"/>
                <w:szCs w:val="18"/>
                <w:rtl w:val="0"/>
                <w:lang w:val="en-US"/>
              </w:rPr>
              <w:t>ₑ</w:t>
            </w:r>
            <w:r>
              <w:rPr>
                <w:rFonts w:ascii="Times New Roman" w:hAnsi="Times New Roman"/>
                <w:sz w:val="18"/>
                <w:szCs w:val="18"/>
                <w:rtl w:val="0"/>
                <w:lang w:val="en-US"/>
              </w:rPr>
              <w:t>) + Vᵣ(y),     I</w:t>
            </w:r>
            <w:r>
              <w:rPr>
                <w:rFonts w:ascii="Times New Roman" w:hAnsi="Times New Roman" w:hint="default"/>
                <w:sz w:val="18"/>
                <w:szCs w:val="18"/>
                <w:rtl w:val="0"/>
                <w:lang w:val="en-US"/>
              </w:rPr>
              <w:t xml:space="preserve">ₑ </w:t>
            </w:r>
            <w:r>
              <w:rPr>
                <w:rFonts w:ascii="Times New Roman" w:hAnsi="Times New Roman"/>
                <w:sz w:val="18"/>
                <w:szCs w:val="18"/>
                <w:rtl w:val="0"/>
                <w:lang w:val="en-US"/>
              </w:rPr>
              <w:t>&gt; 0.</w:t>
            </w:r>
          </w:p>
        </w:tc>
        <w:tc>
          <w:tcPr>
            <w:tcW w:type="dxa" w:w="565"/>
            <w:tcBorders>
              <w:top w:val="nil"/>
              <w:left w:val="nil"/>
              <w:bottom w:val="nil"/>
              <w:right w:val="nil"/>
            </w:tcBorders>
            <w:shd w:val="clear" w:color="auto" w:fill="auto"/>
            <w:tcMar>
              <w:top w:type="dxa" w:w="80"/>
              <w:left w:type="dxa" w:w="80"/>
              <w:bottom w:type="dxa" w:w="80"/>
              <w:right w:type="dxa" w:w="80"/>
            </w:tcMar>
            <w:vAlign w:val="top"/>
          </w:tcPr>
          <w:p>
            <w:pPr>
              <w:pStyle w:val="Normal.0"/>
              <w:keepLines w:val="1"/>
              <w:spacing w:after="40" w:line="240" w:lineRule="auto"/>
              <w:ind w:firstLine="0"/>
              <w:jc w:val="right"/>
            </w:pPr>
            <w:r>
              <w:rPr>
                <w:sz w:val="18"/>
                <w:szCs w:val="18"/>
                <w:rtl w:val="0"/>
                <w:lang w:val="en-US"/>
              </w:rPr>
              <w:t>(4)</w:t>
            </w:r>
          </w:p>
        </w:tc>
      </w:tr>
    </w:tbl>
    <w:p>
      <w:pPr>
        <w:pStyle w:val="Normal.0"/>
        <w:widowControl w:val="0"/>
        <w:spacing w:after="80" w:line="240" w:lineRule="atLeast"/>
        <w:ind w:firstLine="0"/>
        <w:jc w:val="center"/>
      </w:pPr>
    </w:p>
    <w:p>
      <w:pPr>
        <w:pStyle w:val="Normal.0"/>
        <w:spacing w:after="80" w:line="240" w:lineRule="atLeast"/>
      </w:pPr>
      <w:r>
        <w:rPr>
          <w:sz w:val="22"/>
          <w:szCs w:val="22"/>
          <w:rtl w:val="0"/>
          <w:lang w:val="en-US"/>
        </w:rPr>
        <w:t>The potential Vᵣ is assumed smooth and bounded below. If the full set of edges is allowed, equal I</w:t>
      </w:r>
      <w:r>
        <w:rPr>
          <w:sz w:val="22"/>
          <w:szCs w:val="22"/>
          <w:rtl w:val="0"/>
          <w:lang w:val="en-US"/>
        </w:rPr>
        <w:t xml:space="preserve">ₑ </w:t>
      </w:r>
      <w:r>
        <w:rPr>
          <w:sz w:val="22"/>
          <w:szCs w:val="22"/>
          <w:rtl w:val="0"/>
          <w:lang w:val="en-US"/>
        </w:rPr>
        <w:t>and a permutation-invariant Vᵣ ensure independence from vertex labels. For example, a quadratic potential around a common value y</w:t>
      </w:r>
      <w:r>
        <w:rPr>
          <w:rFonts w:ascii="Arial Unicode MS" w:cs="Arial Unicode MS" w:hAnsi="Arial Unicode MS" w:eastAsia="Arial Unicode MS" w:hint="default"/>
          <w:b w:val="0"/>
          <w:bCs w:val="0"/>
          <w:i w:val="0"/>
          <w:iCs w:val="0"/>
          <w:sz w:val="22"/>
          <w:szCs w:val="22"/>
          <w:rtl w:val="0"/>
          <w:lang w:val="en-US"/>
        </w:rPr>
        <w:t>₀</w:t>
      </w:r>
      <w:r>
        <w:rPr>
          <w:sz w:val="22"/>
          <w:szCs w:val="22"/>
          <w:rtl w:val="0"/>
          <w:lang w:val="en-US"/>
        </w:rPr>
        <w:t xml:space="preserve"> </w:t>
      </w:r>
      <w:r>
        <w:rPr>
          <w:sz w:val="22"/>
          <w:szCs w:val="22"/>
          <w:rtl w:val="0"/>
          <w:lang w:val="en-US"/>
        </w:rPr>
        <w:t>gives a well-defined finite dynamics. By itself, however, it does not select a low-dimensional geometry. A more complicated Vᵣ requires an independent physical motivation rather than tuning to a desired metric.</w:t>
      </w:r>
    </w:p>
    <w:p>
      <w:pPr>
        <w:pStyle w:val="Normal.0"/>
        <w:spacing w:after="80" w:line="240" w:lineRule="atLeast"/>
      </w:pPr>
      <w:r>
        <w:rPr>
          <w:sz w:val="22"/>
          <w:szCs w:val="22"/>
          <w:rtl w:val="0"/>
          <w:lang w:val="en-US"/>
        </w:rPr>
        <w:t xml:space="preserve">Using the Hamiltonian-flow parameter </w:t>
      </w:r>
      <w:r>
        <w:rPr>
          <w:sz w:val="22"/>
          <w:szCs w:val="22"/>
          <w:rtl w:val="0"/>
          <w:lang w:val="en-US"/>
        </w:rPr>
        <w:t>τ</w:t>
      </w:r>
      <w:r>
        <w:rPr>
          <w:sz w:val="22"/>
          <w:szCs w:val="22"/>
          <w:rtl w:val="0"/>
          <w:lang w:val="en-US"/>
        </w:rPr>
        <w:t>, the equations of motion are</w:t>
      </w:r>
    </w:p>
    <w:tbl>
      <w:tblPr>
        <w:tblW w:w="9411"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8846"/>
        <w:gridCol w:w="565"/>
      </w:tblGrid>
      <w:tr>
        <w:tblPrEx>
          <w:shd w:val="clear" w:color="auto" w:fill="ced7e7"/>
        </w:tblPrEx>
        <w:trPr>
          <w:trHeight w:val="244" w:hRule="atLeast"/>
        </w:trPr>
        <w:tc>
          <w:tcPr>
            <w:tcW w:type="dxa" w:w="8846"/>
            <w:tcBorders>
              <w:top w:val="nil"/>
              <w:left w:val="nil"/>
              <w:bottom w:val="nil"/>
              <w:right w:val="nil"/>
            </w:tcBorders>
            <w:shd w:val="clear" w:color="auto" w:fill="auto"/>
            <w:tcMar>
              <w:top w:type="dxa" w:w="80"/>
              <w:left w:type="dxa" w:w="80"/>
              <w:bottom w:type="dxa" w:w="80"/>
              <w:right w:type="dxa" w:w="80"/>
            </w:tcMar>
            <w:vAlign w:val="top"/>
          </w:tcPr>
          <w:p>
            <w:pPr>
              <w:pStyle w:val="Equation"/>
              <w:keepLines w:val="1"/>
              <w:spacing w:after="40"/>
              <w:ind w:firstLine="0"/>
            </w:pPr>
            <w:r>
              <w:rPr>
                <w:rFonts w:ascii="Times New Roman" w:hAnsi="Times New Roman" w:hint="default"/>
                <w:sz w:val="18"/>
                <w:szCs w:val="18"/>
                <w:rtl w:val="0"/>
                <w:lang w:val="en-US"/>
              </w:rPr>
              <w:t>Φ̇</w:t>
            </w:r>
            <w:r>
              <w:rPr>
                <w:rFonts w:ascii="Times New Roman" w:hAnsi="Times New Roman"/>
                <w:sz w:val="18"/>
                <w:szCs w:val="18"/>
                <w:rtl w:val="0"/>
                <w:lang w:val="en-US"/>
              </w:rPr>
              <w:t>ᵢ = A</w:t>
            </w:r>
            <w:r>
              <w:rPr>
                <w:rFonts w:ascii="Arial Unicode MS" w:cs="Arial Unicode MS" w:hAnsi="Arial Unicode MS" w:eastAsia="Arial Unicode MS" w:hint="default"/>
                <w:b w:val="0"/>
                <w:bCs w:val="0"/>
                <w:i w:val="0"/>
                <w:iCs w:val="0"/>
                <w:sz w:val="18"/>
                <w:szCs w:val="18"/>
                <w:rtl w:val="0"/>
                <w:lang w:val="en-US"/>
              </w:rPr>
              <w:t>⁻</w:t>
            </w:r>
            <w:r>
              <w:rPr>
                <w:rFonts w:ascii="Times New Roman" w:hAnsi="Times New Roman" w:hint="default"/>
                <w:sz w:val="18"/>
                <w:szCs w:val="18"/>
                <w:rtl w:val="0"/>
                <w:lang w:val="en-US"/>
              </w:rPr>
              <w:t>¹</w:t>
            </w:r>
            <w:r>
              <w:rPr>
                <w:rFonts w:ascii="Times New Roman" w:hAnsi="Times New Roman"/>
                <w:sz w:val="18"/>
                <w:szCs w:val="18"/>
                <w:rtl w:val="0"/>
                <w:lang w:val="en-US"/>
              </w:rPr>
              <w:t>pᵢ,     p</w:t>
            </w:r>
            <w:r>
              <w:rPr>
                <w:rFonts w:ascii="Times New Roman" w:hAnsi="Times New Roman" w:hint="default"/>
                <w:sz w:val="18"/>
                <w:szCs w:val="18"/>
                <w:rtl w:val="0"/>
                <w:lang w:val="en-US"/>
              </w:rPr>
              <w:t>̇</w:t>
            </w:r>
            <w:r>
              <w:rPr>
                <w:rFonts w:ascii="Times New Roman" w:hAnsi="Times New Roman"/>
                <w:sz w:val="18"/>
                <w:szCs w:val="18"/>
                <w:rtl w:val="0"/>
                <w:lang w:val="en-US"/>
              </w:rPr>
              <w:t xml:space="preserve">ᵢ = </w:t>
            </w:r>
            <w:r>
              <w:rPr>
                <w:rFonts w:ascii="Times New Roman" w:hAnsi="Times New Roman" w:hint="default"/>
                <w:sz w:val="18"/>
                <w:szCs w:val="18"/>
                <w:rtl w:val="0"/>
                <w:lang w:val="en-US"/>
              </w:rPr>
              <w:t>−∑</w:t>
            </w:r>
            <w:r>
              <w:rPr>
                <w:rFonts w:ascii="Arial Unicode MS" w:cs="Arial Unicode MS" w:hAnsi="Arial Unicode MS" w:eastAsia="Arial Unicode MS" w:hint="default"/>
                <w:b w:val="0"/>
                <w:bCs w:val="0"/>
                <w:i w:val="0"/>
                <w:iCs w:val="0"/>
                <w:sz w:val="18"/>
                <w:szCs w:val="18"/>
                <w:rtl w:val="0"/>
                <w:lang w:val="en-US"/>
              </w:rPr>
              <w:t>ⱼ</w:t>
            </w:r>
            <w:r>
              <w:rPr>
                <w:rFonts w:ascii="Times New Roman" w:hAnsi="Times New Roman"/>
                <w:sz w:val="18"/>
                <w:szCs w:val="18"/>
                <w:rtl w:val="0"/>
                <w:lang w:val="en-US"/>
              </w:rPr>
              <w:t xml:space="preserve"> </w:t>
            </w:r>
            <w:r>
              <w:rPr>
                <w:rFonts w:ascii="Times New Roman" w:hAnsi="Times New Roman"/>
                <w:sz w:val="18"/>
                <w:szCs w:val="18"/>
                <w:rtl w:val="0"/>
                <w:lang w:val="en-US"/>
              </w:rPr>
              <w:t>wᵢ</w:t>
            </w:r>
            <w:r>
              <w:rPr>
                <w:rFonts w:ascii="Arial Unicode MS" w:cs="Arial Unicode MS" w:hAnsi="Arial Unicode MS" w:eastAsia="Arial Unicode MS" w:hint="default"/>
                <w:b w:val="0"/>
                <w:bCs w:val="0"/>
                <w:i w:val="0"/>
                <w:iCs w:val="0"/>
                <w:sz w:val="18"/>
                <w:szCs w:val="18"/>
                <w:rtl w:val="0"/>
                <w:lang w:val="en-US"/>
              </w:rPr>
              <w:t>ⱼ</w:t>
            </w:r>
            <w:r>
              <w:rPr>
                <w:rFonts w:ascii="Times New Roman" w:hAnsi="Times New Roman"/>
                <w:sz w:val="18"/>
                <w:szCs w:val="18"/>
                <w:rtl w:val="0"/>
                <w:lang w:val="en-US"/>
              </w:rPr>
              <w:t>B(</w:t>
            </w:r>
            <w:r>
              <w:rPr>
                <w:rFonts w:ascii="Times New Roman" w:hAnsi="Times New Roman" w:hint="default"/>
                <w:sz w:val="18"/>
                <w:szCs w:val="18"/>
                <w:rtl w:val="0"/>
                <w:lang w:val="en-US"/>
              </w:rPr>
              <w:t>Φ</w:t>
            </w:r>
            <w:r>
              <w:rPr>
                <w:rFonts w:ascii="Times New Roman" w:hAnsi="Times New Roman"/>
                <w:sz w:val="18"/>
                <w:szCs w:val="18"/>
                <w:rtl w:val="0"/>
                <w:lang w:val="en-US"/>
              </w:rPr>
              <w:t xml:space="preserve">ᵢ </w:t>
            </w:r>
            <w:r>
              <w:rPr>
                <w:rFonts w:ascii="Times New Roman" w:hAnsi="Times New Roman" w:hint="default"/>
                <w:sz w:val="18"/>
                <w:szCs w:val="18"/>
                <w:rtl w:val="0"/>
                <w:lang w:val="en-US"/>
              </w:rPr>
              <w:t>− Φ</w:t>
            </w:r>
            <w:r>
              <w:rPr>
                <w:rFonts w:ascii="Arial Unicode MS" w:cs="Arial Unicode MS" w:hAnsi="Arial Unicode MS" w:eastAsia="Arial Unicode MS" w:hint="default"/>
                <w:b w:val="0"/>
                <w:bCs w:val="0"/>
                <w:i w:val="0"/>
                <w:iCs w:val="0"/>
                <w:sz w:val="18"/>
                <w:szCs w:val="18"/>
                <w:rtl w:val="0"/>
                <w:lang w:val="en-US"/>
              </w:rPr>
              <w:t>ⱼ</w:t>
            </w:r>
            <w:r>
              <w:rPr>
                <w:rFonts w:ascii="Times New Roman" w:hAnsi="Times New Roman"/>
                <w:sz w:val="18"/>
                <w:szCs w:val="18"/>
                <w:rtl w:val="0"/>
                <w:lang w:val="en-US"/>
              </w:rPr>
              <w:t xml:space="preserve">) </w:t>
            </w:r>
            <w:r>
              <w:rPr>
                <w:rFonts w:ascii="Times New Roman" w:hAnsi="Times New Roman" w:hint="default"/>
                <w:sz w:val="18"/>
                <w:szCs w:val="18"/>
                <w:rtl w:val="0"/>
                <w:lang w:val="en-US"/>
              </w:rPr>
              <w:t xml:space="preserve">− </w:t>
            </w:r>
            <w:r>
              <w:rPr>
                <w:rFonts w:ascii="Times New Roman" w:hAnsi="Times New Roman"/>
                <w:sz w:val="18"/>
                <w:szCs w:val="18"/>
                <w:rtl w:val="0"/>
                <w:lang w:val="en-US"/>
              </w:rPr>
              <w:t>U</w:t>
            </w:r>
            <w:r>
              <w:rPr>
                <w:rFonts w:ascii="Times New Roman" w:hAnsi="Times New Roman" w:hint="default"/>
                <w:sz w:val="18"/>
                <w:szCs w:val="18"/>
                <w:rtl w:val="0"/>
                <w:lang w:val="en-US"/>
              </w:rPr>
              <w:t>Φ</w:t>
            </w:r>
            <w:r>
              <w:rPr>
                <w:rFonts w:ascii="Times New Roman" w:hAnsi="Times New Roman"/>
                <w:sz w:val="18"/>
                <w:szCs w:val="18"/>
                <w:rtl w:val="0"/>
                <w:lang w:val="en-US"/>
              </w:rPr>
              <w:t>ᵢ,</w:t>
            </w:r>
          </w:p>
        </w:tc>
        <w:tc>
          <w:tcPr>
            <w:tcW w:type="dxa" w:w="565"/>
            <w:tcBorders>
              <w:top w:val="nil"/>
              <w:left w:val="nil"/>
              <w:bottom w:val="nil"/>
              <w:right w:val="nil"/>
            </w:tcBorders>
            <w:shd w:val="clear" w:color="auto" w:fill="auto"/>
            <w:tcMar>
              <w:top w:type="dxa" w:w="80"/>
              <w:left w:type="dxa" w:w="80"/>
              <w:bottom w:type="dxa" w:w="80"/>
              <w:right w:type="dxa" w:w="80"/>
            </w:tcMar>
            <w:vAlign w:val="top"/>
          </w:tcPr>
          <w:p>
            <w:pPr>
              <w:pStyle w:val="Normal.0"/>
              <w:keepLines w:val="1"/>
              <w:spacing w:after="40" w:line="240" w:lineRule="auto"/>
              <w:ind w:firstLine="0"/>
              <w:jc w:val="right"/>
            </w:pPr>
            <w:r>
              <w:rPr>
                <w:sz w:val="18"/>
                <w:szCs w:val="18"/>
                <w:rtl w:val="0"/>
                <w:lang w:val="en-US"/>
              </w:rPr>
              <w:t>(5)</w:t>
            </w:r>
          </w:p>
        </w:tc>
      </w:tr>
      <w:tr>
        <w:tblPrEx>
          <w:shd w:val="clear" w:color="auto" w:fill="ced7e7"/>
        </w:tblPrEx>
        <w:trPr>
          <w:trHeight w:val="212" w:hRule="atLeast"/>
        </w:trPr>
        <w:tc>
          <w:tcPr>
            <w:tcW w:type="dxa" w:w="8846"/>
            <w:tcBorders>
              <w:top w:val="nil"/>
              <w:left w:val="nil"/>
              <w:bottom w:val="nil"/>
              <w:right w:val="nil"/>
            </w:tcBorders>
            <w:shd w:val="clear" w:color="auto" w:fill="auto"/>
            <w:tcMar>
              <w:top w:type="dxa" w:w="80"/>
              <w:left w:type="dxa" w:w="80"/>
              <w:bottom w:type="dxa" w:w="80"/>
              <w:right w:type="dxa" w:w="80"/>
            </w:tcMar>
            <w:vAlign w:val="top"/>
          </w:tcPr>
          <w:p>
            <w:pPr>
              <w:pStyle w:val="Equation"/>
              <w:keepLines w:val="1"/>
              <w:spacing w:after="40"/>
              <w:ind w:firstLine="0"/>
            </w:pPr>
            <w:r>
              <w:rPr>
                <w:rFonts w:ascii="Times New Roman" w:hAnsi="Times New Roman" w:hint="default"/>
                <w:sz w:val="18"/>
                <w:szCs w:val="18"/>
                <w:rtl w:val="0"/>
                <w:lang w:val="en-US"/>
              </w:rPr>
              <w:t xml:space="preserve">ẏₑ </w:t>
            </w:r>
            <w:r>
              <w:rPr>
                <w:rFonts w:ascii="Times New Roman" w:hAnsi="Times New Roman"/>
                <w:sz w:val="18"/>
                <w:szCs w:val="18"/>
                <w:rtl w:val="0"/>
                <w:lang w:val="en-US"/>
              </w:rPr>
              <w:t xml:space="preserve">= </w:t>
            </w:r>
            <w:r>
              <w:rPr>
                <w:rFonts w:ascii="Times New Roman" w:hAnsi="Times New Roman" w:hint="default"/>
                <w:sz w:val="18"/>
                <w:szCs w:val="18"/>
                <w:rtl w:val="0"/>
                <w:lang w:val="en-US"/>
              </w:rPr>
              <w:t>Πₑ</w:t>
            </w:r>
            <w:r>
              <w:rPr>
                <w:rFonts w:ascii="Times New Roman" w:hAnsi="Times New Roman"/>
                <w:sz w:val="18"/>
                <w:szCs w:val="18"/>
                <w:rtl w:val="0"/>
                <w:lang w:val="en-US"/>
              </w:rPr>
              <w:t>/I</w:t>
            </w:r>
            <w:r>
              <w:rPr>
                <w:rFonts w:ascii="Times New Roman" w:hAnsi="Times New Roman" w:hint="default"/>
                <w:sz w:val="18"/>
                <w:szCs w:val="18"/>
                <w:rtl w:val="0"/>
                <w:lang w:val="en-US"/>
              </w:rPr>
              <w:t>ₑ</w:t>
            </w:r>
            <w:r>
              <w:rPr>
                <w:rFonts w:ascii="Times New Roman" w:hAnsi="Times New Roman"/>
                <w:sz w:val="18"/>
                <w:szCs w:val="18"/>
                <w:rtl w:val="0"/>
                <w:lang w:val="en-US"/>
              </w:rPr>
              <w:t xml:space="preserve">,     </w:t>
            </w:r>
            <w:r>
              <w:rPr>
                <w:rFonts w:ascii="Times New Roman" w:hAnsi="Times New Roman" w:hint="default"/>
                <w:sz w:val="18"/>
                <w:szCs w:val="18"/>
                <w:rtl w:val="0"/>
                <w:lang w:val="en-US"/>
              </w:rPr>
              <w:t xml:space="preserve">Π̇ₑ </w:t>
            </w:r>
            <w:r>
              <w:rPr>
                <w:rFonts w:ascii="Times New Roman" w:hAnsi="Times New Roman"/>
                <w:sz w:val="18"/>
                <w:szCs w:val="18"/>
                <w:rtl w:val="0"/>
                <w:lang w:val="en-US"/>
              </w:rPr>
              <w:t xml:space="preserve">= </w:t>
            </w:r>
            <w:r>
              <w:rPr>
                <w:rFonts w:ascii="Times New Roman" w:hAnsi="Times New Roman" w:hint="default"/>
                <w:sz w:val="18"/>
                <w:szCs w:val="18"/>
                <w:rtl w:val="0"/>
                <w:lang w:val="en-US"/>
              </w:rPr>
              <w:t>−½</w:t>
            </w:r>
            <w:r>
              <w:rPr>
                <w:rFonts w:ascii="Times New Roman" w:hAnsi="Times New Roman"/>
                <w:sz w:val="18"/>
                <w:szCs w:val="18"/>
                <w:rtl w:val="0"/>
                <w:lang w:val="en-US"/>
              </w:rPr>
              <w:t>w</w:t>
            </w:r>
            <w:r>
              <w:rPr>
                <w:rFonts w:ascii="Times New Roman" w:hAnsi="Times New Roman" w:hint="default"/>
                <w:sz w:val="18"/>
                <w:szCs w:val="18"/>
                <w:rtl w:val="0"/>
                <w:lang w:val="en-US"/>
              </w:rPr>
              <w:t>ₑ</w:t>
            </w:r>
            <w:r>
              <w:rPr>
                <w:rFonts w:ascii="Times New Roman" w:hAnsi="Times New Roman"/>
                <w:sz w:val="18"/>
                <w:szCs w:val="18"/>
                <w:rtl w:val="0"/>
                <w:lang w:val="en-US"/>
              </w:rPr>
              <w:t>(</w:t>
            </w:r>
            <w:r>
              <w:rPr>
                <w:rFonts w:ascii="Times New Roman" w:hAnsi="Times New Roman" w:hint="default"/>
                <w:sz w:val="18"/>
                <w:szCs w:val="18"/>
                <w:rtl w:val="0"/>
                <w:lang w:val="en-US"/>
              </w:rPr>
              <w:t>ΔΦₑ</w:t>
            </w:r>
            <w:r>
              <w:rPr>
                <w:rFonts w:ascii="Times New Roman" w:hAnsi="Times New Roman"/>
                <w:sz w:val="18"/>
                <w:szCs w:val="18"/>
                <w:rtl w:val="0"/>
                <w:lang w:val="en-US"/>
              </w:rPr>
              <w:t>)ᵀB</w:t>
            </w:r>
            <w:r>
              <w:rPr>
                <w:rFonts w:ascii="Times New Roman" w:hAnsi="Times New Roman" w:hint="default"/>
                <w:sz w:val="18"/>
                <w:szCs w:val="18"/>
                <w:rtl w:val="0"/>
                <w:lang w:val="en-US"/>
              </w:rPr>
              <w:t>ΔΦₑ − ∂</w:t>
            </w:r>
            <w:r>
              <w:rPr>
                <w:rFonts w:ascii="Times New Roman" w:hAnsi="Times New Roman"/>
                <w:sz w:val="18"/>
                <w:szCs w:val="18"/>
                <w:rtl w:val="0"/>
                <w:lang w:val="en-US"/>
              </w:rPr>
              <w:t>Vᵣ/</w:t>
            </w:r>
            <w:r>
              <w:rPr>
                <w:rFonts w:ascii="Times New Roman" w:hAnsi="Times New Roman" w:hint="default"/>
                <w:sz w:val="18"/>
                <w:szCs w:val="18"/>
                <w:rtl w:val="0"/>
                <w:lang w:val="en-US"/>
              </w:rPr>
              <w:t>∂</w:t>
            </w:r>
            <w:r>
              <w:rPr>
                <w:rFonts w:ascii="Times New Roman" w:hAnsi="Times New Roman"/>
                <w:sz w:val="18"/>
                <w:szCs w:val="18"/>
                <w:rtl w:val="0"/>
                <w:lang w:val="en-US"/>
              </w:rPr>
              <w:t>y</w:t>
            </w:r>
            <w:r>
              <w:rPr>
                <w:rFonts w:ascii="Times New Roman" w:hAnsi="Times New Roman" w:hint="default"/>
                <w:sz w:val="18"/>
                <w:szCs w:val="18"/>
                <w:rtl w:val="0"/>
                <w:lang w:val="en-US"/>
              </w:rPr>
              <w:t>ₑ</w:t>
            </w:r>
            <w:r>
              <w:rPr>
                <w:rFonts w:ascii="Times New Roman" w:hAnsi="Times New Roman"/>
                <w:sz w:val="18"/>
                <w:szCs w:val="18"/>
                <w:rtl w:val="0"/>
                <w:lang w:val="en-US"/>
              </w:rPr>
              <w:t>.</w:t>
            </w:r>
          </w:p>
        </w:tc>
        <w:tc>
          <w:tcPr>
            <w:tcW w:type="dxa" w:w="565"/>
            <w:tcBorders>
              <w:top w:val="nil"/>
              <w:left w:val="nil"/>
              <w:bottom w:val="nil"/>
              <w:right w:val="nil"/>
            </w:tcBorders>
            <w:shd w:val="clear" w:color="auto" w:fill="auto"/>
            <w:tcMar>
              <w:top w:type="dxa" w:w="80"/>
              <w:left w:type="dxa" w:w="80"/>
              <w:bottom w:type="dxa" w:w="80"/>
              <w:right w:type="dxa" w:w="80"/>
            </w:tcMar>
            <w:vAlign w:val="top"/>
          </w:tcPr>
          <w:p>
            <w:pPr>
              <w:pStyle w:val="Normal.0"/>
              <w:keepLines w:val="1"/>
              <w:spacing w:after="40" w:line="240" w:lineRule="auto"/>
              <w:ind w:firstLine="0"/>
              <w:jc w:val="right"/>
            </w:pPr>
            <w:r>
              <w:rPr>
                <w:sz w:val="18"/>
                <w:szCs w:val="18"/>
                <w:rtl w:val="0"/>
                <w:lang w:val="en-US"/>
              </w:rPr>
              <w:t>(6)</w:t>
            </w:r>
          </w:p>
        </w:tc>
      </w:tr>
    </w:tbl>
    <w:p>
      <w:pPr>
        <w:pStyle w:val="Normal.0"/>
        <w:widowControl w:val="0"/>
        <w:spacing w:after="80" w:line="240" w:lineRule="atLeast"/>
        <w:ind w:firstLine="0"/>
        <w:jc w:val="center"/>
      </w:pPr>
    </w:p>
    <w:p>
      <w:pPr>
        <w:pStyle w:val="Normal.0"/>
        <w:spacing w:after="80" w:line="240" w:lineRule="atLeast"/>
      </w:pPr>
      <w:r>
        <w:rPr>
          <w:sz w:val="22"/>
          <w:szCs w:val="22"/>
          <w:rtl w:val="0"/>
          <w:lang w:val="en-US"/>
        </w:rPr>
        <w:t xml:space="preserve">Here </w:t>
      </w:r>
      <w:r>
        <w:rPr>
          <w:sz w:val="22"/>
          <w:szCs w:val="22"/>
          <w:rtl w:val="0"/>
          <w:lang w:val="en-US"/>
        </w:rPr>
        <w:t xml:space="preserve">ΔΦₑ </w:t>
      </w:r>
      <w:r>
        <w:rPr>
          <w:sz w:val="22"/>
          <w:szCs w:val="22"/>
          <w:rtl w:val="0"/>
          <w:lang w:val="en-US"/>
        </w:rPr>
        <w:t xml:space="preserve">= </w:t>
      </w:r>
      <w:r>
        <w:rPr>
          <w:sz w:val="22"/>
          <w:szCs w:val="22"/>
          <w:rtl w:val="0"/>
          <w:lang w:val="en-US"/>
        </w:rPr>
        <w:t>Φ</w:t>
      </w:r>
      <w:r>
        <w:rPr>
          <w:sz w:val="22"/>
          <w:szCs w:val="22"/>
          <w:rtl w:val="0"/>
          <w:lang w:val="en-US"/>
        </w:rPr>
        <w:t xml:space="preserve">ᵢ </w:t>
      </w:r>
      <w:r>
        <w:rPr>
          <w:sz w:val="22"/>
          <w:szCs w:val="22"/>
          <w:rtl w:val="0"/>
          <w:lang w:val="en-US"/>
        </w:rPr>
        <w:t>− Φ</w:t>
      </w:r>
      <w:r>
        <w:rPr>
          <w:rFonts w:ascii="Arial Unicode MS" w:cs="Arial Unicode MS" w:hAnsi="Arial Unicode MS" w:eastAsia="Arial Unicode MS" w:hint="default"/>
          <w:b w:val="0"/>
          <w:bCs w:val="0"/>
          <w:i w:val="0"/>
          <w:iCs w:val="0"/>
          <w:sz w:val="22"/>
          <w:szCs w:val="22"/>
          <w:rtl w:val="0"/>
          <w:lang w:val="en-US"/>
        </w:rPr>
        <w:t>ⱼ</w:t>
      </w:r>
      <w:r>
        <w:rPr>
          <w:sz w:val="22"/>
          <w:szCs w:val="22"/>
          <w:rtl w:val="0"/>
          <w:lang w:val="en-US"/>
        </w:rPr>
        <w:t xml:space="preserve"> </w:t>
      </w:r>
      <w:r>
        <w:rPr>
          <w:sz w:val="22"/>
          <w:szCs w:val="22"/>
          <w:rtl w:val="0"/>
          <w:lang w:val="en-US"/>
        </w:rPr>
        <w:t xml:space="preserve">for the endpoints of edge e. The fields modify the forces acting on the relations, while the relations modify the propagation operator for the fields. Redistribution and relational restructuring are thus described by a single law. If H has no explicit dependence on </w:t>
      </w:r>
      <w:r>
        <w:rPr>
          <w:sz w:val="22"/>
          <w:szCs w:val="22"/>
          <w:rtl w:val="0"/>
          <w:lang w:val="en-US"/>
        </w:rPr>
        <w:t>τ</w:t>
      </w:r>
      <w:r>
        <w:rPr>
          <w:sz w:val="22"/>
          <w:szCs w:val="22"/>
          <w:rtl w:val="0"/>
          <w:lang w:val="en-US"/>
        </w:rPr>
        <w:t>, the total H is conserved. This follows from Hamiltonian structure, not merely from an ontological assertion of closure.</w:t>
      </w:r>
    </w:p>
    <w:p>
      <w:pPr>
        <w:pStyle w:val="Normal.0"/>
        <w:spacing w:after="80" w:line="240" w:lineRule="atLeast"/>
      </w:pPr>
      <w:r>
        <w:rPr>
          <w:sz w:val="22"/>
          <w:szCs w:val="22"/>
          <w:rtl w:val="0"/>
          <w:lang w:val="en-US"/>
        </w:rPr>
        <w:t>Positivity of A, B, and U excludes negative quadratic field energies on a fixed background. It does not guarantee stability of every moving background: an arbitrary Vᵣ may possess unstable stationary points, and a nonstationary network may parametrically excite field modes. The dispersion analysis below therefore concerns a fixed background or a regime of controlled slow variation.</w:t>
      </w:r>
    </w:p>
    <w:p>
      <w:pPr>
        <w:pStyle w:val="Заголовок 3"/>
        <w:spacing w:line="240" w:lineRule="atLeast"/>
        <w:rPr>
          <w:u w:val="single"/>
        </w:rPr>
      </w:pPr>
      <w:r>
        <w:rPr>
          <w:u w:val="single"/>
          <w:rtl w:val="0"/>
          <w:lang w:val="en-US"/>
        </w:rPr>
        <w:t>3.3. Reparametrization and Internal Clocks</w:t>
      </w:r>
    </w:p>
    <w:p>
      <w:pPr>
        <w:pStyle w:val="Normal.0"/>
        <w:spacing w:after="80" w:line="240" w:lineRule="atLeast"/>
        <w:ind w:firstLine="0"/>
      </w:pPr>
      <w:r>
        <w:rPr>
          <w:sz w:val="22"/>
          <w:szCs w:val="22"/>
          <w:rtl w:val="0"/>
          <w:lang w:val="en-US"/>
        </w:rPr>
        <w:t>Independence from an arbitrary rate of parametrization can be implemented with the parametrized action</w:t>
      </w:r>
    </w:p>
    <w:tbl>
      <w:tblPr>
        <w:tblW w:w="9411"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8846"/>
        <w:gridCol w:w="565"/>
      </w:tblGrid>
      <w:tr>
        <w:tblPrEx>
          <w:shd w:val="clear" w:color="auto" w:fill="ced7e7"/>
        </w:tblPrEx>
        <w:trPr>
          <w:trHeight w:val="241" w:hRule="atLeast"/>
        </w:trPr>
        <w:tc>
          <w:tcPr>
            <w:tcW w:type="dxa" w:w="8846"/>
            <w:tcBorders>
              <w:top w:val="nil"/>
              <w:left w:val="nil"/>
              <w:bottom w:val="nil"/>
              <w:right w:val="nil"/>
            </w:tcBorders>
            <w:shd w:val="clear" w:color="auto" w:fill="auto"/>
            <w:tcMar>
              <w:top w:type="dxa" w:w="80"/>
              <w:left w:type="dxa" w:w="80"/>
              <w:bottom w:type="dxa" w:w="80"/>
              <w:right w:type="dxa" w:w="80"/>
            </w:tcMar>
            <w:vAlign w:val="top"/>
          </w:tcPr>
          <w:p>
            <w:pPr>
              <w:pStyle w:val="Equation"/>
              <w:keepLines w:val="1"/>
              <w:spacing w:after="40"/>
              <w:ind w:firstLine="0"/>
            </w:pPr>
            <w:r>
              <w:rPr>
                <w:rFonts w:ascii="Times New Roman" w:hAnsi="Times New Roman"/>
                <w:sz w:val="18"/>
                <w:szCs w:val="18"/>
                <w:rtl w:val="0"/>
                <w:lang w:val="en-US"/>
              </w:rPr>
              <w:t xml:space="preserve">S = </w:t>
            </w:r>
            <w:r>
              <w:rPr>
                <w:rFonts w:ascii="Times New Roman" w:hAnsi="Times New Roman" w:hint="default"/>
                <w:sz w:val="18"/>
                <w:szCs w:val="18"/>
                <w:rtl w:val="0"/>
                <w:lang w:val="en-US"/>
              </w:rPr>
              <w:t>∫</w:t>
            </w:r>
            <w:r>
              <w:rPr>
                <w:rFonts w:ascii="Times New Roman" w:hAnsi="Times New Roman"/>
                <w:sz w:val="18"/>
                <w:szCs w:val="18"/>
                <w:rtl w:val="0"/>
                <w:lang w:val="en-US"/>
              </w:rPr>
              <w:t>d</w:t>
            </w:r>
            <w:r>
              <w:rPr>
                <w:rFonts w:ascii="Times New Roman" w:hAnsi="Times New Roman" w:hint="default"/>
                <w:sz w:val="18"/>
                <w:szCs w:val="18"/>
                <w:rtl w:val="0"/>
                <w:lang w:val="en-US"/>
              </w:rPr>
              <w:t xml:space="preserve">λ </w:t>
            </w:r>
            <w:r>
              <w:rPr>
                <w:rFonts w:ascii="Times New Roman" w:hAnsi="Times New Roman"/>
                <w:sz w:val="18"/>
                <w:szCs w:val="18"/>
                <w:rtl w:val="0"/>
                <w:lang w:val="en-US"/>
              </w:rPr>
              <w:t>[</w:t>
            </w:r>
            <w:r>
              <w:rPr>
                <w:rFonts w:ascii="Times New Roman" w:hAnsi="Times New Roman" w:hint="default"/>
                <w:sz w:val="18"/>
                <w:szCs w:val="18"/>
                <w:rtl w:val="0"/>
                <w:lang w:val="en-US"/>
              </w:rPr>
              <w:t>∑</w:t>
            </w:r>
            <w:r>
              <w:rPr>
                <w:rFonts w:ascii="Times New Roman" w:hAnsi="Times New Roman"/>
                <w:sz w:val="18"/>
                <w:szCs w:val="18"/>
                <w:rtl w:val="0"/>
                <w:lang w:val="en-US"/>
              </w:rPr>
              <w:t>ᵢ pᵢᵀ</w:t>
            </w:r>
            <w:r>
              <w:rPr>
                <w:rFonts w:ascii="Times New Roman" w:hAnsi="Times New Roman" w:hint="default"/>
                <w:sz w:val="18"/>
                <w:szCs w:val="18"/>
                <w:rtl w:val="0"/>
                <w:lang w:val="en-US"/>
              </w:rPr>
              <w:t>Φ</w:t>
            </w:r>
            <w:r>
              <w:rPr>
                <w:rFonts w:ascii="Times New Roman" w:hAnsi="Times New Roman"/>
                <w:sz w:val="18"/>
                <w:szCs w:val="18"/>
                <w:rtl w:val="0"/>
                <w:lang w:val="en-US"/>
              </w:rPr>
              <w:t>ᵢ</w:t>
            </w:r>
            <w:r>
              <w:rPr>
                <w:rFonts w:ascii="Times New Roman" w:hAnsi="Times New Roman" w:hint="default"/>
                <w:sz w:val="18"/>
                <w:szCs w:val="18"/>
                <w:rtl w:val="0"/>
                <w:lang w:val="en-US"/>
              </w:rPr>
              <w:t xml:space="preserve">′ </w:t>
            </w:r>
            <w:r>
              <w:rPr>
                <w:rFonts w:ascii="Times New Roman" w:hAnsi="Times New Roman"/>
                <w:sz w:val="18"/>
                <w:szCs w:val="18"/>
                <w:rtl w:val="0"/>
                <w:lang w:val="en-US"/>
              </w:rPr>
              <w:t xml:space="preserve">+ </w:t>
            </w:r>
            <w:r>
              <w:rPr>
                <w:rFonts w:ascii="Times New Roman" w:hAnsi="Times New Roman" w:hint="default"/>
                <w:sz w:val="18"/>
                <w:szCs w:val="18"/>
                <w:rtl w:val="0"/>
                <w:lang w:val="en-US"/>
              </w:rPr>
              <w:t>∑ₑ Πₑ</w:t>
            </w:r>
            <w:r>
              <w:rPr>
                <w:rFonts w:ascii="Times New Roman" w:hAnsi="Times New Roman"/>
                <w:sz w:val="18"/>
                <w:szCs w:val="18"/>
                <w:rtl w:val="0"/>
                <w:lang w:val="en-US"/>
              </w:rPr>
              <w:t>y</w:t>
            </w:r>
            <w:r>
              <w:rPr>
                <w:rFonts w:ascii="Times New Roman" w:hAnsi="Times New Roman" w:hint="default"/>
                <w:sz w:val="18"/>
                <w:szCs w:val="18"/>
                <w:rtl w:val="0"/>
                <w:lang w:val="en-US"/>
              </w:rPr>
              <w:t xml:space="preserve">ₑ′ − </w:t>
            </w:r>
            <w:r>
              <w:rPr>
                <w:rFonts w:ascii="Times New Roman" w:hAnsi="Times New Roman"/>
                <w:sz w:val="18"/>
                <w:szCs w:val="18"/>
                <w:rtl w:val="0"/>
                <w:lang w:val="en-US"/>
              </w:rPr>
              <w:t>n(</w:t>
            </w:r>
            <w:r>
              <w:rPr>
                <w:rFonts w:ascii="Times New Roman" w:hAnsi="Times New Roman" w:hint="default"/>
                <w:sz w:val="18"/>
                <w:szCs w:val="18"/>
                <w:rtl w:val="0"/>
                <w:lang w:val="en-US"/>
              </w:rPr>
              <w:t>λ</w:t>
            </w:r>
            <w:r>
              <w:rPr>
                <w:rFonts w:ascii="Times New Roman" w:hAnsi="Times New Roman"/>
                <w:sz w:val="18"/>
                <w:szCs w:val="18"/>
                <w:rtl w:val="0"/>
                <w:lang w:val="en-US"/>
              </w:rPr>
              <w:t xml:space="preserve">)(H </w:t>
            </w:r>
            <w:r>
              <w:rPr>
                <w:rFonts w:ascii="Times New Roman" w:hAnsi="Times New Roman" w:hint="default"/>
                <w:sz w:val="18"/>
                <w:szCs w:val="18"/>
                <w:rtl w:val="0"/>
                <w:lang w:val="en-US"/>
              </w:rPr>
              <w:t xml:space="preserve">− </w:t>
            </w:r>
            <w:r>
              <w:rPr>
                <w:rFonts w:ascii="Times New Roman" w:hAnsi="Times New Roman"/>
                <w:sz w:val="18"/>
                <w:szCs w:val="18"/>
                <w:rtl w:val="0"/>
                <w:lang w:val="en-US"/>
              </w:rPr>
              <w:t>E</w:t>
            </w:r>
            <w:r>
              <w:rPr>
                <w:rFonts w:ascii="Arial Unicode MS" w:cs="Arial Unicode MS" w:hAnsi="Arial Unicode MS" w:eastAsia="Arial Unicode MS" w:hint="default"/>
                <w:b w:val="0"/>
                <w:bCs w:val="0"/>
                <w:i w:val="0"/>
                <w:iCs w:val="0"/>
                <w:sz w:val="18"/>
                <w:szCs w:val="18"/>
                <w:rtl w:val="0"/>
                <w:lang w:val="en-US"/>
              </w:rPr>
              <w:t>₀</w:t>
            </w:r>
            <w:r>
              <w:rPr>
                <w:rFonts w:ascii="Times New Roman" w:hAnsi="Times New Roman"/>
                <w:sz w:val="18"/>
                <w:szCs w:val="18"/>
                <w:rtl w:val="0"/>
                <w:lang w:val="en-US"/>
              </w:rPr>
              <w:t>)].</w:t>
            </w:r>
          </w:p>
        </w:tc>
        <w:tc>
          <w:tcPr>
            <w:tcW w:type="dxa" w:w="565"/>
            <w:tcBorders>
              <w:top w:val="nil"/>
              <w:left w:val="nil"/>
              <w:bottom w:val="nil"/>
              <w:right w:val="nil"/>
            </w:tcBorders>
            <w:shd w:val="clear" w:color="auto" w:fill="auto"/>
            <w:tcMar>
              <w:top w:type="dxa" w:w="80"/>
              <w:left w:type="dxa" w:w="80"/>
              <w:bottom w:type="dxa" w:w="80"/>
              <w:right w:type="dxa" w:w="80"/>
            </w:tcMar>
            <w:vAlign w:val="top"/>
          </w:tcPr>
          <w:p>
            <w:pPr>
              <w:pStyle w:val="Normal.0"/>
              <w:keepLines w:val="1"/>
              <w:spacing w:after="40" w:line="240" w:lineRule="auto"/>
              <w:ind w:firstLine="0"/>
              <w:jc w:val="right"/>
            </w:pPr>
            <w:r>
              <w:rPr>
                <w:sz w:val="18"/>
                <w:szCs w:val="18"/>
                <w:rtl w:val="0"/>
                <w:lang w:val="en-US"/>
              </w:rPr>
              <w:t>(7)</w:t>
            </w:r>
          </w:p>
        </w:tc>
      </w:tr>
    </w:tbl>
    <w:p>
      <w:pPr>
        <w:pStyle w:val="Normal.0"/>
        <w:widowControl w:val="0"/>
        <w:spacing w:after="80" w:line="240" w:lineRule="atLeast"/>
        <w:ind w:firstLine="0"/>
        <w:jc w:val="center"/>
      </w:pPr>
    </w:p>
    <w:p>
      <w:pPr>
        <w:pStyle w:val="Normal.0"/>
        <w:spacing w:after="80" w:line="240" w:lineRule="atLeast"/>
      </w:pPr>
      <w:r>
        <w:rPr>
          <w:sz w:val="22"/>
          <w:szCs w:val="22"/>
          <w:rtl w:val="0"/>
          <w:lang w:val="en-US"/>
        </w:rPr>
        <w:t xml:space="preserve">A prime denotes differentiation with respect to </w:t>
      </w:r>
      <w:r>
        <w:rPr>
          <w:sz w:val="22"/>
          <w:szCs w:val="22"/>
          <w:rtl w:val="0"/>
          <w:lang w:val="en-US"/>
        </w:rPr>
        <w:t>λ</w:t>
      </w:r>
      <w:r>
        <w:rPr>
          <w:sz w:val="22"/>
          <w:szCs w:val="22"/>
          <w:rtl w:val="0"/>
          <w:lang w:val="en-US"/>
        </w:rPr>
        <w:t xml:space="preserve">, and n &gt; 0 is a Lagrange multiplier. Under </w:t>
      </w:r>
      <w:r>
        <w:rPr>
          <w:sz w:val="22"/>
          <w:szCs w:val="22"/>
          <w:rtl w:val="0"/>
          <w:lang w:val="en-US"/>
        </w:rPr>
        <w:t xml:space="preserve">λ′ </w:t>
      </w:r>
      <w:r>
        <w:rPr>
          <w:sz w:val="22"/>
          <w:szCs w:val="22"/>
          <w:rtl w:val="0"/>
          <w:lang w:val="en-US"/>
        </w:rPr>
        <w:t>= f(</w:t>
      </w:r>
      <w:r>
        <w:rPr>
          <w:sz w:val="22"/>
          <w:szCs w:val="22"/>
          <w:rtl w:val="0"/>
          <w:lang w:val="en-US"/>
        </w:rPr>
        <w:t>λ</w:t>
      </w:r>
      <w:r>
        <w:rPr>
          <w:sz w:val="22"/>
          <w:szCs w:val="22"/>
          <w:rtl w:val="0"/>
          <w:lang w:val="en-US"/>
        </w:rPr>
        <w:t>), f</w:t>
      </w:r>
      <w:r>
        <w:rPr>
          <w:sz w:val="22"/>
          <w:szCs w:val="22"/>
          <w:rtl w:val="0"/>
          <w:lang w:val="en-US"/>
        </w:rPr>
        <w:t xml:space="preserve">′ </w:t>
      </w:r>
      <w:r>
        <w:rPr>
          <w:sz w:val="22"/>
          <w:szCs w:val="22"/>
          <w:rtl w:val="0"/>
          <w:lang w:val="en-US"/>
        </w:rPr>
        <w:t>&gt; 0, the coordinates of the same history are relabeled and n</w:t>
      </w:r>
      <w:r>
        <w:rPr>
          <w:sz w:val="22"/>
          <w:szCs w:val="22"/>
          <w:rtl w:val="0"/>
          <w:lang w:val="en-US"/>
        </w:rPr>
        <w:t>′</w:t>
      </w:r>
      <w:r>
        <w:rPr>
          <w:sz w:val="22"/>
          <w:szCs w:val="22"/>
          <w:rtl w:val="0"/>
          <w:lang w:val="en-US"/>
        </w:rPr>
        <w:t>(</w:t>
      </w:r>
      <w:r>
        <w:rPr>
          <w:sz w:val="22"/>
          <w:szCs w:val="22"/>
          <w:rtl w:val="0"/>
          <w:lang w:val="en-US"/>
        </w:rPr>
        <w:t>λ′</w:t>
      </w:r>
      <w:r>
        <w:rPr>
          <w:sz w:val="22"/>
          <w:szCs w:val="22"/>
          <w:rtl w:val="0"/>
          <w:lang w:val="en-US"/>
        </w:rPr>
        <w:t>) = n(</w:t>
      </w:r>
      <w:r>
        <w:rPr>
          <w:sz w:val="22"/>
          <w:szCs w:val="22"/>
          <w:rtl w:val="0"/>
          <w:lang w:val="en-US"/>
        </w:rPr>
        <w:t>λ</w:t>
      </w:r>
      <w:r>
        <w:rPr>
          <w:sz w:val="22"/>
          <w:szCs w:val="22"/>
          <w:rtl w:val="0"/>
          <w:lang w:val="en-US"/>
        </w:rPr>
        <w:t>)d</w:t>
      </w:r>
      <w:r>
        <w:rPr>
          <w:sz w:val="22"/>
          <w:szCs w:val="22"/>
          <w:rtl w:val="0"/>
          <w:lang w:val="en-US"/>
        </w:rPr>
        <w:t>λ</w:t>
      </w:r>
      <w:r>
        <w:rPr>
          <w:sz w:val="22"/>
          <w:szCs w:val="22"/>
          <w:rtl w:val="0"/>
          <w:lang w:val="en-US"/>
        </w:rPr>
        <w:t>/d</w:t>
      </w:r>
      <w:r>
        <w:rPr>
          <w:sz w:val="22"/>
          <w:szCs w:val="22"/>
          <w:rtl w:val="0"/>
          <w:lang w:val="en-US"/>
        </w:rPr>
        <w:t>λ′</w:t>
      </w:r>
      <w:r>
        <w:rPr>
          <w:sz w:val="22"/>
          <w:szCs w:val="22"/>
          <w:rtl w:val="0"/>
          <w:lang w:val="en-US"/>
        </w:rPr>
        <w:t>. Variation with respect to n gives H = E</w:t>
      </w:r>
      <w:r>
        <w:rPr>
          <w:rFonts w:ascii="Arial Unicode MS" w:cs="Arial Unicode MS" w:hAnsi="Arial Unicode MS" w:eastAsia="Arial Unicode MS" w:hint="default"/>
          <w:b w:val="0"/>
          <w:bCs w:val="0"/>
          <w:i w:val="0"/>
          <w:iCs w:val="0"/>
          <w:sz w:val="22"/>
          <w:szCs w:val="22"/>
          <w:rtl w:val="0"/>
          <w:lang w:val="en-US"/>
        </w:rPr>
        <w:t>₀</w:t>
      </w:r>
      <w:r>
        <w:rPr>
          <w:sz w:val="22"/>
          <w:szCs w:val="22"/>
          <w:rtl w:val="0"/>
          <w:lang w:val="en-US"/>
        </w:rPr>
        <w:t>; the gauge choice d</w:t>
      </w:r>
      <w:r>
        <w:rPr>
          <w:sz w:val="22"/>
          <w:szCs w:val="22"/>
          <w:rtl w:val="0"/>
          <w:lang w:val="en-US"/>
        </w:rPr>
        <w:t xml:space="preserve">τ </w:t>
      </w:r>
      <w:r>
        <w:rPr>
          <w:sz w:val="22"/>
          <w:szCs w:val="22"/>
          <w:rtl w:val="0"/>
          <w:lang w:val="en-US"/>
        </w:rPr>
        <w:t>= n d</w:t>
      </w:r>
      <w:r>
        <w:rPr>
          <w:sz w:val="22"/>
          <w:szCs w:val="22"/>
          <w:rtl w:val="0"/>
          <w:lang w:val="en-US"/>
        </w:rPr>
        <w:t xml:space="preserve">λ </w:t>
      </w:r>
      <w:r>
        <w:rPr>
          <w:sz w:val="22"/>
          <w:szCs w:val="22"/>
          <w:rtl w:val="0"/>
          <w:lang w:val="en-US"/>
        </w:rPr>
        <w:t>returns Eqs. (5)</w:t>
      </w:r>
      <w:r>
        <w:rPr>
          <w:sz w:val="22"/>
          <w:szCs w:val="22"/>
          <w:rtl w:val="0"/>
          <w:lang w:val="en-US"/>
        </w:rPr>
        <w:t>–</w:t>
      </w:r>
      <w:r>
        <w:rPr>
          <w:sz w:val="22"/>
          <w:szCs w:val="22"/>
          <w:rtl w:val="0"/>
          <w:lang w:val="en-US"/>
        </w:rPr>
        <w:t>(6). The constant E</w:t>
      </w:r>
      <w:r>
        <w:rPr>
          <w:rFonts w:ascii="Arial Unicode MS" w:cs="Arial Unicode MS" w:hAnsi="Arial Unicode MS" w:eastAsia="Arial Unicode MS" w:hint="default"/>
          <w:b w:val="0"/>
          <w:bCs w:val="0"/>
          <w:i w:val="0"/>
          <w:iCs w:val="0"/>
          <w:sz w:val="22"/>
          <w:szCs w:val="22"/>
          <w:rtl w:val="0"/>
          <w:lang w:val="en-US"/>
        </w:rPr>
        <w:t>₀</w:t>
      </w:r>
      <w:r>
        <w:rPr>
          <w:sz w:val="22"/>
          <w:szCs w:val="22"/>
          <w:rtl w:val="0"/>
          <w:lang w:val="en-US"/>
        </w:rPr>
        <w:t xml:space="preserve"> </w:t>
      </w:r>
      <w:r>
        <w:rPr>
          <w:sz w:val="22"/>
          <w:szCs w:val="22"/>
          <w:rtl w:val="0"/>
          <w:lang w:val="en-US"/>
        </w:rPr>
        <w:t>selects an energy hypersurface. This parametrization is not a derivation of physical time and is not equivalent to the local Hamiltonian constraints of general relativity.</w:t>
      </w:r>
    </w:p>
    <w:p>
      <w:pPr>
        <w:pStyle w:val="Normal.0"/>
        <w:spacing w:after="80" w:line="240" w:lineRule="atLeast"/>
      </w:pPr>
      <w:r>
        <w:rPr>
          <w:sz w:val="22"/>
          <w:szCs w:val="22"/>
          <w:rtl w:val="0"/>
          <w:lang w:val="en-US"/>
        </w:rPr>
        <w:t>For a chosen clock variable T(X) that is monotonic on a given segment of a history, the relational change of an observable O is locally</w:t>
      </w:r>
    </w:p>
    <w:tbl>
      <w:tblPr>
        <w:tblW w:w="9411"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8846"/>
        <w:gridCol w:w="565"/>
      </w:tblGrid>
      <w:tr>
        <w:tblPrEx>
          <w:shd w:val="clear" w:color="auto" w:fill="ced7e7"/>
        </w:tblPrEx>
        <w:trPr>
          <w:trHeight w:val="212" w:hRule="atLeast"/>
        </w:trPr>
        <w:tc>
          <w:tcPr>
            <w:tcW w:type="dxa" w:w="8846"/>
            <w:tcBorders>
              <w:top w:val="nil"/>
              <w:left w:val="nil"/>
              <w:bottom w:val="nil"/>
              <w:right w:val="nil"/>
            </w:tcBorders>
            <w:shd w:val="clear" w:color="auto" w:fill="auto"/>
            <w:tcMar>
              <w:top w:type="dxa" w:w="80"/>
              <w:left w:type="dxa" w:w="80"/>
              <w:bottom w:type="dxa" w:w="80"/>
              <w:right w:type="dxa" w:w="80"/>
            </w:tcMar>
            <w:vAlign w:val="top"/>
          </w:tcPr>
          <w:p>
            <w:pPr>
              <w:pStyle w:val="Equation"/>
              <w:keepLines w:val="1"/>
              <w:spacing w:after="40"/>
              <w:ind w:firstLine="0"/>
            </w:pPr>
            <w:r>
              <w:rPr>
                <w:rFonts w:ascii="Times New Roman" w:hAnsi="Times New Roman"/>
                <w:sz w:val="18"/>
                <w:szCs w:val="18"/>
                <w:rtl w:val="0"/>
                <w:lang w:val="en-US"/>
              </w:rPr>
              <w:t xml:space="preserve">dO/dT = {O,H}/{T,H},     {T,H} </w:t>
            </w:r>
            <w:r>
              <w:rPr>
                <w:rFonts w:ascii="Times New Roman" w:hAnsi="Times New Roman" w:hint="default"/>
                <w:sz w:val="18"/>
                <w:szCs w:val="18"/>
                <w:rtl w:val="0"/>
                <w:lang w:val="en-US"/>
              </w:rPr>
              <w:t xml:space="preserve">≠ </w:t>
            </w:r>
            <w:r>
              <w:rPr>
                <w:rFonts w:ascii="Times New Roman" w:hAnsi="Times New Roman"/>
                <w:sz w:val="18"/>
                <w:szCs w:val="18"/>
                <w:rtl w:val="0"/>
                <w:lang w:val="en-US"/>
              </w:rPr>
              <w:t>0.</w:t>
            </w:r>
          </w:p>
        </w:tc>
        <w:tc>
          <w:tcPr>
            <w:tcW w:type="dxa" w:w="565"/>
            <w:tcBorders>
              <w:top w:val="nil"/>
              <w:left w:val="nil"/>
              <w:bottom w:val="nil"/>
              <w:right w:val="nil"/>
            </w:tcBorders>
            <w:shd w:val="clear" w:color="auto" w:fill="auto"/>
            <w:tcMar>
              <w:top w:type="dxa" w:w="80"/>
              <w:left w:type="dxa" w:w="80"/>
              <w:bottom w:type="dxa" w:w="80"/>
              <w:right w:type="dxa" w:w="80"/>
            </w:tcMar>
            <w:vAlign w:val="top"/>
          </w:tcPr>
          <w:p>
            <w:pPr>
              <w:pStyle w:val="Normal.0"/>
              <w:keepLines w:val="1"/>
              <w:spacing w:after="40" w:line="240" w:lineRule="auto"/>
              <w:ind w:firstLine="0"/>
              <w:jc w:val="right"/>
            </w:pPr>
            <w:r>
              <w:rPr>
                <w:sz w:val="18"/>
                <w:szCs w:val="18"/>
                <w:rtl w:val="0"/>
                <w:lang w:val="en-US"/>
              </w:rPr>
              <w:t>(8)</w:t>
            </w:r>
          </w:p>
        </w:tc>
      </w:tr>
    </w:tbl>
    <w:p>
      <w:pPr>
        <w:pStyle w:val="Normal.0"/>
        <w:widowControl w:val="0"/>
        <w:spacing w:after="80" w:line="240" w:lineRule="atLeast"/>
        <w:ind w:firstLine="0"/>
        <w:jc w:val="center"/>
      </w:pPr>
    </w:p>
    <w:p>
      <w:pPr>
        <w:pStyle w:val="Normal.0"/>
        <w:spacing w:after="80" w:line="240" w:lineRule="atLeast"/>
      </w:pPr>
      <w:r>
        <w:rPr>
          <w:sz w:val="22"/>
          <w:szCs w:val="22"/>
          <w:rtl w:val="0"/>
          <w:lang w:val="en-US"/>
        </w:rPr>
        <w:t xml:space="preserve">A globally monotonic clock need not exist in a finite closed system. The choice of an internal process, its accuracy, its backreaction, and its relation to proper time of an effective metric are separate questions. Formal reparametrization invariance removes the arbitrary calibration of </w:t>
      </w:r>
      <w:r>
        <w:rPr>
          <w:sz w:val="22"/>
          <w:szCs w:val="22"/>
          <w:rtl w:val="0"/>
          <w:lang w:val="en-US"/>
        </w:rPr>
        <w:t>λ</w:t>
      </w:r>
      <w:r>
        <w:rPr>
          <w:sz w:val="22"/>
          <w:szCs w:val="22"/>
          <w:rtl w:val="0"/>
          <w:lang w:val="en-US"/>
        </w:rPr>
        <w:t>, but it does not generate a causal orientation from the symmetric W.</w:t>
      </w:r>
    </w:p>
    <w:p>
      <w:pPr>
        <w:pStyle w:val="Заголовок 2"/>
        <w:spacing w:line="240" w:lineRule="atLeast"/>
      </w:pPr>
      <w:r>
        <w:rPr>
          <w:rtl w:val="0"/>
          <w:lang w:val="en-US"/>
        </w:rPr>
        <w:t>4. Distinguishability and Spectral Quasilocality</w:t>
      </w:r>
    </w:p>
    <w:p>
      <w:pPr>
        <w:pStyle w:val="Заголовок 3"/>
        <w:spacing w:line="240" w:lineRule="atLeast"/>
        <w:rPr>
          <w:u w:val="single"/>
        </w:rPr>
      </w:pPr>
      <w:r>
        <w:rPr>
          <w:u w:val="single"/>
          <w:rtl w:val="0"/>
          <w:lang w:val="en-US"/>
        </w:rPr>
        <w:t>4.1. Why Homogeneous Ordering Does Not Yet Create Sectors</w:t>
      </w:r>
    </w:p>
    <w:p>
      <w:pPr>
        <w:pStyle w:val="Normal.0"/>
        <w:spacing w:after="80" w:line="240" w:lineRule="atLeast"/>
        <w:ind w:firstLine="0"/>
      </w:pPr>
      <w:r>
        <w:rPr>
          <w:sz w:val="22"/>
          <w:szCs w:val="22"/>
          <w:rtl w:val="0"/>
          <w:lang w:val="en-US"/>
        </w:rPr>
        <w:t xml:space="preserve">Consider a real order parameter </w:t>
      </w:r>
      <w:r>
        <w:rPr>
          <w:sz w:val="22"/>
          <w:szCs w:val="22"/>
          <w:rtl w:val="0"/>
          <w:lang w:val="en-US"/>
        </w:rPr>
        <w:t>ψ</w:t>
      </w:r>
      <w:r>
        <w:rPr>
          <w:sz w:val="22"/>
          <w:szCs w:val="22"/>
          <w:rtl w:val="0"/>
          <w:lang w:val="en-US"/>
        </w:rPr>
        <w:t>ᵢ on a connected graph:</w:t>
      </w:r>
    </w:p>
    <w:tbl>
      <w:tblPr>
        <w:tblW w:w="9411"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8846"/>
        <w:gridCol w:w="565"/>
      </w:tblGrid>
      <w:tr>
        <w:tblPrEx>
          <w:shd w:val="clear" w:color="auto" w:fill="ced7e7"/>
        </w:tblPrEx>
        <w:trPr>
          <w:trHeight w:val="247" w:hRule="atLeast"/>
        </w:trPr>
        <w:tc>
          <w:tcPr>
            <w:tcW w:type="dxa" w:w="8846"/>
            <w:tcBorders>
              <w:top w:val="nil"/>
              <w:left w:val="nil"/>
              <w:bottom w:val="nil"/>
              <w:right w:val="nil"/>
            </w:tcBorders>
            <w:shd w:val="clear" w:color="auto" w:fill="auto"/>
            <w:tcMar>
              <w:top w:type="dxa" w:w="80"/>
              <w:left w:type="dxa" w:w="80"/>
              <w:bottom w:type="dxa" w:w="80"/>
              <w:right w:type="dxa" w:w="80"/>
            </w:tcMar>
            <w:vAlign w:val="top"/>
          </w:tcPr>
          <w:p>
            <w:pPr>
              <w:pStyle w:val="Equation"/>
              <w:keepLines w:val="1"/>
              <w:spacing w:after="40"/>
              <w:ind w:firstLine="0"/>
            </w:pPr>
            <w:r>
              <w:rPr>
                <w:rFonts w:ascii="Times New Roman" w:hAnsi="Times New Roman"/>
                <w:sz w:val="18"/>
                <w:szCs w:val="18"/>
                <w:rtl w:val="0"/>
                <w:lang w:val="en-US"/>
              </w:rPr>
              <w:t>F(</w:t>
            </w:r>
            <w:r>
              <w:rPr>
                <w:rFonts w:ascii="Times New Roman" w:hAnsi="Times New Roman" w:hint="default"/>
                <w:sz w:val="18"/>
                <w:szCs w:val="18"/>
                <w:rtl w:val="0"/>
                <w:lang w:val="en-US"/>
              </w:rPr>
              <w:t>ψ</w:t>
            </w:r>
            <w:r>
              <w:rPr>
                <w:rFonts w:ascii="Times New Roman" w:hAnsi="Times New Roman"/>
                <w:sz w:val="18"/>
                <w:szCs w:val="18"/>
                <w:rtl w:val="0"/>
                <w:lang w:val="en-US"/>
              </w:rPr>
              <w:t>) = a</w:t>
            </w:r>
            <w:r>
              <w:rPr>
                <w:rFonts w:ascii="Times New Roman" w:hAnsi="Times New Roman" w:hint="default"/>
                <w:sz w:val="18"/>
                <w:szCs w:val="18"/>
                <w:rtl w:val="0"/>
                <w:lang w:val="en-US"/>
              </w:rPr>
              <w:t>∑</w:t>
            </w:r>
            <w:r>
              <w:rPr>
                <w:rFonts w:ascii="Times New Roman" w:hAnsi="Times New Roman"/>
                <w:sz w:val="18"/>
                <w:szCs w:val="18"/>
                <w:rtl w:val="0"/>
                <w:lang w:val="en-US"/>
              </w:rPr>
              <w:t xml:space="preserve">ᵢ </w:t>
            </w:r>
            <w:r>
              <w:rPr>
                <w:rFonts w:ascii="Times New Roman" w:hAnsi="Times New Roman" w:hint="default"/>
                <w:sz w:val="18"/>
                <w:szCs w:val="18"/>
                <w:rtl w:val="0"/>
                <w:lang w:val="en-US"/>
              </w:rPr>
              <w:t>ψ</w:t>
            </w:r>
            <w:r>
              <w:rPr>
                <w:rFonts w:ascii="Times New Roman" w:hAnsi="Times New Roman"/>
                <w:sz w:val="18"/>
                <w:szCs w:val="18"/>
                <w:rtl w:val="0"/>
                <w:lang w:val="en-US"/>
              </w:rPr>
              <w:t>ᵢ</w:t>
            </w:r>
            <w:r>
              <w:rPr>
                <w:rFonts w:ascii="Times New Roman" w:hAnsi="Times New Roman" w:hint="default"/>
                <w:sz w:val="18"/>
                <w:szCs w:val="18"/>
                <w:rtl w:val="0"/>
                <w:lang w:val="en-US"/>
              </w:rPr>
              <w:t xml:space="preserve">² </w:t>
            </w:r>
            <w:r>
              <w:rPr>
                <w:rFonts w:ascii="Times New Roman" w:hAnsi="Times New Roman"/>
                <w:sz w:val="18"/>
                <w:szCs w:val="18"/>
                <w:rtl w:val="0"/>
                <w:lang w:val="en-US"/>
              </w:rPr>
              <w:t>+ b</w:t>
            </w:r>
            <w:r>
              <w:rPr>
                <w:rFonts w:ascii="Times New Roman" w:hAnsi="Times New Roman" w:hint="default"/>
                <w:sz w:val="18"/>
                <w:szCs w:val="18"/>
                <w:rtl w:val="0"/>
                <w:lang w:val="en-US"/>
              </w:rPr>
              <w:t>∑</w:t>
            </w:r>
            <w:r>
              <w:rPr>
                <w:rFonts w:ascii="Times New Roman" w:hAnsi="Times New Roman"/>
                <w:sz w:val="18"/>
                <w:szCs w:val="18"/>
                <w:rtl w:val="0"/>
                <w:lang w:val="en-US"/>
              </w:rPr>
              <w:t xml:space="preserve">ᵢ </w:t>
            </w:r>
            <w:r>
              <w:rPr>
                <w:rFonts w:ascii="Times New Roman" w:hAnsi="Times New Roman" w:hint="default"/>
                <w:sz w:val="18"/>
                <w:szCs w:val="18"/>
                <w:rtl w:val="0"/>
                <w:lang w:val="en-US"/>
              </w:rPr>
              <w:t>ψ</w:t>
            </w:r>
            <w:r>
              <w:rPr>
                <w:rFonts w:ascii="Times New Roman" w:hAnsi="Times New Roman"/>
                <w:sz w:val="18"/>
                <w:szCs w:val="18"/>
                <w:rtl w:val="0"/>
                <w:lang w:val="en-US"/>
              </w:rPr>
              <w:t>ᵢ</w:t>
            </w:r>
            <w:r>
              <w:rPr>
                <w:rFonts w:ascii="Arial Unicode MS" w:cs="Arial Unicode MS" w:hAnsi="Arial Unicode MS" w:eastAsia="Arial Unicode MS" w:hint="default"/>
                <w:b w:val="0"/>
                <w:bCs w:val="0"/>
                <w:i w:val="0"/>
                <w:iCs w:val="0"/>
                <w:sz w:val="18"/>
                <w:szCs w:val="18"/>
                <w:rtl w:val="0"/>
                <w:lang w:val="en-US"/>
              </w:rPr>
              <w:t>⁴</w:t>
            </w:r>
            <w:r>
              <w:rPr>
                <w:rFonts w:ascii="Times New Roman" w:hAnsi="Times New Roman"/>
                <w:sz w:val="18"/>
                <w:szCs w:val="18"/>
                <w:rtl w:val="0"/>
                <w:lang w:val="en-US"/>
              </w:rPr>
              <w:t xml:space="preserve"> </w:t>
            </w:r>
            <w:r>
              <w:rPr>
                <w:rFonts w:ascii="Times New Roman" w:hAnsi="Times New Roman"/>
                <w:sz w:val="18"/>
                <w:szCs w:val="18"/>
                <w:rtl w:val="0"/>
                <w:lang w:val="en-US"/>
              </w:rPr>
              <w:t xml:space="preserve">+ </w:t>
            </w:r>
            <w:r>
              <w:rPr>
                <w:rFonts w:ascii="Times New Roman" w:hAnsi="Times New Roman" w:hint="default"/>
                <w:sz w:val="18"/>
                <w:szCs w:val="18"/>
                <w:rtl w:val="0"/>
                <w:lang w:val="en-US"/>
              </w:rPr>
              <w:t>κ∑</w:t>
            </w:r>
            <w:r>
              <w:rPr>
                <w:rFonts w:ascii="Arial Unicode MS" w:cs="Arial Unicode MS" w:hAnsi="Arial Unicode MS" w:eastAsia="Arial Unicode MS" w:hint="default"/>
                <w:b w:val="0"/>
                <w:bCs w:val="0"/>
                <w:i w:val="0"/>
                <w:iCs w:val="0"/>
                <w:sz w:val="18"/>
                <w:szCs w:val="18"/>
                <w:rtl w:val="0"/>
                <w:lang w:val="en-US"/>
              </w:rPr>
              <w:t>⟨</w:t>
            </w:r>
            <w:r>
              <w:rPr>
                <w:rFonts w:ascii="Times New Roman" w:hAnsi="Times New Roman"/>
                <w:sz w:val="18"/>
                <w:szCs w:val="18"/>
                <w:rtl w:val="0"/>
                <w:lang w:val="en-US"/>
              </w:rPr>
              <w:t>ij</w:t>
            </w:r>
            <w:r>
              <w:rPr>
                <w:rFonts w:ascii="Arial Unicode MS" w:cs="Arial Unicode MS" w:hAnsi="Arial Unicode MS" w:eastAsia="Arial Unicode MS" w:hint="default"/>
                <w:b w:val="0"/>
                <w:bCs w:val="0"/>
                <w:i w:val="0"/>
                <w:iCs w:val="0"/>
                <w:sz w:val="18"/>
                <w:szCs w:val="18"/>
                <w:rtl w:val="0"/>
                <w:lang w:val="en-US"/>
              </w:rPr>
              <w:t>⟩</w:t>
            </w:r>
            <w:r>
              <w:rPr>
                <w:rFonts w:ascii="Times New Roman" w:hAnsi="Times New Roman"/>
                <w:sz w:val="18"/>
                <w:szCs w:val="18"/>
                <w:rtl w:val="0"/>
                <w:lang w:val="en-US"/>
              </w:rPr>
              <w:t xml:space="preserve"> </w:t>
            </w:r>
            <w:r>
              <w:rPr>
                <w:rFonts w:ascii="Times New Roman" w:hAnsi="Times New Roman"/>
                <w:sz w:val="18"/>
                <w:szCs w:val="18"/>
                <w:rtl w:val="0"/>
                <w:lang w:val="en-US"/>
              </w:rPr>
              <w:t>wᵢ</w:t>
            </w:r>
            <w:r>
              <w:rPr>
                <w:rFonts w:ascii="Arial Unicode MS" w:cs="Arial Unicode MS" w:hAnsi="Arial Unicode MS" w:eastAsia="Arial Unicode MS" w:hint="default"/>
                <w:b w:val="0"/>
                <w:bCs w:val="0"/>
                <w:i w:val="0"/>
                <w:iCs w:val="0"/>
                <w:sz w:val="18"/>
                <w:szCs w:val="18"/>
                <w:rtl w:val="0"/>
                <w:lang w:val="en-US"/>
              </w:rPr>
              <w:t>ⱼ</w:t>
            </w:r>
            <w:r>
              <w:rPr>
                <w:rFonts w:ascii="Times New Roman" w:hAnsi="Times New Roman"/>
                <w:sz w:val="18"/>
                <w:szCs w:val="18"/>
                <w:rtl w:val="0"/>
                <w:lang w:val="en-US"/>
              </w:rPr>
              <w:t>(</w:t>
            </w:r>
            <w:r>
              <w:rPr>
                <w:rFonts w:ascii="Times New Roman" w:hAnsi="Times New Roman" w:hint="default"/>
                <w:sz w:val="18"/>
                <w:szCs w:val="18"/>
                <w:rtl w:val="0"/>
                <w:lang w:val="en-US"/>
              </w:rPr>
              <w:t>ψ</w:t>
            </w:r>
            <w:r>
              <w:rPr>
                <w:rFonts w:ascii="Times New Roman" w:hAnsi="Times New Roman"/>
                <w:sz w:val="18"/>
                <w:szCs w:val="18"/>
                <w:rtl w:val="0"/>
                <w:lang w:val="en-US"/>
              </w:rPr>
              <w:t xml:space="preserve">ᵢ </w:t>
            </w:r>
            <w:r>
              <w:rPr>
                <w:rFonts w:ascii="Times New Roman" w:hAnsi="Times New Roman" w:hint="default"/>
                <w:sz w:val="18"/>
                <w:szCs w:val="18"/>
                <w:rtl w:val="0"/>
                <w:lang w:val="en-US"/>
              </w:rPr>
              <w:t>− ψ</w:t>
            </w:r>
            <w:r>
              <w:rPr>
                <w:rFonts w:ascii="Arial Unicode MS" w:cs="Arial Unicode MS" w:hAnsi="Arial Unicode MS" w:eastAsia="Arial Unicode MS" w:hint="default"/>
                <w:b w:val="0"/>
                <w:bCs w:val="0"/>
                <w:i w:val="0"/>
                <w:iCs w:val="0"/>
                <w:sz w:val="18"/>
                <w:szCs w:val="18"/>
                <w:rtl w:val="0"/>
                <w:lang w:val="en-US"/>
              </w:rPr>
              <w:t>ⱼ</w:t>
            </w:r>
            <w:r>
              <w:rPr>
                <w:rFonts w:ascii="Times New Roman" w:hAnsi="Times New Roman"/>
                <w:sz w:val="18"/>
                <w:szCs w:val="18"/>
                <w:rtl w:val="0"/>
                <w:lang w:val="en-US"/>
              </w:rPr>
              <w:t>)</w:t>
            </w:r>
            <w:r>
              <w:rPr>
                <w:rFonts w:ascii="Times New Roman" w:hAnsi="Times New Roman" w:hint="default"/>
                <w:sz w:val="18"/>
                <w:szCs w:val="18"/>
                <w:rtl w:val="0"/>
                <w:lang w:val="en-US"/>
              </w:rPr>
              <w:t>²</w:t>
            </w:r>
            <w:r>
              <w:rPr>
                <w:rFonts w:ascii="Times New Roman" w:hAnsi="Times New Roman"/>
                <w:sz w:val="18"/>
                <w:szCs w:val="18"/>
                <w:rtl w:val="0"/>
                <w:lang w:val="en-US"/>
              </w:rPr>
              <w:t xml:space="preserve">,     b &gt; 0, </w:t>
            </w:r>
            <w:r>
              <w:rPr>
                <w:rFonts w:ascii="Times New Roman" w:hAnsi="Times New Roman" w:hint="default"/>
                <w:sz w:val="18"/>
                <w:szCs w:val="18"/>
                <w:rtl w:val="0"/>
                <w:lang w:val="en-US"/>
              </w:rPr>
              <w:t xml:space="preserve">κ </w:t>
            </w:r>
            <w:r>
              <w:rPr>
                <w:rFonts w:ascii="Times New Roman" w:hAnsi="Times New Roman"/>
                <w:sz w:val="18"/>
                <w:szCs w:val="18"/>
                <w:rtl w:val="0"/>
                <w:lang w:val="en-US"/>
              </w:rPr>
              <w:t>&gt; 0.</w:t>
            </w:r>
          </w:p>
        </w:tc>
        <w:tc>
          <w:tcPr>
            <w:tcW w:type="dxa" w:w="565"/>
            <w:tcBorders>
              <w:top w:val="nil"/>
              <w:left w:val="nil"/>
              <w:bottom w:val="nil"/>
              <w:right w:val="nil"/>
            </w:tcBorders>
            <w:shd w:val="clear" w:color="auto" w:fill="auto"/>
            <w:tcMar>
              <w:top w:type="dxa" w:w="80"/>
              <w:left w:type="dxa" w:w="80"/>
              <w:bottom w:type="dxa" w:w="80"/>
              <w:right w:type="dxa" w:w="80"/>
            </w:tcMar>
            <w:vAlign w:val="top"/>
          </w:tcPr>
          <w:p>
            <w:pPr>
              <w:pStyle w:val="Normal.0"/>
              <w:keepLines w:val="1"/>
              <w:spacing w:after="40" w:line="240" w:lineRule="auto"/>
              <w:ind w:firstLine="0"/>
              <w:jc w:val="right"/>
            </w:pPr>
            <w:r>
              <w:rPr>
                <w:sz w:val="18"/>
                <w:szCs w:val="18"/>
                <w:rtl w:val="0"/>
                <w:lang w:val="en-US"/>
              </w:rPr>
              <w:t>(9)</w:t>
            </w:r>
          </w:p>
        </w:tc>
      </w:tr>
    </w:tbl>
    <w:p>
      <w:pPr>
        <w:pStyle w:val="Normal.0"/>
        <w:widowControl w:val="0"/>
        <w:spacing w:after="80" w:line="240" w:lineRule="atLeast"/>
        <w:ind w:firstLine="0"/>
        <w:jc w:val="center"/>
      </w:pPr>
    </w:p>
    <w:p>
      <w:pPr>
        <w:pStyle w:val="Normal.0"/>
        <w:spacing w:after="80" w:line="240" w:lineRule="atLeast"/>
        <w:ind w:firstLine="0"/>
      </w:pPr>
      <w:r>
        <w:rPr>
          <w:b w:val="1"/>
          <w:bCs w:val="1"/>
          <w:sz w:val="22"/>
          <w:szCs w:val="22"/>
          <w:rtl w:val="0"/>
          <w:lang w:val="en-US"/>
        </w:rPr>
        <w:t>Proposition 1.</w:t>
      </w:r>
      <w:r>
        <w:rPr>
          <w:sz w:val="22"/>
          <w:szCs w:val="22"/>
          <w:rtl w:val="0"/>
          <w:lang w:val="en-US"/>
        </w:rPr>
        <w:t xml:space="preserve"> If a </w:t>
      </w:r>
      <w:r>
        <w:rPr>
          <w:sz w:val="22"/>
          <w:szCs w:val="22"/>
          <w:rtl w:val="0"/>
          <w:lang w:val="en-US"/>
        </w:rPr>
        <w:t xml:space="preserve">≥ </w:t>
      </w:r>
      <w:r>
        <w:rPr>
          <w:sz w:val="22"/>
          <w:szCs w:val="22"/>
          <w:rtl w:val="0"/>
          <w:lang w:val="en-US"/>
        </w:rPr>
        <w:t xml:space="preserve">0, the unique global minimum is </w:t>
      </w:r>
      <w:r>
        <w:rPr>
          <w:sz w:val="22"/>
          <w:szCs w:val="22"/>
          <w:rtl w:val="0"/>
          <w:lang w:val="en-US"/>
        </w:rPr>
        <w:t xml:space="preserve">ψ </w:t>
      </w:r>
      <w:r>
        <w:rPr>
          <w:sz w:val="22"/>
          <w:szCs w:val="22"/>
          <w:rtl w:val="0"/>
          <w:lang w:val="en-US"/>
        </w:rPr>
        <w:t xml:space="preserve">= 0. If a &lt; 0, the global minima are </w:t>
      </w:r>
      <w:r>
        <w:rPr>
          <w:sz w:val="22"/>
          <w:szCs w:val="22"/>
          <w:rtl w:val="0"/>
          <w:lang w:val="en-US"/>
        </w:rPr>
        <w:t>ψ</w:t>
      </w:r>
      <w:r>
        <w:rPr>
          <w:sz w:val="22"/>
          <w:szCs w:val="22"/>
          <w:rtl w:val="0"/>
          <w:lang w:val="en-US"/>
        </w:rPr>
        <w:t xml:space="preserve">ᵢ = </w:t>
      </w:r>
      <w:r>
        <w:rPr>
          <w:sz w:val="22"/>
          <w:szCs w:val="22"/>
          <w:rtl w:val="0"/>
          <w:lang w:val="en-US"/>
        </w:rPr>
        <w:t>ψ</w:t>
      </w:r>
      <w:r>
        <w:rPr>
          <w:rFonts w:ascii="Arial Unicode MS" w:cs="Arial Unicode MS" w:hAnsi="Arial Unicode MS" w:eastAsia="Arial Unicode MS" w:hint="default"/>
          <w:b w:val="0"/>
          <w:bCs w:val="0"/>
          <w:i w:val="0"/>
          <w:iCs w:val="0"/>
          <w:sz w:val="22"/>
          <w:szCs w:val="22"/>
          <w:rtl w:val="0"/>
          <w:lang w:val="en-US"/>
        </w:rPr>
        <w:t>₀</w:t>
      </w:r>
      <w:r>
        <w:rPr>
          <w:sz w:val="22"/>
          <w:szCs w:val="22"/>
          <w:rtl w:val="0"/>
          <w:lang w:val="en-US"/>
        </w:rPr>
        <w:t xml:space="preserve"> </w:t>
      </w:r>
      <w:r>
        <w:rPr>
          <w:sz w:val="22"/>
          <w:szCs w:val="22"/>
          <w:rtl w:val="0"/>
          <w:lang w:val="en-US"/>
        </w:rPr>
        <w:t xml:space="preserve">for all i, where </w:t>
      </w:r>
      <w:r>
        <w:rPr>
          <w:sz w:val="22"/>
          <w:szCs w:val="22"/>
          <w:rtl w:val="0"/>
          <w:lang w:val="en-US"/>
        </w:rPr>
        <w:t>ψ</w:t>
      </w:r>
      <w:r>
        <w:rPr>
          <w:rFonts w:ascii="Arial Unicode MS" w:cs="Arial Unicode MS" w:hAnsi="Arial Unicode MS" w:eastAsia="Arial Unicode MS" w:hint="default"/>
          <w:b w:val="0"/>
          <w:bCs w:val="0"/>
          <w:i w:val="0"/>
          <w:iCs w:val="0"/>
          <w:sz w:val="22"/>
          <w:szCs w:val="22"/>
          <w:rtl w:val="0"/>
          <w:lang w:val="en-US"/>
        </w:rPr>
        <w:t>₀</w:t>
      </w:r>
      <w:r>
        <w:rPr>
          <w:sz w:val="22"/>
          <w:szCs w:val="22"/>
          <w:rtl w:val="0"/>
          <w:lang w:val="en-US"/>
        </w:rPr>
        <w:t xml:space="preserve"> </w:t>
      </w:r>
      <w:r>
        <w:rPr>
          <w:sz w:val="22"/>
          <w:szCs w:val="22"/>
          <w:rtl w:val="0"/>
          <w:lang w:val="en-US"/>
        </w:rPr>
        <w:t xml:space="preserve">= </w:t>
      </w:r>
      <w:r>
        <w:rPr>
          <w:sz w:val="22"/>
          <w:szCs w:val="22"/>
          <w:rtl w:val="0"/>
          <w:lang w:val="en-US"/>
        </w:rPr>
        <w:t>±√</w:t>
      </w:r>
      <w:r>
        <w:rPr>
          <w:sz w:val="22"/>
          <w:szCs w:val="22"/>
          <w:rtl w:val="0"/>
          <w:lang w:val="en-US"/>
        </w:rPr>
        <w:t>(</w:t>
      </w:r>
      <w:r>
        <w:rPr>
          <w:sz w:val="22"/>
          <w:szCs w:val="22"/>
          <w:rtl w:val="0"/>
          <w:lang w:val="en-US"/>
        </w:rPr>
        <w:t>−</w:t>
      </w:r>
      <w:r>
        <w:rPr>
          <w:sz w:val="22"/>
          <w:szCs w:val="22"/>
          <w:rtl w:val="0"/>
          <w:lang w:val="en-US"/>
        </w:rPr>
        <w:t>a/(2b)). Thus this functional alone does not generate a stable partition of the vertices into distinct regimes.</w:t>
      </w:r>
    </w:p>
    <w:p>
      <w:pPr>
        <w:pStyle w:val="Normal.0"/>
        <w:spacing w:after="80" w:line="240" w:lineRule="atLeast"/>
        <w:ind w:firstLine="0"/>
      </w:pPr>
      <w:r>
        <w:rPr>
          <w:b w:val="1"/>
          <w:bCs w:val="1"/>
          <w:sz w:val="22"/>
          <w:szCs w:val="22"/>
          <w:rtl w:val="0"/>
          <w:lang w:val="en-US"/>
        </w:rPr>
        <w:t>Proof.</w:t>
      </w:r>
      <w:r>
        <w:rPr>
          <w:sz w:val="22"/>
          <w:szCs w:val="22"/>
          <w:rtl w:val="0"/>
          <w:lang w:val="en-US"/>
        </w:rPr>
        <w:t xml:space="preserve"> For a </w:t>
      </w:r>
      <w:r>
        <w:rPr>
          <w:sz w:val="22"/>
          <w:szCs w:val="22"/>
          <w:rtl w:val="0"/>
          <w:lang w:val="en-US"/>
        </w:rPr>
        <w:t xml:space="preserve">≥ </w:t>
      </w:r>
      <w:r>
        <w:rPr>
          <w:sz w:val="22"/>
          <w:szCs w:val="22"/>
          <w:rtl w:val="0"/>
          <w:lang w:val="en-US"/>
        </w:rPr>
        <w:t xml:space="preserve">0 all terms are nonnegative, and the quartic term vanishes only at </w:t>
      </w:r>
      <w:r>
        <w:rPr>
          <w:sz w:val="22"/>
          <w:szCs w:val="22"/>
          <w:rtl w:val="0"/>
          <w:lang w:val="en-US"/>
        </w:rPr>
        <w:t xml:space="preserve">ψ </w:t>
      </w:r>
      <w:r>
        <w:rPr>
          <w:sz w:val="22"/>
          <w:szCs w:val="22"/>
          <w:rtl w:val="0"/>
          <w:lang w:val="en-US"/>
        </w:rPr>
        <w:t>= 0. For a &lt; 0 define r</w:t>
      </w:r>
      <w:r>
        <w:rPr>
          <w:sz w:val="22"/>
          <w:szCs w:val="22"/>
          <w:rtl w:val="0"/>
          <w:lang w:val="en-US"/>
        </w:rPr>
        <w:t xml:space="preserve">² </w:t>
      </w:r>
      <w:r>
        <w:rPr>
          <w:sz w:val="22"/>
          <w:szCs w:val="22"/>
          <w:rtl w:val="0"/>
          <w:lang w:val="en-US"/>
        </w:rPr>
        <w:t xml:space="preserve">= </w:t>
      </w:r>
      <w:r>
        <w:rPr>
          <w:sz w:val="22"/>
          <w:szCs w:val="22"/>
          <w:rtl w:val="0"/>
          <w:lang w:val="en-US"/>
        </w:rPr>
        <w:t>−</w:t>
      </w:r>
      <w:r>
        <w:rPr>
          <w:sz w:val="22"/>
          <w:szCs w:val="22"/>
          <w:rtl w:val="0"/>
          <w:lang w:val="en-US"/>
        </w:rPr>
        <w:t>a/(2b). Then</w:t>
      </w:r>
    </w:p>
    <w:tbl>
      <w:tblPr>
        <w:tblW w:w="9411"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8846"/>
        <w:gridCol w:w="565"/>
      </w:tblGrid>
      <w:tr>
        <w:tblPrEx>
          <w:shd w:val="clear" w:color="auto" w:fill="ced7e7"/>
        </w:tblPrEx>
        <w:trPr>
          <w:trHeight w:val="223" w:hRule="atLeast"/>
        </w:trPr>
        <w:tc>
          <w:tcPr>
            <w:tcW w:type="dxa" w:w="8846"/>
            <w:tcBorders>
              <w:top w:val="nil"/>
              <w:left w:val="nil"/>
              <w:bottom w:val="nil"/>
              <w:right w:val="nil"/>
            </w:tcBorders>
            <w:shd w:val="clear" w:color="auto" w:fill="auto"/>
            <w:tcMar>
              <w:top w:type="dxa" w:w="80"/>
              <w:left w:type="dxa" w:w="80"/>
              <w:bottom w:type="dxa" w:w="80"/>
              <w:right w:type="dxa" w:w="80"/>
            </w:tcMar>
            <w:vAlign w:val="top"/>
          </w:tcPr>
          <w:p>
            <w:pPr>
              <w:pStyle w:val="Equation"/>
              <w:keepLines w:val="1"/>
              <w:spacing w:after="40"/>
              <w:ind w:firstLine="0"/>
            </w:pPr>
            <w:r>
              <w:rPr>
                <w:rFonts w:ascii="Times New Roman" w:hAnsi="Times New Roman"/>
                <w:sz w:val="18"/>
                <w:szCs w:val="18"/>
                <w:rtl w:val="0"/>
                <w:lang w:val="en-US"/>
              </w:rPr>
              <w:t>F(</w:t>
            </w:r>
            <w:r>
              <w:rPr>
                <w:rFonts w:ascii="Times New Roman" w:hAnsi="Times New Roman" w:hint="default"/>
                <w:sz w:val="18"/>
                <w:szCs w:val="18"/>
                <w:rtl w:val="0"/>
                <w:lang w:val="en-US"/>
              </w:rPr>
              <w:t>ψ</w:t>
            </w:r>
            <w:r>
              <w:rPr>
                <w:rFonts w:ascii="Times New Roman" w:hAnsi="Times New Roman"/>
                <w:sz w:val="18"/>
                <w:szCs w:val="18"/>
                <w:rtl w:val="0"/>
                <w:lang w:val="en-US"/>
              </w:rPr>
              <w:t>) + Na</w:t>
            </w:r>
            <w:r>
              <w:rPr>
                <w:rFonts w:ascii="Times New Roman" w:hAnsi="Times New Roman" w:hint="default"/>
                <w:sz w:val="18"/>
                <w:szCs w:val="18"/>
                <w:rtl w:val="0"/>
                <w:lang w:val="en-US"/>
              </w:rPr>
              <w:t>²</w:t>
            </w:r>
            <w:r>
              <w:rPr>
                <w:rFonts w:ascii="Times New Roman" w:hAnsi="Times New Roman"/>
                <w:sz w:val="18"/>
                <w:szCs w:val="18"/>
                <w:rtl w:val="0"/>
                <w:lang w:val="en-US"/>
              </w:rPr>
              <w:t>/(4b) = b</w:t>
            </w:r>
            <w:r>
              <w:rPr>
                <w:rFonts w:ascii="Times New Roman" w:hAnsi="Times New Roman" w:hint="default"/>
                <w:sz w:val="18"/>
                <w:szCs w:val="18"/>
                <w:rtl w:val="0"/>
                <w:lang w:val="en-US"/>
              </w:rPr>
              <w:t>∑</w:t>
            </w:r>
            <w:r>
              <w:rPr>
                <w:rFonts w:ascii="Times New Roman" w:hAnsi="Times New Roman"/>
                <w:sz w:val="18"/>
                <w:szCs w:val="18"/>
                <w:rtl w:val="0"/>
                <w:lang w:val="en-US"/>
              </w:rPr>
              <w:t>ᵢ(</w:t>
            </w:r>
            <w:r>
              <w:rPr>
                <w:rFonts w:ascii="Times New Roman" w:hAnsi="Times New Roman" w:hint="default"/>
                <w:sz w:val="18"/>
                <w:szCs w:val="18"/>
                <w:rtl w:val="0"/>
                <w:lang w:val="en-US"/>
              </w:rPr>
              <w:t>ψ</w:t>
            </w:r>
            <w:r>
              <w:rPr>
                <w:rFonts w:ascii="Times New Roman" w:hAnsi="Times New Roman"/>
                <w:sz w:val="18"/>
                <w:szCs w:val="18"/>
                <w:rtl w:val="0"/>
                <w:lang w:val="en-US"/>
              </w:rPr>
              <w:t>ᵢ</w:t>
            </w:r>
            <w:r>
              <w:rPr>
                <w:rFonts w:ascii="Times New Roman" w:hAnsi="Times New Roman" w:hint="default"/>
                <w:sz w:val="18"/>
                <w:szCs w:val="18"/>
                <w:rtl w:val="0"/>
                <w:lang w:val="en-US"/>
              </w:rPr>
              <w:t xml:space="preserve">² − </w:t>
            </w:r>
            <w:r>
              <w:rPr>
                <w:rFonts w:ascii="Times New Roman" w:hAnsi="Times New Roman"/>
                <w:sz w:val="18"/>
                <w:szCs w:val="18"/>
                <w:rtl w:val="0"/>
                <w:lang w:val="en-US"/>
              </w:rPr>
              <w:t>r</w:t>
            </w:r>
            <w:r>
              <w:rPr>
                <w:rFonts w:ascii="Times New Roman" w:hAnsi="Times New Roman" w:hint="default"/>
                <w:sz w:val="18"/>
                <w:szCs w:val="18"/>
                <w:rtl w:val="0"/>
                <w:lang w:val="en-US"/>
              </w:rPr>
              <w:t>²</w:t>
            </w:r>
            <w:r>
              <w:rPr>
                <w:rFonts w:ascii="Times New Roman" w:hAnsi="Times New Roman"/>
                <w:sz w:val="18"/>
                <w:szCs w:val="18"/>
                <w:rtl w:val="0"/>
                <w:lang w:val="en-US"/>
              </w:rPr>
              <w:t>)</w:t>
            </w:r>
            <w:r>
              <w:rPr>
                <w:rFonts w:ascii="Times New Roman" w:hAnsi="Times New Roman" w:hint="default"/>
                <w:sz w:val="18"/>
                <w:szCs w:val="18"/>
                <w:rtl w:val="0"/>
                <w:lang w:val="en-US"/>
              </w:rPr>
              <w:t xml:space="preserve">² </w:t>
            </w:r>
            <w:r>
              <w:rPr>
                <w:rFonts w:ascii="Times New Roman" w:hAnsi="Times New Roman"/>
                <w:sz w:val="18"/>
                <w:szCs w:val="18"/>
                <w:rtl w:val="0"/>
                <w:lang w:val="en-US"/>
              </w:rPr>
              <w:t xml:space="preserve">+ </w:t>
            </w:r>
            <w:r>
              <w:rPr>
                <w:rFonts w:ascii="Times New Roman" w:hAnsi="Times New Roman" w:hint="default"/>
                <w:sz w:val="18"/>
                <w:szCs w:val="18"/>
                <w:rtl w:val="0"/>
                <w:lang w:val="en-US"/>
              </w:rPr>
              <w:t>κ∑</w:t>
            </w:r>
            <w:r>
              <w:rPr>
                <w:rFonts w:ascii="Arial Unicode MS" w:cs="Arial Unicode MS" w:hAnsi="Arial Unicode MS" w:eastAsia="Arial Unicode MS" w:hint="default"/>
                <w:b w:val="0"/>
                <w:bCs w:val="0"/>
                <w:i w:val="0"/>
                <w:iCs w:val="0"/>
                <w:sz w:val="18"/>
                <w:szCs w:val="18"/>
                <w:rtl w:val="0"/>
                <w:lang w:val="en-US"/>
              </w:rPr>
              <w:t>⟨</w:t>
            </w:r>
            <w:r>
              <w:rPr>
                <w:rFonts w:ascii="Times New Roman" w:hAnsi="Times New Roman"/>
                <w:sz w:val="18"/>
                <w:szCs w:val="18"/>
                <w:rtl w:val="0"/>
                <w:lang w:val="en-US"/>
              </w:rPr>
              <w:t>ij</w:t>
            </w:r>
            <w:r>
              <w:rPr>
                <w:rFonts w:ascii="Arial Unicode MS" w:cs="Arial Unicode MS" w:hAnsi="Arial Unicode MS" w:eastAsia="Arial Unicode MS" w:hint="default"/>
                <w:b w:val="0"/>
                <w:bCs w:val="0"/>
                <w:i w:val="0"/>
                <w:iCs w:val="0"/>
                <w:sz w:val="18"/>
                <w:szCs w:val="18"/>
                <w:rtl w:val="0"/>
                <w:lang w:val="en-US"/>
              </w:rPr>
              <w:t>⟩</w:t>
            </w:r>
            <w:r>
              <w:rPr>
                <w:rFonts w:ascii="Times New Roman" w:hAnsi="Times New Roman"/>
                <w:sz w:val="18"/>
                <w:szCs w:val="18"/>
                <w:rtl w:val="0"/>
                <w:lang w:val="en-US"/>
              </w:rPr>
              <w:t xml:space="preserve"> </w:t>
            </w:r>
            <w:r>
              <w:rPr>
                <w:rFonts w:ascii="Times New Roman" w:hAnsi="Times New Roman"/>
                <w:sz w:val="18"/>
                <w:szCs w:val="18"/>
                <w:rtl w:val="0"/>
                <w:lang w:val="en-US"/>
              </w:rPr>
              <w:t>wᵢ</w:t>
            </w:r>
            <w:r>
              <w:rPr>
                <w:rFonts w:ascii="Arial Unicode MS" w:cs="Arial Unicode MS" w:hAnsi="Arial Unicode MS" w:eastAsia="Arial Unicode MS" w:hint="default"/>
                <w:b w:val="0"/>
                <w:bCs w:val="0"/>
                <w:i w:val="0"/>
                <w:iCs w:val="0"/>
                <w:sz w:val="18"/>
                <w:szCs w:val="18"/>
                <w:rtl w:val="0"/>
                <w:lang w:val="en-US"/>
              </w:rPr>
              <w:t>ⱼ</w:t>
            </w:r>
            <w:r>
              <w:rPr>
                <w:rFonts w:ascii="Times New Roman" w:hAnsi="Times New Roman"/>
                <w:sz w:val="18"/>
                <w:szCs w:val="18"/>
                <w:rtl w:val="0"/>
                <w:lang w:val="en-US"/>
              </w:rPr>
              <w:t>(</w:t>
            </w:r>
            <w:r>
              <w:rPr>
                <w:rFonts w:ascii="Times New Roman" w:hAnsi="Times New Roman" w:hint="default"/>
                <w:sz w:val="18"/>
                <w:szCs w:val="18"/>
                <w:rtl w:val="0"/>
                <w:lang w:val="en-US"/>
              </w:rPr>
              <w:t>ψ</w:t>
            </w:r>
            <w:r>
              <w:rPr>
                <w:rFonts w:ascii="Times New Roman" w:hAnsi="Times New Roman"/>
                <w:sz w:val="18"/>
                <w:szCs w:val="18"/>
                <w:rtl w:val="0"/>
                <w:lang w:val="en-US"/>
              </w:rPr>
              <w:t xml:space="preserve">ᵢ </w:t>
            </w:r>
            <w:r>
              <w:rPr>
                <w:rFonts w:ascii="Times New Roman" w:hAnsi="Times New Roman" w:hint="default"/>
                <w:sz w:val="18"/>
                <w:szCs w:val="18"/>
                <w:rtl w:val="0"/>
                <w:lang w:val="en-US"/>
              </w:rPr>
              <w:t>− ψ</w:t>
            </w:r>
            <w:r>
              <w:rPr>
                <w:rFonts w:ascii="Arial Unicode MS" w:cs="Arial Unicode MS" w:hAnsi="Arial Unicode MS" w:eastAsia="Arial Unicode MS" w:hint="default"/>
                <w:b w:val="0"/>
                <w:bCs w:val="0"/>
                <w:i w:val="0"/>
                <w:iCs w:val="0"/>
                <w:sz w:val="18"/>
                <w:szCs w:val="18"/>
                <w:rtl w:val="0"/>
                <w:lang w:val="en-US"/>
              </w:rPr>
              <w:t>ⱼ</w:t>
            </w:r>
            <w:r>
              <w:rPr>
                <w:rFonts w:ascii="Times New Roman" w:hAnsi="Times New Roman"/>
                <w:sz w:val="18"/>
                <w:szCs w:val="18"/>
                <w:rtl w:val="0"/>
                <w:lang w:val="en-US"/>
              </w:rPr>
              <w:t>)</w:t>
            </w:r>
            <w:r>
              <w:rPr>
                <w:rFonts w:ascii="Times New Roman" w:hAnsi="Times New Roman" w:hint="default"/>
                <w:sz w:val="18"/>
                <w:szCs w:val="18"/>
                <w:rtl w:val="0"/>
                <w:lang w:val="en-US"/>
              </w:rPr>
              <w:t xml:space="preserve">² ≥ </w:t>
            </w:r>
            <w:r>
              <w:rPr>
                <w:rFonts w:ascii="Times New Roman" w:hAnsi="Times New Roman"/>
                <w:sz w:val="18"/>
                <w:szCs w:val="18"/>
                <w:rtl w:val="0"/>
                <w:lang w:val="en-US"/>
              </w:rPr>
              <w:t>0.</w:t>
            </w:r>
          </w:p>
        </w:tc>
        <w:tc>
          <w:tcPr>
            <w:tcW w:type="dxa" w:w="565"/>
            <w:tcBorders>
              <w:top w:val="nil"/>
              <w:left w:val="nil"/>
              <w:bottom w:val="nil"/>
              <w:right w:val="nil"/>
            </w:tcBorders>
            <w:shd w:val="clear" w:color="auto" w:fill="auto"/>
            <w:tcMar>
              <w:top w:type="dxa" w:w="80"/>
              <w:left w:type="dxa" w:w="80"/>
              <w:bottom w:type="dxa" w:w="80"/>
              <w:right w:type="dxa" w:w="80"/>
            </w:tcMar>
            <w:vAlign w:val="top"/>
          </w:tcPr>
          <w:p>
            <w:pPr>
              <w:pStyle w:val="Normal.0"/>
              <w:keepLines w:val="1"/>
              <w:spacing w:after="40" w:line="240" w:lineRule="auto"/>
              <w:ind w:firstLine="0"/>
              <w:jc w:val="right"/>
            </w:pPr>
            <w:r>
              <w:rPr>
                <w:sz w:val="18"/>
                <w:szCs w:val="18"/>
                <w:rtl w:val="0"/>
                <w:lang w:val="en-US"/>
              </w:rPr>
              <w:t>(10)</w:t>
            </w:r>
          </w:p>
        </w:tc>
      </w:tr>
    </w:tbl>
    <w:p>
      <w:pPr>
        <w:pStyle w:val="Normal.0"/>
        <w:widowControl w:val="0"/>
        <w:spacing w:after="80" w:line="240" w:lineRule="atLeast"/>
        <w:ind w:firstLine="0"/>
        <w:jc w:val="center"/>
      </w:pPr>
    </w:p>
    <w:p>
      <w:pPr>
        <w:pStyle w:val="Normal.0"/>
        <w:spacing w:after="80" w:line="240" w:lineRule="atLeast"/>
      </w:pPr>
      <w:r>
        <w:rPr>
          <w:sz w:val="22"/>
          <w:szCs w:val="22"/>
          <w:rtl w:val="0"/>
          <w:lang w:val="en-US"/>
        </w:rPr>
        <w:t xml:space="preserve">The lower bound is attained by the constant configurations </w:t>
      </w:r>
      <w:r>
        <w:rPr>
          <w:sz w:val="22"/>
          <w:szCs w:val="22"/>
          <w:rtl w:val="0"/>
          <w:lang w:val="en-US"/>
        </w:rPr>
        <w:t>±</w:t>
      </w:r>
      <w:r>
        <w:rPr>
          <w:sz w:val="22"/>
          <w:szCs w:val="22"/>
          <w:rtl w:val="0"/>
          <w:lang w:val="en-US"/>
        </w:rPr>
        <w:t xml:space="preserve">r. Equality requires identical </w:t>
      </w:r>
      <w:r>
        <w:rPr>
          <w:sz w:val="22"/>
          <w:szCs w:val="22"/>
          <w:rtl w:val="0"/>
          <w:lang w:val="en-US"/>
        </w:rPr>
        <w:t xml:space="preserve">ψ </w:t>
      </w:r>
      <w:r>
        <w:rPr>
          <w:sz w:val="22"/>
          <w:szCs w:val="22"/>
          <w:rtl w:val="0"/>
          <w:lang w:val="en-US"/>
        </w:rPr>
        <w:t xml:space="preserve">on every nonzero edge and hence, by connectedness, on the entire graph. For complex </w:t>
      </w:r>
      <w:r>
        <w:rPr>
          <w:sz w:val="22"/>
          <w:szCs w:val="22"/>
          <w:rtl w:val="0"/>
          <w:lang w:val="en-US"/>
        </w:rPr>
        <w:t>ψ</w:t>
      </w:r>
      <w:r>
        <w:rPr>
          <w:sz w:val="22"/>
          <w:szCs w:val="22"/>
          <w:rtl w:val="0"/>
          <w:lang w:val="en-US"/>
        </w:rPr>
        <w:t xml:space="preserve">, the corresponding set of minima has one common phase. </w:t>
      </w:r>
      <w:r>
        <w:rPr>
          <w:sz w:val="22"/>
          <w:szCs w:val="22"/>
          <w:rtl w:val="0"/>
          <w:lang w:val="en-US"/>
        </w:rPr>
        <w:t>□</w:t>
      </w:r>
    </w:p>
    <w:p>
      <w:pPr>
        <w:pStyle w:val="Normal.0"/>
        <w:spacing w:after="80" w:line="240" w:lineRule="atLeast"/>
      </w:pPr>
      <w:r>
        <w:rPr>
          <w:sz w:val="22"/>
          <w:szCs w:val="22"/>
          <w:rtl w:val="0"/>
          <w:lang w:val="en-US"/>
        </w:rPr>
        <w:t xml:space="preserve">A collective transition from zero to nonzero amplitude is therefore possible, but it preserves homogeneity. Structural separation requires additional ingredients: competing couplings, constraints, inhomogeneous stable states, or an independent restructuring of W. The mere presence of a symbol </w:t>
      </w:r>
      <w:r>
        <w:rPr>
          <w:sz w:val="22"/>
          <w:szCs w:val="22"/>
          <w:rtl w:val="0"/>
          <w:lang w:val="en-US"/>
        </w:rPr>
        <w:t xml:space="preserve">ψ </w:t>
      </w:r>
      <w:r>
        <w:rPr>
          <w:sz w:val="22"/>
          <w:szCs w:val="22"/>
          <w:rtl w:val="0"/>
          <w:lang w:val="en-US"/>
        </w:rPr>
        <w:t>in a Landau functional does not identify it with causal or geometric distinguishability.</w:t>
      </w:r>
    </w:p>
    <w:p>
      <w:pPr>
        <w:pStyle w:val="Заголовок 3"/>
        <w:spacing w:line="240" w:lineRule="atLeast"/>
        <w:rPr>
          <w:u w:val="single"/>
        </w:rPr>
      </w:pPr>
      <w:r>
        <w:rPr>
          <w:u w:val="single"/>
          <w:rtl w:val="0"/>
          <w:lang w:val="en-US"/>
        </w:rPr>
        <w:t>4.2. Conditional Criterion for Stable Sectors</w:t>
      </w:r>
    </w:p>
    <w:p>
      <w:pPr>
        <w:pStyle w:val="Normal.0"/>
        <w:spacing w:after="80" w:line="240" w:lineRule="atLeast"/>
        <w:ind w:firstLine="0"/>
      </w:pPr>
      <w:r>
        <w:rPr>
          <w:sz w:val="22"/>
          <w:szCs w:val="22"/>
          <w:rtl w:val="0"/>
          <w:lang w:val="en-US"/>
        </w:rPr>
        <w:t>Let L</w:t>
      </w:r>
      <w:r>
        <w:rPr>
          <w:rFonts w:ascii="Arial Unicode MS" w:cs="Arial Unicode MS" w:hAnsi="Arial Unicode MS" w:eastAsia="Arial Unicode MS" w:hint="default"/>
          <w:b w:val="0"/>
          <w:bCs w:val="0"/>
          <w:i w:val="0"/>
          <w:iCs w:val="0"/>
          <w:sz w:val="22"/>
          <w:szCs w:val="22"/>
          <w:rtl w:val="0"/>
          <w:lang w:val="en-US"/>
        </w:rPr>
        <w:t>₀</w:t>
      </w:r>
      <w:r>
        <w:rPr>
          <w:sz w:val="22"/>
          <w:szCs w:val="22"/>
          <w:rtl w:val="0"/>
          <w:lang w:val="en-US"/>
        </w:rPr>
        <w:t xml:space="preserve"> </w:t>
      </w:r>
      <w:r>
        <w:rPr>
          <w:sz w:val="22"/>
          <w:szCs w:val="22"/>
          <w:rtl w:val="0"/>
          <w:lang w:val="en-US"/>
        </w:rPr>
        <w:t xml:space="preserve">be the Laplacian of r disconnected internally connected blocks. Its kernel has dimension r and consists of vectors that are constant on each block. Assume all remaining eigenvalues are at least </w:t>
      </w:r>
      <w:r>
        <w:rPr>
          <w:sz w:val="22"/>
          <w:szCs w:val="22"/>
          <w:rtl w:val="0"/>
          <w:lang w:val="en-US"/>
        </w:rPr>
        <w:t xml:space="preserve">γ </w:t>
      </w:r>
      <w:r>
        <w:rPr>
          <w:sz w:val="22"/>
          <w:szCs w:val="22"/>
          <w:rtl w:val="0"/>
          <w:lang w:val="en-US"/>
        </w:rPr>
        <w:t>&gt; 0. Interblock couplings add a positive Laplacian E:</w:t>
      </w:r>
    </w:p>
    <w:tbl>
      <w:tblPr>
        <w:tblW w:w="9411"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8846"/>
        <w:gridCol w:w="565"/>
      </w:tblGrid>
      <w:tr>
        <w:tblPrEx>
          <w:shd w:val="clear" w:color="auto" w:fill="ced7e7"/>
        </w:tblPrEx>
        <w:trPr>
          <w:trHeight w:val="241" w:hRule="atLeast"/>
        </w:trPr>
        <w:tc>
          <w:tcPr>
            <w:tcW w:type="dxa" w:w="8846"/>
            <w:tcBorders>
              <w:top w:val="nil"/>
              <w:left w:val="nil"/>
              <w:bottom w:val="nil"/>
              <w:right w:val="nil"/>
            </w:tcBorders>
            <w:shd w:val="clear" w:color="auto" w:fill="auto"/>
            <w:tcMar>
              <w:top w:type="dxa" w:w="80"/>
              <w:left w:type="dxa" w:w="80"/>
              <w:bottom w:type="dxa" w:w="80"/>
              <w:right w:type="dxa" w:w="80"/>
            </w:tcMar>
            <w:vAlign w:val="top"/>
          </w:tcPr>
          <w:p>
            <w:pPr>
              <w:pStyle w:val="Equation"/>
              <w:keepLines w:val="1"/>
              <w:spacing w:after="40"/>
              <w:ind w:firstLine="0"/>
            </w:pPr>
            <w:r>
              <w:rPr>
                <w:rFonts w:ascii="Times New Roman" w:hAnsi="Times New Roman"/>
                <w:sz w:val="18"/>
                <w:szCs w:val="18"/>
                <w:rtl w:val="0"/>
                <w:lang w:val="en-US"/>
              </w:rPr>
              <w:t>L = L</w:t>
            </w:r>
            <w:r>
              <w:rPr>
                <w:rFonts w:ascii="Arial Unicode MS" w:cs="Arial Unicode MS" w:hAnsi="Arial Unicode MS" w:eastAsia="Arial Unicode MS" w:hint="default"/>
                <w:b w:val="0"/>
                <w:bCs w:val="0"/>
                <w:i w:val="0"/>
                <w:iCs w:val="0"/>
                <w:sz w:val="18"/>
                <w:szCs w:val="18"/>
                <w:rtl w:val="0"/>
                <w:lang w:val="en-US"/>
              </w:rPr>
              <w:t>₀</w:t>
            </w:r>
            <w:r>
              <w:rPr>
                <w:rFonts w:ascii="Times New Roman" w:hAnsi="Times New Roman"/>
                <w:sz w:val="18"/>
                <w:szCs w:val="18"/>
                <w:rtl w:val="0"/>
                <w:lang w:val="en-US"/>
              </w:rPr>
              <w:t xml:space="preserve"> </w:t>
            </w:r>
            <w:r>
              <w:rPr>
                <w:rFonts w:ascii="Times New Roman" w:hAnsi="Times New Roman"/>
                <w:sz w:val="18"/>
                <w:szCs w:val="18"/>
                <w:rtl w:val="0"/>
                <w:lang w:val="en-US"/>
              </w:rPr>
              <w:t xml:space="preserve">+ E,     E </w:t>
            </w:r>
            <w:r>
              <w:rPr>
                <w:rFonts w:ascii="Times New Roman" w:hAnsi="Times New Roman" w:hint="default"/>
                <w:sz w:val="18"/>
                <w:szCs w:val="18"/>
                <w:rtl w:val="0"/>
                <w:lang w:val="en-US"/>
              </w:rPr>
              <w:t xml:space="preserve">≥ </w:t>
            </w:r>
            <w:r>
              <w:rPr>
                <w:rFonts w:ascii="Times New Roman" w:hAnsi="Times New Roman"/>
                <w:sz w:val="18"/>
                <w:szCs w:val="18"/>
                <w:rtl w:val="0"/>
                <w:lang w:val="en-US"/>
              </w:rPr>
              <w:t xml:space="preserve">0,     </w:t>
            </w:r>
            <w:r>
              <w:rPr>
                <w:rFonts w:ascii="Times New Roman" w:hAnsi="Times New Roman" w:hint="default"/>
                <w:sz w:val="18"/>
                <w:szCs w:val="18"/>
                <w:rtl w:val="0"/>
                <w:lang w:val="en-US"/>
              </w:rPr>
              <w:t xml:space="preserve">ε </w:t>
            </w:r>
            <w:r>
              <w:rPr>
                <w:rFonts w:ascii="Times New Roman" w:hAnsi="Times New Roman"/>
                <w:sz w:val="18"/>
                <w:szCs w:val="18"/>
                <w:rtl w:val="0"/>
                <w:lang w:val="en-US"/>
              </w:rPr>
              <w:t xml:space="preserve">= </w:t>
            </w:r>
            <w:r>
              <w:rPr>
                <w:rFonts w:ascii="Times New Roman" w:hAnsi="Times New Roman" w:hint="default"/>
                <w:sz w:val="18"/>
                <w:szCs w:val="18"/>
                <w:rtl w:val="0"/>
                <w:lang w:val="en-US"/>
              </w:rPr>
              <w:t>‖</w:t>
            </w:r>
            <w:r>
              <w:rPr>
                <w:rFonts w:ascii="Times New Roman" w:hAnsi="Times New Roman"/>
                <w:sz w:val="18"/>
                <w:szCs w:val="18"/>
                <w:rtl w:val="0"/>
                <w:lang w:val="en-US"/>
              </w:rPr>
              <w:t>E</w:t>
            </w:r>
            <w:r>
              <w:rPr>
                <w:rFonts w:ascii="Times New Roman" w:hAnsi="Times New Roman" w:hint="default"/>
                <w:sz w:val="18"/>
                <w:szCs w:val="18"/>
                <w:rtl w:val="0"/>
                <w:lang w:val="en-US"/>
              </w:rPr>
              <w:t xml:space="preserve">‖ </w:t>
            </w:r>
            <w:r>
              <w:rPr>
                <w:rFonts w:ascii="Times New Roman" w:hAnsi="Times New Roman"/>
                <w:sz w:val="18"/>
                <w:szCs w:val="18"/>
                <w:rtl w:val="0"/>
                <w:lang w:val="en-US"/>
              </w:rPr>
              <w:t xml:space="preserve">&lt; </w:t>
            </w:r>
            <w:r>
              <w:rPr>
                <w:rFonts w:ascii="Times New Roman" w:hAnsi="Times New Roman" w:hint="default"/>
                <w:sz w:val="18"/>
                <w:szCs w:val="18"/>
                <w:rtl w:val="0"/>
                <w:lang w:val="en-US"/>
              </w:rPr>
              <w:t>γ</w:t>
            </w:r>
            <w:r>
              <w:rPr>
                <w:rFonts w:ascii="Times New Roman" w:hAnsi="Times New Roman"/>
                <w:sz w:val="18"/>
                <w:szCs w:val="18"/>
                <w:rtl w:val="0"/>
                <w:lang w:val="en-US"/>
              </w:rPr>
              <w:t>/2.</w:t>
            </w:r>
          </w:p>
        </w:tc>
        <w:tc>
          <w:tcPr>
            <w:tcW w:type="dxa" w:w="565"/>
            <w:tcBorders>
              <w:top w:val="nil"/>
              <w:left w:val="nil"/>
              <w:bottom w:val="nil"/>
              <w:right w:val="nil"/>
            </w:tcBorders>
            <w:shd w:val="clear" w:color="auto" w:fill="auto"/>
            <w:tcMar>
              <w:top w:type="dxa" w:w="80"/>
              <w:left w:type="dxa" w:w="80"/>
              <w:bottom w:type="dxa" w:w="80"/>
              <w:right w:type="dxa" w:w="80"/>
            </w:tcMar>
            <w:vAlign w:val="top"/>
          </w:tcPr>
          <w:p>
            <w:pPr>
              <w:pStyle w:val="Normal.0"/>
              <w:keepLines w:val="1"/>
              <w:spacing w:after="40" w:line="240" w:lineRule="auto"/>
              <w:ind w:firstLine="0"/>
              <w:jc w:val="right"/>
            </w:pPr>
            <w:r>
              <w:rPr>
                <w:sz w:val="18"/>
                <w:szCs w:val="18"/>
                <w:rtl w:val="0"/>
                <w:lang w:val="en-US"/>
              </w:rPr>
              <w:t>(11)</w:t>
            </w:r>
          </w:p>
        </w:tc>
      </w:tr>
    </w:tbl>
    <w:p>
      <w:pPr>
        <w:pStyle w:val="Normal.0"/>
        <w:widowControl w:val="0"/>
        <w:spacing w:after="80" w:line="240" w:lineRule="atLeast"/>
        <w:ind w:firstLine="0"/>
        <w:jc w:val="center"/>
      </w:pPr>
    </w:p>
    <w:p>
      <w:pPr>
        <w:pStyle w:val="Normal.0"/>
        <w:spacing w:after="80" w:line="240" w:lineRule="atLeast"/>
        <w:ind w:firstLine="0"/>
      </w:pPr>
      <w:r>
        <w:rPr>
          <w:b w:val="1"/>
          <w:bCs w:val="1"/>
          <w:sz w:val="22"/>
          <w:szCs w:val="22"/>
          <w:rtl w:val="0"/>
          <w:lang w:val="en-US"/>
        </w:rPr>
        <w:t>Proposition 2.</w:t>
      </w:r>
      <w:r>
        <w:rPr>
          <w:sz w:val="22"/>
          <w:szCs w:val="22"/>
          <w:rtl w:val="0"/>
          <w:lang w:val="en-US"/>
        </w:rPr>
        <w:t xml:space="preserve"> The operator L has exactly r eigenvalues below </w:t>
      </w:r>
      <w:r>
        <w:rPr>
          <w:sz w:val="22"/>
          <w:szCs w:val="22"/>
          <w:rtl w:val="0"/>
          <w:lang w:val="en-US"/>
        </w:rPr>
        <w:t>γ</w:t>
      </w:r>
      <w:r>
        <w:rPr>
          <w:sz w:val="22"/>
          <w:szCs w:val="22"/>
          <w:rtl w:val="0"/>
          <w:lang w:val="en-US"/>
        </w:rPr>
        <w:t xml:space="preserve">/2; they lie in [0, </w:t>
      </w:r>
      <w:r>
        <w:rPr>
          <w:sz w:val="22"/>
          <w:szCs w:val="22"/>
          <w:rtl w:val="0"/>
          <w:lang w:val="en-US"/>
        </w:rPr>
        <w:t>ε</w:t>
      </w:r>
      <w:r>
        <w:rPr>
          <w:sz w:val="22"/>
          <w:szCs w:val="22"/>
          <w:rtl w:val="0"/>
          <w:lang w:val="en-US"/>
        </w:rPr>
        <w:t xml:space="preserve">], while all remaining eigenvalues are at least </w:t>
      </w:r>
      <w:r>
        <w:rPr>
          <w:sz w:val="22"/>
          <w:szCs w:val="22"/>
          <w:rtl w:val="0"/>
          <w:lang w:val="en-US"/>
        </w:rPr>
        <w:t>γ</w:t>
      </w:r>
      <w:r>
        <w:rPr>
          <w:sz w:val="22"/>
          <w:szCs w:val="22"/>
          <w:rtl w:val="0"/>
          <w:lang w:val="en-US"/>
        </w:rPr>
        <w:t>. If P</w:t>
      </w:r>
      <w:r>
        <w:rPr>
          <w:rFonts w:ascii="Arial Unicode MS" w:cs="Arial Unicode MS" w:hAnsi="Arial Unicode MS" w:eastAsia="Arial Unicode MS" w:hint="default"/>
          <w:b w:val="0"/>
          <w:bCs w:val="0"/>
          <w:i w:val="0"/>
          <w:iCs w:val="0"/>
          <w:sz w:val="22"/>
          <w:szCs w:val="22"/>
          <w:rtl w:val="0"/>
          <w:lang w:val="en-US"/>
        </w:rPr>
        <w:t>₀</w:t>
      </w:r>
      <w:r>
        <w:rPr>
          <w:sz w:val="22"/>
          <w:szCs w:val="22"/>
          <w:rtl w:val="0"/>
          <w:lang w:val="en-US"/>
        </w:rPr>
        <w:t xml:space="preserve"> </w:t>
      </w:r>
      <w:r>
        <w:rPr>
          <w:sz w:val="22"/>
          <w:szCs w:val="22"/>
          <w:rtl w:val="0"/>
          <w:lang w:val="en-US"/>
        </w:rPr>
        <w:t>projects onto ker L</w:t>
      </w:r>
      <w:r>
        <w:rPr>
          <w:rFonts w:ascii="Arial Unicode MS" w:cs="Arial Unicode MS" w:hAnsi="Arial Unicode MS" w:eastAsia="Arial Unicode MS" w:hint="default"/>
          <w:b w:val="0"/>
          <w:bCs w:val="0"/>
          <w:i w:val="0"/>
          <w:iCs w:val="0"/>
          <w:sz w:val="22"/>
          <w:szCs w:val="22"/>
          <w:rtl w:val="0"/>
          <w:lang w:val="en-US"/>
        </w:rPr>
        <w:t>₀</w:t>
      </w:r>
      <w:r>
        <w:rPr>
          <w:sz w:val="22"/>
          <w:szCs w:val="22"/>
          <w:rtl w:val="0"/>
          <w:lang w:val="en-US"/>
        </w:rPr>
        <w:t xml:space="preserve"> </w:t>
      </w:r>
      <w:r>
        <w:rPr>
          <w:sz w:val="22"/>
          <w:szCs w:val="22"/>
          <w:rtl w:val="0"/>
          <w:lang w:val="en-US"/>
        </w:rPr>
        <w:t>and P projects onto these r low modes of L, then</w:t>
      </w:r>
    </w:p>
    <w:tbl>
      <w:tblPr>
        <w:tblW w:w="9411"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8846"/>
        <w:gridCol w:w="565"/>
      </w:tblGrid>
      <w:tr>
        <w:tblPrEx>
          <w:shd w:val="clear" w:color="auto" w:fill="ced7e7"/>
        </w:tblPrEx>
        <w:trPr>
          <w:trHeight w:val="241" w:hRule="atLeast"/>
        </w:trPr>
        <w:tc>
          <w:tcPr>
            <w:tcW w:type="dxa" w:w="8846"/>
            <w:tcBorders>
              <w:top w:val="nil"/>
              <w:left w:val="nil"/>
              <w:bottom w:val="nil"/>
              <w:right w:val="nil"/>
            </w:tcBorders>
            <w:shd w:val="clear" w:color="auto" w:fill="auto"/>
            <w:tcMar>
              <w:top w:type="dxa" w:w="80"/>
              <w:left w:type="dxa" w:w="80"/>
              <w:bottom w:type="dxa" w:w="80"/>
              <w:right w:type="dxa" w:w="80"/>
            </w:tcMar>
            <w:vAlign w:val="top"/>
          </w:tcPr>
          <w:p>
            <w:pPr>
              <w:pStyle w:val="Equation"/>
              <w:keepLines w:val="1"/>
              <w:spacing w:after="40"/>
              <w:ind w:firstLine="0"/>
            </w:pPr>
            <w:r>
              <w:rPr>
                <w:rFonts w:ascii="Times New Roman" w:hAnsi="Times New Roman" w:hint="default"/>
                <w:sz w:val="18"/>
                <w:szCs w:val="18"/>
                <w:rtl w:val="0"/>
                <w:lang w:val="en-US"/>
              </w:rPr>
              <w:t>‖</w:t>
            </w:r>
            <w:r>
              <w:rPr>
                <w:rFonts w:ascii="Times New Roman" w:hAnsi="Times New Roman"/>
                <w:sz w:val="18"/>
                <w:szCs w:val="18"/>
                <w:rtl w:val="0"/>
                <w:lang w:val="en-US"/>
              </w:rPr>
              <w:t xml:space="preserve">P </w:t>
            </w:r>
            <w:r>
              <w:rPr>
                <w:rFonts w:ascii="Times New Roman" w:hAnsi="Times New Roman" w:hint="default"/>
                <w:sz w:val="18"/>
                <w:szCs w:val="18"/>
                <w:rtl w:val="0"/>
                <w:lang w:val="en-US"/>
              </w:rPr>
              <w:t xml:space="preserve">− </w:t>
            </w:r>
            <w:r>
              <w:rPr>
                <w:rFonts w:ascii="Times New Roman" w:hAnsi="Times New Roman"/>
                <w:sz w:val="18"/>
                <w:szCs w:val="18"/>
                <w:rtl w:val="0"/>
                <w:lang w:val="en-US"/>
              </w:rPr>
              <w:t>P</w:t>
            </w:r>
            <w:r>
              <w:rPr>
                <w:rFonts w:ascii="Arial Unicode MS" w:cs="Arial Unicode MS" w:hAnsi="Arial Unicode MS" w:eastAsia="Arial Unicode MS" w:hint="default"/>
                <w:b w:val="0"/>
                <w:bCs w:val="0"/>
                <w:i w:val="0"/>
                <w:iCs w:val="0"/>
                <w:sz w:val="18"/>
                <w:szCs w:val="18"/>
                <w:rtl w:val="0"/>
                <w:lang w:val="en-US"/>
              </w:rPr>
              <w:t>₀</w:t>
            </w:r>
            <w:r>
              <w:rPr>
                <w:rFonts w:ascii="Times New Roman" w:hAnsi="Times New Roman" w:hint="default"/>
                <w:sz w:val="18"/>
                <w:szCs w:val="18"/>
                <w:rtl w:val="0"/>
                <w:lang w:val="en-US"/>
              </w:rPr>
              <w:t>‖ ≤ ε</w:t>
            </w:r>
            <w:r>
              <w:rPr>
                <w:rFonts w:ascii="Times New Roman" w:hAnsi="Times New Roman"/>
                <w:sz w:val="18"/>
                <w:szCs w:val="18"/>
                <w:rtl w:val="0"/>
                <w:lang w:val="en-US"/>
              </w:rPr>
              <w:t>/(</w:t>
            </w:r>
            <w:r>
              <w:rPr>
                <w:rFonts w:ascii="Times New Roman" w:hAnsi="Times New Roman" w:hint="default"/>
                <w:sz w:val="18"/>
                <w:szCs w:val="18"/>
                <w:rtl w:val="0"/>
                <w:lang w:val="en-US"/>
              </w:rPr>
              <w:t>γ − ε</w:t>
            </w:r>
            <w:r>
              <w:rPr>
                <w:rFonts w:ascii="Times New Roman" w:hAnsi="Times New Roman"/>
                <w:sz w:val="18"/>
                <w:szCs w:val="18"/>
                <w:rtl w:val="0"/>
                <w:lang w:val="en-US"/>
              </w:rPr>
              <w:t>).</w:t>
            </w:r>
          </w:p>
        </w:tc>
        <w:tc>
          <w:tcPr>
            <w:tcW w:type="dxa" w:w="565"/>
            <w:tcBorders>
              <w:top w:val="nil"/>
              <w:left w:val="nil"/>
              <w:bottom w:val="nil"/>
              <w:right w:val="nil"/>
            </w:tcBorders>
            <w:shd w:val="clear" w:color="auto" w:fill="auto"/>
            <w:tcMar>
              <w:top w:type="dxa" w:w="80"/>
              <w:left w:type="dxa" w:w="80"/>
              <w:bottom w:type="dxa" w:w="80"/>
              <w:right w:type="dxa" w:w="80"/>
            </w:tcMar>
            <w:vAlign w:val="top"/>
          </w:tcPr>
          <w:p>
            <w:pPr>
              <w:pStyle w:val="Normal.0"/>
              <w:keepLines w:val="1"/>
              <w:spacing w:after="40" w:line="240" w:lineRule="auto"/>
              <w:ind w:firstLine="0"/>
              <w:jc w:val="right"/>
            </w:pPr>
            <w:r>
              <w:rPr>
                <w:sz w:val="18"/>
                <w:szCs w:val="18"/>
                <w:rtl w:val="0"/>
                <w:lang w:val="en-US"/>
              </w:rPr>
              <w:t>(12)</w:t>
            </w:r>
          </w:p>
        </w:tc>
      </w:tr>
    </w:tbl>
    <w:p>
      <w:pPr>
        <w:pStyle w:val="Normal.0"/>
        <w:widowControl w:val="0"/>
        <w:spacing w:after="80" w:line="240" w:lineRule="atLeast"/>
        <w:ind w:firstLine="0"/>
        <w:jc w:val="center"/>
      </w:pPr>
    </w:p>
    <w:p>
      <w:pPr>
        <w:pStyle w:val="Normal.0"/>
        <w:spacing w:after="80" w:line="240" w:lineRule="atLeast"/>
      </w:pPr>
      <w:r>
        <w:rPr>
          <w:sz w:val="22"/>
          <w:szCs w:val="22"/>
          <w:rtl w:val="0"/>
          <w:lang w:val="en-US"/>
        </w:rPr>
        <w:t xml:space="preserve">A proof is given in Appendix A. The condition produces a separation of mixing times: relaxation within the blocks occurs for s </w:t>
      </w:r>
      <w:r>
        <w:rPr>
          <w:rFonts w:ascii="Arial Unicode MS" w:cs="Arial Unicode MS" w:hAnsi="Arial Unicode MS" w:eastAsia="Arial Unicode MS" w:hint="default"/>
          <w:b w:val="0"/>
          <w:bCs w:val="0"/>
          <w:i w:val="0"/>
          <w:iCs w:val="0"/>
          <w:sz w:val="22"/>
          <w:szCs w:val="22"/>
          <w:rtl w:val="0"/>
          <w:lang w:val="en-US"/>
        </w:rPr>
        <w:t>≳</w:t>
      </w:r>
      <w:r>
        <w:rPr>
          <w:sz w:val="22"/>
          <w:szCs w:val="22"/>
          <w:rtl w:val="0"/>
          <w:lang w:val="en-US"/>
        </w:rPr>
        <w:t xml:space="preserve"> γ</w:t>
      </w:r>
      <w:r>
        <w:rPr>
          <w:rFonts w:ascii="Arial Unicode MS" w:cs="Arial Unicode MS" w:hAnsi="Arial Unicode MS" w:eastAsia="Arial Unicode MS" w:hint="default"/>
          <w:b w:val="0"/>
          <w:bCs w:val="0"/>
          <w:i w:val="0"/>
          <w:iCs w:val="0"/>
          <w:sz w:val="22"/>
          <w:szCs w:val="22"/>
          <w:rtl w:val="0"/>
          <w:lang w:val="en-US"/>
        </w:rPr>
        <w:t>⁻</w:t>
      </w:r>
      <w:r>
        <w:rPr>
          <w:sz w:val="22"/>
          <w:szCs w:val="22"/>
          <w:rtl w:val="0"/>
          <w:lang w:val="en-US"/>
        </w:rPr>
        <w:t>¹</w:t>
      </w:r>
      <w:r>
        <w:rPr>
          <w:sz w:val="22"/>
          <w:szCs w:val="22"/>
          <w:rtl w:val="0"/>
          <w:lang w:val="en-US"/>
        </w:rPr>
        <w:t xml:space="preserve">, whereas interblock differences persist for s </w:t>
      </w:r>
      <w:r>
        <w:rPr>
          <w:rFonts w:ascii="Arial Unicode MS" w:cs="Arial Unicode MS" w:hAnsi="Arial Unicode MS" w:eastAsia="Arial Unicode MS" w:hint="default"/>
          <w:b w:val="0"/>
          <w:bCs w:val="0"/>
          <w:i w:val="0"/>
          <w:iCs w:val="0"/>
          <w:sz w:val="22"/>
          <w:szCs w:val="22"/>
          <w:rtl w:val="0"/>
          <w:lang w:val="en-US"/>
        </w:rPr>
        <w:t>≪</w:t>
      </w:r>
      <w:r>
        <w:rPr>
          <w:sz w:val="22"/>
          <w:szCs w:val="22"/>
          <w:rtl w:val="0"/>
          <w:lang w:val="en-US"/>
        </w:rPr>
        <w:t xml:space="preserve"> ε</w:t>
      </w:r>
      <w:r>
        <w:rPr>
          <w:rFonts w:ascii="Arial Unicode MS" w:cs="Arial Unicode MS" w:hAnsi="Arial Unicode MS" w:eastAsia="Arial Unicode MS" w:hint="default"/>
          <w:b w:val="0"/>
          <w:bCs w:val="0"/>
          <w:i w:val="0"/>
          <w:iCs w:val="0"/>
          <w:sz w:val="22"/>
          <w:szCs w:val="22"/>
          <w:rtl w:val="0"/>
          <w:lang w:val="en-US"/>
        </w:rPr>
        <w:t>⁻</w:t>
      </w:r>
      <w:r>
        <w:rPr>
          <w:sz w:val="22"/>
          <w:szCs w:val="22"/>
          <w:rtl w:val="0"/>
          <w:lang w:val="en-US"/>
        </w:rPr>
        <w:t>¹</w:t>
      </w:r>
      <w:r>
        <w:rPr>
          <w:sz w:val="22"/>
          <w:szCs w:val="22"/>
          <w:rtl w:val="0"/>
          <w:lang w:val="en-US"/>
        </w:rPr>
        <w:t>. Here s is the parameter of an auxiliary heat kernel, not a physical clock. Over the intermediate range, block averages are stable effective variables.</w:t>
      </w:r>
    </w:p>
    <w:p>
      <w:pPr>
        <w:pStyle w:val="Normal.0"/>
        <w:spacing w:after="80" w:line="240" w:lineRule="atLeast"/>
      </w:pPr>
      <w:r>
        <w:rPr>
          <w:sz w:val="22"/>
          <w:szCs w:val="22"/>
          <w:rtl w:val="0"/>
          <w:lang w:val="en-US"/>
        </w:rPr>
        <w:t>The robust object is the low-dimensional subspace itself, not an arbitrarily selected basis of its eigenvectors. For degenerate low eigenvalues that basis may rotate. Estimate (12) does not imply uniqueness of any clustering algorithm. Moreover, the block form of L</w:t>
      </w:r>
      <w:r>
        <w:rPr>
          <w:rFonts w:ascii="Arial Unicode MS" w:cs="Arial Unicode MS" w:hAnsi="Arial Unicode MS" w:eastAsia="Arial Unicode MS" w:hint="default"/>
          <w:b w:val="0"/>
          <w:bCs w:val="0"/>
          <w:i w:val="0"/>
          <w:iCs w:val="0"/>
          <w:sz w:val="22"/>
          <w:szCs w:val="22"/>
          <w:rtl w:val="0"/>
          <w:lang w:val="en-US"/>
        </w:rPr>
        <w:t>₀</w:t>
      </w:r>
      <w:r>
        <w:rPr>
          <w:sz w:val="22"/>
          <w:szCs w:val="22"/>
          <w:rtl w:val="0"/>
          <w:lang w:val="en-US"/>
        </w:rPr>
        <w:t xml:space="preserve"> </w:t>
      </w:r>
      <w:r>
        <w:rPr>
          <w:sz w:val="22"/>
          <w:szCs w:val="22"/>
          <w:rtl w:val="0"/>
          <w:lang w:val="en-US"/>
        </w:rPr>
        <w:t>is an assumption of the theorem, not a dynamically derived outcome of Eqs. (5)</w:t>
      </w:r>
      <w:r>
        <w:rPr>
          <w:sz w:val="22"/>
          <w:szCs w:val="22"/>
          <w:rtl w:val="0"/>
          <w:lang w:val="en-US"/>
        </w:rPr>
        <w:t>–</w:t>
      </w:r>
      <w:r>
        <w:rPr>
          <w:sz w:val="22"/>
          <w:szCs w:val="22"/>
          <w:rtl w:val="0"/>
          <w:lang w:val="en-US"/>
        </w:rPr>
        <w:t>(6). The dynamical emergence of such a spectral separation remains a problem for the choice and analysis of Vᵣ.</w:t>
      </w:r>
    </w:p>
    <w:p>
      <w:pPr>
        <w:pStyle w:val="Normal.0"/>
        <w:spacing w:after="80" w:line="240" w:lineRule="atLeast"/>
      </w:pPr>
      <w:r>
        <w:rPr>
          <w:sz w:val="22"/>
          <w:szCs w:val="22"/>
          <w:rtl w:val="0"/>
          <w:lang w:val="en-US"/>
        </w:rPr>
        <w:t xml:space="preserve">For two complete graphs of n vertices each, with internal weight 1 and uniform interblock weights </w:t>
      </w:r>
      <w:r>
        <w:rPr>
          <w:sz w:val="22"/>
          <w:szCs w:val="22"/>
          <w:rtl w:val="0"/>
          <w:lang w:val="en-US"/>
        </w:rPr>
        <w:t>η</w:t>
      </w:r>
      <w:r>
        <w:rPr>
          <w:sz w:val="22"/>
          <w:szCs w:val="22"/>
          <w:rtl w:val="0"/>
          <w:lang w:val="en-US"/>
        </w:rPr>
        <w:t>/n, the spectrum is exact:</w:t>
      </w:r>
    </w:p>
    <w:tbl>
      <w:tblPr>
        <w:tblW w:w="9411"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8846"/>
        <w:gridCol w:w="565"/>
      </w:tblGrid>
      <w:tr>
        <w:tblPrEx>
          <w:shd w:val="clear" w:color="auto" w:fill="ced7e7"/>
        </w:tblPrEx>
        <w:trPr>
          <w:trHeight w:val="212" w:hRule="atLeast"/>
        </w:trPr>
        <w:tc>
          <w:tcPr>
            <w:tcW w:type="dxa" w:w="8846"/>
            <w:tcBorders>
              <w:top w:val="nil"/>
              <w:left w:val="nil"/>
              <w:bottom w:val="nil"/>
              <w:right w:val="nil"/>
            </w:tcBorders>
            <w:shd w:val="clear" w:color="auto" w:fill="auto"/>
            <w:tcMar>
              <w:top w:type="dxa" w:w="80"/>
              <w:left w:type="dxa" w:w="80"/>
              <w:bottom w:type="dxa" w:w="80"/>
              <w:right w:type="dxa" w:w="80"/>
            </w:tcMar>
            <w:vAlign w:val="top"/>
          </w:tcPr>
          <w:p>
            <w:pPr>
              <w:pStyle w:val="Equation"/>
              <w:keepLines w:val="1"/>
              <w:spacing w:after="40"/>
              <w:ind w:firstLine="0"/>
            </w:pPr>
            <w:r>
              <w:rPr>
                <w:rFonts w:ascii="Times New Roman" w:hAnsi="Times New Roman"/>
                <w:sz w:val="18"/>
                <w:szCs w:val="18"/>
                <w:rtl w:val="0"/>
                <w:lang w:val="en-US"/>
              </w:rPr>
              <w:t>Spec L = {0, 2</w:t>
            </w:r>
            <w:r>
              <w:rPr>
                <w:rFonts w:ascii="Times New Roman" w:hAnsi="Times New Roman" w:hint="default"/>
                <w:sz w:val="18"/>
                <w:szCs w:val="18"/>
                <w:rtl w:val="0"/>
                <w:lang w:val="en-US"/>
              </w:rPr>
              <w:t>η</w:t>
            </w:r>
            <w:r>
              <w:rPr>
                <w:rFonts w:ascii="Times New Roman" w:hAnsi="Times New Roman"/>
                <w:sz w:val="18"/>
                <w:szCs w:val="18"/>
                <w:rtl w:val="0"/>
                <w:lang w:val="en-US"/>
              </w:rPr>
              <w:t xml:space="preserve">, n + </w:t>
            </w:r>
            <w:r>
              <w:rPr>
                <w:rFonts w:ascii="Times New Roman" w:hAnsi="Times New Roman" w:hint="default"/>
                <w:sz w:val="18"/>
                <w:szCs w:val="18"/>
                <w:rtl w:val="0"/>
                <w:lang w:val="en-US"/>
              </w:rPr>
              <w:t>η</w:t>
            </w:r>
            <w:r>
              <w:rPr>
                <w:rFonts w:ascii="Times New Roman" w:hAnsi="Times New Roman"/>
                <w:sz w:val="18"/>
                <w:szCs w:val="18"/>
                <w:rtl w:val="0"/>
                <w:lang w:val="en-US"/>
              </w:rPr>
              <w:t xml:space="preserve">},     the multiplicity of n + </w:t>
            </w:r>
            <w:r>
              <w:rPr>
                <w:rFonts w:ascii="Times New Roman" w:hAnsi="Times New Roman" w:hint="default"/>
                <w:sz w:val="18"/>
                <w:szCs w:val="18"/>
                <w:rtl w:val="0"/>
                <w:lang w:val="en-US"/>
              </w:rPr>
              <w:t xml:space="preserve">η </w:t>
            </w:r>
            <w:r>
              <w:rPr>
                <w:rFonts w:ascii="Times New Roman" w:hAnsi="Times New Roman"/>
                <w:sz w:val="18"/>
                <w:szCs w:val="18"/>
                <w:rtl w:val="0"/>
                <w:lang w:val="en-US"/>
              </w:rPr>
              <w:t xml:space="preserve">is 2n </w:t>
            </w:r>
            <w:r>
              <w:rPr>
                <w:rFonts w:ascii="Times New Roman" w:hAnsi="Times New Roman" w:hint="default"/>
                <w:sz w:val="18"/>
                <w:szCs w:val="18"/>
                <w:rtl w:val="0"/>
                <w:lang w:val="en-US"/>
              </w:rPr>
              <w:t xml:space="preserve">− </w:t>
            </w:r>
            <w:r>
              <w:rPr>
                <w:rFonts w:ascii="Times New Roman" w:hAnsi="Times New Roman"/>
                <w:sz w:val="18"/>
                <w:szCs w:val="18"/>
                <w:rtl w:val="0"/>
                <w:lang w:val="en-US"/>
              </w:rPr>
              <w:t>2.</w:t>
            </w:r>
          </w:p>
        </w:tc>
        <w:tc>
          <w:tcPr>
            <w:tcW w:type="dxa" w:w="565"/>
            <w:tcBorders>
              <w:top w:val="nil"/>
              <w:left w:val="nil"/>
              <w:bottom w:val="nil"/>
              <w:right w:val="nil"/>
            </w:tcBorders>
            <w:shd w:val="clear" w:color="auto" w:fill="auto"/>
            <w:tcMar>
              <w:top w:type="dxa" w:w="80"/>
              <w:left w:type="dxa" w:w="80"/>
              <w:bottom w:type="dxa" w:w="80"/>
              <w:right w:type="dxa" w:w="80"/>
            </w:tcMar>
            <w:vAlign w:val="top"/>
          </w:tcPr>
          <w:p>
            <w:pPr>
              <w:pStyle w:val="Normal.0"/>
              <w:keepLines w:val="1"/>
              <w:spacing w:after="40" w:line="240" w:lineRule="auto"/>
              <w:ind w:firstLine="0"/>
              <w:jc w:val="right"/>
            </w:pPr>
            <w:r>
              <w:rPr>
                <w:sz w:val="18"/>
                <w:szCs w:val="18"/>
                <w:rtl w:val="0"/>
                <w:lang w:val="en-US"/>
              </w:rPr>
              <w:t>(13)</w:t>
            </w:r>
          </w:p>
        </w:tc>
      </w:tr>
    </w:tbl>
    <w:p>
      <w:pPr>
        <w:pStyle w:val="Normal.0"/>
        <w:widowControl w:val="0"/>
        <w:spacing w:after="80" w:line="240" w:lineRule="atLeast"/>
        <w:ind w:firstLine="0"/>
        <w:jc w:val="center"/>
      </w:pPr>
    </w:p>
    <w:p>
      <w:pPr>
        <w:pStyle w:val="Normal.0"/>
        <w:spacing w:after="80" w:line="240" w:lineRule="atLeast"/>
      </w:pPr>
      <w:r>
        <w:rPr>
          <w:sz w:val="22"/>
          <w:szCs w:val="22"/>
          <w:rtl w:val="0"/>
          <w:lang w:val="en-US"/>
        </w:rPr>
        <w:t xml:space="preserve">For n = 8 and </w:t>
      </w:r>
      <w:r>
        <w:rPr>
          <w:sz w:val="22"/>
          <w:szCs w:val="22"/>
          <w:rtl w:val="0"/>
          <w:lang w:val="en-US"/>
        </w:rPr>
        <w:t xml:space="preserve">η </w:t>
      </w:r>
      <w:r>
        <w:rPr>
          <w:sz w:val="22"/>
          <w:szCs w:val="22"/>
          <w:rtl w:val="0"/>
          <w:lang w:val="en-US"/>
        </w:rPr>
        <w:t>= 0.04 this gives 0, 0.08, and 8.04, with multiplicity 14 for the last value. The network is connected and has a well-separated intersector mode, but it is not a model of three-dimensional space.</w:t>
      </w:r>
    </w:p>
    <w:p>
      <w:pPr>
        <w:pStyle w:val="Заголовок 3"/>
        <w:spacing w:line="240" w:lineRule="atLeast"/>
        <w:rPr>
          <w:u w:val="single"/>
        </w:rPr>
      </w:pPr>
      <w:r>
        <w:rPr>
          <w:u w:val="single"/>
          <w:rtl w:val="0"/>
          <w:lang w:val="en-US"/>
        </w:rPr>
        <w:t>4.3. Spectral Dimension and Limits of the Diagnostic</w:t>
      </w:r>
    </w:p>
    <w:p>
      <w:pPr>
        <w:pStyle w:val="Normal.0"/>
        <w:spacing w:after="80" w:line="240" w:lineRule="atLeast"/>
        <w:ind w:firstLine="0"/>
      </w:pPr>
      <w:r>
        <w:rPr>
          <w:sz w:val="22"/>
          <w:szCs w:val="22"/>
          <w:rtl w:val="0"/>
          <w:lang w:val="en-US"/>
        </w:rPr>
        <w:t>Define</w:t>
      </w:r>
    </w:p>
    <w:tbl>
      <w:tblPr>
        <w:tblW w:w="9411"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8846"/>
        <w:gridCol w:w="565"/>
      </w:tblGrid>
      <w:tr>
        <w:tblPrEx>
          <w:shd w:val="clear" w:color="auto" w:fill="ced7e7"/>
        </w:tblPrEx>
        <w:trPr>
          <w:trHeight w:val="241" w:hRule="atLeast"/>
        </w:trPr>
        <w:tc>
          <w:tcPr>
            <w:tcW w:type="dxa" w:w="8846"/>
            <w:tcBorders>
              <w:top w:val="nil"/>
              <w:left w:val="nil"/>
              <w:bottom w:val="nil"/>
              <w:right w:val="nil"/>
            </w:tcBorders>
            <w:shd w:val="clear" w:color="auto" w:fill="auto"/>
            <w:tcMar>
              <w:top w:type="dxa" w:w="80"/>
              <w:left w:type="dxa" w:w="80"/>
              <w:bottom w:type="dxa" w:w="80"/>
              <w:right w:type="dxa" w:w="80"/>
            </w:tcMar>
            <w:vAlign w:val="top"/>
          </w:tcPr>
          <w:p>
            <w:pPr>
              <w:pStyle w:val="Equation"/>
              <w:keepLines w:val="1"/>
              <w:spacing w:after="40"/>
              <w:ind w:firstLine="0"/>
            </w:pPr>
            <w:r>
              <w:rPr>
                <w:rFonts w:ascii="Times New Roman" w:hAnsi="Times New Roman"/>
                <w:sz w:val="18"/>
                <w:szCs w:val="18"/>
                <w:rtl w:val="0"/>
                <w:lang w:val="en-US"/>
              </w:rPr>
              <w:t>P(s) = N</w:t>
            </w:r>
            <w:r>
              <w:rPr>
                <w:rFonts w:ascii="Arial Unicode MS" w:cs="Arial Unicode MS" w:hAnsi="Arial Unicode MS" w:eastAsia="Arial Unicode MS" w:hint="default"/>
                <w:b w:val="0"/>
                <w:bCs w:val="0"/>
                <w:i w:val="0"/>
                <w:iCs w:val="0"/>
                <w:sz w:val="18"/>
                <w:szCs w:val="18"/>
                <w:rtl w:val="0"/>
                <w:lang w:val="en-US"/>
              </w:rPr>
              <w:t>⁻</w:t>
            </w:r>
            <w:r>
              <w:rPr>
                <w:rFonts w:ascii="Times New Roman" w:hAnsi="Times New Roman" w:hint="default"/>
                <w:sz w:val="18"/>
                <w:szCs w:val="18"/>
                <w:rtl w:val="0"/>
                <w:lang w:val="en-US"/>
              </w:rPr>
              <w:t xml:space="preserve">¹ </w:t>
            </w:r>
            <w:r>
              <w:rPr>
                <w:rFonts w:ascii="Times New Roman" w:hAnsi="Times New Roman"/>
                <w:sz w:val="18"/>
                <w:szCs w:val="18"/>
                <w:rtl w:val="0"/>
                <w:lang w:val="en-US"/>
              </w:rPr>
              <w:t>Tr exp(</w:t>
            </w:r>
            <w:r>
              <w:rPr>
                <w:rFonts w:ascii="Times New Roman" w:hAnsi="Times New Roman" w:hint="default"/>
                <w:sz w:val="18"/>
                <w:szCs w:val="18"/>
                <w:rtl w:val="0"/>
                <w:lang w:val="en-US"/>
              </w:rPr>
              <w:t>−</w:t>
            </w:r>
            <w:r>
              <w:rPr>
                <w:rFonts w:ascii="Times New Roman" w:hAnsi="Times New Roman"/>
                <w:sz w:val="18"/>
                <w:szCs w:val="18"/>
                <w:rtl w:val="0"/>
                <w:lang w:val="en-US"/>
              </w:rPr>
              <w:t>sL),     d</w:t>
            </w:r>
            <w:r>
              <w:rPr>
                <w:rFonts w:ascii="Arial Unicode MS" w:cs="Arial Unicode MS" w:hAnsi="Arial Unicode MS" w:eastAsia="Arial Unicode MS" w:hint="default"/>
                <w:b w:val="0"/>
                <w:bCs w:val="0"/>
                <w:i w:val="0"/>
                <w:iCs w:val="0"/>
                <w:sz w:val="18"/>
                <w:szCs w:val="18"/>
                <w:rtl w:val="0"/>
                <w:lang w:val="en-US"/>
              </w:rPr>
              <w:t>ₛ</w:t>
            </w:r>
            <w:r>
              <w:rPr>
                <w:rFonts w:ascii="Times New Roman" w:hAnsi="Times New Roman"/>
                <w:sz w:val="18"/>
                <w:szCs w:val="18"/>
                <w:rtl w:val="0"/>
                <w:lang w:val="en-US"/>
              </w:rPr>
              <w:t>(s) = 2s [</w:t>
            </w:r>
            <w:r>
              <w:rPr>
                <w:rFonts w:ascii="Times New Roman" w:hAnsi="Times New Roman" w:hint="default"/>
                <w:sz w:val="18"/>
                <w:szCs w:val="18"/>
                <w:rtl w:val="0"/>
                <w:lang w:val="en-US"/>
              </w:rPr>
              <w:t>∑</w:t>
            </w:r>
            <w:r>
              <w:rPr>
                <w:rFonts w:ascii="Arial Unicode MS" w:cs="Arial Unicode MS" w:hAnsi="Arial Unicode MS" w:eastAsia="Arial Unicode MS" w:hint="default"/>
                <w:b w:val="0"/>
                <w:bCs w:val="0"/>
                <w:i w:val="0"/>
                <w:iCs w:val="0"/>
                <w:sz w:val="18"/>
                <w:szCs w:val="18"/>
                <w:rtl w:val="0"/>
                <w:lang w:val="en-US"/>
              </w:rPr>
              <w:t>ₙ</w:t>
            </w:r>
            <w:r>
              <w:rPr>
                <w:rFonts w:ascii="Times New Roman" w:hAnsi="Times New Roman" w:hint="default"/>
                <w:sz w:val="18"/>
                <w:szCs w:val="18"/>
                <w:rtl w:val="0"/>
                <w:lang w:val="en-US"/>
              </w:rPr>
              <w:t xml:space="preserve"> ν</w:t>
            </w:r>
            <w:r>
              <w:rPr>
                <w:rFonts w:ascii="Arial Unicode MS" w:cs="Arial Unicode MS" w:hAnsi="Arial Unicode MS" w:eastAsia="Arial Unicode MS" w:hint="default"/>
                <w:b w:val="0"/>
                <w:bCs w:val="0"/>
                <w:i w:val="0"/>
                <w:iCs w:val="0"/>
                <w:sz w:val="18"/>
                <w:szCs w:val="18"/>
                <w:rtl w:val="0"/>
                <w:lang w:val="en-US"/>
              </w:rPr>
              <w:t>ₙ</w:t>
            </w:r>
            <w:r>
              <w:rPr>
                <w:rFonts w:ascii="Times New Roman" w:hAnsi="Times New Roman"/>
                <w:sz w:val="18"/>
                <w:szCs w:val="18"/>
                <w:rtl w:val="0"/>
                <w:lang w:val="en-US"/>
              </w:rPr>
              <w:t>e</w:t>
            </w:r>
            <w:r>
              <w:rPr>
                <w:rFonts w:ascii="Arial Unicode MS" w:cs="Arial Unicode MS" w:hAnsi="Arial Unicode MS" w:eastAsia="Arial Unicode MS" w:hint="default"/>
                <w:b w:val="0"/>
                <w:bCs w:val="0"/>
                <w:i w:val="0"/>
                <w:iCs w:val="0"/>
                <w:sz w:val="18"/>
                <w:szCs w:val="18"/>
                <w:rtl w:val="0"/>
                <w:lang w:val="en-US"/>
              </w:rPr>
              <w:t>⁻</w:t>
            </w:r>
            <w:r>
              <w:rPr>
                <w:rFonts w:ascii="Times New Roman" w:hAnsi="Times New Roman" w:hint="default"/>
                <w:sz w:val="18"/>
                <w:szCs w:val="18"/>
                <w:rtl w:val="0"/>
                <w:lang w:val="en-US"/>
              </w:rPr>
              <w:t>ˢ</w:t>
            </w:r>
            <w:r>
              <w:rPr>
                <w:rFonts w:ascii="Times New Roman" w:hAnsi="Times New Roman"/>
                <w:sz w:val="18"/>
                <w:szCs w:val="18"/>
                <w:rtl w:val="0"/>
                <w:lang w:val="en-US"/>
              </w:rPr>
              <w:t>ᵛ</w:t>
            </w:r>
            <w:r>
              <w:rPr>
                <w:rFonts w:ascii="Times New Roman" w:hAnsi="Times New Roman" w:hint="default"/>
                <w:sz w:val="18"/>
                <w:szCs w:val="18"/>
                <w:rtl w:val="0"/>
                <w:lang w:val="en-US"/>
              </w:rPr>
              <w:t>ⁿ</w:t>
            </w:r>
            <w:r>
              <w:rPr>
                <w:rFonts w:ascii="Times New Roman" w:hAnsi="Times New Roman"/>
                <w:sz w:val="18"/>
                <w:szCs w:val="18"/>
                <w:rtl w:val="0"/>
                <w:lang w:val="en-US"/>
              </w:rPr>
              <w:t>]/[</w:t>
            </w:r>
            <w:r>
              <w:rPr>
                <w:rFonts w:ascii="Times New Roman" w:hAnsi="Times New Roman" w:hint="default"/>
                <w:sz w:val="18"/>
                <w:szCs w:val="18"/>
                <w:rtl w:val="0"/>
                <w:lang w:val="en-US"/>
              </w:rPr>
              <w:t>∑</w:t>
            </w:r>
            <w:r>
              <w:rPr>
                <w:rFonts w:ascii="Arial Unicode MS" w:cs="Arial Unicode MS" w:hAnsi="Arial Unicode MS" w:eastAsia="Arial Unicode MS" w:hint="default"/>
                <w:b w:val="0"/>
                <w:bCs w:val="0"/>
                <w:i w:val="0"/>
                <w:iCs w:val="0"/>
                <w:sz w:val="18"/>
                <w:szCs w:val="18"/>
                <w:rtl w:val="0"/>
                <w:lang w:val="en-US"/>
              </w:rPr>
              <w:t>ₙ</w:t>
            </w:r>
            <w:r>
              <w:rPr>
                <w:rFonts w:ascii="Times New Roman" w:hAnsi="Times New Roman"/>
                <w:sz w:val="18"/>
                <w:szCs w:val="18"/>
                <w:rtl w:val="0"/>
                <w:lang w:val="en-US"/>
              </w:rPr>
              <w:t xml:space="preserve"> </w:t>
            </w:r>
            <w:r>
              <w:rPr>
                <w:rFonts w:ascii="Times New Roman" w:hAnsi="Times New Roman"/>
                <w:sz w:val="18"/>
                <w:szCs w:val="18"/>
                <w:rtl w:val="0"/>
                <w:lang w:val="en-US"/>
              </w:rPr>
              <w:t>e</w:t>
            </w:r>
            <w:r>
              <w:rPr>
                <w:rFonts w:ascii="Arial Unicode MS" w:cs="Arial Unicode MS" w:hAnsi="Arial Unicode MS" w:eastAsia="Arial Unicode MS" w:hint="default"/>
                <w:b w:val="0"/>
                <w:bCs w:val="0"/>
                <w:i w:val="0"/>
                <w:iCs w:val="0"/>
                <w:sz w:val="18"/>
                <w:szCs w:val="18"/>
                <w:rtl w:val="0"/>
                <w:lang w:val="en-US"/>
              </w:rPr>
              <w:t>⁻</w:t>
            </w:r>
            <w:r>
              <w:rPr>
                <w:rFonts w:ascii="Times New Roman" w:hAnsi="Times New Roman" w:hint="default"/>
                <w:sz w:val="18"/>
                <w:szCs w:val="18"/>
                <w:rtl w:val="0"/>
                <w:lang w:val="en-US"/>
              </w:rPr>
              <w:t>ˢ</w:t>
            </w:r>
            <w:r>
              <w:rPr>
                <w:rFonts w:ascii="Times New Roman" w:hAnsi="Times New Roman"/>
                <w:sz w:val="18"/>
                <w:szCs w:val="18"/>
                <w:rtl w:val="0"/>
                <w:lang w:val="en-US"/>
              </w:rPr>
              <w:t>ᵛ</w:t>
            </w:r>
            <w:r>
              <w:rPr>
                <w:rFonts w:ascii="Times New Roman" w:hAnsi="Times New Roman" w:hint="default"/>
                <w:sz w:val="18"/>
                <w:szCs w:val="18"/>
                <w:rtl w:val="0"/>
                <w:lang w:val="en-US"/>
              </w:rPr>
              <w:t>ⁿ</w:t>
            </w:r>
            <w:r>
              <w:rPr>
                <w:rFonts w:ascii="Times New Roman" w:hAnsi="Times New Roman"/>
                <w:sz w:val="18"/>
                <w:szCs w:val="18"/>
                <w:rtl w:val="0"/>
                <w:lang w:val="en-US"/>
              </w:rPr>
              <w:t>].</w:t>
            </w:r>
          </w:p>
        </w:tc>
        <w:tc>
          <w:tcPr>
            <w:tcW w:type="dxa" w:w="565"/>
            <w:tcBorders>
              <w:top w:val="nil"/>
              <w:left w:val="nil"/>
              <w:bottom w:val="nil"/>
              <w:right w:val="nil"/>
            </w:tcBorders>
            <w:shd w:val="clear" w:color="auto" w:fill="auto"/>
            <w:tcMar>
              <w:top w:type="dxa" w:w="80"/>
              <w:left w:type="dxa" w:w="80"/>
              <w:bottom w:type="dxa" w:w="80"/>
              <w:right w:type="dxa" w:w="80"/>
            </w:tcMar>
            <w:vAlign w:val="top"/>
          </w:tcPr>
          <w:p>
            <w:pPr>
              <w:pStyle w:val="Normal.0"/>
              <w:keepLines w:val="1"/>
              <w:spacing w:after="40" w:line="240" w:lineRule="auto"/>
              <w:ind w:firstLine="0"/>
              <w:jc w:val="right"/>
            </w:pPr>
            <w:r>
              <w:rPr>
                <w:sz w:val="18"/>
                <w:szCs w:val="18"/>
                <w:rtl w:val="0"/>
                <w:lang w:val="en-US"/>
              </w:rPr>
              <w:t>(14)</w:t>
            </w:r>
          </w:p>
        </w:tc>
      </w:tr>
    </w:tbl>
    <w:p>
      <w:pPr>
        <w:pStyle w:val="Normal.0"/>
        <w:widowControl w:val="0"/>
        <w:spacing w:after="80" w:line="240" w:lineRule="atLeast"/>
        <w:ind w:firstLine="0"/>
        <w:jc w:val="center"/>
      </w:pPr>
    </w:p>
    <w:p>
      <w:pPr>
        <w:pStyle w:val="Normal.0"/>
        <w:spacing w:after="80" w:line="240" w:lineRule="atLeast"/>
      </w:pPr>
      <w:r>
        <w:rPr>
          <w:sz w:val="22"/>
          <w:szCs w:val="22"/>
          <w:rtl w:val="0"/>
          <w:lang w:val="en-US"/>
        </w:rPr>
        <w:t>The exponentials in Eq. (14) contain the product s</w:t>
      </w:r>
      <w:r>
        <w:rPr>
          <w:sz w:val="22"/>
          <w:szCs w:val="22"/>
          <w:rtl w:val="0"/>
          <w:lang w:val="en-US"/>
        </w:rPr>
        <w:t>ν</w:t>
      </w:r>
      <w:r>
        <w:rPr>
          <w:rFonts w:ascii="Arial Unicode MS" w:cs="Arial Unicode MS" w:hAnsi="Arial Unicode MS" w:eastAsia="Arial Unicode MS" w:hint="default"/>
          <w:b w:val="0"/>
          <w:bCs w:val="0"/>
          <w:i w:val="0"/>
          <w:iCs w:val="0"/>
          <w:sz w:val="22"/>
          <w:szCs w:val="22"/>
          <w:rtl w:val="0"/>
          <w:lang w:val="en-US"/>
        </w:rPr>
        <w:t>ₙ</w:t>
      </w:r>
      <w:r>
        <w:rPr>
          <w:sz w:val="22"/>
          <w:szCs w:val="22"/>
          <w:rtl w:val="0"/>
          <w:lang w:val="en-US"/>
        </w:rPr>
        <w:t>. The equivalent definition d</w:t>
      </w:r>
      <w:r>
        <w:rPr>
          <w:rFonts w:ascii="Arial Unicode MS" w:cs="Arial Unicode MS" w:hAnsi="Arial Unicode MS" w:eastAsia="Arial Unicode MS" w:hint="default"/>
          <w:b w:val="0"/>
          <w:bCs w:val="0"/>
          <w:i w:val="0"/>
          <w:iCs w:val="0"/>
          <w:sz w:val="22"/>
          <w:szCs w:val="22"/>
          <w:rtl w:val="0"/>
          <w:lang w:val="en-US"/>
        </w:rPr>
        <w:t>ₛ</w:t>
      </w:r>
      <w:r>
        <w:rPr>
          <w:sz w:val="22"/>
          <w:szCs w:val="22"/>
          <w:rtl w:val="0"/>
          <w:lang w:val="en-US"/>
        </w:rPr>
        <w:t xml:space="preserve"> </w:t>
      </w:r>
      <w:r>
        <w:rPr>
          <w:sz w:val="22"/>
          <w:szCs w:val="22"/>
          <w:rtl w:val="0"/>
          <w:lang w:val="en-US"/>
        </w:rPr>
        <w:t xml:space="preserve">= </w:t>
      </w:r>
      <w:r>
        <w:rPr>
          <w:sz w:val="22"/>
          <w:szCs w:val="22"/>
          <w:rtl w:val="0"/>
          <w:lang w:val="en-US"/>
        </w:rPr>
        <w:t>−</w:t>
      </w:r>
      <w:r>
        <w:rPr>
          <w:sz w:val="22"/>
          <w:szCs w:val="22"/>
          <w:rtl w:val="0"/>
          <w:lang w:val="en-US"/>
        </w:rPr>
        <w:t>2 d ln P/d ln s avoids numerical differentiation when the spectrum is known. For a finite connected graph, d</w:t>
      </w:r>
      <w:r>
        <w:rPr>
          <w:rFonts w:ascii="Arial Unicode MS" w:cs="Arial Unicode MS" w:hAnsi="Arial Unicode MS" w:eastAsia="Arial Unicode MS" w:hint="default"/>
          <w:b w:val="0"/>
          <w:bCs w:val="0"/>
          <w:i w:val="0"/>
          <w:iCs w:val="0"/>
          <w:sz w:val="22"/>
          <w:szCs w:val="22"/>
          <w:rtl w:val="0"/>
          <w:lang w:val="en-US"/>
        </w:rPr>
        <w:t>ₛ</w:t>
      </w:r>
      <w:r>
        <w:rPr>
          <w:sz w:val="22"/>
          <w:szCs w:val="22"/>
          <w:rtl w:val="0"/>
          <w:lang w:val="en-US"/>
        </w:rPr>
        <w:t xml:space="preserve"> </w:t>
      </w:r>
      <w:r>
        <w:rPr>
          <w:sz w:val="22"/>
          <w:szCs w:val="22"/>
          <w:rtl w:val="0"/>
          <w:lang w:val="en-US"/>
        </w:rPr>
        <w:t xml:space="preserve">tends to zero both as s </w:t>
      </w:r>
      <w:r>
        <w:rPr>
          <w:sz w:val="22"/>
          <w:szCs w:val="22"/>
          <w:rtl w:val="0"/>
          <w:lang w:val="en-US"/>
        </w:rPr>
        <w:t xml:space="preserve">→ </w:t>
      </w:r>
      <w:r>
        <w:rPr>
          <w:sz w:val="22"/>
          <w:szCs w:val="22"/>
          <w:rtl w:val="0"/>
          <w:lang w:val="en-US"/>
        </w:rPr>
        <w:t xml:space="preserve">0 and as s </w:t>
      </w:r>
      <w:r>
        <w:rPr>
          <w:sz w:val="22"/>
          <w:szCs w:val="22"/>
          <w:rtl w:val="0"/>
          <w:lang w:val="en-US"/>
        </w:rPr>
        <w:t>→ ∞</w:t>
      </w:r>
      <w:r>
        <w:rPr>
          <w:sz w:val="22"/>
          <w:szCs w:val="22"/>
          <w:rtl w:val="0"/>
          <w:lang w:val="en-US"/>
        </w:rPr>
        <w:t>. The physically informative feature is therefore a stable intermediate scaling window, not a single limiting or accidental value of d</w:t>
      </w:r>
      <w:r>
        <w:rPr>
          <w:rFonts w:ascii="Arial Unicode MS" w:cs="Arial Unicode MS" w:hAnsi="Arial Unicode MS" w:eastAsia="Arial Unicode MS" w:hint="default"/>
          <w:b w:val="0"/>
          <w:bCs w:val="0"/>
          <w:i w:val="0"/>
          <w:iCs w:val="0"/>
          <w:sz w:val="22"/>
          <w:szCs w:val="22"/>
          <w:rtl w:val="0"/>
          <w:lang w:val="en-US"/>
        </w:rPr>
        <w:t>ₛ</w:t>
      </w:r>
      <w:r>
        <w:rPr>
          <w:sz w:val="22"/>
          <w:szCs w:val="22"/>
          <w:rtl w:val="0"/>
          <w:lang w:val="en-US"/>
        </w:rPr>
        <w:t>.</w:t>
      </w:r>
    </w:p>
    <w:p>
      <w:pPr>
        <w:pStyle w:val="Normal.0"/>
        <w:spacing w:after="80" w:line="240" w:lineRule="atLeast"/>
      </w:pPr>
      <w:r>
        <w:rPr>
          <w:sz w:val="22"/>
          <w:szCs w:val="22"/>
          <w:rtl w:val="0"/>
          <w:lang w:val="en-US"/>
        </w:rPr>
        <w:t>For a cycle of 256 vertices, the calculation gives d</w:t>
      </w:r>
      <w:r>
        <w:rPr>
          <w:rFonts w:ascii="Arial Unicode MS" w:cs="Arial Unicode MS" w:hAnsi="Arial Unicode MS" w:eastAsia="Arial Unicode MS" w:hint="default"/>
          <w:b w:val="0"/>
          <w:bCs w:val="0"/>
          <w:i w:val="0"/>
          <w:iCs w:val="0"/>
          <w:sz w:val="22"/>
          <w:szCs w:val="22"/>
          <w:rtl w:val="0"/>
          <w:lang w:val="en-US"/>
        </w:rPr>
        <w:t>ₛ</w:t>
      </w:r>
      <w:r>
        <w:rPr>
          <w:sz w:val="22"/>
          <w:szCs w:val="22"/>
          <w:rtl w:val="0"/>
          <w:lang w:val="en-US"/>
        </w:rPr>
        <w:t xml:space="preserve">(10) </w:t>
      </w:r>
      <w:r>
        <w:rPr>
          <w:sz w:val="22"/>
          <w:szCs w:val="22"/>
          <w:rtl w:val="0"/>
          <w:lang w:val="en-US"/>
        </w:rPr>
        <w:t xml:space="preserve">≈ </w:t>
      </w:r>
      <w:r>
        <w:rPr>
          <w:sz w:val="22"/>
          <w:szCs w:val="22"/>
          <w:rtl w:val="0"/>
          <w:lang w:val="en-US"/>
        </w:rPr>
        <w:t>1.01318; for the Cartesian product of two cycles of 32 vertices each, d</w:t>
      </w:r>
      <w:r>
        <w:rPr>
          <w:rFonts w:ascii="Arial Unicode MS" w:cs="Arial Unicode MS" w:hAnsi="Arial Unicode MS" w:eastAsia="Arial Unicode MS" w:hint="default"/>
          <w:b w:val="0"/>
          <w:bCs w:val="0"/>
          <w:i w:val="0"/>
          <w:iCs w:val="0"/>
          <w:sz w:val="22"/>
          <w:szCs w:val="22"/>
          <w:rtl w:val="0"/>
          <w:lang w:val="en-US"/>
        </w:rPr>
        <w:t>ₛ</w:t>
      </w:r>
      <w:r>
        <w:rPr>
          <w:sz w:val="22"/>
          <w:szCs w:val="22"/>
          <w:rtl w:val="0"/>
          <w:lang w:val="en-US"/>
        </w:rPr>
        <w:t xml:space="preserve">(10) </w:t>
      </w:r>
      <w:r>
        <w:rPr>
          <w:sz w:val="22"/>
          <w:szCs w:val="22"/>
          <w:rtl w:val="0"/>
          <w:lang w:val="en-US"/>
        </w:rPr>
        <w:t xml:space="preserve">≈ </w:t>
      </w:r>
      <w:r>
        <w:rPr>
          <w:sz w:val="22"/>
          <w:szCs w:val="22"/>
          <w:rtl w:val="0"/>
          <w:lang w:val="en-US"/>
        </w:rPr>
        <w:t>2.02636. In these examples the geometric class of the graph is chosen in advance. They validate the diagnostic but do not demonstrate dynamical selection of dimensionality. Agreement among spectral, volume-growth, and topological dimensions requires additional conditions. A spatial d</w:t>
      </w:r>
      <w:r>
        <w:rPr>
          <w:rFonts w:ascii="Arial Unicode MS" w:cs="Arial Unicode MS" w:hAnsi="Arial Unicode MS" w:eastAsia="Arial Unicode MS" w:hint="default"/>
          <w:b w:val="0"/>
          <w:bCs w:val="0"/>
          <w:i w:val="0"/>
          <w:iCs w:val="0"/>
          <w:sz w:val="22"/>
          <w:szCs w:val="22"/>
          <w:rtl w:val="0"/>
          <w:lang w:val="en-US"/>
        </w:rPr>
        <w:t>ₛ</w:t>
      </w:r>
      <w:r>
        <w:rPr>
          <w:sz w:val="22"/>
          <w:szCs w:val="22"/>
          <w:rtl w:val="0"/>
          <w:lang w:val="en-US"/>
        </w:rPr>
        <w:t xml:space="preserve"> ≈ </w:t>
      </w:r>
      <w:r>
        <w:rPr>
          <w:sz w:val="22"/>
          <w:szCs w:val="22"/>
          <w:rtl w:val="0"/>
          <w:lang w:val="en-US"/>
        </w:rPr>
        <w:t>3 also does not establish either Lorentzian signature or a 3+1-dimensional spacetime.</w:t>
      </w:r>
    </w:p>
    <w:p>
      <w:pPr>
        <w:pStyle w:val="Normal.0"/>
        <w:keepNext w:val="1"/>
        <w:keepLines w:val="1"/>
        <w:spacing w:before="140" w:after="80" w:line="240" w:lineRule="atLeast"/>
        <w:ind w:firstLine="0"/>
        <w:jc w:val="center"/>
      </w:pPr>
      <w:r>
        <w:drawing>
          <wp:inline distT="0" distB="0" distL="0" distR="0">
            <wp:extent cx="5687568" cy="2342807"/>
            <wp:effectExtent l="0" t="0" r="0" b="0"/>
            <wp:docPr id="1073741825" name="officeArt object" descr="figure_1_spectral.png"/>
            <wp:cNvGraphicFramePr/>
            <a:graphic xmlns:a="http://schemas.openxmlformats.org/drawingml/2006/main">
              <a:graphicData uri="http://schemas.openxmlformats.org/drawingml/2006/picture">
                <pic:pic xmlns:pic="http://schemas.openxmlformats.org/drawingml/2006/picture">
                  <pic:nvPicPr>
                    <pic:cNvPr id="1073741825" name="figure_1_spectral.png" descr="figure_1_spectral.png"/>
                    <pic:cNvPicPr>
                      <a:picLocks noChangeAspect="1"/>
                    </pic:cNvPicPr>
                  </pic:nvPicPr>
                  <pic:blipFill>
                    <a:blip r:embed="rId4">
                      <a:extLst/>
                    </a:blip>
                    <a:stretch>
                      <a:fillRect/>
                    </a:stretch>
                  </pic:blipFill>
                  <pic:spPr>
                    <a:xfrm>
                      <a:off x="0" y="0"/>
                      <a:ext cx="5687568" cy="2342807"/>
                    </a:xfrm>
                    <a:prstGeom prst="rect">
                      <a:avLst/>
                    </a:prstGeom>
                    <a:ln w="12700" cap="flat">
                      <a:noFill/>
                      <a:miter lim="400000"/>
                    </a:ln>
                    <a:effectLst/>
                  </pic:spPr>
                </pic:pic>
              </a:graphicData>
            </a:graphic>
          </wp:inline>
        </w:drawing>
      </w:r>
    </w:p>
    <w:p>
      <w:pPr>
        <w:pStyle w:val="caption"/>
        <w:spacing w:before="60" w:after="120" w:line="240" w:lineRule="atLeast"/>
      </w:pPr>
      <w:r>
        <w:rPr>
          <w:b w:val="1"/>
          <w:bCs w:val="1"/>
          <w:rtl w:val="0"/>
          <w:lang w:val="en-US"/>
        </w:rPr>
        <w:t xml:space="preserve">Figure 1. </w:t>
      </w:r>
      <w:r>
        <w:rPr>
          <w:rtl w:val="0"/>
          <w:lang w:val="en-US"/>
        </w:rPr>
        <w:t xml:space="preserve">Spectral separation and scale-dependent diagnostics. A: nonzero eigenvalues of two weakly coupled complete graphs with n = 8 and </w:t>
      </w:r>
      <w:r>
        <w:rPr>
          <w:rtl w:val="0"/>
          <w:lang w:val="en-US"/>
        </w:rPr>
        <w:t xml:space="preserve">η </w:t>
      </w:r>
      <w:r>
        <w:rPr>
          <w:rtl w:val="0"/>
          <w:lang w:val="en-US"/>
        </w:rPr>
        <w:t>= 0.04. B: spectral dimension for a preselected cycle and a two-dimensional torus. For a finite number of vertices, the intermediate plateaus do not persist in the large-s limit.</w:t>
      </w:r>
    </w:p>
    <w:p>
      <w:pPr>
        <w:pStyle w:val="Заголовок 2"/>
        <w:spacing w:line="240" w:lineRule="atLeast"/>
      </w:pPr>
      <w:r>
        <w:rPr>
          <w:rtl w:val="0"/>
          <w:lang w:val="en-US"/>
        </w:rPr>
        <w:t>5. Why a Common Network Rearrangement Does Not Equalize Speeds</w:t>
      </w:r>
    </w:p>
    <w:p>
      <w:pPr>
        <w:pStyle w:val="Normal.0"/>
        <w:spacing w:after="80" w:line="240" w:lineRule="atLeast"/>
        <w:ind w:firstLine="0"/>
      </w:pPr>
      <w:r>
        <w:rPr>
          <w:sz w:val="22"/>
          <w:szCs w:val="22"/>
          <w:rtl w:val="0"/>
          <w:lang w:val="en-US"/>
        </w:rPr>
        <w:t>For two independent fields on the same fixed background, consider</w:t>
      </w:r>
    </w:p>
    <w:tbl>
      <w:tblPr>
        <w:tblW w:w="9411"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8846"/>
        <w:gridCol w:w="565"/>
      </w:tblGrid>
      <w:tr>
        <w:tblPrEx>
          <w:shd w:val="clear" w:color="auto" w:fill="ced7e7"/>
        </w:tblPrEx>
        <w:trPr>
          <w:trHeight w:val="241" w:hRule="atLeast"/>
        </w:trPr>
        <w:tc>
          <w:tcPr>
            <w:tcW w:type="dxa" w:w="8846"/>
            <w:tcBorders>
              <w:top w:val="nil"/>
              <w:left w:val="nil"/>
              <w:bottom w:val="nil"/>
              <w:right w:val="nil"/>
            </w:tcBorders>
            <w:shd w:val="clear" w:color="auto" w:fill="auto"/>
            <w:tcMar>
              <w:top w:type="dxa" w:w="80"/>
              <w:left w:type="dxa" w:w="80"/>
              <w:bottom w:type="dxa" w:w="80"/>
              <w:right w:type="dxa" w:w="80"/>
            </w:tcMar>
            <w:vAlign w:val="top"/>
          </w:tcPr>
          <w:p>
            <w:pPr>
              <w:pStyle w:val="Equation"/>
              <w:keepLines w:val="1"/>
              <w:spacing w:after="40"/>
              <w:ind w:firstLine="0"/>
            </w:pPr>
            <w:r>
              <w:rPr>
                <w:rFonts w:ascii="Times New Roman" w:hAnsi="Times New Roman" w:hint="default"/>
                <w:sz w:val="18"/>
                <w:szCs w:val="18"/>
                <w:rtl w:val="0"/>
                <w:lang w:val="en-US"/>
              </w:rPr>
              <w:t>φ̈</w:t>
            </w:r>
            <w:r>
              <w:rPr>
                <w:rFonts w:ascii="Arial Unicode MS" w:cs="Arial Unicode MS" w:hAnsi="Arial Unicode MS" w:eastAsia="Arial Unicode MS" w:hint="default"/>
                <w:b w:val="0"/>
                <w:bCs w:val="0"/>
                <w:i w:val="0"/>
                <w:iCs w:val="0"/>
                <w:sz w:val="18"/>
                <w:szCs w:val="18"/>
                <w:rtl w:val="0"/>
                <w:lang w:val="en-US"/>
              </w:rPr>
              <w:t>₁</w:t>
            </w:r>
            <w:r>
              <w:rPr>
                <w:rFonts w:ascii="Times New Roman" w:hAnsi="Times New Roman"/>
                <w:sz w:val="18"/>
                <w:szCs w:val="18"/>
                <w:rtl w:val="0"/>
                <w:lang w:val="en-US"/>
              </w:rPr>
              <w:t xml:space="preserve"> </w:t>
            </w:r>
            <w:r>
              <w:rPr>
                <w:rFonts w:ascii="Times New Roman" w:hAnsi="Times New Roman"/>
                <w:sz w:val="18"/>
                <w:szCs w:val="18"/>
                <w:rtl w:val="0"/>
                <w:lang w:val="en-US"/>
              </w:rPr>
              <w:t xml:space="preserve">+ </w:t>
            </w:r>
            <w:r>
              <w:rPr>
                <w:rFonts w:ascii="Times New Roman" w:hAnsi="Times New Roman" w:hint="default"/>
                <w:sz w:val="18"/>
                <w:szCs w:val="18"/>
                <w:rtl w:val="0"/>
                <w:lang w:val="en-US"/>
              </w:rPr>
              <w:t>α</w:t>
            </w:r>
            <w:r>
              <w:rPr>
                <w:rFonts w:ascii="Arial Unicode MS" w:cs="Arial Unicode MS" w:hAnsi="Arial Unicode MS" w:eastAsia="Arial Unicode MS" w:hint="default"/>
                <w:b w:val="0"/>
                <w:bCs w:val="0"/>
                <w:i w:val="0"/>
                <w:iCs w:val="0"/>
                <w:sz w:val="18"/>
                <w:szCs w:val="18"/>
                <w:rtl w:val="0"/>
                <w:lang w:val="en-US"/>
              </w:rPr>
              <w:t>₁</w:t>
            </w:r>
            <w:r>
              <w:rPr>
                <w:rFonts w:ascii="Times New Roman" w:hAnsi="Times New Roman"/>
                <w:sz w:val="18"/>
                <w:szCs w:val="18"/>
                <w:rtl w:val="0"/>
                <w:lang w:val="en-US"/>
              </w:rPr>
              <w:t>L(W)</w:t>
            </w:r>
            <w:r>
              <w:rPr>
                <w:rFonts w:ascii="Times New Roman" w:hAnsi="Times New Roman" w:hint="default"/>
                <w:sz w:val="18"/>
                <w:szCs w:val="18"/>
                <w:rtl w:val="0"/>
                <w:lang w:val="en-US"/>
              </w:rPr>
              <w:t>φ</w:t>
            </w:r>
            <w:r>
              <w:rPr>
                <w:rFonts w:ascii="Arial Unicode MS" w:cs="Arial Unicode MS" w:hAnsi="Arial Unicode MS" w:eastAsia="Arial Unicode MS" w:hint="default"/>
                <w:b w:val="0"/>
                <w:bCs w:val="0"/>
                <w:i w:val="0"/>
                <w:iCs w:val="0"/>
                <w:sz w:val="18"/>
                <w:szCs w:val="18"/>
                <w:rtl w:val="0"/>
                <w:lang w:val="en-US"/>
              </w:rPr>
              <w:t>₁</w:t>
            </w:r>
            <w:r>
              <w:rPr>
                <w:rFonts w:ascii="Times New Roman" w:hAnsi="Times New Roman"/>
                <w:sz w:val="18"/>
                <w:szCs w:val="18"/>
                <w:rtl w:val="0"/>
                <w:lang w:val="en-US"/>
              </w:rPr>
              <w:t xml:space="preserve"> </w:t>
            </w:r>
            <w:r>
              <w:rPr>
                <w:rFonts w:ascii="Times New Roman" w:hAnsi="Times New Roman"/>
                <w:sz w:val="18"/>
                <w:szCs w:val="18"/>
                <w:rtl w:val="0"/>
                <w:lang w:val="en-US"/>
              </w:rPr>
              <w:t xml:space="preserve">= 0,     </w:t>
            </w:r>
            <w:r>
              <w:rPr>
                <w:rFonts w:ascii="Times New Roman" w:hAnsi="Times New Roman" w:hint="default"/>
                <w:sz w:val="18"/>
                <w:szCs w:val="18"/>
                <w:rtl w:val="0"/>
                <w:lang w:val="en-US"/>
              </w:rPr>
              <w:t>φ̈</w:t>
            </w:r>
            <w:r>
              <w:rPr>
                <w:rFonts w:ascii="Arial Unicode MS" w:cs="Arial Unicode MS" w:hAnsi="Arial Unicode MS" w:eastAsia="Arial Unicode MS" w:hint="default"/>
                <w:b w:val="0"/>
                <w:bCs w:val="0"/>
                <w:i w:val="0"/>
                <w:iCs w:val="0"/>
                <w:sz w:val="18"/>
                <w:szCs w:val="18"/>
                <w:rtl w:val="0"/>
                <w:lang w:val="en-US"/>
              </w:rPr>
              <w:t>₂</w:t>
            </w:r>
            <w:r>
              <w:rPr>
                <w:rFonts w:ascii="Times New Roman" w:hAnsi="Times New Roman"/>
                <w:sz w:val="18"/>
                <w:szCs w:val="18"/>
                <w:rtl w:val="0"/>
                <w:lang w:val="en-US"/>
              </w:rPr>
              <w:t xml:space="preserve"> </w:t>
            </w:r>
            <w:r>
              <w:rPr>
                <w:rFonts w:ascii="Times New Roman" w:hAnsi="Times New Roman"/>
                <w:sz w:val="18"/>
                <w:szCs w:val="18"/>
                <w:rtl w:val="0"/>
                <w:lang w:val="en-US"/>
              </w:rPr>
              <w:t xml:space="preserve">+ </w:t>
            </w:r>
            <w:r>
              <w:rPr>
                <w:rFonts w:ascii="Times New Roman" w:hAnsi="Times New Roman" w:hint="default"/>
                <w:sz w:val="18"/>
                <w:szCs w:val="18"/>
                <w:rtl w:val="0"/>
                <w:lang w:val="en-US"/>
              </w:rPr>
              <w:t>α</w:t>
            </w:r>
            <w:r>
              <w:rPr>
                <w:rFonts w:ascii="Arial Unicode MS" w:cs="Arial Unicode MS" w:hAnsi="Arial Unicode MS" w:eastAsia="Arial Unicode MS" w:hint="default"/>
                <w:b w:val="0"/>
                <w:bCs w:val="0"/>
                <w:i w:val="0"/>
                <w:iCs w:val="0"/>
                <w:sz w:val="18"/>
                <w:szCs w:val="18"/>
                <w:rtl w:val="0"/>
                <w:lang w:val="en-US"/>
              </w:rPr>
              <w:t>₂</w:t>
            </w:r>
            <w:r>
              <w:rPr>
                <w:rFonts w:ascii="Times New Roman" w:hAnsi="Times New Roman"/>
                <w:sz w:val="18"/>
                <w:szCs w:val="18"/>
                <w:rtl w:val="0"/>
                <w:lang w:val="en-US"/>
              </w:rPr>
              <w:t>L(W)</w:t>
            </w:r>
            <w:r>
              <w:rPr>
                <w:rFonts w:ascii="Times New Roman" w:hAnsi="Times New Roman" w:hint="default"/>
                <w:sz w:val="18"/>
                <w:szCs w:val="18"/>
                <w:rtl w:val="0"/>
                <w:lang w:val="en-US"/>
              </w:rPr>
              <w:t>φ</w:t>
            </w:r>
            <w:r>
              <w:rPr>
                <w:rFonts w:ascii="Arial Unicode MS" w:cs="Arial Unicode MS" w:hAnsi="Arial Unicode MS" w:eastAsia="Arial Unicode MS" w:hint="default"/>
                <w:b w:val="0"/>
                <w:bCs w:val="0"/>
                <w:i w:val="0"/>
                <w:iCs w:val="0"/>
                <w:sz w:val="18"/>
                <w:szCs w:val="18"/>
                <w:rtl w:val="0"/>
                <w:lang w:val="en-US"/>
              </w:rPr>
              <w:t>₂</w:t>
            </w:r>
            <w:r>
              <w:rPr>
                <w:rFonts w:ascii="Times New Roman" w:hAnsi="Times New Roman"/>
                <w:sz w:val="18"/>
                <w:szCs w:val="18"/>
                <w:rtl w:val="0"/>
                <w:lang w:val="en-US"/>
              </w:rPr>
              <w:t xml:space="preserve"> </w:t>
            </w:r>
            <w:r>
              <w:rPr>
                <w:rFonts w:ascii="Times New Roman" w:hAnsi="Times New Roman"/>
                <w:sz w:val="18"/>
                <w:szCs w:val="18"/>
                <w:rtl w:val="0"/>
                <w:lang w:val="en-US"/>
              </w:rPr>
              <w:t xml:space="preserve">= 0,     </w:t>
            </w:r>
            <w:r>
              <w:rPr>
                <w:rFonts w:ascii="Times New Roman" w:hAnsi="Times New Roman" w:hint="default"/>
                <w:sz w:val="18"/>
                <w:szCs w:val="18"/>
                <w:rtl w:val="0"/>
                <w:lang w:val="en-US"/>
              </w:rPr>
              <w:t>α</w:t>
            </w:r>
            <w:r>
              <w:rPr>
                <w:rFonts w:ascii="Arial Unicode MS" w:cs="Arial Unicode MS" w:hAnsi="Arial Unicode MS" w:eastAsia="Arial Unicode MS" w:hint="default"/>
                <w:b w:val="0"/>
                <w:bCs w:val="0"/>
                <w:i w:val="0"/>
                <w:iCs w:val="0"/>
                <w:sz w:val="18"/>
                <w:szCs w:val="18"/>
                <w:rtl w:val="0"/>
                <w:lang w:val="en-US"/>
              </w:rPr>
              <w:t>₁</w:t>
            </w:r>
            <w:r>
              <w:rPr>
                <w:rFonts w:ascii="Times New Roman" w:hAnsi="Times New Roman"/>
                <w:sz w:val="18"/>
                <w:szCs w:val="18"/>
                <w:rtl w:val="0"/>
                <w:lang w:val="en-US"/>
              </w:rPr>
              <w:t xml:space="preserve">, </w:t>
            </w:r>
            <w:r>
              <w:rPr>
                <w:rFonts w:ascii="Times New Roman" w:hAnsi="Times New Roman" w:hint="default"/>
                <w:sz w:val="18"/>
                <w:szCs w:val="18"/>
                <w:rtl w:val="0"/>
                <w:lang w:val="en-US"/>
              </w:rPr>
              <w:t>α</w:t>
            </w:r>
            <w:r>
              <w:rPr>
                <w:rFonts w:ascii="Arial Unicode MS" w:cs="Arial Unicode MS" w:hAnsi="Arial Unicode MS" w:eastAsia="Arial Unicode MS" w:hint="default"/>
                <w:b w:val="0"/>
                <w:bCs w:val="0"/>
                <w:i w:val="0"/>
                <w:iCs w:val="0"/>
                <w:sz w:val="18"/>
                <w:szCs w:val="18"/>
                <w:rtl w:val="0"/>
                <w:lang w:val="en-US"/>
              </w:rPr>
              <w:t>₂</w:t>
            </w:r>
            <w:r>
              <w:rPr>
                <w:rFonts w:ascii="Times New Roman" w:hAnsi="Times New Roman"/>
                <w:sz w:val="18"/>
                <w:szCs w:val="18"/>
                <w:rtl w:val="0"/>
                <w:lang w:val="en-US"/>
              </w:rPr>
              <w:t xml:space="preserve"> </w:t>
            </w:r>
            <w:r>
              <w:rPr>
                <w:rFonts w:ascii="Times New Roman" w:hAnsi="Times New Roman"/>
                <w:sz w:val="18"/>
                <w:szCs w:val="18"/>
                <w:rtl w:val="0"/>
                <w:lang w:val="en-US"/>
              </w:rPr>
              <w:t>&gt; 0.</w:t>
            </w:r>
          </w:p>
        </w:tc>
        <w:tc>
          <w:tcPr>
            <w:tcW w:type="dxa" w:w="565"/>
            <w:tcBorders>
              <w:top w:val="nil"/>
              <w:left w:val="nil"/>
              <w:bottom w:val="nil"/>
              <w:right w:val="nil"/>
            </w:tcBorders>
            <w:shd w:val="clear" w:color="auto" w:fill="auto"/>
            <w:tcMar>
              <w:top w:type="dxa" w:w="80"/>
              <w:left w:type="dxa" w:w="80"/>
              <w:bottom w:type="dxa" w:w="80"/>
              <w:right w:type="dxa" w:w="80"/>
            </w:tcMar>
            <w:vAlign w:val="top"/>
          </w:tcPr>
          <w:p>
            <w:pPr>
              <w:pStyle w:val="Normal.0"/>
              <w:keepLines w:val="1"/>
              <w:spacing w:after="40" w:line="240" w:lineRule="auto"/>
              <w:ind w:firstLine="0"/>
              <w:jc w:val="right"/>
            </w:pPr>
            <w:r>
              <w:rPr>
                <w:sz w:val="18"/>
                <w:szCs w:val="18"/>
                <w:rtl w:val="0"/>
                <w:lang w:val="en-US"/>
              </w:rPr>
              <w:t>(15)</w:t>
            </w:r>
          </w:p>
        </w:tc>
      </w:tr>
    </w:tbl>
    <w:p>
      <w:pPr>
        <w:pStyle w:val="Normal.0"/>
        <w:widowControl w:val="0"/>
        <w:spacing w:after="80" w:line="240" w:lineRule="atLeast"/>
        <w:ind w:firstLine="0"/>
        <w:jc w:val="center"/>
      </w:pPr>
    </w:p>
    <w:p>
      <w:pPr>
        <w:pStyle w:val="Normal.0"/>
        <w:spacing w:after="80" w:line="240" w:lineRule="atLeast"/>
        <w:ind w:firstLine="0"/>
      </w:pPr>
      <w:r>
        <w:rPr>
          <w:b w:val="1"/>
          <w:bCs w:val="1"/>
          <w:sz w:val="22"/>
          <w:szCs w:val="22"/>
          <w:rtl w:val="0"/>
          <w:lang w:val="en-US"/>
        </w:rPr>
        <w:t>Proposition 3.</w:t>
      </w:r>
      <w:r>
        <w:rPr>
          <w:sz w:val="22"/>
          <w:szCs w:val="22"/>
          <w:rtl w:val="0"/>
          <w:lang w:val="en-US"/>
        </w:rPr>
        <w:t xml:space="preserve"> For every nonzero eigenmode of L, the ratio of squared frequencies is </w:t>
      </w:r>
      <w:r>
        <w:rPr>
          <w:sz w:val="22"/>
          <w:szCs w:val="22"/>
          <w:rtl w:val="0"/>
          <w:lang w:val="en-US"/>
        </w:rPr>
        <w:t>α</w:t>
      </w:r>
      <w:r>
        <w:rPr>
          <w:rFonts w:ascii="Arial Unicode MS" w:cs="Arial Unicode MS" w:hAnsi="Arial Unicode MS" w:eastAsia="Arial Unicode MS" w:hint="default"/>
          <w:b w:val="0"/>
          <w:bCs w:val="0"/>
          <w:i w:val="0"/>
          <w:iCs w:val="0"/>
          <w:sz w:val="22"/>
          <w:szCs w:val="22"/>
          <w:rtl w:val="0"/>
          <w:lang w:val="en-US"/>
        </w:rPr>
        <w:t>₁</w:t>
      </w:r>
      <w:r>
        <w:rPr>
          <w:sz w:val="22"/>
          <w:szCs w:val="22"/>
          <w:rtl w:val="0"/>
          <w:lang w:val="en-US"/>
        </w:rPr>
        <w:t>/</w:t>
      </w:r>
      <w:r>
        <w:rPr>
          <w:sz w:val="22"/>
          <w:szCs w:val="22"/>
          <w:rtl w:val="0"/>
          <w:lang w:val="en-US"/>
        </w:rPr>
        <w:t>α</w:t>
      </w:r>
      <w:r>
        <w:rPr>
          <w:rFonts w:ascii="Arial Unicode MS" w:cs="Arial Unicode MS" w:hAnsi="Arial Unicode MS" w:eastAsia="Arial Unicode MS" w:hint="default"/>
          <w:b w:val="0"/>
          <w:bCs w:val="0"/>
          <w:i w:val="0"/>
          <w:iCs w:val="0"/>
          <w:sz w:val="22"/>
          <w:szCs w:val="22"/>
          <w:rtl w:val="0"/>
          <w:lang w:val="en-US"/>
        </w:rPr>
        <w:t>₂</w:t>
      </w:r>
      <w:r>
        <w:rPr>
          <w:sz w:val="22"/>
          <w:szCs w:val="22"/>
          <w:rtl w:val="0"/>
          <w:lang w:val="en-US"/>
        </w:rPr>
        <w:t xml:space="preserve">. If there exists a common long-wavelength limit L </w:t>
      </w:r>
      <w:r>
        <w:rPr>
          <w:sz w:val="22"/>
          <w:szCs w:val="22"/>
          <w:rtl w:val="0"/>
          <w:lang w:val="en-US"/>
        </w:rPr>
        <w:t>→ −β</w:t>
      </w:r>
      <w:r>
        <w:rPr>
          <w:sz w:val="22"/>
          <w:szCs w:val="22"/>
          <w:rtl w:val="0"/>
          <w:lang w:val="en-US"/>
        </w:rPr>
        <w:t>h</w:t>
      </w:r>
      <w:r>
        <w:rPr>
          <w:rFonts w:ascii="Arial Unicode MS" w:cs="Arial Unicode MS" w:hAnsi="Arial Unicode MS" w:eastAsia="Arial Unicode MS" w:hint="default"/>
          <w:b w:val="0"/>
          <w:bCs w:val="0"/>
          <w:i w:val="0"/>
          <w:iCs w:val="0"/>
          <w:sz w:val="22"/>
          <w:szCs w:val="22"/>
          <w:rtl w:val="0"/>
          <w:lang w:val="en-US"/>
        </w:rPr>
        <w:t>ⁱ</w:t>
      </w:r>
      <w:r>
        <w:rPr>
          <w:sz w:val="22"/>
          <w:szCs w:val="22"/>
          <w:rtl w:val="0"/>
          <w:lang w:val="en-US"/>
        </w:rPr>
        <w:t>ʲ∂</w:t>
      </w:r>
      <w:r>
        <w:rPr>
          <w:sz w:val="22"/>
          <w:szCs w:val="22"/>
          <w:rtl w:val="0"/>
          <w:lang w:val="en-US"/>
        </w:rPr>
        <w:t>ᵢ</w:t>
      </w:r>
      <w:r>
        <w:rPr>
          <w:sz w:val="22"/>
          <w:szCs w:val="22"/>
          <w:rtl w:val="0"/>
          <w:lang w:val="en-US"/>
        </w:rPr>
        <w:t>∂</w:t>
      </w:r>
      <w:r>
        <w:rPr>
          <w:rFonts w:ascii="Arial Unicode MS" w:cs="Arial Unicode MS" w:hAnsi="Arial Unicode MS" w:eastAsia="Arial Unicode MS" w:hint="default"/>
          <w:b w:val="0"/>
          <w:bCs w:val="0"/>
          <w:i w:val="0"/>
          <w:iCs w:val="0"/>
          <w:sz w:val="22"/>
          <w:szCs w:val="22"/>
          <w:rtl w:val="0"/>
          <w:lang w:val="en-US"/>
        </w:rPr>
        <w:t>ⱼ</w:t>
      </w:r>
      <w:r>
        <w:rPr>
          <w:sz w:val="22"/>
          <w:szCs w:val="22"/>
          <w:rtl w:val="0"/>
          <w:lang w:val="en-US"/>
        </w:rPr>
        <w:t xml:space="preserve"> </w:t>
      </w:r>
      <w:r>
        <w:rPr>
          <w:sz w:val="22"/>
          <w:szCs w:val="22"/>
          <w:rtl w:val="0"/>
          <w:lang w:val="en-US"/>
        </w:rPr>
        <w:t xml:space="preserve">with </w:t>
      </w:r>
      <w:r>
        <w:rPr>
          <w:sz w:val="22"/>
          <w:szCs w:val="22"/>
          <w:rtl w:val="0"/>
          <w:lang w:val="en-US"/>
        </w:rPr>
        <w:t xml:space="preserve">β </w:t>
      </w:r>
      <w:r>
        <w:rPr>
          <w:sz w:val="22"/>
          <w:szCs w:val="22"/>
          <w:rtl w:val="0"/>
          <w:lang w:val="en-US"/>
        </w:rPr>
        <w:t>&gt; 0, then c</w:t>
      </w:r>
      <w:r>
        <w:rPr>
          <w:rFonts w:ascii="Arial Unicode MS" w:cs="Arial Unicode MS" w:hAnsi="Arial Unicode MS" w:eastAsia="Arial Unicode MS" w:hint="default"/>
          <w:b w:val="0"/>
          <w:bCs w:val="0"/>
          <w:i w:val="0"/>
          <w:iCs w:val="0"/>
          <w:sz w:val="22"/>
          <w:szCs w:val="22"/>
          <w:rtl w:val="0"/>
          <w:lang w:val="en-US"/>
        </w:rPr>
        <w:t>₁</w:t>
      </w:r>
      <w:r>
        <w:rPr>
          <w:sz w:val="22"/>
          <w:szCs w:val="22"/>
          <w:rtl w:val="0"/>
          <w:lang w:val="en-US"/>
        </w:rPr>
        <w:t>²</w:t>
      </w:r>
      <w:r>
        <w:rPr>
          <w:sz w:val="22"/>
          <w:szCs w:val="22"/>
          <w:rtl w:val="0"/>
          <w:lang w:val="en-US"/>
        </w:rPr>
        <w:t>/c</w:t>
      </w:r>
      <w:r>
        <w:rPr>
          <w:rFonts w:ascii="Arial Unicode MS" w:cs="Arial Unicode MS" w:hAnsi="Arial Unicode MS" w:eastAsia="Arial Unicode MS" w:hint="default"/>
          <w:b w:val="0"/>
          <w:bCs w:val="0"/>
          <w:i w:val="0"/>
          <w:iCs w:val="0"/>
          <w:sz w:val="22"/>
          <w:szCs w:val="22"/>
          <w:rtl w:val="0"/>
          <w:lang w:val="en-US"/>
        </w:rPr>
        <w:t>₂</w:t>
      </w:r>
      <w:r>
        <w:rPr>
          <w:sz w:val="22"/>
          <w:szCs w:val="22"/>
          <w:rtl w:val="0"/>
          <w:lang w:val="en-US"/>
        </w:rPr>
        <w:t xml:space="preserve">² </w:t>
      </w:r>
      <w:r>
        <w:rPr>
          <w:sz w:val="22"/>
          <w:szCs w:val="22"/>
          <w:rtl w:val="0"/>
          <w:lang w:val="en-US"/>
        </w:rPr>
        <w:t xml:space="preserve">= </w:t>
      </w:r>
      <w:r>
        <w:rPr>
          <w:sz w:val="22"/>
          <w:szCs w:val="22"/>
          <w:rtl w:val="0"/>
          <w:lang w:val="en-US"/>
        </w:rPr>
        <w:t>α</w:t>
      </w:r>
      <w:r>
        <w:rPr>
          <w:rFonts w:ascii="Arial Unicode MS" w:cs="Arial Unicode MS" w:hAnsi="Arial Unicode MS" w:eastAsia="Arial Unicode MS" w:hint="default"/>
          <w:b w:val="0"/>
          <w:bCs w:val="0"/>
          <w:i w:val="0"/>
          <w:iCs w:val="0"/>
          <w:sz w:val="22"/>
          <w:szCs w:val="22"/>
          <w:rtl w:val="0"/>
          <w:lang w:val="en-US"/>
        </w:rPr>
        <w:t>₁</w:t>
      </w:r>
      <w:r>
        <w:rPr>
          <w:sz w:val="22"/>
          <w:szCs w:val="22"/>
          <w:rtl w:val="0"/>
          <w:lang w:val="en-US"/>
        </w:rPr>
        <w:t>/</w:t>
      </w:r>
      <w:r>
        <w:rPr>
          <w:sz w:val="22"/>
          <w:szCs w:val="22"/>
          <w:rtl w:val="0"/>
          <w:lang w:val="en-US"/>
        </w:rPr>
        <w:t>α</w:t>
      </w:r>
      <w:r>
        <w:rPr>
          <w:rFonts w:ascii="Arial Unicode MS" w:cs="Arial Unicode MS" w:hAnsi="Arial Unicode MS" w:eastAsia="Arial Unicode MS" w:hint="default"/>
          <w:b w:val="0"/>
          <w:bCs w:val="0"/>
          <w:i w:val="0"/>
          <w:iCs w:val="0"/>
          <w:sz w:val="22"/>
          <w:szCs w:val="22"/>
          <w:rtl w:val="0"/>
          <w:lang w:val="en-US"/>
        </w:rPr>
        <w:t>₂</w:t>
      </w:r>
      <w:r>
        <w:rPr>
          <w:sz w:val="22"/>
          <w:szCs w:val="22"/>
          <w:rtl w:val="0"/>
          <w:lang w:val="en-US"/>
        </w:rPr>
        <w:t xml:space="preserve">. Changing W while keeping distinct </w:t>
      </w:r>
      <w:r>
        <w:rPr>
          <w:sz w:val="22"/>
          <w:szCs w:val="22"/>
          <w:rtl w:val="0"/>
          <w:lang w:val="en-US"/>
        </w:rPr>
        <w:t>α</w:t>
      </w:r>
      <w:r>
        <w:rPr>
          <w:rFonts w:ascii="Arial Unicode MS" w:cs="Arial Unicode MS" w:hAnsi="Arial Unicode MS" w:eastAsia="Arial Unicode MS" w:hint="default"/>
          <w:b w:val="0"/>
          <w:bCs w:val="0"/>
          <w:i w:val="0"/>
          <w:iCs w:val="0"/>
          <w:sz w:val="22"/>
          <w:szCs w:val="22"/>
          <w:rtl w:val="0"/>
          <w:lang w:val="en-US"/>
        </w:rPr>
        <w:t>₁</w:t>
      </w:r>
      <w:r>
        <w:rPr>
          <w:sz w:val="22"/>
          <w:szCs w:val="22"/>
          <w:rtl w:val="0"/>
          <w:lang w:val="en-US"/>
        </w:rPr>
        <w:t xml:space="preserve"> </w:t>
      </w:r>
      <w:r>
        <w:rPr>
          <w:sz w:val="22"/>
          <w:szCs w:val="22"/>
          <w:rtl w:val="0"/>
          <w:lang w:val="en-US"/>
        </w:rPr>
        <w:t xml:space="preserve">and </w:t>
      </w:r>
      <w:r>
        <w:rPr>
          <w:sz w:val="22"/>
          <w:szCs w:val="22"/>
          <w:rtl w:val="0"/>
          <w:lang w:val="en-US"/>
        </w:rPr>
        <w:t>α</w:t>
      </w:r>
      <w:r>
        <w:rPr>
          <w:rFonts w:ascii="Arial Unicode MS" w:cs="Arial Unicode MS" w:hAnsi="Arial Unicode MS" w:eastAsia="Arial Unicode MS" w:hint="default"/>
          <w:b w:val="0"/>
          <w:bCs w:val="0"/>
          <w:i w:val="0"/>
          <w:iCs w:val="0"/>
          <w:sz w:val="22"/>
          <w:szCs w:val="22"/>
          <w:rtl w:val="0"/>
          <w:lang w:val="en-US"/>
        </w:rPr>
        <w:t>₂</w:t>
      </w:r>
      <w:r>
        <w:rPr>
          <w:sz w:val="22"/>
          <w:szCs w:val="22"/>
          <w:rtl w:val="0"/>
          <w:lang w:val="en-US"/>
        </w:rPr>
        <w:t xml:space="preserve"> </w:t>
      </w:r>
      <w:r>
        <w:rPr>
          <w:sz w:val="22"/>
          <w:szCs w:val="22"/>
          <w:rtl w:val="0"/>
          <w:lang w:val="en-US"/>
        </w:rPr>
        <w:t>fixed cannot make the two speeds coincide.</w:t>
      </w:r>
    </w:p>
    <w:p>
      <w:pPr>
        <w:pStyle w:val="Normal.0"/>
        <w:spacing w:after="80" w:line="240" w:lineRule="atLeast"/>
        <w:ind w:firstLine="0"/>
      </w:pPr>
      <w:r>
        <w:rPr>
          <w:b w:val="1"/>
          <w:bCs w:val="1"/>
          <w:sz w:val="22"/>
          <w:szCs w:val="22"/>
          <w:rtl w:val="0"/>
          <w:lang w:val="en-US"/>
        </w:rPr>
        <w:t>Proof.</w:t>
      </w:r>
      <w:r>
        <w:rPr>
          <w:sz w:val="22"/>
          <w:szCs w:val="22"/>
          <w:rtl w:val="0"/>
          <w:lang w:val="en-US"/>
        </w:rPr>
        <w:t xml:space="preserve"> Substituting Lz</w:t>
      </w:r>
      <w:r>
        <w:rPr>
          <w:rFonts w:ascii="Arial Unicode MS" w:cs="Arial Unicode MS" w:hAnsi="Arial Unicode MS" w:eastAsia="Arial Unicode MS" w:hint="default"/>
          <w:b w:val="0"/>
          <w:bCs w:val="0"/>
          <w:i w:val="0"/>
          <w:iCs w:val="0"/>
          <w:sz w:val="22"/>
          <w:szCs w:val="22"/>
          <w:rtl w:val="0"/>
          <w:lang w:val="en-US"/>
        </w:rPr>
        <w:t>ₙ</w:t>
      </w:r>
      <w:r>
        <w:rPr>
          <w:sz w:val="22"/>
          <w:szCs w:val="22"/>
          <w:rtl w:val="0"/>
          <w:lang w:val="en-US"/>
        </w:rPr>
        <w:t xml:space="preserve"> </w:t>
      </w:r>
      <w:r>
        <w:rPr>
          <w:sz w:val="22"/>
          <w:szCs w:val="22"/>
          <w:rtl w:val="0"/>
          <w:lang w:val="en-US"/>
        </w:rPr>
        <w:t xml:space="preserve">= </w:t>
      </w:r>
      <w:r>
        <w:rPr>
          <w:sz w:val="22"/>
          <w:szCs w:val="22"/>
          <w:rtl w:val="0"/>
          <w:lang w:val="en-US"/>
        </w:rPr>
        <w:t>ν</w:t>
      </w:r>
      <w:r>
        <w:rPr>
          <w:rFonts w:ascii="Arial Unicode MS" w:cs="Arial Unicode MS" w:hAnsi="Arial Unicode MS" w:eastAsia="Arial Unicode MS" w:hint="default"/>
          <w:b w:val="0"/>
          <w:bCs w:val="0"/>
          <w:i w:val="0"/>
          <w:iCs w:val="0"/>
          <w:sz w:val="22"/>
          <w:szCs w:val="22"/>
          <w:rtl w:val="0"/>
          <w:lang w:val="en-US"/>
        </w:rPr>
        <w:t>ₙ</w:t>
      </w:r>
      <w:r>
        <w:rPr>
          <w:sz w:val="22"/>
          <w:szCs w:val="22"/>
          <w:rtl w:val="0"/>
          <w:lang w:val="en-US"/>
        </w:rPr>
        <w:t>z</w:t>
      </w:r>
      <w:r>
        <w:rPr>
          <w:rFonts w:ascii="Arial Unicode MS" w:cs="Arial Unicode MS" w:hAnsi="Arial Unicode MS" w:eastAsia="Arial Unicode MS" w:hint="default"/>
          <w:b w:val="0"/>
          <w:bCs w:val="0"/>
          <w:i w:val="0"/>
          <w:iCs w:val="0"/>
          <w:sz w:val="22"/>
          <w:szCs w:val="22"/>
          <w:rtl w:val="0"/>
          <w:lang w:val="en-US"/>
        </w:rPr>
        <w:t>ₙ</w:t>
      </w:r>
      <w:r>
        <w:rPr>
          <w:sz w:val="22"/>
          <w:szCs w:val="22"/>
          <w:rtl w:val="0"/>
          <w:lang w:val="en-US"/>
        </w:rPr>
        <w:t xml:space="preserve"> </w:t>
      </w:r>
      <w:r>
        <w:rPr>
          <w:sz w:val="22"/>
          <w:szCs w:val="22"/>
          <w:rtl w:val="0"/>
          <w:lang w:val="en-US"/>
        </w:rPr>
        <w:t xml:space="preserve">into Eq. (15) gives </w:t>
      </w:r>
      <w:r>
        <w:rPr>
          <w:sz w:val="22"/>
          <w:szCs w:val="22"/>
          <w:rtl w:val="0"/>
          <w:lang w:val="en-US"/>
        </w:rPr>
        <w:t>ωₐ</w:t>
      </w:r>
      <w:r>
        <w:rPr>
          <w:sz w:val="22"/>
          <w:szCs w:val="22"/>
          <w:rtl w:val="0"/>
          <w:lang w:val="en-US"/>
        </w:rPr>
        <w:t>,</w:t>
      </w:r>
      <w:r>
        <w:rPr>
          <w:rFonts w:ascii="Arial Unicode MS" w:cs="Arial Unicode MS" w:hAnsi="Arial Unicode MS" w:eastAsia="Arial Unicode MS" w:hint="default"/>
          <w:b w:val="0"/>
          <w:bCs w:val="0"/>
          <w:i w:val="0"/>
          <w:iCs w:val="0"/>
          <w:sz w:val="22"/>
          <w:szCs w:val="22"/>
          <w:rtl w:val="0"/>
          <w:lang w:val="en-US"/>
        </w:rPr>
        <w:t>ₙ</w:t>
      </w:r>
      <w:r>
        <w:rPr>
          <w:sz w:val="22"/>
          <w:szCs w:val="22"/>
          <w:rtl w:val="0"/>
          <w:lang w:val="en-US"/>
        </w:rPr>
        <w:t xml:space="preserve">² </w:t>
      </w:r>
      <w:r>
        <w:rPr>
          <w:sz w:val="22"/>
          <w:szCs w:val="22"/>
          <w:rtl w:val="0"/>
          <w:lang w:val="en-US"/>
        </w:rPr>
        <w:t xml:space="preserve">= </w:t>
      </w:r>
      <w:r>
        <w:rPr>
          <w:sz w:val="22"/>
          <w:szCs w:val="22"/>
          <w:rtl w:val="0"/>
          <w:lang w:val="en-US"/>
        </w:rPr>
        <w:t>αₐν</w:t>
      </w:r>
      <w:r>
        <w:rPr>
          <w:rFonts w:ascii="Arial Unicode MS" w:cs="Arial Unicode MS" w:hAnsi="Arial Unicode MS" w:eastAsia="Arial Unicode MS" w:hint="default"/>
          <w:b w:val="0"/>
          <w:bCs w:val="0"/>
          <w:i w:val="0"/>
          <w:iCs w:val="0"/>
          <w:sz w:val="22"/>
          <w:szCs w:val="22"/>
          <w:rtl w:val="0"/>
          <w:lang w:val="en-US"/>
        </w:rPr>
        <w:t>ₙ</w:t>
      </w:r>
      <w:r>
        <w:rPr>
          <w:sz w:val="22"/>
          <w:szCs w:val="22"/>
          <w:rtl w:val="0"/>
          <w:lang w:val="en-US"/>
        </w:rPr>
        <w:t xml:space="preserve">. The common factor </w:t>
      </w:r>
      <w:r>
        <w:rPr>
          <w:sz w:val="22"/>
          <w:szCs w:val="22"/>
          <w:rtl w:val="0"/>
          <w:lang w:val="en-US"/>
        </w:rPr>
        <w:t>ν</w:t>
      </w:r>
      <w:r>
        <w:rPr>
          <w:rFonts w:ascii="Arial Unicode MS" w:cs="Arial Unicode MS" w:hAnsi="Arial Unicode MS" w:eastAsia="Arial Unicode MS" w:hint="default"/>
          <w:b w:val="0"/>
          <w:bCs w:val="0"/>
          <w:i w:val="0"/>
          <w:iCs w:val="0"/>
          <w:sz w:val="22"/>
          <w:szCs w:val="22"/>
          <w:rtl w:val="0"/>
          <w:lang w:val="en-US"/>
        </w:rPr>
        <w:t>ₙ</w:t>
      </w:r>
      <w:r>
        <w:rPr>
          <w:sz w:val="22"/>
          <w:szCs w:val="22"/>
          <w:rtl w:val="0"/>
          <w:lang w:val="en-US"/>
        </w:rPr>
        <w:t xml:space="preserve"> </w:t>
      </w:r>
      <w:r>
        <w:rPr>
          <w:sz w:val="22"/>
          <w:szCs w:val="22"/>
          <w:rtl w:val="0"/>
          <w:lang w:val="en-US"/>
        </w:rPr>
        <w:t>cancels in the ratio. In a shared continuum limit c</w:t>
      </w:r>
      <w:r>
        <w:rPr>
          <w:sz w:val="22"/>
          <w:szCs w:val="22"/>
          <w:rtl w:val="0"/>
          <w:lang w:val="en-US"/>
        </w:rPr>
        <w:t xml:space="preserve">ₐ² </w:t>
      </w:r>
      <w:r>
        <w:rPr>
          <w:sz w:val="22"/>
          <w:szCs w:val="22"/>
          <w:rtl w:val="0"/>
          <w:lang w:val="en-US"/>
        </w:rPr>
        <w:t xml:space="preserve">= </w:t>
      </w:r>
      <w:r>
        <w:rPr>
          <w:sz w:val="22"/>
          <w:szCs w:val="22"/>
          <w:rtl w:val="0"/>
          <w:lang w:val="en-US"/>
        </w:rPr>
        <w:t>αₐβ</w:t>
      </w:r>
      <w:r>
        <w:rPr>
          <w:sz w:val="22"/>
          <w:szCs w:val="22"/>
          <w:rtl w:val="0"/>
          <w:lang w:val="en-US"/>
        </w:rPr>
        <w:t xml:space="preserve">, and </w:t>
      </w:r>
      <w:r>
        <w:rPr>
          <w:sz w:val="22"/>
          <w:szCs w:val="22"/>
          <w:rtl w:val="0"/>
          <w:lang w:val="en-US"/>
        </w:rPr>
        <w:t xml:space="preserve">β </w:t>
      </w:r>
      <w:r>
        <w:rPr>
          <w:sz w:val="22"/>
          <w:szCs w:val="22"/>
          <w:rtl w:val="0"/>
          <w:lang w:val="en-US"/>
        </w:rPr>
        <w:t xml:space="preserve">cancels as well. </w:t>
      </w:r>
      <w:r>
        <w:rPr>
          <w:sz w:val="22"/>
          <w:szCs w:val="22"/>
          <w:rtl w:val="0"/>
          <w:lang w:val="en-US"/>
        </w:rPr>
        <w:t>□</w:t>
      </w:r>
    </w:p>
    <w:p>
      <w:pPr>
        <w:pStyle w:val="Normal.0"/>
        <w:spacing w:after="80" w:line="240" w:lineRule="atLeast"/>
      </w:pPr>
      <w:r>
        <w:rPr>
          <w:sz w:val="22"/>
          <w:szCs w:val="22"/>
          <w:rtl w:val="0"/>
          <w:lang w:val="en-US"/>
        </w:rPr>
        <w:t>The statement concerns the spectrum of a frozen background and the local leading coefficients when such a continuum limit exists. For rapidly varying W, constant mode frequencies may not be defined at all. Nonadiabatic mode mixing does not invalidate the algebraic result, but it requires a different operational notion of propagation.</w:t>
      </w:r>
    </w:p>
    <w:p>
      <w:pPr>
        <w:pStyle w:val="Normal.0"/>
        <w:spacing w:after="80" w:line="240" w:lineRule="atLeast"/>
      </w:pPr>
      <w:r>
        <w:rPr>
          <w:sz w:val="22"/>
          <w:szCs w:val="22"/>
          <w:rtl w:val="0"/>
          <w:lang w:val="en-US"/>
        </w:rPr>
        <w:t xml:space="preserve">A penalty for unequal squared speeds makes the point particularly transparent. With a common </w:t>
      </w:r>
      <w:r>
        <w:rPr>
          <w:sz w:val="22"/>
          <w:szCs w:val="22"/>
          <w:rtl w:val="0"/>
          <w:lang w:val="en-US"/>
        </w:rPr>
        <w:t xml:space="preserve">β </w:t>
      </w:r>
      <w:r>
        <w:rPr>
          <w:sz w:val="22"/>
          <w:szCs w:val="22"/>
          <w:rtl w:val="0"/>
          <w:lang w:val="en-US"/>
        </w:rPr>
        <w:t>it takes the form</w:t>
      </w:r>
    </w:p>
    <w:tbl>
      <w:tblPr>
        <w:tblW w:w="9411"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8846"/>
        <w:gridCol w:w="565"/>
      </w:tblGrid>
      <w:tr>
        <w:tblPrEx>
          <w:shd w:val="clear" w:color="auto" w:fill="ced7e7"/>
        </w:tblPrEx>
        <w:trPr>
          <w:trHeight w:val="243" w:hRule="atLeast"/>
        </w:trPr>
        <w:tc>
          <w:tcPr>
            <w:tcW w:type="dxa" w:w="8846"/>
            <w:tcBorders>
              <w:top w:val="nil"/>
              <w:left w:val="nil"/>
              <w:bottom w:val="nil"/>
              <w:right w:val="nil"/>
            </w:tcBorders>
            <w:shd w:val="clear" w:color="auto" w:fill="auto"/>
            <w:tcMar>
              <w:top w:type="dxa" w:w="80"/>
              <w:left w:type="dxa" w:w="80"/>
              <w:bottom w:type="dxa" w:w="80"/>
              <w:right w:type="dxa" w:w="80"/>
            </w:tcMar>
            <w:vAlign w:val="top"/>
          </w:tcPr>
          <w:p>
            <w:pPr>
              <w:pStyle w:val="Equation"/>
              <w:keepLines w:val="1"/>
              <w:spacing w:after="40"/>
              <w:ind w:firstLine="0"/>
            </w:pPr>
            <w:r>
              <w:rPr>
                <w:rFonts w:ascii="Times New Roman" w:hAnsi="Times New Roman"/>
                <w:sz w:val="18"/>
                <w:szCs w:val="18"/>
                <w:rtl w:val="0"/>
                <w:lang w:val="en-US"/>
              </w:rPr>
              <w:t>V</w:t>
            </w:r>
            <w:r>
              <w:rPr>
                <w:rFonts w:ascii="Arial Unicode MS" w:cs="Arial Unicode MS" w:hAnsi="Arial Unicode MS" w:eastAsia="Arial Unicode MS" w:hint="default"/>
                <w:b w:val="0"/>
                <w:bCs w:val="0"/>
                <w:i w:val="0"/>
                <w:iCs w:val="0"/>
                <w:sz w:val="18"/>
                <w:szCs w:val="18"/>
                <w:rtl w:val="0"/>
                <w:lang w:val="en-US"/>
              </w:rPr>
              <w:t>ₗ</w:t>
            </w:r>
            <w:r>
              <w:rPr>
                <w:rFonts w:ascii="Times New Roman" w:hAnsi="Times New Roman" w:hint="default"/>
                <w:sz w:val="18"/>
                <w:szCs w:val="18"/>
                <w:rtl w:val="0"/>
                <w:lang w:val="en-US"/>
              </w:rPr>
              <w:t>ₒ</w:t>
            </w:r>
            <w:r>
              <w:rPr>
                <w:rFonts w:ascii="Arial Unicode MS" w:cs="Arial Unicode MS" w:hAnsi="Arial Unicode MS" w:eastAsia="Arial Unicode MS" w:hint="eastAsia"/>
                <w:b w:val="0"/>
                <w:bCs w:val="0"/>
                <w:i w:val="0"/>
                <w:iCs w:val="0"/>
                <w:sz w:val="18"/>
                <w:szCs w:val="18"/>
                <w:rtl w:val="0"/>
                <w:lang w:val="en-US"/>
              </w:rPr>
              <w:t>꜀</w:t>
            </w:r>
            <w:r>
              <w:rPr>
                <w:rFonts w:ascii="Arial Unicode MS" w:cs="Arial Unicode MS" w:hAnsi="Arial Unicode MS" w:eastAsia="Arial Unicode MS" w:hint="default"/>
                <w:b w:val="0"/>
                <w:bCs w:val="0"/>
                <w:i w:val="0"/>
                <w:iCs w:val="0"/>
                <w:sz w:val="18"/>
                <w:szCs w:val="18"/>
                <w:rtl w:val="0"/>
                <w:lang w:val="en-US"/>
              </w:rPr>
              <w:t>ₖ</w:t>
            </w:r>
            <w:r>
              <w:rPr>
                <w:rFonts w:ascii="Times New Roman" w:hAnsi="Times New Roman"/>
                <w:sz w:val="18"/>
                <w:szCs w:val="18"/>
                <w:rtl w:val="0"/>
                <w:lang w:val="en-US"/>
              </w:rPr>
              <w:t xml:space="preserve"> </w:t>
            </w:r>
            <w:r>
              <w:rPr>
                <w:rFonts w:ascii="Times New Roman" w:hAnsi="Times New Roman"/>
                <w:sz w:val="18"/>
                <w:szCs w:val="18"/>
                <w:rtl w:val="0"/>
                <w:lang w:val="en-US"/>
              </w:rPr>
              <w:t xml:space="preserve">= </w:t>
            </w:r>
            <w:r>
              <w:rPr>
                <w:rFonts w:ascii="Times New Roman" w:hAnsi="Times New Roman" w:hint="default"/>
                <w:sz w:val="18"/>
                <w:szCs w:val="18"/>
                <w:rtl w:val="0"/>
                <w:lang w:val="en-US"/>
              </w:rPr>
              <w:t>Γ</w:t>
            </w:r>
            <w:r>
              <w:rPr>
                <w:rFonts w:ascii="Times New Roman" w:hAnsi="Times New Roman"/>
                <w:sz w:val="18"/>
                <w:szCs w:val="18"/>
                <w:rtl w:val="0"/>
                <w:lang w:val="en-US"/>
              </w:rPr>
              <w:t>(c</w:t>
            </w:r>
            <w:r>
              <w:rPr>
                <w:rFonts w:ascii="Arial Unicode MS" w:cs="Arial Unicode MS" w:hAnsi="Arial Unicode MS" w:eastAsia="Arial Unicode MS" w:hint="default"/>
                <w:b w:val="0"/>
                <w:bCs w:val="0"/>
                <w:i w:val="0"/>
                <w:iCs w:val="0"/>
                <w:sz w:val="18"/>
                <w:szCs w:val="18"/>
                <w:rtl w:val="0"/>
                <w:lang w:val="en-US"/>
              </w:rPr>
              <w:t>₁</w:t>
            </w:r>
            <w:r>
              <w:rPr>
                <w:rFonts w:ascii="Times New Roman" w:hAnsi="Times New Roman" w:hint="default"/>
                <w:sz w:val="18"/>
                <w:szCs w:val="18"/>
                <w:rtl w:val="0"/>
                <w:lang w:val="en-US"/>
              </w:rPr>
              <w:t xml:space="preserve">² − </w:t>
            </w:r>
            <w:r>
              <w:rPr>
                <w:rFonts w:ascii="Times New Roman" w:hAnsi="Times New Roman"/>
                <w:sz w:val="18"/>
                <w:szCs w:val="18"/>
                <w:rtl w:val="0"/>
                <w:lang w:val="en-US"/>
              </w:rPr>
              <w:t>c</w:t>
            </w:r>
            <w:r>
              <w:rPr>
                <w:rFonts w:ascii="Arial Unicode MS" w:cs="Arial Unicode MS" w:hAnsi="Arial Unicode MS" w:eastAsia="Arial Unicode MS" w:hint="default"/>
                <w:b w:val="0"/>
                <w:bCs w:val="0"/>
                <w:i w:val="0"/>
                <w:iCs w:val="0"/>
                <w:sz w:val="18"/>
                <w:szCs w:val="18"/>
                <w:rtl w:val="0"/>
                <w:lang w:val="en-US"/>
              </w:rPr>
              <w:t>₂</w:t>
            </w:r>
            <w:r>
              <w:rPr>
                <w:rFonts w:ascii="Times New Roman" w:hAnsi="Times New Roman" w:hint="default"/>
                <w:sz w:val="18"/>
                <w:szCs w:val="18"/>
                <w:rtl w:val="0"/>
                <w:lang w:val="en-US"/>
              </w:rPr>
              <w:t>²</w:t>
            </w:r>
            <w:r>
              <w:rPr>
                <w:rFonts w:ascii="Times New Roman" w:hAnsi="Times New Roman"/>
                <w:sz w:val="18"/>
                <w:szCs w:val="18"/>
                <w:rtl w:val="0"/>
                <w:lang w:val="en-US"/>
              </w:rPr>
              <w:t>)</w:t>
            </w:r>
            <w:r>
              <w:rPr>
                <w:rFonts w:ascii="Times New Roman" w:hAnsi="Times New Roman" w:hint="default"/>
                <w:sz w:val="18"/>
                <w:szCs w:val="18"/>
                <w:rtl w:val="0"/>
                <w:lang w:val="en-US"/>
              </w:rPr>
              <w:t xml:space="preserve">² </w:t>
            </w:r>
            <w:r>
              <w:rPr>
                <w:rFonts w:ascii="Times New Roman" w:hAnsi="Times New Roman"/>
                <w:sz w:val="18"/>
                <w:szCs w:val="18"/>
                <w:rtl w:val="0"/>
                <w:lang w:val="en-US"/>
              </w:rPr>
              <w:t xml:space="preserve">= </w:t>
            </w:r>
            <w:r>
              <w:rPr>
                <w:rFonts w:ascii="Times New Roman" w:hAnsi="Times New Roman" w:hint="default"/>
                <w:sz w:val="18"/>
                <w:szCs w:val="18"/>
                <w:rtl w:val="0"/>
                <w:lang w:val="en-US"/>
              </w:rPr>
              <w:t>Γ</w:t>
            </w:r>
            <w:r>
              <w:rPr>
                <w:rFonts w:ascii="Times New Roman" w:hAnsi="Times New Roman"/>
                <w:sz w:val="18"/>
                <w:szCs w:val="18"/>
                <w:rtl w:val="0"/>
                <w:lang w:val="en-US"/>
              </w:rPr>
              <w:t>(</w:t>
            </w:r>
            <w:r>
              <w:rPr>
                <w:rFonts w:ascii="Times New Roman" w:hAnsi="Times New Roman" w:hint="default"/>
                <w:sz w:val="18"/>
                <w:szCs w:val="18"/>
                <w:rtl w:val="0"/>
                <w:lang w:val="en-US"/>
              </w:rPr>
              <w:t>α</w:t>
            </w:r>
            <w:r>
              <w:rPr>
                <w:rFonts w:ascii="Arial Unicode MS" w:cs="Arial Unicode MS" w:hAnsi="Arial Unicode MS" w:eastAsia="Arial Unicode MS" w:hint="default"/>
                <w:b w:val="0"/>
                <w:bCs w:val="0"/>
                <w:i w:val="0"/>
                <w:iCs w:val="0"/>
                <w:sz w:val="18"/>
                <w:szCs w:val="18"/>
                <w:rtl w:val="0"/>
                <w:lang w:val="en-US"/>
              </w:rPr>
              <w:t>₁</w:t>
            </w:r>
            <w:r>
              <w:rPr>
                <w:rFonts w:ascii="Times New Roman" w:hAnsi="Times New Roman" w:hint="default"/>
                <w:sz w:val="18"/>
                <w:szCs w:val="18"/>
                <w:rtl w:val="0"/>
                <w:lang w:val="en-US"/>
              </w:rPr>
              <w:t xml:space="preserve"> − α</w:t>
            </w:r>
            <w:r>
              <w:rPr>
                <w:rFonts w:ascii="Arial Unicode MS" w:cs="Arial Unicode MS" w:hAnsi="Arial Unicode MS" w:eastAsia="Arial Unicode MS" w:hint="default"/>
                <w:b w:val="0"/>
                <w:bCs w:val="0"/>
                <w:i w:val="0"/>
                <w:iCs w:val="0"/>
                <w:sz w:val="18"/>
                <w:szCs w:val="18"/>
                <w:rtl w:val="0"/>
                <w:lang w:val="en-US"/>
              </w:rPr>
              <w:t>₂</w:t>
            </w:r>
            <w:r>
              <w:rPr>
                <w:rFonts w:ascii="Times New Roman" w:hAnsi="Times New Roman"/>
                <w:sz w:val="18"/>
                <w:szCs w:val="18"/>
                <w:rtl w:val="0"/>
                <w:lang w:val="en-US"/>
              </w:rPr>
              <w:t>)</w:t>
            </w:r>
            <w:r>
              <w:rPr>
                <w:rFonts w:ascii="Times New Roman" w:hAnsi="Times New Roman" w:hint="default"/>
                <w:sz w:val="18"/>
                <w:szCs w:val="18"/>
                <w:rtl w:val="0"/>
                <w:lang w:val="en-US"/>
              </w:rPr>
              <w:t>²β²</w:t>
            </w:r>
            <w:r>
              <w:rPr>
                <w:rFonts w:ascii="Times New Roman" w:hAnsi="Times New Roman"/>
                <w:sz w:val="18"/>
                <w:szCs w:val="18"/>
                <w:rtl w:val="0"/>
                <w:lang w:val="en-US"/>
              </w:rPr>
              <w:t xml:space="preserve">,     </w:t>
            </w:r>
            <w:r>
              <w:rPr>
                <w:rFonts w:ascii="Times New Roman" w:hAnsi="Times New Roman" w:hint="default"/>
                <w:sz w:val="18"/>
                <w:szCs w:val="18"/>
                <w:rtl w:val="0"/>
                <w:lang w:val="en-US"/>
              </w:rPr>
              <w:t xml:space="preserve">Γ </w:t>
            </w:r>
            <w:r>
              <w:rPr>
                <w:rFonts w:ascii="Times New Roman" w:hAnsi="Times New Roman"/>
                <w:sz w:val="18"/>
                <w:szCs w:val="18"/>
                <w:rtl w:val="0"/>
                <w:lang w:val="en-US"/>
              </w:rPr>
              <w:t>&gt; 0.</w:t>
            </w:r>
          </w:p>
        </w:tc>
        <w:tc>
          <w:tcPr>
            <w:tcW w:type="dxa" w:w="565"/>
            <w:tcBorders>
              <w:top w:val="nil"/>
              <w:left w:val="nil"/>
              <w:bottom w:val="nil"/>
              <w:right w:val="nil"/>
            </w:tcBorders>
            <w:shd w:val="clear" w:color="auto" w:fill="auto"/>
            <w:tcMar>
              <w:top w:type="dxa" w:w="80"/>
              <w:left w:type="dxa" w:w="80"/>
              <w:bottom w:type="dxa" w:w="80"/>
              <w:right w:type="dxa" w:w="80"/>
            </w:tcMar>
            <w:vAlign w:val="top"/>
          </w:tcPr>
          <w:p>
            <w:pPr>
              <w:pStyle w:val="Normal.0"/>
              <w:keepLines w:val="1"/>
              <w:spacing w:after="40" w:line="240" w:lineRule="auto"/>
              <w:ind w:firstLine="0"/>
              <w:jc w:val="right"/>
            </w:pPr>
            <w:r>
              <w:rPr>
                <w:sz w:val="18"/>
                <w:szCs w:val="18"/>
                <w:rtl w:val="0"/>
                <w:lang w:val="en-US"/>
              </w:rPr>
              <w:t>(16)</w:t>
            </w:r>
          </w:p>
        </w:tc>
      </w:tr>
    </w:tbl>
    <w:p>
      <w:pPr>
        <w:pStyle w:val="Normal.0"/>
        <w:widowControl w:val="0"/>
        <w:spacing w:after="80" w:line="240" w:lineRule="atLeast"/>
        <w:ind w:firstLine="0"/>
        <w:jc w:val="center"/>
      </w:pPr>
    </w:p>
    <w:p>
      <w:pPr>
        <w:pStyle w:val="Normal.0"/>
        <w:spacing w:after="80" w:line="240" w:lineRule="atLeast"/>
      </w:pPr>
      <w:r>
        <w:rPr>
          <w:sz w:val="22"/>
          <w:szCs w:val="22"/>
          <w:rtl w:val="0"/>
          <w:lang w:val="en-US"/>
        </w:rPr>
        <w:t xml:space="preserve">If the remaining terms in the functional do not prevent </w:t>
      </w:r>
      <w:r>
        <w:rPr>
          <w:sz w:val="22"/>
          <w:szCs w:val="22"/>
          <w:rtl w:val="0"/>
          <w:lang w:val="en-US"/>
        </w:rPr>
        <w:t xml:space="preserve">β → </w:t>
      </w:r>
      <w:r>
        <w:rPr>
          <w:sz w:val="22"/>
          <w:szCs w:val="22"/>
          <w:rtl w:val="0"/>
          <w:lang w:val="en-US"/>
        </w:rPr>
        <w:t xml:space="preserve">0, the penalty vanishes simply by stopping propagation. This does not produce a finite universal speed. If </w:t>
      </w:r>
      <w:r>
        <w:rPr>
          <w:sz w:val="22"/>
          <w:szCs w:val="22"/>
          <w:rtl w:val="0"/>
          <w:lang w:val="en-US"/>
        </w:rPr>
        <w:t xml:space="preserve">β </w:t>
      </w:r>
      <w:r>
        <w:rPr>
          <w:sz w:val="22"/>
          <w:szCs w:val="22"/>
          <w:rtl w:val="0"/>
          <w:lang w:val="en-US"/>
        </w:rPr>
        <w:t xml:space="preserve">is constrained by </w:t>
      </w:r>
      <w:r>
        <w:rPr>
          <w:sz w:val="22"/>
          <w:szCs w:val="22"/>
          <w:rtl w:val="0"/>
          <w:lang w:val="en-US"/>
        </w:rPr>
        <w:t>β ≥ β</w:t>
      </w:r>
      <w:r>
        <w:rPr>
          <w:rFonts w:ascii="Arial Unicode MS" w:cs="Arial Unicode MS" w:hAnsi="Arial Unicode MS" w:eastAsia="Arial Unicode MS" w:hint="default"/>
          <w:b w:val="0"/>
          <w:bCs w:val="0"/>
          <w:i w:val="0"/>
          <w:iCs w:val="0"/>
          <w:sz w:val="22"/>
          <w:szCs w:val="22"/>
          <w:rtl w:val="0"/>
          <w:lang w:val="en-US"/>
        </w:rPr>
        <w:t>ₘ</w:t>
      </w:r>
      <w:r>
        <w:rPr>
          <w:sz w:val="22"/>
          <w:szCs w:val="22"/>
          <w:rtl w:val="0"/>
          <w:lang w:val="en-US"/>
        </w:rPr>
        <w:t>ᵢ</w:t>
      </w:r>
      <w:r>
        <w:rPr>
          <w:rFonts w:ascii="Arial Unicode MS" w:cs="Arial Unicode MS" w:hAnsi="Arial Unicode MS" w:eastAsia="Arial Unicode MS" w:hint="default"/>
          <w:b w:val="0"/>
          <w:bCs w:val="0"/>
          <w:i w:val="0"/>
          <w:iCs w:val="0"/>
          <w:sz w:val="22"/>
          <w:szCs w:val="22"/>
          <w:rtl w:val="0"/>
          <w:lang w:val="en-US"/>
        </w:rPr>
        <w:t>ₙ</w:t>
      </w:r>
      <w:r>
        <w:rPr>
          <w:sz w:val="22"/>
          <w:szCs w:val="22"/>
          <w:rtl w:val="0"/>
          <w:lang w:val="en-US"/>
        </w:rPr>
        <w:t xml:space="preserve"> </w:t>
      </w:r>
      <w:r>
        <w:rPr>
          <w:sz w:val="22"/>
          <w:szCs w:val="22"/>
          <w:rtl w:val="0"/>
          <w:lang w:val="en-US"/>
        </w:rPr>
        <w:t xml:space="preserve">&gt; 0 and </w:t>
      </w:r>
      <w:r>
        <w:rPr>
          <w:sz w:val="22"/>
          <w:szCs w:val="22"/>
          <w:rtl w:val="0"/>
          <w:lang w:val="en-US"/>
        </w:rPr>
        <w:t>α</w:t>
      </w:r>
      <w:r>
        <w:rPr>
          <w:rFonts w:ascii="Arial Unicode MS" w:cs="Arial Unicode MS" w:hAnsi="Arial Unicode MS" w:eastAsia="Arial Unicode MS" w:hint="default"/>
          <w:b w:val="0"/>
          <w:bCs w:val="0"/>
          <w:i w:val="0"/>
          <w:iCs w:val="0"/>
          <w:sz w:val="22"/>
          <w:szCs w:val="22"/>
          <w:rtl w:val="0"/>
          <w:lang w:val="en-US"/>
        </w:rPr>
        <w:t>₁</w:t>
      </w:r>
      <w:r>
        <w:rPr>
          <w:sz w:val="22"/>
          <w:szCs w:val="22"/>
          <w:rtl w:val="0"/>
          <w:lang w:val="en-US"/>
        </w:rPr>
        <w:t xml:space="preserve"> ≠ α</w:t>
      </w:r>
      <w:r>
        <w:rPr>
          <w:rFonts w:ascii="Arial Unicode MS" w:cs="Arial Unicode MS" w:hAnsi="Arial Unicode MS" w:eastAsia="Arial Unicode MS" w:hint="default"/>
          <w:b w:val="0"/>
          <w:bCs w:val="0"/>
          <w:i w:val="0"/>
          <w:iCs w:val="0"/>
          <w:sz w:val="22"/>
          <w:szCs w:val="22"/>
          <w:rtl w:val="0"/>
          <w:lang w:val="en-US"/>
        </w:rPr>
        <w:t>₂</w:t>
      </w:r>
      <w:r>
        <w:rPr>
          <w:sz w:val="22"/>
          <w:szCs w:val="22"/>
          <w:rtl w:val="0"/>
          <w:lang w:val="en-US"/>
        </w:rPr>
        <w:t xml:space="preserve">, the penalty remains positive. For </w:t>
      </w:r>
      <w:r>
        <w:rPr>
          <w:sz w:val="22"/>
          <w:szCs w:val="22"/>
          <w:rtl w:val="0"/>
          <w:lang w:val="en-US"/>
        </w:rPr>
        <w:t xml:space="preserve">β </w:t>
      </w:r>
      <w:r>
        <w:rPr>
          <w:sz w:val="22"/>
          <w:szCs w:val="22"/>
          <w:rtl w:val="0"/>
          <w:lang w:val="en-US"/>
        </w:rPr>
        <w:t>&gt; 0 the normalized relative difference is entirely independent of the network:</w:t>
      </w:r>
    </w:p>
    <w:tbl>
      <w:tblPr>
        <w:tblW w:w="9411"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8846"/>
        <w:gridCol w:w="565"/>
      </w:tblGrid>
      <w:tr>
        <w:tblPrEx>
          <w:shd w:val="clear" w:color="auto" w:fill="ced7e7"/>
        </w:tblPrEx>
        <w:trPr>
          <w:trHeight w:val="241" w:hRule="atLeast"/>
        </w:trPr>
        <w:tc>
          <w:tcPr>
            <w:tcW w:type="dxa" w:w="8846"/>
            <w:tcBorders>
              <w:top w:val="nil"/>
              <w:left w:val="nil"/>
              <w:bottom w:val="nil"/>
              <w:right w:val="nil"/>
            </w:tcBorders>
            <w:shd w:val="clear" w:color="auto" w:fill="auto"/>
            <w:tcMar>
              <w:top w:type="dxa" w:w="80"/>
              <w:left w:type="dxa" w:w="80"/>
              <w:bottom w:type="dxa" w:w="80"/>
              <w:right w:type="dxa" w:w="80"/>
            </w:tcMar>
            <w:vAlign w:val="top"/>
          </w:tcPr>
          <w:p>
            <w:pPr>
              <w:pStyle w:val="Equation"/>
              <w:keepLines w:val="1"/>
              <w:spacing w:after="40"/>
              <w:ind w:firstLine="0"/>
            </w:pPr>
            <w:r>
              <w:rPr>
                <w:rFonts w:ascii="Times New Roman" w:hAnsi="Times New Roman" w:hint="default"/>
                <w:sz w:val="18"/>
                <w:szCs w:val="18"/>
                <w:rtl w:val="0"/>
                <w:lang w:val="en-US"/>
              </w:rPr>
              <w:t xml:space="preserve">Δ </w:t>
            </w:r>
            <w:r>
              <w:rPr>
                <w:rFonts w:ascii="Times New Roman" w:hAnsi="Times New Roman"/>
                <w:sz w:val="18"/>
                <w:szCs w:val="18"/>
                <w:rtl w:val="0"/>
                <w:lang w:val="en-US"/>
              </w:rPr>
              <w:t>= 2|c</w:t>
            </w:r>
            <w:r>
              <w:rPr>
                <w:rFonts w:ascii="Arial Unicode MS" w:cs="Arial Unicode MS" w:hAnsi="Arial Unicode MS" w:eastAsia="Arial Unicode MS" w:hint="default"/>
                <w:b w:val="0"/>
                <w:bCs w:val="0"/>
                <w:i w:val="0"/>
                <w:iCs w:val="0"/>
                <w:sz w:val="18"/>
                <w:szCs w:val="18"/>
                <w:rtl w:val="0"/>
                <w:lang w:val="en-US"/>
              </w:rPr>
              <w:t>₁</w:t>
            </w:r>
            <w:r>
              <w:rPr>
                <w:rFonts w:ascii="Times New Roman" w:hAnsi="Times New Roman" w:hint="default"/>
                <w:sz w:val="18"/>
                <w:szCs w:val="18"/>
                <w:rtl w:val="0"/>
                <w:lang w:val="en-US"/>
              </w:rPr>
              <w:t xml:space="preserve"> − </w:t>
            </w:r>
            <w:r>
              <w:rPr>
                <w:rFonts w:ascii="Times New Roman" w:hAnsi="Times New Roman"/>
                <w:sz w:val="18"/>
                <w:szCs w:val="18"/>
                <w:rtl w:val="0"/>
                <w:lang w:val="en-US"/>
              </w:rPr>
              <w:t>c</w:t>
            </w:r>
            <w:r>
              <w:rPr>
                <w:rFonts w:ascii="Arial Unicode MS" w:cs="Arial Unicode MS" w:hAnsi="Arial Unicode MS" w:eastAsia="Arial Unicode MS" w:hint="default"/>
                <w:b w:val="0"/>
                <w:bCs w:val="0"/>
                <w:i w:val="0"/>
                <w:iCs w:val="0"/>
                <w:sz w:val="18"/>
                <w:szCs w:val="18"/>
                <w:rtl w:val="0"/>
                <w:lang w:val="en-US"/>
              </w:rPr>
              <w:t>₂</w:t>
            </w:r>
            <w:r>
              <w:rPr>
                <w:rFonts w:ascii="Times New Roman" w:hAnsi="Times New Roman"/>
                <w:sz w:val="18"/>
                <w:szCs w:val="18"/>
                <w:rtl w:val="0"/>
                <w:lang w:val="en-US"/>
              </w:rPr>
              <w:t>|/(c</w:t>
            </w:r>
            <w:r>
              <w:rPr>
                <w:rFonts w:ascii="Arial Unicode MS" w:cs="Arial Unicode MS" w:hAnsi="Arial Unicode MS" w:eastAsia="Arial Unicode MS" w:hint="default"/>
                <w:b w:val="0"/>
                <w:bCs w:val="0"/>
                <w:i w:val="0"/>
                <w:iCs w:val="0"/>
                <w:sz w:val="18"/>
                <w:szCs w:val="18"/>
                <w:rtl w:val="0"/>
                <w:lang w:val="en-US"/>
              </w:rPr>
              <w:t>₁</w:t>
            </w:r>
            <w:r>
              <w:rPr>
                <w:rFonts w:ascii="Times New Roman" w:hAnsi="Times New Roman"/>
                <w:sz w:val="18"/>
                <w:szCs w:val="18"/>
                <w:rtl w:val="0"/>
                <w:lang w:val="en-US"/>
              </w:rPr>
              <w:t xml:space="preserve"> </w:t>
            </w:r>
            <w:r>
              <w:rPr>
                <w:rFonts w:ascii="Times New Roman" w:hAnsi="Times New Roman"/>
                <w:sz w:val="18"/>
                <w:szCs w:val="18"/>
                <w:rtl w:val="0"/>
                <w:lang w:val="en-US"/>
              </w:rPr>
              <w:t>+ c</w:t>
            </w:r>
            <w:r>
              <w:rPr>
                <w:rFonts w:ascii="Arial Unicode MS" w:cs="Arial Unicode MS" w:hAnsi="Arial Unicode MS" w:eastAsia="Arial Unicode MS" w:hint="default"/>
                <w:b w:val="0"/>
                <w:bCs w:val="0"/>
                <w:i w:val="0"/>
                <w:iCs w:val="0"/>
                <w:sz w:val="18"/>
                <w:szCs w:val="18"/>
                <w:rtl w:val="0"/>
                <w:lang w:val="en-US"/>
              </w:rPr>
              <w:t>₂</w:t>
            </w:r>
            <w:r>
              <w:rPr>
                <w:rFonts w:ascii="Times New Roman" w:hAnsi="Times New Roman"/>
                <w:sz w:val="18"/>
                <w:szCs w:val="18"/>
                <w:rtl w:val="0"/>
                <w:lang w:val="en-US"/>
              </w:rPr>
              <w:t>) = 2|</w:t>
            </w:r>
            <w:r>
              <w:rPr>
                <w:rFonts w:ascii="Times New Roman" w:hAnsi="Times New Roman" w:hint="default"/>
                <w:sz w:val="18"/>
                <w:szCs w:val="18"/>
                <w:rtl w:val="0"/>
                <w:lang w:val="en-US"/>
              </w:rPr>
              <w:t>√α</w:t>
            </w:r>
            <w:r>
              <w:rPr>
                <w:rFonts w:ascii="Arial Unicode MS" w:cs="Arial Unicode MS" w:hAnsi="Arial Unicode MS" w:eastAsia="Arial Unicode MS" w:hint="default"/>
                <w:b w:val="0"/>
                <w:bCs w:val="0"/>
                <w:i w:val="0"/>
                <w:iCs w:val="0"/>
                <w:sz w:val="18"/>
                <w:szCs w:val="18"/>
                <w:rtl w:val="0"/>
                <w:lang w:val="en-US"/>
              </w:rPr>
              <w:t>₁</w:t>
            </w:r>
            <w:r>
              <w:rPr>
                <w:rFonts w:ascii="Times New Roman" w:hAnsi="Times New Roman" w:hint="default"/>
                <w:sz w:val="18"/>
                <w:szCs w:val="18"/>
                <w:rtl w:val="0"/>
                <w:lang w:val="en-US"/>
              </w:rPr>
              <w:t xml:space="preserve"> − √α</w:t>
            </w:r>
            <w:r>
              <w:rPr>
                <w:rFonts w:ascii="Arial Unicode MS" w:cs="Arial Unicode MS" w:hAnsi="Arial Unicode MS" w:eastAsia="Arial Unicode MS" w:hint="default"/>
                <w:b w:val="0"/>
                <w:bCs w:val="0"/>
                <w:i w:val="0"/>
                <w:iCs w:val="0"/>
                <w:sz w:val="18"/>
                <w:szCs w:val="18"/>
                <w:rtl w:val="0"/>
                <w:lang w:val="en-US"/>
              </w:rPr>
              <w:t>₂</w:t>
            </w:r>
            <w:r>
              <w:rPr>
                <w:rFonts w:ascii="Times New Roman" w:hAnsi="Times New Roman"/>
                <w:sz w:val="18"/>
                <w:szCs w:val="18"/>
                <w:rtl w:val="0"/>
                <w:lang w:val="en-US"/>
              </w:rPr>
              <w:t>|/(</w:t>
            </w:r>
            <w:r>
              <w:rPr>
                <w:rFonts w:ascii="Times New Roman" w:hAnsi="Times New Roman" w:hint="default"/>
                <w:sz w:val="18"/>
                <w:szCs w:val="18"/>
                <w:rtl w:val="0"/>
                <w:lang w:val="en-US"/>
              </w:rPr>
              <w:t>√α</w:t>
            </w:r>
            <w:r>
              <w:rPr>
                <w:rFonts w:ascii="Arial Unicode MS" w:cs="Arial Unicode MS" w:hAnsi="Arial Unicode MS" w:eastAsia="Arial Unicode MS" w:hint="default"/>
                <w:b w:val="0"/>
                <w:bCs w:val="0"/>
                <w:i w:val="0"/>
                <w:iCs w:val="0"/>
                <w:sz w:val="18"/>
                <w:szCs w:val="18"/>
                <w:rtl w:val="0"/>
                <w:lang w:val="en-US"/>
              </w:rPr>
              <w:t>₁</w:t>
            </w:r>
            <w:r>
              <w:rPr>
                <w:rFonts w:ascii="Times New Roman" w:hAnsi="Times New Roman"/>
                <w:sz w:val="18"/>
                <w:szCs w:val="18"/>
                <w:rtl w:val="0"/>
                <w:lang w:val="en-US"/>
              </w:rPr>
              <w:t xml:space="preserve"> </w:t>
            </w:r>
            <w:r>
              <w:rPr>
                <w:rFonts w:ascii="Times New Roman" w:hAnsi="Times New Roman"/>
                <w:sz w:val="18"/>
                <w:szCs w:val="18"/>
                <w:rtl w:val="0"/>
                <w:lang w:val="en-US"/>
              </w:rPr>
              <w:t xml:space="preserve">+ </w:t>
            </w:r>
            <w:r>
              <w:rPr>
                <w:rFonts w:ascii="Times New Roman" w:hAnsi="Times New Roman" w:hint="default"/>
                <w:sz w:val="18"/>
                <w:szCs w:val="18"/>
                <w:rtl w:val="0"/>
                <w:lang w:val="en-US"/>
              </w:rPr>
              <w:t>√α</w:t>
            </w:r>
            <w:r>
              <w:rPr>
                <w:rFonts w:ascii="Arial Unicode MS" w:cs="Arial Unicode MS" w:hAnsi="Arial Unicode MS" w:eastAsia="Arial Unicode MS" w:hint="default"/>
                <w:b w:val="0"/>
                <w:bCs w:val="0"/>
                <w:i w:val="0"/>
                <w:iCs w:val="0"/>
                <w:sz w:val="18"/>
                <w:szCs w:val="18"/>
                <w:rtl w:val="0"/>
                <w:lang w:val="en-US"/>
              </w:rPr>
              <w:t>₂</w:t>
            </w:r>
            <w:r>
              <w:rPr>
                <w:rFonts w:ascii="Times New Roman" w:hAnsi="Times New Roman"/>
                <w:sz w:val="18"/>
                <w:szCs w:val="18"/>
                <w:rtl w:val="0"/>
                <w:lang w:val="en-US"/>
              </w:rPr>
              <w:t>).</w:t>
            </w:r>
          </w:p>
        </w:tc>
        <w:tc>
          <w:tcPr>
            <w:tcW w:type="dxa" w:w="565"/>
            <w:tcBorders>
              <w:top w:val="nil"/>
              <w:left w:val="nil"/>
              <w:bottom w:val="nil"/>
              <w:right w:val="nil"/>
            </w:tcBorders>
            <w:shd w:val="clear" w:color="auto" w:fill="auto"/>
            <w:tcMar>
              <w:top w:type="dxa" w:w="80"/>
              <w:left w:type="dxa" w:w="80"/>
              <w:bottom w:type="dxa" w:w="80"/>
              <w:right w:type="dxa" w:w="80"/>
            </w:tcMar>
            <w:vAlign w:val="top"/>
          </w:tcPr>
          <w:p>
            <w:pPr>
              <w:pStyle w:val="Normal.0"/>
              <w:keepLines w:val="1"/>
              <w:spacing w:after="40" w:line="240" w:lineRule="auto"/>
              <w:ind w:firstLine="0"/>
              <w:jc w:val="right"/>
            </w:pPr>
            <w:r>
              <w:rPr>
                <w:sz w:val="18"/>
                <w:szCs w:val="18"/>
                <w:rtl w:val="0"/>
                <w:lang w:val="en-US"/>
              </w:rPr>
              <w:t>(17)</w:t>
            </w:r>
          </w:p>
        </w:tc>
      </w:tr>
    </w:tbl>
    <w:p>
      <w:pPr>
        <w:pStyle w:val="Normal.0"/>
        <w:widowControl w:val="0"/>
        <w:spacing w:after="80" w:line="240" w:lineRule="atLeast"/>
        <w:ind w:firstLine="0"/>
        <w:jc w:val="center"/>
      </w:pPr>
    </w:p>
    <w:p>
      <w:pPr>
        <w:pStyle w:val="Normal.0"/>
        <w:spacing w:after="80" w:line="240" w:lineRule="atLeast"/>
      </w:pPr>
      <w:r>
        <w:rPr>
          <w:sz w:val="22"/>
          <w:szCs w:val="22"/>
          <w:rtl w:val="0"/>
          <w:lang w:val="en-US"/>
        </w:rPr>
        <w:t>To alter this conclusion one must change the model class itself: allow interactions that renormalize the field kinetic forms, employ different spatial operators with a justified relation among them, or invoke a symmetry or renormalization-group mechanism. Independent rescaling of the clock for each field does not solve the problem either; sectors to be compared must share one operational temporal calibration.</w:t>
      </w:r>
    </w:p>
    <w:p>
      <w:pPr>
        <w:pStyle w:val="Заголовок 2"/>
        <w:spacing w:line="240" w:lineRule="atLeast"/>
      </w:pPr>
      <w:r>
        <w:rPr>
          <w:rtl w:val="0"/>
          <w:lang w:val="en-US"/>
        </w:rPr>
        <w:t>6. Coupled Components and a Collective Massless Branch</w:t>
      </w:r>
    </w:p>
    <w:p>
      <w:pPr>
        <w:pStyle w:val="Заголовок 3"/>
        <w:spacing w:line="240" w:lineRule="atLeast"/>
        <w:rPr>
          <w:u w:val="single"/>
        </w:rPr>
      </w:pPr>
      <w:r>
        <w:rPr>
          <w:u w:val="single"/>
          <w:rtl w:val="0"/>
          <w:lang w:val="en-US"/>
        </w:rPr>
        <w:t>6.1. Exact Solution of the Two-Component Model</w:t>
      </w:r>
    </w:p>
    <w:p>
      <w:pPr>
        <w:pStyle w:val="Normal.0"/>
        <w:spacing w:after="80" w:line="240" w:lineRule="atLeast"/>
        <w:ind w:firstLine="0"/>
      </w:pPr>
      <w:r>
        <w:rPr>
          <w:sz w:val="22"/>
          <w:szCs w:val="22"/>
          <w:rtl w:val="0"/>
          <w:lang w:val="en-US"/>
        </w:rPr>
        <w:t>On a fixed network defined by Eq. (3), choose</w:t>
      </w:r>
    </w:p>
    <w:tbl>
      <w:tblPr>
        <w:tblW w:w="9411"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8846"/>
        <w:gridCol w:w="565"/>
      </w:tblGrid>
      <w:tr>
        <w:tblPrEx>
          <w:shd w:val="clear" w:color="auto" w:fill="ced7e7"/>
        </w:tblPrEx>
        <w:trPr>
          <w:trHeight w:val="241" w:hRule="atLeast"/>
        </w:trPr>
        <w:tc>
          <w:tcPr>
            <w:tcW w:type="dxa" w:w="8846"/>
            <w:tcBorders>
              <w:top w:val="nil"/>
              <w:left w:val="nil"/>
              <w:bottom w:val="nil"/>
              <w:right w:val="nil"/>
            </w:tcBorders>
            <w:shd w:val="clear" w:color="auto" w:fill="auto"/>
            <w:tcMar>
              <w:top w:type="dxa" w:w="80"/>
              <w:left w:type="dxa" w:w="80"/>
              <w:bottom w:type="dxa" w:w="80"/>
              <w:right w:type="dxa" w:w="80"/>
            </w:tcMar>
            <w:vAlign w:val="top"/>
          </w:tcPr>
          <w:p>
            <w:pPr>
              <w:pStyle w:val="Equation"/>
              <w:keepLines w:val="1"/>
              <w:spacing w:after="40"/>
              <w:ind w:firstLine="0"/>
            </w:pPr>
            <w:r>
              <w:rPr>
                <w:rFonts w:ascii="Times New Roman" w:hAnsi="Times New Roman"/>
                <w:sz w:val="18"/>
                <w:szCs w:val="18"/>
                <w:rtl w:val="0"/>
                <w:lang w:val="en-US"/>
              </w:rPr>
              <w:t>A = diag(a</w:t>
            </w:r>
            <w:r>
              <w:rPr>
                <w:rFonts w:ascii="Arial Unicode MS" w:cs="Arial Unicode MS" w:hAnsi="Arial Unicode MS" w:eastAsia="Arial Unicode MS" w:hint="default"/>
                <w:b w:val="0"/>
                <w:bCs w:val="0"/>
                <w:i w:val="0"/>
                <w:iCs w:val="0"/>
                <w:sz w:val="18"/>
                <w:szCs w:val="18"/>
                <w:rtl w:val="0"/>
                <w:lang w:val="en-US"/>
              </w:rPr>
              <w:t>₁</w:t>
            </w:r>
            <w:r>
              <w:rPr>
                <w:rFonts w:ascii="Times New Roman" w:hAnsi="Times New Roman"/>
                <w:sz w:val="18"/>
                <w:szCs w:val="18"/>
                <w:rtl w:val="0"/>
                <w:lang w:val="en-US"/>
              </w:rPr>
              <w:t>,a</w:t>
            </w:r>
            <w:r>
              <w:rPr>
                <w:rFonts w:ascii="Arial Unicode MS" w:cs="Arial Unicode MS" w:hAnsi="Arial Unicode MS" w:eastAsia="Arial Unicode MS" w:hint="default"/>
                <w:b w:val="0"/>
                <w:bCs w:val="0"/>
                <w:i w:val="0"/>
                <w:iCs w:val="0"/>
                <w:sz w:val="18"/>
                <w:szCs w:val="18"/>
                <w:rtl w:val="0"/>
                <w:lang w:val="en-US"/>
              </w:rPr>
              <w:t>₂</w:t>
            </w:r>
            <w:r>
              <w:rPr>
                <w:rFonts w:ascii="Times New Roman" w:hAnsi="Times New Roman"/>
                <w:sz w:val="18"/>
                <w:szCs w:val="18"/>
                <w:rtl w:val="0"/>
                <w:lang w:val="en-US"/>
              </w:rPr>
              <w:t>),     B = diag(b</w:t>
            </w:r>
            <w:r>
              <w:rPr>
                <w:rFonts w:ascii="Arial Unicode MS" w:cs="Arial Unicode MS" w:hAnsi="Arial Unicode MS" w:eastAsia="Arial Unicode MS" w:hint="default"/>
                <w:b w:val="0"/>
                <w:bCs w:val="0"/>
                <w:i w:val="0"/>
                <w:iCs w:val="0"/>
                <w:sz w:val="18"/>
                <w:szCs w:val="18"/>
                <w:rtl w:val="0"/>
                <w:lang w:val="en-US"/>
              </w:rPr>
              <w:t>₁</w:t>
            </w:r>
            <w:r>
              <w:rPr>
                <w:rFonts w:ascii="Times New Roman" w:hAnsi="Times New Roman"/>
                <w:sz w:val="18"/>
                <w:szCs w:val="18"/>
                <w:rtl w:val="0"/>
                <w:lang w:val="en-US"/>
              </w:rPr>
              <w:t>,b</w:t>
            </w:r>
            <w:r>
              <w:rPr>
                <w:rFonts w:ascii="Arial Unicode MS" w:cs="Arial Unicode MS" w:hAnsi="Arial Unicode MS" w:eastAsia="Arial Unicode MS" w:hint="default"/>
                <w:b w:val="0"/>
                <w:bCs w:val="0"/>
                <w:i w:val="0"/>
                <w:iCs w:val="0"/>
                <w:sz w:val="18"/>
                <w:szCs w:val="18"/>
                <w:rtl w:val="0"/>
                <w:lang w:val="en-US"/>
              </w:rPr>
              <w:t>₂</w:t>
            </w:r>
            <w:r>
              <w:rPr>
                <w:rFonts w:ascii="Times New Roman" w:hAnsi="Times New Roman"/>
                <w:sz w:val="18"/>
                <w:szCs w:val="18"/>
                <w:rtl w:val="0"/>
                <w:lang w:val="en-US"/>
              </w:rPr>
              <w:t xml:space="preserve">),     U = </w:t>
            </w:r>
            <w:r>
              <w:rPr>
                <w:rFonts w:ascii="Times New Roman" w:hAnsi="Times New Roman" w:hint="default"/>
                <w:sz w:val="18"/>
                <w:szCs w:val="18"/>
                <w:rtl w:val="0"/>
                <w:lang w:val="en-US"/>
              </w:rPr>
              <w:t>η</w:t>
            </w:r>
            <w:r>
              <w:rPr>
                <w:rFonts w:ascii="Times New Roman" w:hAnsi="Times New Roman"/>
                <w:sz w:val="18"/>
                <w:szCs w:val="18"/>
                <w:rtl w:val="0"/>
                <w:lang w:val="en-US"/>
              </w:rPr>
              <w:t>[[1,</w:t>
            </w:r>
            <w:r>
              <w:rPr>
                <w:rFonts w:ascii="Times New Roman" w:hAnsi="Times New Roman" w:hint="default"/>
                <w:sz w:val="18"/>
                <w:szCs w:val="18"/>
                <w:rtl w:val="0"/>
                <w:lang w:val="en-US"/>
              </w:rPr>
              <w:t>−</w:t>
            </w:r>
            <w:r>
              <w:rPr>
                <w:rFonts w:ascii="Times New Roman" w:hAnsi="Times New Roman"/>
                <w:sz w:val="18"/>
                <w:szCs w:val="18"/>
                <w:rtl w:val="0"/>
                <w:lang w:val="en-US"/>
              </w:rPr>
              <w:t>1],[</w:t>
            </w:r>
            <w:r>
              <w:rPr>
                <w:rFonts w:ascii="Times New Roman" w:hAnsi="Times New Roman" w:hint="default"/>
                <w:sz w:val="18"/>
                <w:szCs w:val="18"/>
                <w:rtl w:val="0"/>
                <w:lang w:val="en-US"/>
              </w:rPr>
              <w:t>−</w:t>
            </w:r>
            <w:r>
              <w:rPr>
                <w:rFonts w:ascii="Times New Roman" w:hAnsi="Times New Roman"/>
                <w:sz w:val="18"/>
                <w:szCs w:val="18"/>
                <w:rtl w:val="0"/>
                <w:lang w:val="en-US"/>
              </w:rPr>
              <w:t>1,1]],</w:t>
            </w:r>
          </w:p>
        </w:tc>
        <w:tc>
          <w:tcPr>
            <w:tcW w:type="dxa" w:w="565"/>
            <w:tcBorders>
              <w:top w:val="nil"/>
              <w:left w:val="nil"/>
              <w:bottom w:val="nil"/>
              <w:right w:val="nil"/>
            </w:tcBorders>
            <w:shd w:val="clear" w:color="auto" w:fill="auto"/>
            <w:tcMar>
              <w:top w:type="dxa" w:w="80"/>
              <w:left w:type="dxa" w:w="80"/>
              <w:bottom w:type="dxa" w:w="80"/>
              <w:right w:type="dxa" w:w="80"/>
            </w:tcMar>
            <w:vAlign w:val="top"/>
          </w:tcPr>
          <w:p>
            <w:pPr>
              <w:pStyle w:val="Normal.0"/>
              <w:keepLines w:val="1"/>
              <w:spacing w:after="40" w:line="240" w:lineRule="auto"/>
              <w:ind w:firstLine="0"/>
              <w:jc w:val="right"/>
            </w:pPr>
            <w:r>
              <w:rPr>
                <w:sz w:val="18"/>
                <w:szCs w:val="18"/>
                <w:rtl w:val="0"/>
                <w:lang w:val="en-US"/>
              </w:rPr>
              <w:t>(18)</w:t>
            </w:r>
          </w:p>
        </w:tc>
      </w:tr>
      <w:tr>
        <w:tblPrEx>
          <w:shd w:val="clear" w:color="auto" w:fill="ced7e7"/>
        </w:tblPrEx>
        <w:trPr>
          <w:trHeight w:val="241" w:hRule="atLeast"/>
        </w:trPr>
        <w:tc>
          <w:tcPr>
            <w:tcW w:type="dxa" w:w="8846"/>
            <w:tcBorders>
              <w:top w:val="nil"/>
              <w:left w:val="nil"/>
              <w:bottom w:val="nil"/>
              <w:right w:val="nil"/>
            </w:tcBorders>
            <w:shd w:val="clear" w:color="auto" w:fill="auto"/>
            <w:tcMar>
              <w:top w:type="dxa" w:w="80"/>
              <w:left w:type="dxa" w:w="80"/>
              <w:bottom w:type="dxa" w:w="80"/>
              <w:right w:type="dxa" w:w="80"/>
            </w:tcMar>
            <w:vAlign w:val="top"/>
          </w:tcPr>
          <w:p>
            <w:pPr>
              <w:pStyle w:val="Equation"/>
              <w:keepLines w:val="1"/>
              <w:spacing w:after="40"/>
              <w:ind w:firstLine="0"/>
            </w:pPr>
            <w:r>
              <w:rPr>
                <w:rFonts w:ascii="Times New Roman" w:hAnsi="Times New Roman"/>
                <w:sz w:val="18"/>
                <w:szCs w:val="18"/>
                <w:rtl w:val="0"/>
                <w:lang w:val="en-US"/>
              </w:rPr>
              <w:t>a</w:t>
            </w:r>
            <w:r>
              <w:rPr>
                <w:rFonts w:ascii="Arial Unicode MS" w:cs="Arial Unicode MS" w:hAnsi="Arial Unicode MS" w:eastAsia="Arial Unicode MS" w:hint="default"/>
                <w:b w:val="0"/>
                <w:bCs w:val="0"/>
                <w:i w:val="0"/>
                <w:iCs w:val="0"/>
                <w:sz w:val="18"/>
                <w:szCs w:val="18"/>
                <w:rtl w:val="0"/>
                <w:lang w:val="en-US"/>
              </w:rPr>
              <w:t>₁</w:t>
            </w:r>
            <w:r>
              <w:rPr>
                <w:rFonts w:ascii="Times New Roman" w:hAnsi="Times New Roman"/>
                <w:sz w:val="18"/>
                <w:szCs w:val="18"/>
                <w:rtl w:val="0"/>
                <w:lang w:val="en-US"/>
              </w:rPr>
              <w:t>,a</w:t>
            </w:r>
            <w:r>
              <w:rPr>
                <w:rFonts w:ascii="Arial Unicode MS" w:cs="Arial Unicode MS" w:hAnsi="Arial Unicode MS" w:eastAsia="Arial Unicode MS" w:hint="default"/>
                <w:b w:val="0"/>
                <w:bCs w:val="0"/>
                <w:i w:val="0"/>
                <w:iCs w:val="0"/>
                <w:sz w:val="18"/>
                <w:szCs w:val="18"/>
                <w:rtl w:val="0"/>
                <w:lang w:val="en-US"/>
              </w:rPr>
              <w:t>₂</w:t>
            </w:r>
            <w:r>
              <w:rPr>
                <w:rFonts w:ascii="Times New Roman" w:hAnsi="Times New Roman"/>
                <w:sz w:val="18"/>
                <w:szCs w:val="18"/>
                <w:rtl w:val="0"/>
                <w:lang w:val="en-US"/>
              </w:rPr>
              <w:t>,b</w:t>
            </w:r>
            <w:r>
              <w:rPr>
                <w:rFonts w:ascii="Arial Unicode MS" w:cs="Arial Unicode MS" w:hAnsi="Arial Unicode MS" w:eastAsia="Arial Unicode MS" w:hint="default"/>
                <w:b w:val="0"/>
                <w:bCs w:val="0"/>
                <w:i w:val="0"/>
                <w:iCs w:val="0"/>
                <w:sz w:val="18"/>
                <w:szCs w:val="18"/>
                <w:rtl w:val="0"/>
                <w:lang w:val="en-US"/>
              </w:rPr>
              <w:t>₁</w:t>
            </w:r>
            <w:r>
              <w:rPr>
                <w:rFonts w:ascii="Times New Roman" w:hAnsi="Times New Roman"/>
                <w:sz w:val="18"/>
                <w:szCs w:val="18"/>
                <w:rtl w:val="0"/>
                <w:lang w:val="en-US"/>
              </w:rPr>
              <w:t>,b</w:t>
            </w:r>
            <w:r>
              <w:rPr>
                <w:rFonts w:ascii="Arial Unicode MS" w:cs="Arial Unicode MS" w:hAnsi="Arial Unicode MS" w:eastAsia="Arial Unicode MS" w:hint="default"/>
                <w:b w:val="0"/>
                <w:bCs w:val="0"/>
                <w:i w:val="0"/>
                <w:iCs w:val="0"/>
                <w:sz w:val="18"/>
                <w:szCs w:val="18"/>
                <w:rtl w:val="0"/>
                <w:lang w:val="en-US"/>
              </w:rPr>
              <w:t>₂</w:t>
            </w:r>
            <w:r>
              <w:rPr>
                <w:rFonts w:ascii="Times New Roman" w:hAnsi="Times New Roman"/>
                <w:sz w:val="18"/>
                <w:szCs w:val="18"/>
                <w:rtl w:val="0"/>
                <w:lang w:val="en-US"/>
              </w:rPr>
              <w:t>,</w:t>
            </w:r>
            <w:r>
              <w:rPr>
                <w:rFonts w:ascii="Times New Roman" w:hAnsi="Times New Roman" w:hint="default"/>
                <w:sz w:val="18"/>
                <w:szCs w:val="18"/>
                <w:rtl w:val="0"/>
                <w:lang w:val="en-US"/>
              </w:rPr>
              <w:t xml:space="preserve">η </w:t>
            </w:r>
            <w:r>
              <w:rPr>
                <w:rFonts w:ascii="Times New Roman" w:hAnsi="Times New Roman"/>
                <w:sz w:val="18"/>
                <w:szCs w:val="18"/>
                <w:rtl w:val="0"/>
                <w:lang w:val="en-US"/>
              </w:rPr>
              <w:t>&gt; 0.</w:t>
            </w:r>
          </w:p>
        </w:tc>
        <w:tc>
          <w:tcPr>
            <w:tcW w:type="dxa" w:w="565"/>
            <w:tcBorders>
              <w:top w:val="nil"/>
              <w:left w:val="nil"/>
              <w:bottom w:val="nil"/>
              <w:right w:val="nil"/>
            </w:tcBorders>
            <w:shd w:val="clear" w:color="auto" w:fill="auto"/>
            <w:tcMar>
              <w:top w:type="dxa" w:w="80"/>
              <w:left w:type="dxa" w:w="80"/>
              <w:bottom w:type="dxa" w:w="80"/>
              <w:right w:type="dxa" w:w="80"/>
            </w:tcMar>
            <w:vAlign w:val="top"/>
          </w:tcPr>
          <w:p>
            <w:pPr>
              <w:pStyle w:val="Normal.0"/>
              <w:keepLines w:val="1"/>
              <w:spacing w:after="40" w:line="240" w:lineRule="auto"/>
              <w:ind w:firstLine="0"/>
              <w:jc w:val="right"/>
            </w:pPr>
            <w:r>
              <w:rPr>
                <w:sz w:val="18"/>
                <w:szCs w:val="18"/>
                <w:rtl w:val="0"/>
                <w:lang w:val="en-US"/>
              </w:rPr>
              <w:t>(19)</w:t>
            </w:r>
          </w:p>
        </w:tc>
      </w:tr>
    </w:tbl>
    <w:p>
      <w:pPr>
        <w:pStyle w:val="Normal.0"/>
        <w:widowControl w:val="0"/>
        <w:spacing w:after="80" w:line="240" w:lineRule="atLeast"/>
        <w:ind w:firstLine="0"/>
        <w:jc w:val="center"/>
      </w:pPr>
    </w:p>
    <w:p>
      <w:pPr>
        <w:pStyle w:val="Normal.0"/>
        <w:spacing w:after="80" w:line="240" w:lineRule="atLeast"/>
      </w:pPr>
      <w:r>
        <w:rPr>
          <w:sz w:val="22"/>
          <w:szCs w:val="22"/>
          <w:rtl w:val="0"/>
          <w:lang w:val="en-US"/>
        </w:rPr>
        <w:t xml:space="preserve">The potential </w:t>
      </w:r>
      <w:r>
        <w:rPr>
          <w:sz w:val="22"/>
          <w:szCs w:val="22"/>
          <w:rtl w:val="0"/>
          <w:lang w:val="en-US"/>
        </w:rPr>
        <w:t>η</w:t>
      </w:r>
      <w:r>
        <w:rPr>
          <w:sz w:val="22"/>
          <w:szCs w:val="22"/>
          <w:rtl w:val="0"/>
          <w:lang w:val="en-US"/>
        </w:rPr>
        <w:t>(</w:t>
      </w:r>
      <w:r>
        <w:rPr>
          <w:sz w:val="22"/>
          <w:szCs w:val="22"/>
          <w:rtl w:val="0"/>
          <w:lang w:val="en-US"/>
        </w:rPr>
        <w:t>φ</w:t>
      </w:r>
      <w:r>
        <w:rPr>
          <w:sz w:val="22"/>
          <w:szCs w:val="22"/>
          <w:rtl w:val="0"/>
          <w:lang w:val="en-US"/>
        </w:rPr>
        <w:t xml:space="preserve">ᵢ </w:t>
      </w:r>
      <w:r>
        <w:rPr>
          <w:sz w:val="22"/>
          <w:szCs w:val="22"/>
          <w:rtl w:val="0"/>
          <w:lang w:val="en-US"/>
        </w:rPr>
        <w:t>− χ</w:t>
      </w:r>
      <w:r>
        <w:rPr>
          <w:sz w:val="22"/>
          <w:szCs w:val="22"/>
          <w:rtl w:val="0"/>
          <w:lang w:val="en-US"/>
        </w:rPr>
        <w:t>ᵢ)</w:t>
      </w:r>
      <w:r>
        <w:rPr>
          <w:sz w:val="22"/>
          <w:szCs w:val="22"/>
          <w:rtl w:val="0"/>
          <w:lang w:val="en-US"/>
        </w:rPr>
        <w:t>²</w:t>
      </w:r>
      <w:r>
        <w:rPr>
          <w:sz w:val="22"/>
          <w:szCs w:val="22"/>
          <w:rtl w:val="0"/>
          <w:lang w:val="en-US"/>
        </w:rPr>
        <w:t xml:space="preserve">/2 couples the components at each vertex. It preserves the common constant shift </w:t>
      </w:r>
      <w:r>
        <w:rPr>
          <w:sz w:val="22"/>
          <w:szCs w:val="22"/>
          <w:rtl w:val="0"/>
          <w:lang w:val="en-US"/>
        </w:rPr>
        <w:t>φ</w:t>
      </w:r>
      <w:r>
        <w:rPr>
          <w:sz w:val="22"/>
          <w:szCs w:val="22"/>
          <w:rtl w:val="0"/>
          <w:lang w:val="en-US"/>
        </w:rPr>
        <w:t xml:space="preserve">ᵢ </w:t>
      </w:r>
      <w:r>
        <w:rPr>
          <w:sz w:val="22"/>
          <w:szCs w:val="22"/>
          <w:rtl w:val="0"/>
          <w:lang w:val="en-US"/>
        </w:rPr>
        <w:t>→ φ</w:t>
      </w:r>
      <w:r>
        <w:rPr>
          <w:sz w:val="22"/>
          <w:szCs w:val="22"/>
          <w:rtl w:val="0"/>
          <w:lang w:val="en-US"/>
        </w:rPr>
        <w:t>ᵢ + c</w:t>
      </w:r>
      <w:r>
        <w:rPr>
          <w:rFonts w:ascii="Arial Unicode MS" w:cs="Arial Unicode MS" w:hAnsi="Arial Unicode MS" w:eastAsia="Arial Unicode MS" w:hint="default"/>
          <w:b w:val="0"/>
          <w:bCs w:val="0"/>
          <w:i w:val="0"/>
          <w:iCs w:val="0"/>
          <w:sz w:val="22"/>
          <w:szCs w:val="22"/>
          <w:rtl w:val="0"/>
          <w:lang w:val="en-US"/>
        </w:rPr>
        <w:t>₀</w:t>
      </w:r>
      <w:r>
        <w:rPr>
          <w:sz w:val="22"/>
          <w:szCs w:val="22"/>
          <w:rtl w:val="0"/>
          <w:lang w:val="en-US"/>
        </w:rPr>
        <w:t xml:space="preserve">, </w:t>
      </w:r>
      <w:r>
        <w:rPr>
          <w:sz w:val="22"/>
          <w:szCs w:val="22"/>
          <w:rtl w:val="0"/>
          <w:lang w:val="en-US"/>
        </w:rPr>
        <w:t>χ</w:t>
      </w:r>
      <w:r>
        <w:rPr>
          <w:sz w:val="22"/>
          <w:szCs w:val="22"/>
          <w:rtl w:val="0"/>
          <w:lang w:val="en-US"/>
        </w:rPr>
        <w:t xml:space="preserve">ᵢ </w:t>
      </w:r>
      <w:r>
        <w:rPr>
          <w:sz w:val="22"/>
          <w:szCs w:val="22"/>
          <w:rtl w:val="0"/>
          <w:lang w:val="en-US"/>
        </w:rPr>
        <w:t>→ χ</w:t>
      </w:r>
      <w:r>
        <w:rPr>
          <w:sz w:val="22"/>
          <w:szCs w:val="22"/>
          <w:rtl w:val="0"/>
          <w:lang w:val="en-US"/>
        </w:rPr>
        <w:t>ᵢ + c</w:t>
      </w:r>
      <w:r>
        <w:rPr>
          <w:rFonts w:ascii="Arial Unicode MS" w:cs="Arial Unicode MS" w:hAnsi="Arial Unicode MS" w:eastAsia="Arial Unicode MS" w:hint="default"/>
          <w:b w:val="0"/>
          <w:bCs w:val="0"/>
          <w:i w:val="0"/>
          <w:iCs w:val="0"/>
          <w:sz w:val="22"/>
          <w:szCs w:val="22"/>
          <w:rtl w:val="0"/>
          <w:lang w:val="en-US"/>
        </w:rPr>
        <w:t>₀</w:t>
      </w:r>
      <w:r>
        <w:rPr>
          <w:sz w:val="22"/>
          <w:szCs w:val="22"/>
          <w:rtl w:val="0"/>
          <w:lang w:val="en-US"/>
        </w:rPr>
        <w:t xml:space="preserve"> </w:t>
      </w:r>
      <w:r>
        <w:rPr>
          <w:sz w:val="22"/>
          <w:szCs w:val="22"/>
          <w:rtl w:val="0"/>
          <w:lang w:val="en-US"/>
        </w:rPr>
        <w:t xml:space="preserve">while breaking the independence of the two shifts. Consequently, at </w:t>
      </w:r>
      <w:r>
        <w:rPr>
          <w:sz w:val="22"/>
          <w:szCs w:val="22"/>
          <w:rtl w:val="0"/>
          <w:lang w:val="en-US"/>
        </w:rPr>
        <w:t xml:space="preserve">ν </w:t>
      </w:r>
      <w:r>
        <w:rPr>
          <w:sz w:val="22"/>
          <w:szCs w:val="22"/>
          <w:rtl w:val="0"/>
          <w:lang w:val="en-US"/>
        </w:rPr>
        <w:t>= 0 there is one free collective coordinate, whereas the relative coordinate is gapped. Positivity of all coefficients guarantees nonnegative squared frequencies for every nonnegative eigenvalue of L.</w:t>
      </w:r>
    </w:p>
    <w:p>
      <w:pPr>
        <w:pStyle w:val="Normal.0"/>
        <w:spacing w:after="80" w:line="240" w:lineRule="atLeast"/>
      </w:pPr>
      <w:r>
        <w:rPr>
          <w:sz w:val="22"/>
          <w:szCs w:val="22"/>
          <w:rtl w:val="0"/>
          <w:lang w:val="en-US"/>
        </w:rPr>
        <w:t xml:space="preserve">For an eigenmode of L with eigenvalue </w:t>
      </w:r>
      <w:r>
        <w:rPr>
          <w:sz w:val="22"/>
          <w:szCs w:val="22"/>
          <w:rtl w:val="0"/>
          <w:lang w:val="en-US"/>
        </w:rPr>
        <w:t>ν</w:t>
      </w:r>
      <w:r>
        <w:rPr>
          <w:sz w:val="22"/>
          <w:szCs w:val="22"/>
          <w:rtl w:val="0"/>
          <w:lang w:val="en-US"/>
        </w:rPr>
        <w:t>, the problem reduces to a two-dimensional generalized eigenvalue equation:</w:t>
      </w:r>
    </w:p>
    <w:tbl>
      <w:tblPr>
        <w:tblW w:w="9411"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8846"/>
        <w:gridCol w:w="565"/>
      </w:tblGrid>
      <w:tr>
        <w:tblPrEx>
          <w:shd w:val="clear" w:color="auto" w:fill="ced7e7"/>
        </w:tblPrEx>
        <w:trPr>
          <w:trHeight w:val="212" w:hRule="atLeast"/>
        </w:trPr>
        <w:tc>
          <w:tcPr>
            <w:tcW w:type="dxa" w:w="8846"/>
            <w:tcBorders>
              <w:top w:val="nil"/>
              <w:left w:val="nil"/>
              <w:bottom w:val="nil"/>
              <w:right w:val="nil"/>
            </w:tcBorders>
            <w:shd w:val="clear" w:color="auto" w:fill="auto"/>
            <w:tcMar>
              <w:top w:type="dxa" w:w="80"/>
              <w:left w:type="dxa" w:w="80"/>
              <w:bottom w:type="dxa" w:w="80"/>
              <w:right w:type="dxa" w:w="80"/>
            </w:tcMar>
            <w:vAlign w:val="top"/>
          </w:tcPr>
          <w:p>
            <w:pPr>
              <w:pStyle w:val="Equation"/>
              <w:keepLines w:val="1"/>
              <w:spacing w:after="40"/>
              <w:ind w:firstLine="0"/>
            </w:pPr>
            <w:r>
              <w:rPr>
                <w:rFonts w:ascii="Times New Roman" w:hAnsi="Times New Roman"/>
                <w:sz w:val="18"/>
                <w:szCs w:val="18"/>
                <w:rtl w:val="0"/>
                <w:lang w:val="en-US"/>
              </w:rPr>
              <w:t xml:space="preserve">det(U + </w:t>
            </w:r>
            <w:r>
              <w:rPr>
                <w:rFonts w:ascii="Times New Roman" w:hAnsi="Times New Roman" w:hint="default"/>
                <w:sz w:val="18"/>
                <w:szCs w:val="18"/>
                <w:rtl w:val="0"/>
                <w:lang w:val="en-US"/>
              </w:rPr>
              <w:t>ν</w:t>
            </w:r>
            <w:r>
              <w:rPr>
                <w:rFonts w:ascii="Times New Roman" w:hAnsi="Times New Roman"/>
                <w:sz w:val="18"/>
                <w:szCs w:val="18"/>
                <w:rtl w:val="0"/>
                <w:lang w:val="en-US"/>
              </w:rPr>
              <w:t xml:space="preserve">B </w:t>
            </w:r>
            <w:r>
              <w:rPr>
                <w:rFonts w:ascii="Times New Roman" w:hAnsi="Times New Roman" w:hint="default"/>
                <w:sz w:val="18"/>
                <w:szCs w:val="18"/>
                <w:rtl w:val="0"/>
                <w:lang w:val="en-US"/>
              </w:rPr>
              <w:t>− ω²</w:t>
            </w:r>
            <w:r>
              <w:rPr>
                <w:rFonts w:ascii="Times New Roman" w:hAnsi="Times New Roman"/>
                <w:sz w:val="18"/>
                <w:szCs w:val="18"/>
                <w:rtl w:val="0"/>
                <w:lang w:val="en-US"/>
              </w:rPr>
              <w:t>A) = 0.</w:t>
            </w:r>
          </w:p>
        </w:tc>
        <w:tc>
          <w:tcPr>
            <w:tcW w:type="dxa" w:w="565"/>
            <w:tcBorders>
              <w:top w:val="nil"/>
              <w:left w:val="nil"/>
              <w:bottom w:val="nil"/>
              <w:right w:val="nil"/>
            </w:tcBorders>
            <w:shd w:val="clear" w:color="auto" w:fill="auto"/>
            <w:tcMar>
              <w:top w:type="dxa" w:w="80"/>
              <w:left w:type="dxa" w:w="80"/>
              <w:bottom w:type="dxa" w:w="80"/>
              <w:right w:type="dxa" w:w="80"/>
            </w:tcMar>
            <w:vAlign w:val="top"/>
          </w:tcPr>
          <w:p>
            <w:pPr>
              <w:pStyle w:val="Normal.0"/>
              <w:keepLines w:val="1"/>
              <w:spacing w:after="40" w:line="240" w:lineRule="auto"/>
              <w:ind w:firstLine="0"/>
              <w:jc w:val="right"/>
            </w:pPr>
            <w:r>
              <w:rPr>
                <w:sz w:val="18"/>
                <w:szCs w:val="18"/>
                <w:rtl w:val="0"/>
                <w:lang w:val="en-US"/>
              </w:rPr>
              <w:t>(20)</w:t>
            </w:r>
          </w:p>
        </w:tc>
      </w:tr>
    </w:tbl>
    <w:p>
      <w:pPr>
        <w:pStyle w:val="Normal.0"/>
        <w:widowControl w:val="0"/>
        <w:spacing w:after="80" w:line="240" w:lineRule="atLeast"/>
        <w:ind w:firstLine="0"/>
        <w:jc w:val="center"/>
      </w:pPr>
    </w:p>
    <w:p>
      <w:pPr>
        <w:pStyle w:val="Normal.0"/>
        <w:spacing w:after="80" w:line="240" w:lineRule="atLeast"/>
      </w:pPr>
      <w:r>
        <w:rPr>
          <w:sz w:val="22"/>
          <w:szCs w:val="22"/>
          <w:rtl w:val="0"/>
          <w:lang w:val="en-US"/>
        </w:rPr>
        <w:t>Introduce T(</w:t>
      </w:r>
      <w:r>
        <w:rPr>
          <w:sz w:val="22"/>
          <w:szCs w:val="22"/>
          <w:rtl w:val="0"/>
          <w:lang w:val="en-US"/>
        </w:rPr>
        <w:t>ν</w:t>
      </w:r>
      <w:r>
        <w:rPr>
          <w:sz w:val="22"/>
          <w:szCs w:val="22"/>
          <w:rtl w:val="0"/>
          <w:lang w:val="en-US"/>
        </w:rPr>
        <w:t>) and D(</w:t>
      </w:r>
      <w:r>
        <w:rPr>
          <w:sz w:val="22"/>
          <w:szCs w:val="22"/>
          <w:rtl w:val="0"/>
          <w:lang w:val="en-US"/>
        </w:rPr>
        <w:t>ν</w:t>
      </w:r>
      <w:r>
        <w:rPr>
          <w:sz w:val="22"/>
          <w:szCs w:val="22"/>
          <w:rtl w:val="0"/>
          <w:lang w:val="en-US"/>
        </w:rPr>
        <w:t>):</w:t>
      </w:r>
    </w:p>
    <w:tbl>
      <w:tblPr>
        <w:tblW w:w="9411"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8846"/>
        <w:gridCol w:w="565"/>
      </w:tblGrid>
      <w:tr>
        <w:tblPrEx>
          <w:shd w:val="clear" w:color="auto" w:fill="ced7e7"/>
        </w:tblPrEx>
        <w:trPr>
          <w:trHeight w:val="241" w:hRule="atLeast"/>
        </w:trPr>
        <w:tc>
          <w:tcPr>
            <w:tcW w:type="dxa" w:w="8846"/>
            <w:tcBorders>
              <w:top w:val="nil"/>
              <w:left w:val="nil"/>
              <w:bottom w:val="nil"/>
              <w:right w:val="nil"/>
            </w:tcBorders>
            <w:shd w:val="clear" w:color="auto" w:fill="auto"/>
            <w:tcMar>
              <w:top w:type="dxa" w:w="80"/>
              <w:left w:type="dxa" w:w="80"/>
              <w:bottom w:type="dxa" w:w="80"/>
              <w:right w:type="dxa" w:w="80"/>
            </w:tcMar>
            <w:vAlign w:val="top"/>
          </w:tcPr>
          <w:p>
            <w:pPr>
              <w:pStyle w:val="Equation"/>
              <w:keepLines w:val="1"/>
              <w:spacing w:after="40"/>
              <w:ind w:firstLine="0"/>
            </w:pPr>
            <w:r>
              <w:rPr>
                <w:rFonts w:ascii="Times New Roman" w:hAnsi="Times New Roman"/>
                <w:sz w:val="18"/>
                <w:szCs w:val="18"/>
                <w:rtl w:val="0"/>
                <w:lang w:val="en-US"/>
              </w:rPr>
              <w:t>T(</w:t>
            </w:r>
            <w:r>
              <w:rPr>
                <w:rFonts w:ascii="Times New Roman" w:hAnsi="Times New Roman" w:hint="default"/>
                <w:sz w:val="18"/>
                <w:szCs w:val="18"/>
                <w:rtl w:val="0"/>
                <w:lang w:val="en-US"/>
              </w:rPr>
              <w:t>ν</w:t>
            </w:r>
            <w:r>
              <w:rPr>
                <w:rFonts w:ascii="Times New Roman" w:hAnsi="Times New Roman"/>
                <w:sz w:val="18"/>
                <w:szCs w:val="18"/>
                <w:rtl w:val="0"/>
                <w:lang w:val="en-US"/>
              </w:rPr>
              <w:t>) = (b</w:t>
            </w:r>
            <w:r>
              <w:rPr>
                <w:rFonts w:ascii="Arial Unicode MS" w:cs="Arial Unicode MS" w:hAnsi="Arial Unicode MS" w:eastAsia="Arial Unicode MS" w:hint="default"/>
                <w:b w:val="0"/>
                <w:bCs w:val="0"/>
                <w:i w:val="0"/>
                <w:iCs w:val="0"/>
                <w:sz w:val="18"/>
                <w:szCs w:val="18"/>
                <w:rtl w:val="0"/>
                <w:lang w:val="en-US"/>
              </w:rPr>
              <w:t>₁</w:t>
            </w:r>
            <w:r>
              <w:rPr>
                <w:rFonts w:ascii="Times New Roman" w:hAnsi="Times New Roman"/>
                <w:sz w:val="18"/>
                <w:szCs w:val="18"/>
                <w:rtl w:val="0"/>
                <w:lang w:val="en-US"/>
              </w:rPr>
              <w:t>/a</w:t>
            </w:r>
            <w:r>
              <w:rPr>
                <w:rFonts w:ascii="Arial Unicode MS" w:cs="Arial Unicode MS" w:hAnsi="Arial Unicode MS" w:eastAsia="Arial Unicode MS" w:hint="default"/>
                <w:b w:val="0"/>
                <w:bCs w:val="0"/>
                <w:i w:val="0"/>
                <w:iCs w:val="0"/>
                <w:sz w:val="18"/>
                <w:szCs w:val="18"/>
                <w:rtl w:val="0"/>
                <w:lang w:val="en-US"/>
              </w:rPr>
              <w:t>₁</w:t>
            </w:r>
            <w:r>
              <w:rPr>
                <w:rFonts w:ascii="Times New Roman" w:hAnsi="Times New Roman"/>
                <w:sz w:val="18"/>
                <w:szCs w:val="18"/>
                <w:rtl w:val="0"/>
                <w:lang w:val="en-US"/>
              </w:rPr>
              <w:t xml:space="preserve"> </w:t>
            </w:r>
            <w:r>
              <w:rPr>
                <w:rFonts w:ascii="Times New Roman" w:hAnsi="Times New Roman"/>
                <w:sz w:val="18"/>
                <w:szCs w:val="18"/>
                <w:rtl w:val="0"/>
                <w:lang w:val="en-US"/>
              </w:rPr>
              <w:t>+ b</w:t>
            </w:r>
            <w:r>
              <w:rPr>
                <w:rFonts w:ascii="Arial Unicode MS" w:cs="Arial Unicode MS" w:hAnsi="Arial Unicode MS" w:eastAsia="Arial Unicode MS" w:hint="default"/>
                <w:b w:val="0"/>
                <w:bCs w:val="0"/>
                <w:i w:val="0"/>
                <w:iCs w:val="0"/>
                <w:sz w:val="18"/>
                <w:szCs w:val="18"/>
                <w:rtl w:val="0"/>
                <w:lang w:val="en-US"/>
              </w:rPr>
              <w:t>₂</w:t>
            </w:r>
            <w:r>
              <w:rPr>
                <w:rFonts w:ascii="Times New Roman" w:hAnsi="Times New Roman"/>
                <w:sz w:val="18"/>
                <w:szCs w:val="18"/>
                <w:rtl w:val="0"/>
                <w:lang w:val="en-US"/>
              </w:rPr>
              <w:t>/a</w:t>
            </w:r>
            <w:r>
              <w:rPr>
                <w:rFonts w:ascii="Arial Unicode MS" w:cs="Arial Unicode MS" w:hAnsi="Arial Unicode MS" w:eastAsia="Arial Unicode MS" w:hint="default"/>
                <w:b w:val="0"/>
                <w:bCs w:val="0"/>
                <w:i w:val="0"/>
                <w:iCs w:val="0"/>
                <w:sz w:val="18"/>
                <w:szCs w:val="18"/>
                <w:rtl w:val="0"/>
                <w:lang w:val="en-US"/>
              </w:rPr>
              <w:t>₂</w:t>
            </w:r>
            <w:r>
              <w:rPr>
                <w:rFonts w:ascii="Times New Roman" w:hAnsi="Times New Roman"/>
                <w:sz w:val="18"/>
                <w:szCs w:val="18"/>
                <w:rtl w:val="0"/>
                <w:lang w:val="en-US"/>
              </w:rPr>
              <w:t>)</w:t>
            </w:r>
            <w:r>
              <w:rPr>
                <w:rFonts w:ascii="Times New Roman" w:hAnsi="Times New Roman" w:hint="default"/>
                <w:sz w:val="18"/>
                <w:szCs w:val="18"/>
                <w:rtl w:val="0"/>
                <w:lang w:val="en-US"/>
              </w:rPr>
              <w:t xml:space="preserve">ν </w:t>
            </w:r>
            <w:r>
              <w:rPr>
                <w:rFonts w:ascii="Times New Roman" w:hAnsi="Times New Roman"/>
                <w:sz w:val="18"/>
                <w:szCs w:val="18"/>
                <w:rtl w:val="0"/>
                <w:lang w:val="en-US"/>
              </w:rPr>
              <w:t xml:space="preserve">+ </w:t>
            </w:r>
            <w:r>
              <w:rPr>
                <w:rFonts w:ascii="Times New Roman" w:hAnsi="Times New Roman" w:hint="default"/>
                <w:sz w:val="18"/>
                <w:szCs w:val="18"/>
                <w:rtl w:val="0"/>
                <w:lang w:val="en-US"/>
              </w:rPr>
              <w:t>η</w:t>
            </w:r>
            <w:r>
              <w:rPr>
                <w:rFonts w:ascii="Times New Roman" w:hAnsi="Times New Roman"/>
                <w:sz w:val="18"/>
                <w:szCs w:val="18"/>
                <w:rtl w:val="0"/>
                <w:lang w:val="en-US"/>
              </w:rPr>
              <w:t>(1/a</w:t>
            </w:r>
            <w:r>
              <w:rPr>
                <w:rFonts w:ascii="Arial Unicode MS" w:cs="Arial Unicode MS" w:hAnsi="Arial Unicode MS" w:eastAsia="Arial Unicode MS" w:hint="default"/>
                <w:b w:val="0"/>
                <w:bCs w:val="0"/>
                <w:i w:val="0"/>
                <w:iCs w:val="0"/>
                <w:sz w:val="18"/>
                <w:szCs w:val="18"/>
                <w:rtl w:val="0"/>
                <w:lang w:val="en-US"/>
              </w:rPr>
              <w:t>₁</w:t>
            </w:r>
            <w:r>
              <w:rPr>
                <w:rFonts w:ascii="Times New Roman" w:hAnsi="Times New Roman"/>
                <w:sz w:val="18"/>
                <w:szCs w:val="18"/>
                <w:rtl w:val="0"/>
                <w:lang w:val="en-US"/>
              </w:rPr>
              <w:t xml:space="preserve"> </w:t>
            </w:r>
            <w:r>
              <w:rPr>
                <w:rFonts w:ascii="Times New Roman" w:hAnsi="Times New Roman"/>
                <w:sz w:val="18"/>
                <w:szCs w:val="18"/>
                <w:rtl w:val="0"/>
                <w:lang w:val="en-US"/>
              </w:rPr>
              <w:t>+ 1/a</w:t>
            </w:r>
            <w:r>
              <w:rPr>
                <w:rFonts w:ascii="Arial Unicode MS" w:cs="Arial Unicode MS" w:hAnsi="Arial Unicode MS" w:eastAsia="Arial Unicode MS" w:hint="default"/>
                <w:b w:val="0"/>
                <w:bCs w:val="0"/>
                <w:i w:val="0"/>
                <w:iCs w:val="0"/>
                <w:sz w:val="18"/>
                <w:szCs w:val="18"/>
                <w:rtl w:val="0"/>
                <w:lang w:val="en-US"/>
              </w:rPr>
              <w:t>₂</w:t>
            </w:r>
            <w:r>
              <w:rPr>
                <w:rFonts w:ascii="Times New Roman" w:hAnsi="Times New Roman"/>
                <w:sz w:val="18"/>
                <w:szCs w:val="18"/>
                <w:rtl w:val="0"/>
                <w:lang w:val="en-US"/>
              </w:rPr>
              <w:t>),</w:t>
            </w:r>
          </w:p>
        </w:tc>
        <w:tc>
          <w:tcPr>
            <w:tcW w:type="dxa" w:w="565"/>
            <w:tcBorders>
              <w:top w:val="nil"/>
              <w:left w:val="nil"/>
              <w:bottom w:val="nil"/>
              <w:right w:val="nil"/>
            </w:tcBorders>
            <w:shd w:val="clear" w:color="auto" w:fill="auto"/>
            <w:tcMar>
              <w:top w:type="dxa" w:w="80"/>
              <w:left w:type="dxa" w:w="80"/>
              <w:bottom w:type="dxa" w:w="80"/>
              <w:right w:type="dxa" w:w="80"/>
            </w:tcMar>
            <w:vAlign w:val="top"/>
          </w:tcPr>
          <w:p>
            <w:pPr>
              <w:pStyle w:val="Normal.0"/>
              <w:keepLines w:val="1"/>
              <w:spacing w:after="40" w:line="240" w:lineRule="auto"/>
              <w:ind w:firstLine="0"/>
              <w:jc w:val="right"/>
            </w:pPr>
            <w:r>
              <w:rPr>
                <w:sz w:val="18"/>
                <w:szCs w:val="18"/>
                <w:rtl w:val="0"/>
                <w:lang w:val="en-US"/>
              </w:rPr>
              <w:t>(21)</w:t>
            </w:r>
          </w:p>
        </w:tc>
      </w:tr>
      <w:tr>
        <w:tblPrEx>
          <w:shd w:val="clear" w:color="auto" w:fill="ced7e7"/>
        </w:tblPrEx>
        <w:trPr>
          <w:trHeight w:val="241" w:hRule="atLeast"/>
        </w:trPr>
        <w:tc>
          <w:tcPr>
            <w:tcW w:type="dxa" w:w="8846"/>
            <w:tcBorders>
              <w:top w:val="nil"/>
              <w:left w:val="nil"/>
              <w:bottom w:val="nil"/>
              <w:right w:val="nil"/>
            </w:tcBorders>
            <w:shd w:val="clear" w:color="auto" w:fill="auto"/>
            <w:tcMar>
              <w:top w:type="dxa" w:w="80"/>
              <w:left w:type="dxa" w:w="80"/>
              <w:bottom w:type="dxa" w:w="80"/>
              <w:right w:type="dxa" w:w="80"/>
            </w:tcMar>
            <w:vAlign w:val="top"/>
          </w:tcPr>
          <w:p>
            <w:pPr>
              <w:pStyle w:val="Equation"/>
              <w:keepLines w:val="1"/>
              <w:spacing w:after="40"/>
              <w:ind w:firstLine="0"/>
            </w:pPr>
            <w:r>
              <w:rPr>
                <w:rFonts w:ascii="Times New Roman" w:hAnsi="Times New Roman"/>
                <w:sz w:val="18"/>
                <w:szCs w:val="18"/>
                <w:rtl w:val="0"/>
                <w:lang w:val="en-US"/>
              </w:rPr>
              <w:t>D(</w:t>
            </w:r>
            <w:r>
              <w:rPr>
                <w:rFonts w:ascii="Times New Roman" w:hAnsi="Times New Roman" w:hint="default"/>
                <w:sz w:val="18"/>
                <w:szCs w:val="18"/>
                <w:rtl w:val="0"/>
                <w:lang w:val="en-US"/>
              </w:rPr>
              <w:t>ν</w:t>
            </w:r>
            <w:r>
              <w:rPr>
                <w:rFonts w:ascii="Times New Roman" w:hAnsi="Times New Roman"/>
                <w:sz w:val="18"/>
                <w:szCs w:val="18"/>
                <w:rtl w:val="0"/>
                <w:lang w:val="en-US"/>
              </w:rPr>
              <w:t>) = [(b</w:t>
            </w:r>
            <w:r>
              <w:rPr>
                <w:rFonts w:ascii="Arial Unicode MS" w:cs="Arial Unicode MS" w:hAnsi="Arial Unicode MS" w:eastAsia="Arial Unicode MS" w:hint="default"/>
                <w:b w:val="0"/>
                <w:bCs w:val="0"/>
                <w:i w:val="0"/>
                <w:iCs w:val="0"/>
                <w:sz w:val="18"/>
                <w:szCs w:val="18"/>
                <w:rtl w:val="0"/>
                <w:lang w:val="en-US"/>
              </w:rPr>
              <w:t>₁</w:t>
            </w:r>
            <w:r>
              <w:rPr>
                <w:rFonts w:ascii="Times New Roman" w:hAnsi="Times New Roman"/>
                <w:sz w:val="18"/>
                <w:szCs w:val="18"/>
                <w:rtl w:val="0"/>
                <w:lang w:val="en-US"/>
              </w:rPr>
              <w:t>/a</w:t>
            </w:r>
            <w:r>
              <w:rPr>
                <w:rFonts w:ascii="Arial Unicode MS" w:cs="Arial Unicode MS" w:hAnsi="Arial Unicode MS" w:eastAsia="Arial Unicode MS" w:hint="default"/>
                <w:b w:val="0"/>
                <w:bCs w:val="0"/>
                <w:i w:val="0"/>
                <w:iCs w:val="0"/>
                <w:sz w:val="18"/>
                <w:szCs w:val="18"/>
                <w:rtl w:val="0"/>
                <w:lang w:val="en-US"/>
              </w:rPr>
              <w:t>₁</w:t>
            </w:r>
            <w:r>
              <w:rPr>
                <w:rFonts w:ascii="Times New Roman" w:hAnsi="Times New Roman" w:hint="default"/>
                <w:sz w:val="18"/>
                <w:szCs w:val="18"/>
                <w:rtl w:val="0"/>
                <w:lang w:val="en-US"/>
              </w:rPr>
              <w:t xml:space="preserve"> − </w:t>
            </w:r>
            <w:r>
              <w:rPr>
                <w:rFonts w:ascii="Times New Roman" w:hAnsi="Times New Roman"/>
                <w:sz w:val="18"/>
                <w:szCs w:val="18"/>
                <w:rtl w:val="0"/>
                <w:lang w:val="en-US"/>
              </w:rPr>
              <w:t>b</w:t>
            </w:r>
            <w:r>
              <w:rPr>
                <w:rFonts w:ascii="Arial Unicode MS" w:cs="Arial Unicode MS" w:hAnsi="Arial Unicode MS" w:eastAsia="Arial Unicode MS" w:hint="default"/>
                <w:b w:val="0"/>
                <w:bCs w:val="0"/>
                <w:i w:val="0"/>
                <w:iCs w:val="0"/>
                <w:sz w:val="18"/>
                <w:szCs w:val="18"/>
                <w:rtl w:val="0"/>
                <w:lang w:val="en-US"/>
              </w:rPr>
              <w:t>₂</w:t>
            </w:r>
            <w:r>
              <w:rPr>
                <w:rFonts w:ascii="Times New Roman" w:hAnsi="Times New Roman"/>
                <w:sz w:val="18"/>
                <w:szCs w:val="18"/>
                <w:rtl w:val="0"/>
                <w:lang w:val="en-US"/>
              </w:rPr>
              <w:t>/a</w:t>
            </w:r>
            <w:r>
              <w:rPr>
                <w:rFonts w:ascii="Arial Unicode MS" w:cs="Arial Unicode MS" w:hAnsi="Arial Unicode MS" w:eastAsia="Arial Unicode MS" w:hint="default"/>
                <w:b w:val="0"/>
                <w:bCs w:val="0"/>
                <w:i w:val="0"/>
                <w:iCs w:val="0"/>
                <w:sz w:val="18"/>
                <w:szCs w:val="18"/>
                <w:rtl w:val="0"/>
                <w:lang w:val="en-US"/>
              </w:rPr>
              <w:t>₂</w:t>
            </w:r>
            <w:r>
              <w:rPr>
                <w:rFonts w:ascii="Times New Roman" w:hAnsi="Times New Roman"/>
                <w:sz w:val="18"/>
                <w:szCs w:val="18"/>
                <w:rtl w:val="0"/>
                <w:lang w:val="en-US"/>
              </w:rPr>
              <w:t>)</w:t>
            </w:r>
            <w:r>
              <w:rPr>
                <w:rFonts w:ascii="Times New Roman" w:hAnsi="Times New Roman" w:hint="default"/>
                <w:sz w:val="18"/>
                <w:szCs w:val="18"/>
                <w:rtl w:val="0"/>
                <w:lang w:val="en-US"/>
              </w:rPr>
              <w:t xml:space="preserve">ν </w:t>
            </w:r>
            <w:r>
              <w:rPr>
                <w:rFonts w:ascii="Times New Roman" w:hAnsi="Times New Roman"/>
                <w:sz w:val="18"/>
                <w:szCs w:val="18"/>
                <w:rtl w:val="0"/>
                <w:lang w:val="en-US"/>
              </w:rPr>
              <w:t xml:space="preserve">+ </w:t>
            </w:r>
            <w:r>
              <w:rPr>
                <w:rFonts w:ascii="Times New Roman" w:hAnsi="Times New Roman" w:hint="default"/>
                <w:sz w:val="18"/>
                <w:szCs w:val="18"/>
                <w:rtl w:val="0"/>
                <w:lang w:val="en-US"/>
              </w:rPr>
              <w:t>η</w:t>
            </w:r>
            <w:r>
              <w:rPr>
                <w:rFonts w:ascii="Times New Roman" w:hAnsi="Times New Roman"/>
                <w:sz w:val="18"/>
                <w:szCs w:val="18"/>
                <w:rtl w:val="0"/>
                <w:lang w:val="en-US"/>
              </w:rPr>
              <w:t>(1/a</w:t>
            </w:r>
            <w:r>
              <w:rPr>
                <w:rFonts w:ascii="Arial Unicode MS" w:cs="Arial Unicode MS" w:hAnsi="Arial Unicode MS" w:eastAsia="Arial Unicode MS" w:hint="default"/>
                <w:b w:val="0"/>
                <w:bCs w:val="0"/>
                <w:i w:val="0"/>
                <w:iCs w:val="0"/>
                <w:sz w:val="18"/>
                <w:szCs w:val="18"/>
                <w:rtl w:val="0"/>
                <w:lang w:val="en-US"/>
              </w:rPr>
              <w:t>₁</w:t>
            </w:r>
            <w:r>
              <w:rPr>
                <w:rFonts w:ascii="Times New Roman" w:hAnsi="Times New Roman" w:hint="default"/>
                <w:sz w:val="18"/>
                <w:szCs w:val="18"/>
                <w:rtl w:val="0"/>
                <w:lang w:val="en-US"/>
              </w:rPr>
              <w:t xml:space="preserve"> − </w:t>
            </w:r>
            <w:r>
              <w:rPr>
                <w:rFonts w:ascii="Times New Roman" w:hAnsi="Times New Roman"/>
                <w:sz w:val="18"/>
                <w:szCs w:val="18"/>
                <w:rtl w:val="0"/>
                <w:lang w:val="en-US"/>
              </w:rPr>
              <w:t>1/a</w:t>
            </w:r>
            <w:r>
              <w:rPr>
                <w:rFonts w:ascii="Arial Unicode MS" w:cs="Arial Unicode MS" w:hAnsi="Arial Unicode MS" w:eastAsia="Arial Unicode MS" w:hint="default"/>
                <w:b w:val="0"/>
                <w:bCs w:val="0"/>
                <w:i w:val="0"/>
                <w:iCs w:val="0"/>
                <w:sz w:val="18"/>
                <w:szCs w:val="18"/>
                <w:rtl w:val="0"/>
                <w:lang w:val="en-US"/>
              </w:rPr>
              <w:t>₂</w:t>
            </w:r>
            <w:r>
              <w:rPr>
                <w:rFonts w:ascii="Times New Roman" w:hAnsi="Times New Roman"/>
                <w:sz w:val="18"/>
                <w:szCs w:val="18"/>
                <w:rtl w:val="0"/>
                <w:lang w:val="en-US"/>
              </w:rPr>
              <w:t>)]</w:t>
            </w:r>
            <w:r>
              <w:rPr>
                <w:rFonts w:ascii="Times New Roman" w:hAnsi="Times New Roman" w:hint="default"/>
                <w:sz w:val="18"/>
                <w:szCs w:val="18"/>
                <w:rtl w:val="0"/>
                <w:lang w:val="en-US"/>
              </w:rPr>
              <w:t xml:space="preserve">² </w:t>
            </w:r>
            <w:r>
              <w:rPr>
                <w:rFonts w:ascii="Times New Roman" w:hAnsi="Times New Roman"/>
                <w:sz w:val="18"/>
                <w:szCs w:val="18"/>
                <w:rtl w:val="0"/>
                <w:lang w:val="en-US"/>
              </w:rPr>
              <w:t>+ 4</w:t>
            </w:r>
            <w:r>
              <w:rPr>
                <w:rFonts w:ascii="Times New Roman" w:hAnsi="Times New Roman" w:hint="default"/>
                <w:sz w:val="18"/>
                <w:szCs w:val="18"/>
                <w:rtl w:val="0"/>
                <w:lang w:val="en-US"/>
              </w:rPr>
              <w:t>η²</w:t>
            </w:r>
            <w:r>
              <w:rPr>
                <w:rFonts w:ascii="Times New Roman" w:hAnsi="Times New Roman"/>
                <w:sz w:val="18"/>
                <w:szCs w:val="18"/>
                <w:rtl w:val="0"/>
                <w:lang w:val="en-US"/>
              </w:rPr>
              <w:t>/(a</w:t>
            </w:r>
            <w:r>
              <w:rPr>
                <w:rFonts w:ascii="Arial Unicode MS" w:cs="Arial Unicode MS" w:hAnsi="Arial Unicode MS" w:eastAsia="Arial Unicode MS" w:hint="default"/>
                <w:b w:val="0"/>
                <w:bCs w:val="0"/>
                <w:i w:val="0"/>
                <w:iCs w:val="0"/>
                <w:sz w:val="18"/>
                <w:szCs w:val="18"/>
                <w:rtl w:val="0"/>
                <w:lang w:val="en-US"/>
              </w:rPr>
              <w:t>₁</w:t>
            </w:r>
            <w:r>
              <w:rPr>
                <w:rFonts w:ascii="Times New Roman" w:hAnsi="Times New Roman"/>
                <w:sz w:val="18"/>
                <w:szCs w:val="18"/>
                <w:rtl w:val="0"/>
                <w:lang w:val="en-US"/>
              </w:rPr>
              <w:t>a</w:t>
            </w:r>
            <w:r>
              <w:rPr>
                <w:rFonts w:ascii="Arial Unicode MS" w:cs="Arial Unicode MS" w:hAnsi="Arial Unicode MS" w:eastAsia="Arial Unicode MS" w:hint="default"/>
                <w:b w:val="0"/>
                <w:bCs w:val="0"/>
                <w:i w:val="0"/>
                <w:iCs w:val="0"/>
                <w:sz w:val="18"/>
                <w:szCs w:val="18"/>
                <w:rtl w:val="0"/>
                <w:lang w:val="en-US"/>
              </w:rPr>
              <w:t>₂</w:t>
            </w:r>
            <w:r>
              <w:rPr>
                <w:rFonts w:ascii="Times New Roman" w:hAnsi="Times New Roman"/>
                <w:sz w:val="18"/>
                <w:szCs w:val="18"/>
                <w:rtl w:val="0"/>
                <w:lang w:val="en-US"/>
              </w:rPr>
              <w:t>).</w:t>
            </w:r>
          </w:p>
        </w:tc>
        <w:tc>
          <w:tcPr>
            <w:tcW w:type="dxa" w:w="565"/>
            <w:tcBorders>
              <w:top w:val="nil"/>
              <w:left w:val="nil"/>
              <w:bottom w:val="nil"/>
              <w:right w:val="nil"/>
            </w:tcBorders>
            <w:shd w:val="clear" w:color="auto" w:fill="auto"/>
            <w:tcMar>
              <w:top w:type="dxa" w:w="80"/>
              <w:left w:type="dxa" w:w="80"/>
              <w:bottom w:type="dxa" w:w="80"/>
              <w:right w:type="dxa" w:w="80"/>
            </w:tcMar>
            <w:vAlign w:val="top"/>
          </w:tcPr>
          <w:p>
            <w:pPr>
              <w:pStyle w:val="Normal.0"/>
              <w:keepLines w:val="1"/>
              <w:spacing w:after="40" w:line="240" w:lineRule="auto"/>
              <w:ind w:firstLine="0"/>
              <w:jc w:val="right"/>
            </w:pPr>
            <w:r>
              <w:rPr>
                <w:sz w:val="18"/>
                <w:szCs w:val="18"/>
                <w:rtl w:val="0"/>
                <w:lang w:val="en-US"/>
              </w:rPr>
              <w:t>(22)</w:t>
            </w:r>
          </w:p>
        </w:tc>
      </w:tr>
    </w:tbl>
    <w:p>
      <w:pPr>
        <w:pStyle w:val="Normal.0"/>
        <w:widowControl w:val="0"/>
        <w:spacing w:after="80" w:line="240" w:lineRule="atLeast"/>
        <w:ind w:firstLine="0"/>
        <w:jc w:val="center"/>
      </w:pPr>
    </w:p>
    <w:p>
      <w:pPr>
        <w:pStyle w:val="Normal.0"/>
        <w:spacing w:after="80" w:line="240" w:lineRule="atLeast"/>
      </w:pPr>
      <w:r>
        <w:rPr>
          <w:sz w:val="22"/>
          <w:szCs w:val="22"/>
          <w:rtl w:val="0"/>
          <w:lang w:val="en-US"/>
        </w:rPr>
        <w:t>The exact branches are</w:t>
      </w:r>
    </w:p>
    <w:tbl>
      <w:tblPr>
        <w:tblW w:w="9411"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8846"/>
        <w:gridCol w:w="565"/>
      </w:tblGrid>
      <w:tr>
        <w:tblPrEx>
          <w:shd w:val="clear" w:color="auto" w:fill="ced7e7"/>
        </w:tblPrEx>
        <w:trPr>
          <w:trHeight w:val="241" w:hRule="atLeast"/>
        </w:trPr>
        <w:tc>
          <w:tcPr>
            <w:tcW w:type="dxa" w:w="8846"/>
            <w:tcBorders>
              <w:top w:val="nil"/>
              <w:left w:val="nil"/>
              <w:bottom w:val="nil"/>
              <w:right w:val="nil"/>
            </w:tcBorders>
            <w:shd w:val="clear" w:color="auto" w:fill="auto"/>
            <w:tcMar>
              <w:top w:type="dxa" w:w="80"/>
              <w:left w:type="dxa" w:w="80"/>
              <w:bottom w:type="dxa" w:w="80"/>
              <w:right w:type="dxa" w:w="80"/>
            </w:tcMar>
            <w:vAlign w:val="top"/>
          </w:tcPr>
          <w:p>
            <w:pPr>
              <w:pStyle w:val="Equation"/>
              <w:keepLines w:val="1"/>
              <w:spacing w:after="40"/>
              <w:ind w:firstLine="0"/>
            </w:pPr>
            <w:r>
              <w:rPr>
                <w:rFonts w:ascii="Times New Roman" w:hAnsi="Times New Roman" w:hint="default"/>
                <w:sz w:val="18"/>
                <w:szCs w:val="18"/>
                <w:rtl w:val="0"/>
                <w:lang w:val="en-US"/>
              </w:rPr>
              <w:t>ω²</w:t>
            </w:r>
            <w:r>
              <w:rPr>
                <w:rFonts w:ascii="Arial Unicode MS" w:cs="Arial Unicode MS" w:hAnsi="Arial Unicode MS" w:eastAsia="Arial Unicode MS" w:hint="default"/>
                <w:b w:val="0"/>
                <w:bCs w:val="0"/>
                <w:i w:val="0"/>
                <w:iCs w:val="0"/>
                <w:sz w:val="18"/>
                <w:szCs w:val="18"/>
                <w:rtl w:val="0"/>
                <w:lang w:val="en-US"/>
              </w:rPr>
              <w:t>₊</w:t>
            </w:r>
            <w:r>
              <w:rPr>
                <w:rFonts w:ascii="Times New Roman" w:hAnsi="Times New Roman"/>
                <w:sz w:val="18"/>
                <w:szCs w:val="18"/>
                <w:rtl w:val="0"/>
                <w:lang w:val="en-US"/>
              </w:rPr>
              <w:t>(</w:t>
            </w:r>
            <w:r>
              <w:rPr>
                <w:rFonts w:ascii="Times New Roman" w:hAnsi="Times New Roman" w:hint="default"/>
                <w:sz w:val="18"/>
                <w:szCs w:val="18"/>
                <w:rtl w:val="0"/>
                <w:lang w:val="en-US"/>
              </w:rPr>
              <w:t>ν</w:t>
            </w:r>
            <w:r>
              <w:rPr>
                <w:rFonts w:ascii="Times New Roman" w:hAnsi="Times New Roman"/>
                <w:sz w:val="18"/>
                <w:szCs w:val="18"/>
                <w:rtl w:val="0"/>
                <w:lang w:val="en-US"/>
              </w:rPr>
              <w:t>) = [T(</w:t>
            </w:r>
            <w:r>
              <w:rPr>
                <w:rFonts w:ascii="Times New Roman" w:hAnsi="Times New Roman" w:hint="default"/>
                <w:sz w:val="18"/>
                <w:szCs w:val="18"/>
                <w:rtl w:val="0"/>
                <w:lang w:val="en-US"/>
              </w:rPr>
              <w:t>ν</w:t>
            </w:r>
            <w:r>
              <w:rPr>
                <w:rFonts w:ascii="Times New Roman" w:hAnsi="Times New Roman"/>
                <w:sz w:val="18"/>
                <w:szCs w:val="18"/>
                <w:rtl w:val="0"/>
                <w:lang w:val="en-US"/>
              </w:rPr>
              <w:t xml:space="preserve">) + </w:t>
            </w:r>
            <w:r>
              <w:rPr>
                <w:rFonts w:ascii="Times New Roman" w:hAnsi="Times New Roman" w:hint="default"/>
                <w:sz w:val="18"/>
                <w:szCs w:val="18"/>
                <w:rtl w:val="0"/>
                <w:lang w:val="en-US"/>
              </w:rPr>
              <w:t>√</w:t>
            </w:r>
            <w:r>
              <w:rPr>
                <w:rFonts w:ascii="Times New Roman" w:hAnsi="Times New Roman"/>
                <w:sz w:val="18"/>
                <w:szCs w:val="18"/>
                <w:rtl w:val="0"/>
                <w:lang w:val="en-US"/>
              </w:rPr>
              <w:t>D(</w:t>
            </w:r>
            <w:r>
              <w:rPr>
                <w:rFonts w:ascii="Times New Roman" w:hAnsi="Times New Roman" w:hint="default"/>
                <w:sz w:val="18"/>
                <w:szCs w:val="18"/>
                <w:rtl w:val="0"/>
                <w:lang w:val="en-US"/>
              </w:rPr>
              <w:t>ν</w:t>
            </w:r>
            <w:r>
              <w:rPr>
                <w:rFonts w:ascii="Times New Roman" w:hAnsi="Times New Roman"/>
                <w:sz w:val="18"/>
                <w:szCs w:val="18"/>
                <w:rtl w:val="0"/>
                <w:lang w:val="en-US"/>
              </w:rPr>
              <w:t xml:space="preserve">)]/2,     </w:t>
            </w:r>
            <w:r>
              <w:rPr>
                <w:rFonts w:ascii="Times New Roman" w:hAnsi="Times New Roman" w:hint="default"/>
                <w:sz w:val="18"/>
                <w:szCs w:val="18"/>
                <w:rtl w:val="0"/>
                <w:lang w:val="en-US"/>
              </w:rPr>
              <w:t>ω²</w:t>
            </w:r>
            <w:r>
              <w:rPr>
                <w:rFonts w:ascii="Arial Unicode MS" w:cs="Arial Unicode MS" w:hAnsi="Arial Unicode MS" w:eastAsia="Arial Unicode MS" w:hint="default"/>
                <w:b w:val="0"/>
                <w:bCs w:val="0"/>
                <w:i w:val="0"/>
                <w:iCs w:val="0"/>
                <w:sz w:val="18"/>
                <w:szCs w:val="18"/>
                <w:rtl w:val="0"/>
                <w:lang w:val="en-US"/>
              </w:rPr>
              <w:t>₋</w:t>
            </w:r>
            <w:r>
              <w:rPr>
                <w:rFonts w:ascii="Times New Roman" w:hAnsi="Times New Roman"/>
                <w:sz w:val="18"/>
                <w:szCs w:val="18"/>
                <w:rtl w:val="0"/>
                <w:lang w:val="en-US"/>
              </w:rPr>
              <w:t>(</w:t>
            </w:r>
            <w:r>
              <w:rPr>
                <w:rFonts w:ascii="Times New Roman" w:hAnsi="Times New Roman" w:hint="default"/>
                <w:sz w:val="18"/>
                <w:szCs w:val="18"/>
                <w:rtl w:val="0"/>
                <w:lang w:val="en-US"/>
              </w:rPr>
              <w:t>ν</w:t>
            </w:r>
            <w:r>
              <w:rPr>
                <w:rFonts w:ascii="Times New Roman" w:hAnsi="Times New Roman"/>
                <w:sz w:val="18"/>
                <w:szCs w:val="18"/>
                <w:rtl w:val="0"/>
                <w:lang w:val="en-US"/>
              </w:rPr>
              <w:t>) = [T(</w:t>
            </w:r>
            <w:r>
              <w:rPr>
                <w:rFonts w:ascii="Times New Roman" w:hAnsi="Times New Roman" w:hint="default"/>
                <w:sz w:val="18"/>
                <w:szCs w:val="18"/>
                <w:rtl w:val="0"/>
                <w:lang w:val="en-US"/>
              </w:rPr>
              <w:t>ν</w:t>
            </w:r>
            <w:r>
              <w:rPr>
                <w:rFonts w:ascii="Times New Roman" w:hAnsi="Times New Roman"/>
                <w:sz w:val="18"/>
                <w:szCs w:val="18"/>
                <w:rtl w:val="0"/>
                <w:lang w:val="en-US"/>
              </w:rPr>
              <w:t xml:space="preserve">) </w:t>
            </w:r>
            <w:r>
              <w:rPr>
                <w:rFonts w:ascii="Times New Roman" w:hAnsi="Times New Roman" w:hint="default"/>
                <w:sz w:val="18"/>
                <w:szCs w:val="18"/>
                <w:rtl w:val="0"/>
                <w:lang w:val="en-US"/>
              </w:rPr>
              <w:t>− √</w:t>
            </w:r>
            <w:r>
              <w:rPr>
                <w:rFonts w:ascii="Times New Roman" w:hAnsi="Times New Roman"/>
                <w:sz w:val="18"/>
                <w:szCs w:val="18"/>
                <w:rtl w:val="0"/>
                <w:lang w:val="en-US"/>
              </w:rPr>
              <w:t>D(</w:t>
            </w:r>
            <w:r>
              <w:rPr>
                <w:rFonts w:ascii="Times New Roman" w:hAnsi="Times New Roman" w:hint="default"/>
                <w:sz w:val="18"/>
                <w:szCs w:val="18"/>
                <w:rtl w:val="0"/>
                <w:lang w:val="en-US"/>
              </w:rPr>
              <w:t>ν</w:t>
            </w:r>
            <w:r>
              <w:rPr>
                <w:rFonts w:ascii="Times New Roman" w:hAnsi="Times New Roman"/>
                <w:sz w:val="18"/>
                <w:szCs w:val="18"/>
                <w:rtl w:val="0"/>
                <w:lang w:val="en-US"/>
              </w:rPr>
              <w:t>)]/2.</w:t>
            </w:r>
          </w:p>
        </w:tc>
        <w:tc>
          <w:tcPr>
            <w:tcW w:type="dxa" w:w="565"/>
            <w:tcBorders>
              <w:top w:val="nil"/>
              <w:left w:val="nil"/>
              <w:bottom w:val="nil"/>
              <w:right w:val="nil"/>
            </w:tcBorders>
            <w:shd w:val="clear" w:color="auto" w:fill="auto"/>
            <w:tcMar>
              <w:top w:type="dxa" w:w="80"/>
              <w:left w:type="dxa" w:w="80"/>
              <w:bottom w:type="dxa" w:w="80"/>
              <w:right w:type="dxa" w:w="80"/>
            </w:tcMar>
            <w:vAlign w:val="top"/>
          </w:tcPr>
          <w:p>
            <w:pPr>
              <w:pStyle w:val="Normal.0"/>
              <w:keepLines w:val="1"/>
              <w:spacing w:after="40" w:line="240" w:lineRule="auto"/>
              <w:ind w:firstLine="0"/>
              <w:jc w:val="right"/>
            </w:pPr>
            <w:r>
              <w:rPr>
                <w:sz w:val="18"/>
                <w:szCs w:val="18"/>
                <w:rtl w:val="0"/>
                <w:lang w:val="en-US"/>
              </w:rPr>
              <w:t>(23)</w:t>
            </w:r>
          </w:p>
        </w:tc>
      </w:tr>
    </w:tbl>
    <w:p>
      <w:pPr>
        <w:pStyle w:val="Normal.0"/>
        <w:widowControl w:val="0"/>
        <w:spacing w:after="80" w:line="240" w:lineRule="atLeast"/>
        <w:ind w:firstLine="0"/>
        <w:jc w:val="center"/>
      </w:pPr>
    </w:p>
    <w:p>
      <w:pPr>
        <w:pStyle w:val="Normal.0"/>
        <w:spacing w:after="80" w:line="240" w:lineRule="atLeast"/>
      </w:pPr>
      <w:r>
        <w:rPr>
          <w:sz w:val="22"/>
          <w:szCs w:val="22"/>
          <w:rtl w:val="0"/>
          <w:lang w:val="en-US"/>
        </w:rPr>
        <w:t xml:space="preserve">For small </w:t>
      </w:r>
      <w:r>
        <w:rPr>
          <w:sz w:val="22"/>
          <w:szCs w:val="22"/>
          <w:rtl w:val="0"/>
          <w:lang w:val="en-US"/>
        </w:rPr>
        <w:t>ν</w:t>
      </w:r>
      <w:r>
        <w:rPr>
          <w:sz w:val="22"/>
          <w:szCs w:val="22"/>
          <w:rtl w:val="0"/>
          <w:lang w:val="en-US"/>
        </w:rPr>
        <w:t>, the second expression is numerically better evaluated from the product of the roots:</w:t>
      </w:r>
    </w:p>
    <w:tbl>
      <w:tblPr>
        <w:tblW w:w="9411"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8846"/>
        <w:gridCol w:w="565"/>
      </w:tblGrid>
      <w:tr>
        <w:tblPrEx>
          <w:shd w:val="clear" w:color="auto" w:fill="ced7e7"/>
        </w:tblPrEx>
        <w:trPr>
          <w:trHeight w:val="241" w:hRule="atLeast"/>
        </w:trPr>
        <w:tc>
          <w:tcPr>
            <w:tcW w:type="dxa" w:w="8846"/>
            <w:tcBorders>
              <w:top w:val="nil"/>
              <w:left w:val="nil"/>
              <w:bottom w:val="nil"/>
              <w:right w:val="nil"/>
            </w:tcBorders>
            <w:shd w:val="clear" w:color="auto" w:fill="auto"/>
            <w:tcMar>
              <w:top w:type="dxa" w:w="80"/>
              <w:left w:type="dxa" w:w="80"/>
              <w:bottom w:type="dxa" w:w="80"/>
              <w:right w:type="dxa" w:w="80"/>
            </w:tcMar>
            <w:vAlign w:val="top"/>
          </w:tcPr>
          <w:p>
            <w:pPr>
              <w:pStyle w:val="Equation"/>
              <w:keepLines w:val="1"/>
              <w:spacing w:after="40"/>
              <w:ind w:firstLine="0"/>
            </w:pPr>
            <w:r>
              <w:rPr>
                <w:rFonts w:ascii="Times New Roman" w:hAnsi="Times New Roman" w:hint="default"/>
                <w:sz w:val="18"/>
                <w:szCs w:val="18"/>
                <w:rtl w:val="0"/>
                <w:lang w:val="en-US"/>
              </w:rPr>
              <w:t>ω²</w:t>
            </w:r>
            <w:r>
              <w:rPr>
                <w:rFonts w:ascii="Arial Unicode MS" w:cs="Arial Unicode MS" w:hAnsi="Arial Unicode MS" w:eastAsia="Arial Unicode MS" w:hint="default"/>
                <w:b w:val="0"/>
                <w:bCs w:val="0"/>
                <w:i w:val="0"/>
                <w:iCs w:val="0"/>
                <w:sz w:val="18"/>
                <w:szCs w:val="18"/>
                <w:rtl w:val="0"/>
                <w:lang w:val="en-US"/>
              </w:rPr>
              <w:t>₋</w:t>
            </w:r>
            <w:r>
              <w:rPr>
                <w:rFonts w:ascii="Times New Roman" w:hAnsi="Times New Roman"/>
                <w:sz w:val="18"/>
                <w:szCs w:val="18"/>
                <w:rtl w:val="0"/>
                <w:lang w:val="en-US"/>
              </w:rPr>
              <w:t>(</w:t>
            </w:r>
            <w:r>
              <w:rPr>
                <w:rFonts w:ascii="Times New Roman" w:hAnsi="Times New Roman" w:hint="default"/>
                <w:sz w:val="18"/>
                <w:szCs w:val="18"/>
                <w:rtl w:val="0"/>
                <w:lang w:val="en-US"/>
              </w:rPr>
              <w:t>ν</w:t>
            </w:r>
            <w:r>
              <w:rPr>
                <w:rFonts w:ascii="Times New Roman" w:hAnsi="Times New Roman"/>
                <w:sz w:val="18"/>
                <w:szCs w:val="18"/>
                <w:rtl w:val="0"/>
                <w:lang w:val="en-US"/>
              </w:rPr>
              <w:t>) = [b</w:t>
            </w:r>
            <w:r>
              <w:rPr>
                <w:rFonts w:ascii="Arial Unicode MS" w:cs="Arial Unicode MS" w:hAnsi="Arial Unicode MS" w:eastAsia="Arial Unicode MS" w:hint="default"/>
                <w:b w:val="0"/>
                <w:bCs w:val="0"/>
                <w:i w:val="0"/>
                <w:iCs w:val="0"/>
                <w:sz w:val="18"/>
                <w:szCs w:val="18"/>
                <w:rtl w:val="0"/>
                <w:lang w:val="en-US"/>
              </w:rPr>
              <w:t>₁</w:t>
            </w:r>
            <w:r>
              <w:rPr>
                <w:rFonts w:ascii="Times New Roman" w:hAnsi="Times New Roman"/>
                <w:sz w:val="18"/>
                <w:szCs w:val="18"/>
                <w:rtl w:val="0"/>
                <w:lang w:val="en-US"/>
              </w:rPr>
              <w:t>b</w:t>
            </w:r>
            <w:r>
              <w:rPr>
                <w:rFonts w:ascii="Arial Unicode MS" w:cs="Arial Unicode MS" w:hAnsi="Arial Unicode MS" w:eastAsia="Arial Unicode MS" w:hint="default"/>
                <w:b w:val="0"/>
                <w:bCs w:val="0"/>
                <w:i w:val="0"/>
                <w:iCs w:val="0"/>
                <w:sz w:val="18"/>
                <w:szCs w:val="18"/>
                <w:rtl w:val="0"/>
                <w:lang w:val="en-US"/>
              </w:rPr>
              <w:t>₂</w:t>
            </w:r>
            <w:r>
              <w:rPr>
                <w:rFonts w:ascii="Times New Roman" w:hAnsi="Times New Roman" w:hint="default"/>
                <w:sz w:val="18"/>
                <w:szCs w:val="18"/>
                <w:rtl w:val="0"/>
                <w:lang w:val="en-US"/>
              </w:rPr>
              <w:t xml:space="preserve">ν² </w:t>
            </w:r>
            <w:r>
              <w:rPr>
                <w:rFonts w:ascii="Times New Roman" w:hAnsi="Times New Roman"/>
                <w:sz w:val="18"/>
                <w:szCs w:val="18"/>
                <w:rtl w:val="0"/>
                <w:lang w:val="en-US"/>
              </w:rPr>
              <w:t xml:space="preserve">+ </w:t>
            </w:r>
            <w:r>
              <w:rPr>
                <w:rFonts w:ascii="Times New Roman" w:hAnsi="Times New Roman" w:hint="default"/>
                <w:sz w:val="18"/>
                <w:szCs w:val="18"/>
                <w:rtl w:val="0"/>
                <w:lang w:val="en-US"/>
              </w:rPr>
              <w:t>η</w:t>
            </w:r>
            <w:r>
              <w:rPr>
                <w:rFonts w:ascii="Times New Roman" w:hAnsi="Times New Roman"/>
                <w:sz w:val="18"/>
                <w:szCs w:val="18"/>
                <w:rtl w:val="0"/>
                <w:lang w:val="en-US"/>
              </w:rPr>
              <w:t>(b</w:t>
            </w:r>
            <w:r>
              <w:rPr>
                <w:rFonts w:ascii="Arial Unicode MS" w:cs="Arial Unicode MS" w:hAnsi="Arial Unicode MS" w:eastAsia="Arial Unicode MS" w:hint="default"/>
                <w:b w:val="0"/>
                <w:bCs w:val="0"/>
                <w:i w:val="0"/>
                <w:iCs w:val="0"/>
                <w:sz w:val="18"/>
                <w:szCs w:val="18"/>
                <w:rtl w:val="0"/>
                <w:lang w:val="en-US"/>
              </w:rPr>
              <w:t>₁</w:t>
            </w:r>
            <w:r>
              <w:rPr>
                <w:rFonts w:ascii="Times New Roman" w:hAnsi="Times New Roman"/>
                <w:sz w:val="18"/>
                <w:szCs w:val="18"/>
                <w:rtl w:val="0"/>
                <w:lang w:val="en-US"/>
              </w:rPr>
              <w:t xml:space="preserve"> </w:t>
            </w:r>
            <w:r>
              <w:rPr>
                <w:rFonts w:ascii="Times New Roman" w:hAnsi="Times New Roman"/>
                <w:sz w:val="18"/>
                <w:szCs w:val="18"/>
                <w:rtl w:val="0"/>
                <w:lang w:val="en-US"/>
              </w:rPr>
              <w:t>+ b</w:t>
            </w:r>
            <w:r>
              <w:rPr>
                <w:rFonts w:ascii="Arial Unicode MS" w:cs="Arial Unicode MS" w:hAnsi="Arial Unicode MS" w:eastAsia="Arial Unicode MS" w:hint="default"/>
                <w:b w:val="0"/>
                <w:bCs w:val="0"/>
                <w:i w:val="0"/>
                <w:iCs w:val="0"/>
                <w:sz w:val="18"/>
                <w:szCs w:val="18"/>
                <w:rtl w:val="0"/>
                <w:lang w:val="en-US"/>
              </w:rPr>
              <w:t>₂</w:t>
            </w:r>
            <w:r>
              <w:rPr>
                <w:rFonts w:ascii="Times New Roman" w:hAnsi="Times New Roman"/>
                <w:sz w:val="18"/>
                <w:szCs w:val="18"/>
                <w:rtl w:val="0"/>
                <w:lang w:val="en-US"/>
              </w:rPr>
              <w:t>)</w:t>
            </w:r>
            <w:r>
              <w:rPr>
                <w:rFonts w:ascii="Times New Roman" w:hAnsi="Times New Roman" w:hint="default"/>
                <w:sz w:val="18"/>
                <w:szCs w:val="18"/>
                <w:rtl w:val="0"/>
                <w:lang w:val="en-US"/>
              </w:rPr>
              <w:t>ν</w:t>
            </w:r>
            <w:r>
              <w:rPr>
                <w:rFonts w:ascii="Times New Roman" w:hAnsi="Times New Roman"/>
                <w:sz w:val="18"/>
                <w:szCs w:val="18"/>
                <w:rtl w:val="0"/>
                <w:lang w:val="en-US"/>
              </w:rPr>
              <w:t>]/[a</w:t>
            </w:r>
            <w:r>
              <w:rPr>
                <w:rFonts w:ascii="Arial Unicode MS" w:cs="Arial Unicode MS" w:hAnsi="Arial Unicode MS" w:eastAsia="Arial Unicode MS" w:hint="default"/>
                <w:b w:val="0"/>
                <w:bCs w:val="0"/>
                <w:i w:val="0"/>
                <w:iCs w:val="0"/>
                <w:sz w:val="18"/>
                <w:szCs w:val="18"/>
                <w:rtl w:val="0"/>
                <w:lang w:val="en-US"/>
              </w:rPr>
              <w:t>₁</w:t>
            </w:r>
            <w:r>
              <w:rPr>
                <w:rFonts w:ascii="Times New Roman" w:hAnsi="Times New Roman"/>
                <w:sz w:val="18"/>
                <w:szCs w:val="18"/>
                <w:rtl w:val="0"/>
                <w:lang w:val="en-US"/>
              </w:rPr>
              <w:t>a</w:t>
            </w:r>
            <w:r>
              <w:rPr>
                <w:rFonts w:ascii="Arial Unicode MS" w:cs="Arial Unicode MS" w:hAnsi="Arial Unicode MS" w:eastAsia="Arial Unicode MS" w:hint="default"/>
                <w:b w:val="0"/>
                <w:bCs w:val="0"/>
                <w:i w:val="0"/>
                <w:iCs w:val="0"/>
                <w:sz w:val="18"/>
                <w:szCs w:val="18"/>
                <w:rtl w:val="0"/>
                <w:lang w:val="en-US"/>
              </w:rPr>
              <w:t>₂</w:t>
            </w:r>
            <w:r>
              <w:rPr>
                <w:rFonts w:ascii="Times New Roman" w:hAnsi="Times New Roman" w:hint="default"/>
                <w:sz w:val="18"/>
                <w:szCs w:val="18"/>
                <w:rtl w:val="0"/>
                <w:lang w:val="en-US"/>
              </w:rPr>
              <w:t>ω²</w:t>
            </w:r>
            <w:r>
              <w:rPr>
                <w:rFonts w:ascii="Arial Unicode MS" w:cs="Arial Unicode MS" w:hAnsi="Arial Unicode MS" w:eastAsia="Arial Unicode MS" w:hint="default"/>
                <w:b w:val="0"/>
                <w:bCs w:val="0"/>
                <w:i w:val="0"/>
                <w:iCs w:val="0"/>
                <w:sz w:val="18"/>
                <w:szCs w:val="18"/>
                <w:rtl w:val="0"/>
                <w:lang w:val="en-US"/>
              </w:rPr>
              <w:t>₊</w:t>
            </w:r>
            <w:r>
              <w:rPr>
                <w:rFonts w:ascii="Times New Roman" w:hAnsi="Times New Roman"/>
                <w:sz w:val="18"/>
                <w:szCs w:val="18"/>
                <w:rtl w:val="0"/>
                <w:lang w:val="en-US"/>
              </w:rPr>
              <w:t>(</w:t>
            </w:r>
            <w:r>
              <w:rPr>
                <w:rFonts w:ascii="Times New Roman" w:hAnsi="Times New Roman" w:hint="default"/>
                <w:sz w:val="18"/>
                <w:szCs w:val="18"/>
                <w:rtl w:val="0"/>
                <w:lang w:val="en-US"/>
              </w:rPr>
              <w:t>ν</w:t>
            </w:r>
            <w:r>
              <w:rPr>
                <w:rFonts w:ascii="Times New Roman" w:hAnsi="Times New Roman"/>
                <w:sz w:val="18"/>
                <w:szCs w:val="18"/>
                <w:rtl w:val="0"/>
                <w:lang w:val="en-US"/>
              </w:rPr>
              <w:t>)].</w:t>
            </w:r>
          </w:p>
        </w:tc>
        <w:tc>
          <w:tcPr>
            <w:tcW w:type="dxa" w:w="565"/>
            <w:tcBorders>
              <w:top w:val="nil"/>
              <w:left w:val="nil"/>
              <w:bottom w:val="nil"/>
              <w:right w:val="nil"/>
            </w:tcBorders>
            <w:shd w:val="clear" w:color="auto" w:fill="auto"/>
            <w:tcMar>
              <w:top w:type="dxa" w:w="80"/>
              <w:left w:type="dxa" w:w="80"/>
              <w:bottom w:type="dxa" w:w="80"/>
              <w:right w:type="dxa" w:w="80"/>
            </w:tcMar>
            <w:vAlign w:val="top"/>
          </w:tcPr>
          <w:p>
            <w:pPr>
              <w:pStyle w:val="Normal.0"/>
              <w:keepLines w:val="1"/>
              <w:spacing w:after="40" w:line="240" w:lineRule="auto"/>
              <w:ind w:firstLine="0"/>
              <w:jc w:val="right"/>
            </w:pPr>
            <w:r>
              <w:rPr>
                <w:sz w:val="18"/>
                <w:szCs w:val="18"/>
                <w:rtl w:val="0"/>
                <w:lang w:val="en-US"/>
              </w:rPr>
              <w:t>(24)</w:t>
            </w:r>
          </w:p>
        </w:tc>
      </w:tr>
    </w:tbl>
    <w:p>
      <w:pPr>
        <w:pStyle w:val="Normal.0"/>
        <w:widowControl w:val="0"/>
        <w:spacing w:after="80" w:line="240" w:lineRule="atLeast"/>
        <w:ind w:firstLine="0"/>
        <w:jc w:val="center"/>
      </w:pPr>
    </w:p>
    <w:p>
      <w:pPr>
        <w:pStyle w:val="Normal.0"/>
        <w:spacing w:after="80" w:line="240" w:lineRule="atLeast"/>
      </w:pPr>
      <w:r>
        <w:rPr>
          <w:sz w:val="22"/>
          <w:szCs w:val="22"/>
          <w:rtl w:val="0"/>
          <w:lang w:val="en-US"/>
        </w:rPr>
        <w:t xml:space="preserve">At </w:t>
      </w:r>
      <w:r>
        <w:rPr>
          <w:sz w:val="22"/>
          <w:szCs w:val="22"/>
          <w:rtl w:val="0"/>
          <w:lang w:val="en-US"/>
        </w:rPr>
        <w:t xml:space="preserve">ν </w:t>
      </w:r>
      <w:r>
        <w:rPr>
          <w:sz w:val="22"/>
          <w:szCs w:val="22"/>
          <w:rtl w:val="0"/>
          <w:lang w:val="en-US"/>
        </w:rPr>
        <w:t xml:space="preserve">= 0, </w:t>
      </w:r>
      <w:r>
        <w:rPr>
          <w:sz w:val="22"/>
          <w:szCs w:val="22"/>
          <w:rtl w:val="0"/>
          <w:lang w:val="en-US"/>
        </w:rPr>
        <w:t>ω²</w:t>
      </w:r>
      <w:r>
        <w:rPr>
          <w:rFonts w:ascii="Arial Unicode MS" w:cs="Arial Unicode MS" w:hAnsi="Arial Unicode MS" w:eastAsia="Arial Unicode MS" w:hint="default"/>
          <w:b w:val="0"/>
          <w:bCs w:val="0"/>
          <w:i w:val="0"/>
          <w:iCs w:val="0"/>
          <w:sz w:val="22"/>
          <w:szCs w:val="22"/>
          <w:rtl w:val="0"/>
          <w:lang w:val="en-US"/>
        </w:rPr>
        <w:t>₋</w:t>
      </w:r>
      <w:r>
        <w:rPr>
          <w:sz w:val="22"/>
          <w:szCs w:val="22"/>
          <w:rtl w:val="0"/>
          <w:lang w:val="en-US"/>
        </w:rPr>
        <w:t xml:space="preserve"> </w:t>
      </w:r>
      <w:r>
        <w:rPr>
          <w:sz w:val="22"/>
          <w:szCs w:val="22"/>
          <w:rtl w:val="0"/>
          <w:lang w:val="en-US"/>
        </w:rPr>
        <w:t xml:space="preserve">= 0 and </w:t>
      </w:r>
      <w:r>
        <w:rPr>
          <w:sz w:val="22"/>
          <w:szCs w:val="22"/>
          <w:rtl w:val="0"/>
          <w:lang w:val="en-US"/>
        </w:rPr>
        <w:t>ω²</w:t>
      </w:r>
      <w:r>
        <w:rPr>
          <w:rFonts w:ascii="Arial Unicode MS" w:cs="Arial Unicode MS" w:hAnsi="Arial Unicode MS" w:eastAsia="Arial Unicode MS" w:hint="default"/>
          <w:b w:val="0"/>
          <w:bCs w:val="0"/>
          <w:i w:val="0"/>
          <w:iCs w:val="0"/>
          <w:sz w:val="22"/>
          <w:szCs w:val="22"/>
          <w:rtl w:val="0"/>
          <w:lang w:val="en-US"/>
        </w:rPr>
        <w:t>₊</w:t>
      </w:r>
      <w:r>
        <w:rPr>
          <w:sz w:val="22"/>
          <w:szCs w:val="22"/>
          <w:rtl w:val="0"/>
          <w:lang w:val="en-US"/>
        </w:rPr>
        <w:t xml:space="preserve"> </w:t>
      </w:r>
      <w:r>
        <w:rPr>
          <w:sz w:val="22"/>
          <w:szCs w:val="22"/>
          <w:rtl w:val="0"/>
          <w:lang w:val="en-US"/>
        </w:rPr>
        <w:t>= g</w:t>
      </w:r>
      <w:r>
        <w:rPr>
          <w:rFonts w:ascii="Arial Unicode MS" w:cs="Arial Unicode MS" w:hAnsi="Arial Unicode MS" w:eastAsia="Arial Unicode MS" w:hint="default"/>
          <w:b w:val="0"/>
          <w:bCs w:val="0"/>
          <w:i w:val="0"/>
          <w:iCs w:val="0"/>
          <w:sz w:val="22"/>
          <w:szCs w:val="22"/>
          <w:rtl w:val="0"/>
          <w:lang w:val="en-US"/>
        </w:rPr>
        <w:t>₀</w:t>
      </w:r>
      <w:r>
        <w:rPr>
          <w:sz w:val="22"/>
          <w:szCs w:val="22"/>
          <w:rtl w:val="0"/>
          <w:lang w:val="en-US"/>
        </w:rPr>
        <w:t>²</w:t>
      </w:r>
      <w:r>
        <w:rPr>
          <w:sz w:val="22"/>
          <w:szCs w:val="22"/>
          <w:rtl w:val="0"/>
          <w:lang w:val="en-US"/>
        </w:rPr>
        <w:t>, where</w:t>
      </w:r>
    </w:p>
    <w:tbl>
      <w:tblPr>
        <w:tblW w:w="9411"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8846"/>
        <w:gridCol w:w="565"/>
      </w:tblGrid>
      <w:tr>
        <w:tblPrEx>
          <w:shd w:val="clear" w:color="auto" w:fill="ced7e7"/>
        </w:tblPrEx>
        <w:trPr>
          <w:trHeight w:val="241" w:hRule="atLeast"/>
        </w:trPr>
        <w:tc>
          <w:tcPr>
            <w:tcW w:type="dxa" w:w="8846"/>
            <w:tcBorders>
              <w:top w:val="nil"/>
              <w:left w:val="nil"/>
              <w:bottom w:val="nil"/>
              <w:right w:val="nil"/>
            </w:tcBorders>
            <w:shd w:val="clear" w:color="auto" w:fill="auto"/>
            <w:tcMar>
              <w:top w:type="dxa" w:w="80"/>
              <w:left w:type="dxa" w:w="80"/>
              <w:bottom w:type="dxa" w:w="80"/>
              <w:right w:type="dxa" w:w="80"/>
            </w:tcMar>
            <w:vAlign w:val="top"/>
          </w:tcPr>
          <w:p>
            <w:pPr>
              <w:pStyle w:val="Equation"/>
              <w:keepLines w:val="1"/>
              <w:spacing w:after="40"/>
              <w:ind w:firstLine="0"/>
            </w:pPr>
            <w:r>
              <w:rPr>
                <w:rFonts w:ascii="Times New Roman" w:hAnsi="Times New Roman"/>
                <w:sz w:val="18"/>
                <w:szCs w:val="18"/>
                <w:rtl w:val="0"/>
                <w:lang w:val="en-US"/>
              </w:rPr>
              <w:t>g</w:t>
            </w:r>
            <w:r>
              <w:rPr>
                <w:rFonts w:ascii="Arial Unicode MS" w:cs="Arial Unicode MS" w:hAnsi="Arial Unicode MS" w:eastAsia="Arial Unicode MS" w:hint="default"/>
                <w:b w:val="0"/>
                <w:bCs w:val="0"/>
                <w:i w:val="0"/>
                <w:iCs w:val="0"/>
                <w:sz w:val="18"/>
                <w:szCs w:val="18"/>
                <w:rtl w:val="0"/>
                <w:lang w:val="en-US"/>
              </w:rPr>
              <w:t>₀</w:t>
            </w:r>
            <w:r>
              <w:rPr>
                <w:rFonts w:ascii="Times New Roman" w:hAnsi="Times New Roman" w:hint="default"/>
                <w:sz w:val="18"/>
                <w:szCs w:val="18"/>
                <w:rtl w:val="0"/>
                <w:lang w:val="en-US"/>
              </w:rPr>
              <w:t xml:space="preserve">² </w:t>
            </w:r>
            <w:r>
              <w:rPr>
                <w:rFonts w:ascii="Times New Roman" w:hAnsi="Times New Roman"/>
                <w:sz w:val="18"/>
                <w:szCs w:val="18"/>
                <w:rtl w:val="0"/>
                <w:lang w:val="en-US"/>
              </w:rPr>
              <w:t xml:space="preserve">= </w:t>
            </w:r>
            <w:r>
              <w:rPr>
                <w:rFonts w:ascii="Times New Roman" w:hAnsi="Times New Roman" w:hint="default"/>
                <w:sz w:val="18"/>
                <w:szCs w:val="18"/>
                <w:rtl w:val="0"/>
                <w:lang w:val="en-US"/>
              </w:rPr>
              <w:t>η</w:t>
            </w:r>
            <w:r>
              <w:rPr>
                <w:rFonts w:ascii="Times New Roman" w:hAnsi="Times New Roman"/>
                <w:sz w:val="18"/>
                <w:szCs w:val="18"/>
                <w:rtl w:val="0"/>
                <w:lang w:val="en-US"/>
              </w:rPr>
              <w:t>(a</w:t>
            </w:r>
            <w:r>
              <w:rPr>
                <w:rFonts w:ascii="Arial Unicode MS" w:cs="Arial Unicode MS" w:hAnsi="Arial Unicode MS" w:eastAsia="Arial Unicode MS" w:hint="default"/>
                <w:b w:val="0"/>
                <w:bCs w:val="0"/>
                <w:i w:val="0"/>
                <w:iCs w:val="0"/>
                <w:sz w:val="18"/>
                <w:szCs w:val="18"/>
                <w:rtl w:val="0"/>
                <w:lang w:val="en-US"/>
              </w:rPr>
              <w:t>₁</w:t>
            </w:r>
            <w:r>
              <w:rPr>
                <w:rFonts w:ascii="Times New Roman" w:hAnsi="Times New Roman"/>
                <w:sz w:val="18"/>
                <w:szCs w:val="18"/>
                <w:rtl w:val="0"/>
                <w:lang w:val="en-US"/>
              </w:rPr>
              <w:t xml:space="preserve"> </w:t>
            </w:r>
            <w:r>
              <w:rPr>
                <w:rFonts w:ascii="Times New Roman" w:hAnsi="Times New Roman"/>
                <w:sz w:val="18"/>
                <w:szCs w:val="18"/>
                <w:rtl w:val="0"/>
                <w:lang w:val="en-US"/>
              </w:rPr>
              <w:t>+ a</w:t>
            </w:r>
            <w:r>
              <w:rPr>
                <w:rFonts w:ascii="Arial Unicode MS" w:cs="Arial Unicode MS" w:hAnsi="Arial Unicode MS" w:eastAsia="Arial Unicode MS" w:hint="default"/>
                <w:b w:val="0"/>
                <w:bCs w:val="0"/>
                <w:i w:val="0"/>
                <w:iCs w:val="0"/>
                <w:sz w:val="18"/>
                <w:szCs w:val="18"/>
                <w:rtl w:val="0"/>
                <w:lang w:val="en-US"/>
              </w:rPr>
              <w:t>₂</w:t>
            </w:r>
            <w:r>
              <w:rPr>
                <w:rFonts w:ascii="Times New Roman" w:hAnsi="Times New Roman"/>
                <w:sz w:val="18"/>
                <w:szCs w:val="18"/>
                <w:rtl w:val="0"/>
                <w:lang w:val="en-US"/>
              </w:rPr>
              <w:t>)/(a</w:t>
            </w:r>
            <w:r>
              <w:rPr>
                <w:rFonts w:ascii="Arial Unicode MS" w:cs="Arial Unicode MS" w:hAnsi="Arial Unicode MS" w:eastAsia="Arial Unicode MS" w:hint="default"/>
                <w:b w:val="0"/>
                <w:bCs w:val="0"/>
                <w:i w:val="0"/>
                <w:iCs w:val="0"/>
                <w:sz w:val="18"/>
                <w:szCs w:val="18"/>
                <w:rtl w:val="0"/>
                <w:lang w:val="en-US"/>
              </w:rPr>
              <w:t>₁</w:t>
            </w:r>
            <w:r>
              <w:rPr>
                <w:rFonts w:ascii="Times New Roman" w:hAnsi="Times New Roman"/>
                <w:sz w:val="18"/>
                <w:szCs w:val="18"/>
                <w:rtl w:val="0"/>
                <w:lang w:val="en-US"/>
              </w:rPr>
              <w:t>a</w:t>
            </w:r>
            <w:r>
              <w:rPr>
                <w:rFonts w:ascii="Arial Unicode MS" w:cs="Arial Unicode MS" w:hAnsi="Arial Unicode MS" w:eastAsia="Arial Unicode MS" w:hint="default"/>
                <w:b w:val="0"/>
                <w:bCs w:val="0"/>
                <w:i w:val="0"/>
                <w:iCs w:val="0"/>
                <w:sz w:val="18"/>
                <w:szCs w:val="18"/>
                <w:rtl w:val="0"/>
                <w:lang w:val="en-US"/>
              </w:rPr>
              <w:t>₂</w:t>
            </w:r>
            <w:r>
              <w:rPr>
                <w:rFonts w:ascii="Times New Roman" w:hAnsi="Times New Roman"/>
                <w:sz w:val="18"/>
                <w:szCs w:val="18"/>
                <w:rtl w:val="0"/>
                <w:lang w:val="en-US"/>
              </w:rPr>
              <w:t>).</w:t>
            </w:r>
          </w:p>
        </w:tc>
        <w:tc>
          <w:tcPr>
            <w:tcW w:type="dxa" w:w="565"/>
            <w:tcBorders>
              <w:top w:val="nil"/>
              <w:left w:val="nil"/>
              <w:bottom w:val="nil"/>
              <w:right w:val="nil"/>
            </w:tcBorders>
            <w:shd w:val="clear" w:color="auto" w:fill="auto"/>
            <w:tcMar>
              <w:top w:type="dxa" w:w="80"/>
              <w:left w:type="dxa" w:w="80"/>
              <w:bottom w:type="dxa" w:w="80"/>
              <w:right w:type="dxa" w:w="80"/>
            </w:tcMar>
            <w:vAlign w:val="top"/>
          </w:tcPr>
          <w:p>
            <w:pPr>
              <w:pStyle w:val="Normal.0"/>
              <w:keepLines w:val="1"/>
              <w:spacing w:after="40" w:line="240" w:lineRule="auto"/>
              <w:ind w:firstLine="0"/>
              <w:jc w:val="right"/>
            </w:pPr>
            <w:r>
              <w:rPr>
                <w:sz w:val="18"/>
                <w:szCs w:val="18"/>
                <w:rtl w:val="0"/>
                <w:lang w:val="en-US"/>
              </w:rPr>
              <w:t>(25)</w:t>
            </w:r>
          </w:p>
        </w:tc>
      </w:tr>
    </w:tbl>
    <w:p>
      <w:pPr>
        <w:pStyle w:val="Normal.0"/>
        <w:widowControl w:val="0"/>
        <w:spacing w:after="80" w:line="240" w:lineRule="atLeast"/>
        <w:ind w:firstLine="0"/>
        <w:jc w:val="center"/>
      </w:pPr>
    </w:p>
    <w:p>
      <w:pPr>
        <w:pStyle w:val="Normal.0"/>
        <w:spacing w:after="80" w:line="240" w:lineRule="atLeast"/>
      </w:pPr>
      <w:r>
        <w:rPr>
          <w:sz w:val="22"/>
          <w:szCs w:val="22"/>
          <w:rtl w:val="0"/>
          <w:lang w:val="en-US"/>
        </w:rPr>
        <w:t xml:space="preserve">Expanding the lower branch at fixed </w:t>
      </w:r>
      <w:r>
        <w:rPr>
          <w:sz w:val="22"/>
          <w:szCs w:val="22"/>
          <w:rtl w:val="0"/>
          <w:lang w:val="en-US"/>
        </w:rPr>
        <w:t xml:space="preserve">η </w:t>
      </w:r>
      <w:r>
        <w:rPr>
          <w:sz w:val="22"/>
          <w:szCs w:val="22"/>
          <w:rtl w:val="0"/>
          <w:lang w:val="en-US"/>
        </w:rPr>
        <w:t>&gt; 0 gives</w:t>
      </w:r>
    </w:p>
    <w:tbl>
      <w:tblPr>
        <w:tblW w:w="9411"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8846"/>
        <w:gridCol w:w="565"/>
      </w:tblGrid>
      <w:tr>
        <w:tblPrEx>
          <w:shd w:val="clear" w:color="auto" w:fill="ced7e7"/>
        </w:tblPrEx>
        <w:trPr>
          <w:trHeight w:val="241" w:hRule="atLeast"/>
        </w:trPr>
        <w:tc>
          <w:tcPr>
            <w:tcW w:type="dxa" w:w="8846"/>
            <w:tcBorders>
              <w:top w:val="nil"/>
              <w:left w:val="nil"/>
              <w:bottom w:val="nil"/>
              <w:right w:val="nil"/>
            </w:tcBorders>
            <w:shd w:val="clear" w:color="auto" w:fill="auto"/>
            <w:tcMar>
              <w:top w:type="dxa" w:w="80"/>
              <w:left w:type="dxa" w:w="80"/>
              <w:bottom w:type="dxa" w:w="80"/>
              <w:right w:type="dxa" w:w="80"/>
            </w:tcMar>
            <w:vAlign w:val="top"/>
          </w:tcPr>
          <w:p>
            <w:pPr>
              <w:pStyle w:val="Equation"/>
              <w:keepLines w:val="1"/>
              <w:spacing w:after="40"/>
              <w:ind w:firstLine="0"/>
            </w:pPr>
            <w:r>
              <w:rPr>
                <w:rFonts w:ascii="Times New Roman" w:hAnsi="Times New Roman" w:hint="default"/>
                <w:sz w:val="18"/>
                <w:szCs w:val="18"/>
                <w:rtl w:val="0"/>
                <w:lang w:val="en-US"/>
              </w:rPr>
              <w:t>ω²</w:t>
            </w:r>
            <w:r>
              <w:rPr>
                <w:rFonts w:ascii="Arial Unicode MS" w:cs="Arial Unicode MS" w:hAnsi="Arial Unicode MS" w:eastAsia="Arial Unicode MS" w:hint="default"/>
                <w:b w:val="0"/>
                <w:bCs w:val="0"/>
                <w:i w:val="0"/>
                <w:iCs w:val="0"/>
                <w:sz w:val="18"/>
                <w:szCs w:val="18"/>
                <w:rtl w:val="0"/>
                <w:lang w:val="en-US"/>
              </w:rPr>
              <w:t>₋</w:t>
            </w:r>
            <w:r>
              <w:rPr>
                <w:rFonts w:ascii="Times New Roman" w:hAnsi="Times New Roman"/>
                <w:sz w:val="18"/>
                <w:szCs w:val="18"/>
                <w:rtl w:val="0"/>
                <w:lang w:val="en-US"/>
              </w:rPr>
              <w:t>(</w:t>
            </w:r>
            <w:r>
              <w:rPr>
                <w:rFonts w:ascii="Times New Roman" w:hAnsi="Times New Roman" w:hint="default"/>
                <w:sz w:val="18"/>
                <w:szCs w:val="18"/>
                <w:rtl w:val="0"/>
                <w:lang w:val="en-US"/>
              </w:rPr>
              <w:t>ν</w:t>
            </w:r>
            <w:r>
              <w:rPr>
                <w:rFonts w:ascii="Times New Roman" w:hAnsi="Times New Roman"/>
                <w:sz w:val="18"/>
                <w:szCs w:val="18"/>
                <w:rtl w:val="0"/>
                <w:lang w:val="en-US"/>
              </w:rPr>
              <w:t>) = v</w:t>
            </w:r>
            <w:r>
              <w:rPr>
                <w:rFonts w:ascii="Arial Unicode MS" w:cs="Arial Unicode MS" w:hAnsi="Arial Unicode MS" w:eastAsia="Arial Unicode MS" w:hint="default"/>
                <w:b w:val="0"/>
                <w:bCs w:val="0"/>
                <w:i w:val="0"/>
                <w:iCs w:val="0"/>
                <w:sz w:val="18"/>
                <w:szCs w:val="18"/>
                <w:rtl w:val="0"/>
                <w:lang w:val="en-US"/>
              </w:rPr>
              <w:t>₀</w:t>
            </w:r>
            <w:r>
              <w:rPr>
                <w:rFonts w:ascii="Times New Roman" w:hAnsi="Times New Roman" w:hint="default"/>
                <w:sz w:val="18"/>
                <w:szCs w:val="18"/>
                <w:rtl w:val="0"/>
                <w:lang w:val="en-US"/>
              </w:rPr>
              <w:t xml:space="preserve">²ν − </w:t>
            </w:r>
            <w:r>
              <w:rPr>
                <w:rFonts w:ascii="Times New Roman" w:hAnsi="Times New Roman"/>
                <w:sz w:val="18"/>
                <w:szCs w:val="18"/>
                <w:rtl w:val="0"/>
                <w:lang w:val="en-US"/>
              </w:rPr>
              <w:t>K</w:t>
            </w:r>
            <w:r>
              <w:rPr>
                <w:rFonts w:ascii="Times New Roman" w:hAnsi="Times New Roman" w:hint="default"/>
                <w:sz w:val="18"/>
                <w:szCs w:val="18"/>
                <w:rtl w:val="0"/>
                <w:lang w:val="en-US"/>
              </w:rPr>
              <w:t xml:space="preserve">ν² </w:t>
            </w:r>
            <w:r>
              <w:rPr>
                <w:rFonts w:ascii="Times New Roman" w:hAnsi="Times New Roman"/>
                <w:sz w:val="18"/>
                <w:szCs w:val="18"/>
                <w:rtl w:val="0"/>
                <w:lang w:val="en-US"/>
              </w:rPr>
              <w:t>+ O(</w:t>
            </w:r>
            <w:r>
              <w:rPr>
                <w:rFonts w:ascii="Times New Roman" w:hAnsi="Times New Roman" w:hint="default"/>
                <w:sz w:val="18"/>
                <w:szCs w:val="18"/>
                <w:rtl w:val="0"/>
                <w:lang w:val="en-US"/>
              </w:rPr>
              <w:t>ν³</w:t>
            </w:r>
            <w:r>
              <w:rPr>
                <w:rFonts w:ascii="Times New Roman" w:hAnsi="Times New Roman"/>
                <w:sz w:val="18"/>
                <w:szCs w:val="18"/>
                <w:rtl w:val="0"/>
                <w:lang w:val="en-US"/>
              </w:rPr>
              <w:t>),</w:t>
            </w:r>
          </w:p>
        </w:tc>
        <w:tc>
          <w:tcPr>
            <w:tcW w:type="dxa" w:w="565"/>
            <w:tcBorders>
              <w:top w:val="nil"/>
              <w:left w:val="nil"/>
              <w:bottom w:val="nil"/>
              <w:right w:val="nil"/>
            </w:tcBorders>
            <w:shd w:val="clear" w:color="auto" w:fill="auto"/>
            <w:tcMar>
              <w:top w:type="dxa" w:w="80"/>
              <w:left w:type="dxa" w:w="80"/>
              <w:bottom w:type="dxa" w:w="80"/>
              <w:right w:type="dxa" w:w="80"/>
            </w:tcMar>
            <w:vAlign w:val="top"/>
          </w:tcPr>
          <w:p>
            <w:pPr>
              <w:pStyle w:val="Normal.0"/>
              <w:keepLines w:val="1"/>
              <w:spacing w:after="40" w:line="240" w:lineRule="auto"/>
              <w:ind w:firstLine="0"/>
              <w:jc w:val="right"/>
            </w:pPr>
            <w:r>
              <w:rPr>
                <w:sz w:val="18"/>
                <w:szCs w:val="18"/>
                <w:rtl w:val="0"/>
                <w:lang w:val="en-US"/>
              </w:rPr>
              <w:t>(26)</w:t>
            </w:r>
          </w:p>
        </w:tc>
      </w:tr>
      <w:tr>
        <w:tblPrEx>
          <w:shd w:val="clear" w:color="auto" w:fill="ced7e7"/>
        </w:tblPrEx>
        <w:trPr>
          <w:trHeight w:val="241" w:hRule="atLeast"/>
        </w:trPr>
        <w:tc>
          <w:tcPr>
            <w:tcW w:type="dxa" w:w="8846"/>
            <w:tcBorders>
              <w:top w:val="nil"/>
              <w:left w:val="nil"/>
              <w:bottom w:val="nil"/>
              <w:right w:val="nil"/>
            </w:tcBorders>
            <w:shd w:val="clear" w:color="auto" w:fill="auto"/>
            <w:tcMar>
              <w:top w:type="dxa" w:w="80"/>
              <w:left w:type="dxa" w:w="80"/>
              <w:bottom w:type="dxa" w:w="80"/>
              <w:right w:type="dxa" w:w="80"/>
            </w:tcMar>
            <w:vAlign w:val="top"/>
          </w:tcPr>
          <w:p>
            <w:pPr>
              <w:pStyle w:val="Equation"/>
              <w:keepLines w:val="1"/>
              <w:spacing w:after="40"/>
              <w:ind w:firstLine="0"/>
            </w:pPr>
            <w:r>
              <w:rPr>
                <w:rFonts w:ascii="Times New Roman" w:hAnsi="Times New Roman"/>
                <w:sz w:val="18"/>
                <w:szCs w:val="18"/>
                <w:rtl w:val="0"/>
                <w:lang w:val="en-US"/>
              </w:rPr>
              <w:t>v</w:t>
            </w:r>
            <w:r>
              <w:rPr>
                <w:rFonts w:ascii="Arial Unicode MS" w:cs="Arial Unicode MS" w:hAnsi="Arial Unicode MS" w:eastAsia="Arial Unicode MS" w:hint="default"/>
                <w:b w:val="0"/>
                <w:bCs w:val="0"/>
                <w:i w:val="0"/>
                <w:iCs w:val="0"/>
                <w:sz w:val="18"/>
                <w:szCs w:val="18"/>
                <w:rtl w:val="0"/>
                <w:lang w:val="en-US"/>
              </w:rPr>
              <w:t>₀</w:t>
            </w:r>
            <w:r>
              <w:rPr>
                <w:rFonts w:ascii="Times New Roman" w:hAnsi="Times New Roman" w:hint="default"/>
                <w:sz w:val="18"/>
                <w:szCs w:val="18"/>
                <w:rtl w:val="0"/>
                <w:lang w:val="en-US"/>
              </w:rPr>
              <w:t xml:space="preserve">² </w:t>
            </w:r>
            <w:r>
              <w:rPr>
                <w:rFonts w:ascii="Times New Roman" w:hAnsi="Times New Roman"/>
                <w:sz w:val="18"/>
                <w:szCs w:val="18"/>
                <w:rtl w:val="0"/>
                <w:lang w:val="en-US"/>
              </w:rPr>
              <w:t>= (b</w:t>
            </w:r>
            <w:r>
              <w:rPr>
                <w:rFonts w:ascii="Arial Unicode MS" w:cs="Arial Unicode MS" w:hAnsi="Arial Unicode MS" w:eastAsia="Arial Unicode MS" w:hint="default"/>
                <w:b w:val="0"/>
                <w:bCs w:val="0"/>
                <w:i w:val="0"/>
                <w:iCs w:val="0"/>
                <w:sz w:val="18"/>
                <w:szCs w:val="18"/>
                <w:rtl w:val="0"/>
                <w:lang w:val="en-US"/>
              </w:rPr>
              <w:t>₁</w:t>
            </w:r>
            <w:r>
              <w:rPr>
                <w:rFonts w:ascii="Times New Roman" w:hAnsi="Times New Roman"/>
                <w:sz w:val="18"/>
                <w:szCs w:val="18"/>
                <w:rtl w:val="0"/>
                <w:lang w:val="en-US"/>
              </w:rPr>
              <w:t xml:space="preserve"> </w:t>
            </w:r>
            <w:r>
              <w:rPr>
                <w:rFonts w:ascii="Times New Roman" w:hAnsi="Times New Roman"/>
                <w:sz w:val="18"/>
                <w:szCs w:val="18"/>
                <w:rtl w:val="0"/>
                <w:lang w:val="en-US"/>
              </w:rPr>
              <w:t>+ b</w:t>
            </w:r>
            <w:r>
              <w:rPr>
                <w:rFonts w:ascii="Arial Unicode MS" w:cs="Arial Unicode MS" w:hAnsi="Arial Unicode MS" w:eastAsia="Arial Unicode MS" w:hint="default"/>
                <w:b w:val="0"/>
                <w:bCs w:val="0"/>
                <w:i w:val="0"/>
                <w:iCs w:val="0"/>
                <w:sz w:val="18"/>
                <w:szCs w:val="18"/>
                <w:rtl w:val="0"/>
                <w:lang w:val="en-US"/>
              </w:rPr>
              <w:t>₂</w:t>
            </w:r>
            <w:r>
              <w:rPr>
                <w:rFonts w:ascii="Times New Roman" w:hAnsi="Times New Roman"/>
                <w:sz w:val="18"/>
                <w:szCs w:val="18"/>
                <w:rtl w:val="0"/>
                <w:lang w:val="en-US"/>
              </w:rPr>
              <w:t>)/(a</w:t>
            </w:r>
            <w:r>
              <w:rPr>
                <w:rFonts w:ascii="Arial Unicode MS" w:cs="Arial Unicode MS" w:hAnsi="Arial Unicode MS" w:eastAsia="Arial Unicode MS" w:hint="default"/>
                <w:b w:val="0"/>
                <w:bCs w:val="0"/>
                <w:i w:val="0"/>
                <w:iCs w:val="0"/>
                <w:sz w:val="18"/>
                <w:szCs w:val="18"/>
                <w:rtl w:val="0"/>
                <w:lang w:val="en-US"/>
              </w:rPr>
              <w:t>₁</w:t>
            </w:r>
            <w:r>
              <w:rPr>
                <w:rFonts w:ascii="Times New Roman" w:hAnsi="Times New Roman"/>
                <w:sz w:val="18"/>
                <w:szCs w:val="18"/>
                <w:rtl w:val="0"/>
                <w:lang w:val="en-US"/>
              </w:rPr>
              <w:t xml:space="preserve"> </w:t>
            </w:r>
            <w:r>
              <w:rPr>
                <w:rFonts w:ascii="Times New Roman" w:hAnsi="Times New Roman"/>
                <w:sz w:val="18"/>
                <w:szCs w:val="18"/>
                <w:rtl w:val="0"/>
                <w:lang w:val="en-US"/>
              </w:rPr>
              <w:t>+ a</w:t>
            </w:r>
            <w:r>
              <w:rPr>
                <w:rFonts w:ascii="Arial Unicode MS" w:cs="Arial Unicode MS" w:hAnsi="Arial Unicode MS" w:eastAsia="Arial Unicode MS" w:hint="default"/>
                <w:b w:val="0"/>
                <w:bCs w:val="0"/>
                <w:i w:val="0"/>
                <w:iCs w:val="0"/>
                <w:sz w:val="18"/>
                <w:szCs w:val="18"/>
                <w:rtl w:val="0"/>
                <w:lang w:val="en-US"/>
              </w:rPr>
              <w:t>₂</w:t>
            </w:r>
            <w:r>
              <w:rPr>
                <w:rFonts w:ascii="Times New Roman" w:hAnsi="Times New Roman"/>
                <w:sz w:val="18"/>
                <w:szCs w:val="18"/>
                <w:rtl w:val="0"/>
                <w:lang w:val="en-US"/>
              </w:rPr>
              <w:t>),     K = (a</w:t>
            </w:r>
            <w:r>
              <w:rPr>
                <w:rFonts w:ascii="Arial Unicode MS" w:cs="Arial Unicode MS" w:hAnsi="Arial Unicode MS" w:eastAsia="Arial Unicode MS" w:hint="default"/>
                <w:b w:val="0"/>
                <w:bCs w:val="0"/>
                <w:i w:val="0"/>
                <w:iCs w:val="0"/>
                <w:sz w:val="18"/>
                <w:szCs w:val="18"/>
                <w:rtl w:val="0"/>
                <w:lang w:val="en-US"/>
              </w:rPr>
              <w:t>₂</w:t>
            </w:r>
            <w:r>
              <w:rPr>
                <w:rFonts w:ascii="Times New Roman" w:hAnsi="Times New Roman"/>
                <w:sz w:val="18"/>
                <w:szCs w:val="18"/>
                <w:rtl w:val="0"/>
                <w:lang w:val="en-US"/>
              </w:rPr>
              <w:t>b</w:t>
            </w:r>
            <w:r>
              <w:rPr>
                <w:rFonts w:ascii="Arial Unicode MS" w:cs="Arial Unicode MS" w:hAnsi="Arial Unicode MS" w:eastAsia="Arial Unicode MS" w:hint="default"/>
                <w:b w:val="0"/>
                <w:bCs w:val="0"/>
                <w:i w:val="0"/>
                <w:iCs w:val="0"/>
                <w:sz w:val="18"/>
                <w:szCs w:val="18"/>
                <w:rtl w:val="0"/>
                <w:lang w:val="en-US"/>
              </w:rPr>
              <w:t>₁</w:t>
            </w:r>
            <w:r>
              <w:rPr>
                <w:rFonts w:ascii="Times New Roman" w:hAnsi="Times New Roman" w:hint="default"/>
                <w:sz w:val="18"/>
                <w:szCs w:val="18"/>
                <w:rtl w:val="0"/>
                <w:lang w:val="en-US"/>
              </w:rPr>
              <w:t xml:space="preserve"> − </w:t>
            </w:r>
            <w:r>
              <w:rPr>
                <w:rFonts w:ascii="Times New Roman" w:hAnsi="Times New Roman"/>
                <w:sz w:val="18"/>
                <w:szCs w:val="18"/>
                <w:rtl w:val="0"/>
                <w:lang w:val="en-US"/>
              </w:rPr>
              <w:t>a</w:t>
            </w:r>
            <w:r>
              <w:rPr>
                <w:rFonts w:ascii="Arial Unicode MS" w:cs="Arial Unicode MS" w:hAnsi="Arial Unicode MS" w:eastAsia="Arial Unicode MS" w:hint="default"/>
                <w:b w:val="0"/>
                <w:bCs w:val="0"/>
                <w:i w:val="0"/>
                <w:iCs w:val="0"/>
                <w:sz w:val="18"/>
                <w:szCs w:val="18"/>
                <w:rtl w:val="0"/>
                <w:lang w:val="en-US"/>
              </w:rPr>
              <w:t>₁</w:t>
            </w:r>
            <w:r>
              <w:rPr>
                <w:rFonts w:ascii="Times New Roman" w:hAnsi="Times New Roman"/>
                <w:sz w:val="18"/>
                <w:szCs w:val="18"/>
                <w:rtl w:val="0"/>
                <w:lang w:val="en-US"/>
              </w:rPr>
              <w:t>b</w:t>
            </w:r>
            <w:r>
              <w:rPr>
                <w:rFonts w:ascii="Arial Unicode MS" w:cs="Arial Unicode MS" w:hAnsi="Arial Unicode MS" w:eastAsia="Arial Unicode MS" w:hint="default"/>
                <w:b w:val="0"/>
                <w:bCs w:val="0"/>
                <w:i w:val="0"/>
                <w:iCs w:val="0"/>
                <w:sz w:val="18"/>
                <w:szCs w:val="18"/>
                <w:rtl w:val="0"/>
                <w:lang w:val="en-US"/>
              </w:rPr>
              <w:t>₂</w:t>
            </w:r>
            <w:r>
              <w:rPr>
                <w:rFonts w:ascii="Times New Roman" w:hAnsi="Times New Roman"/>
                <w:sz w:val="18"/>
                <w:szCs w:val="18"/>
                <w:rtl w:val="0"/>
                <w:lang w:val="en-US"/>
              </w:rPr>
              <w:t>)</w:t>
            </w:r>
            <w:r>
              <w:rPr>
                <w:rFonts w:ascii="Times New Roman" w:hAnsi="Times New Roman" w:hint="default"/>
                <w:sz w:val="18"/>
                <w:szCs w:val="18"/>
                <w:rtl w:val="0"/>
                <w:lang w:val="en-US"/>
              </w:rPr>
              <w:t>²</w:t>
            </w:r>
            <w:r>
              <w:rPr>
                <w:rFonts w:ascii="Times New Roman" w:hAnsi="Times New Roman"/>
                <w:sz w:val="18"/>
                <w:szCs w:val="18"/>
                <w:rtl w:val="0"/>
                <w:lang w:val="en-US"/>
              </w:rPr>
              <w:t>/[</w:t>
            </w:r>
            <w:r>
              <w:rPr>
                <w:rFonts w:ascii="Times New Roman" w:hAnsi="Times New Roman" w:hint="default"/>
                <w:sz w:val="18"/>
                <w:szCs w:val="18"/>
                <w:rtl w:val="0"/>
                <w:lang w:val="en-US"/>
              </w:rPr>
              <w:t>η</w:t>
            </w:r>
            <w:r>
              <w:rPr>
                <w:rFonts w:ascii="Times New Roman" w:hAnsi="Times New Roman"/>
                <w:sz w:val="18"/>
                <w:szCs w:val="18"/>
                <w:rtl w:val="0"/>
                <w:lang w:val="en-US"/>
              </w:rPr>
              <w:t>(a</w:t>
            </w:r>
            <w:r>
              <w:rPr>
                <w:rFonts w:ascii="Arial Unicode MS" w:cs="Arial Unicode MS" w:hAnsi="Arial Unicode MS" w:eastAsia="Arial Unicode MS" w:hint="default"/>
                <w:b w:val="0"/>
                <w:bCs w:val="0"/>
                <w:i w:val="0"/>
                <w:iCs w:val="0"/>
                <w:sz w:val="18"/>
                <w:szCs w:val="18"/>
                <w:rtl w:val="0"/>
                <w:lang w:val="en-US"/>
              </w:rPr>
              <w:t>₁</w:t>
            </w:r>
            <w:r>
              <w:rPr>
                <w:rFonts w:ascii="Times New Roman" w:hAnsi="Times New Roman"/>
                <w:sz w:val="18"/>
                <w:szCs w:val="18"/>
                <w:rtl w:val="0"/>
                <w:lang w:val="en-US"/>
              </w:rPr>
              <w:t xml:space="preserve"> </w:t>
            </w:r>
            <w:r>
              <w:rPr>
                <w:rFonts w:ascii="Times New Roman" w:hAnsi="Times New Roman"/>
                <w:sz w:val="18"/>
                <w:szCs w:val="18"/>
                <w:rtl w:val="0"/>
                <w:lang w:val="en-US"/>
              </w:rPr>
              <w:t>+ a</w:t>
            </w:r>
            <w:r>
              <w:rPr>
                <w:rFonts w:ascii="Arial Unicode MS" w:cs="Arial Unicode MS" w:hAnsi="Arial Unicode MS" w:eastAsia="Arial Unicode MS" w:hint="default"/>
                <w:b w:val="0"/>
                <w:bCs w:val="0"/>
                <w:i w:val="0"/>
                <w:iCs w:val="0"/>
                <w:sz w:val="18"/>
                <w:szCs w:val="18"/>
                <w:rtl w:val="0"/>
                <w:lang w:val="en-US"/>
              </w:rPr>
              <w:t>₂</w:t>
            </w:r>
            <w:r>
              <w:rPr>
                <w:rFonts w:ascii="Times New Roman" w:hAnsi="Times New Roman"/>
                <w:sz w:val="18"/>
                <w:szCs w:val="18"/>
                <w:rtl w:val="0"/>
                <w:lang w:val="en-US"/>
              </w:rPr>
              <w:t>)</w:t>
            </w:r>
            <w:r>
              <w:rPr>
                <w:rFonts w:ascii="Times New Roman" w:hAnsi="Times New Roman" w:hint="default"/>
                <w:sz w:val="18"/>
                <w:szCs w:val="18"/>
                <w:rtl w:val="0"/>
                <w:lang w:val="en-US"/>
              </w:rPr>
              <w:t>³</w:t>
            </w:r>
            <w:r>
              <w:rPr>
                <w:rFonts w:ascii="Times New Roman" w:hAnsi="Times New Roman"/>
                <w:sz w:val="18"/>
                <w:szCs w:val="18"/>
                <w:rtl w:val="0"/>
                <w:lang w:val="en-US"/>
              </w:rPr>
              <w:t xml:space="preserve">] </w:t>
            </w:r>
            <w:r>
              <w:rPr>
                <w:rFonts w:ascii="Times New Roman" w:hAnsi="Times New Roman" w:hint="default"/>
                <w:sz w:val="18"/>
                <w:szCs w:val="18"/>
                <w:rtl w:val="0"/>
                <w:lang w:val="en-US"/>
              </w:rPr>
              <w:t xml:space="preserve">≥ </w:t>
            </w:r>
            <w:r>
              <w:rPr>
                <w:rFonts w:ascii="Times New Roman" w:hAnsi="Times New Roman"/>
                <w:sz w:val="18"/>
                <w:szCs w:val="18"/>
                <w:rtl w:val="0"/>
                <w:lang w:val="en-US"/>
              </w:rPr>
              <w:t>0.</w:t>
            </w:r>
          </w:p>
        </w:tc>
        <w:tc>
          <w:tcPr>
            <w:tcW w:type="dxa" w:w="565"/>
            <w:tcBorders>
              <w:top w:val="nil"/>
              <w:left w:val="nil"/>
              <w:bottom w:val="nil"/>
              <w:right w:val="nil"/>
            </w:tcBorders>
            <w:shd w:val="clear" w:color="auto" w:fill="auto"/>
            <w:tcMar>
              <w:top w:type="dxa" w:w="80"/>
              <w:left w:type="dxa" w:w="80"/>
              <w:bottom w:type="dxa" w:w="80"/>
              <w:right w:type="dxa" w:w="80"/>
            </w:tcMar>
            <w:vAlign w:val="top"/>
          </w:tcPr>
          <w:p>
            <w:pPr>
              <w:pStyle w:val="Normal.0"/>
              <w:keepLines w:val="1"/>
              <w:spacing w:after="40" w:line="240" w:lineRule="auto"/>
              <w:ind w:firstLine="0"/>
              <w:jc w:val="right"/>
            </w:pPr>
            <w:r>
              <w:rPr>
                <w:sz w:val="18"/>
                <w:szCs w:val="18"/>
                <w:rtl w:val="0"/>
                <w:lang w:val="en-US"/>
              </w:rPr>
              <w:t>(27)</w:t>
            </w:r>
          </w:p>
        </w:tc>
      </w:tr>
    </w:tbl>
    <w:p>
      <w:pPr>
        <w:pStyle w:val="Normal.0"/>
        <w:widowControl w:val="0"/>
        <w:spacing w:after="80" w:line="240" w:lineRule="atLeast"/>
        <w:ind w:firstLine="0"/>
        <w:jc w:val="center"/>
      </w:pPr>
    </w:p>
    <w:p>
      <w:pPr>
        <w:pStyle w:val="Normal.0"/>
        <w:spacing w:after="80" w:line="240" w:lineRule="atLeast"/>
      </w:pPr>
      <w:r>
        <w:rPr>
          <w:sz w:val="22"/>
          <w:szCs w:val="22"/>
          <w:rtl w:val="0"/>
          <w:lang w:val="en-US"/>
        </w:rPr>
        <w:t>The leading squared speed is a weighted mean of the microscopic squared speeds because</w:t>
      </w:r>
    </w:p>
    <w:tbl>
      <w:tblPr>
        <w:tblW w:w="9411"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8846"/>
        <w:gridCol w:w="565"/>
      </w:tblGrid>
      <w:tr>
        <w:tblPrEx>
          <w:shd w:val="clear" w:color="auto" w:fill="ced7e7"/>
        </w:tblPrEx>
        <w:trPr>
          <w:trHeight w:val="241" w:hRule="atLeast"/>
        </w:trPr>
        <w:tc>
          <w:tcPr>
            <w:tcW w:type="dxa" w:w="8846"/>
            <w:tcBorders>
              <w:top w:val="nil"/>
              <w:left w:val="nil"/>
              <w:bottom w:val="nil"/>
              <w:right w:val="nil"/>
            </w:tcBorders>
            <w:shd w:val="clear" w:color="auto" w:fill="auto"/>
            <w:tcMar>
              <w:top w:type="dxa" w:w="80"/>
              <w:left w:type="dxa" w:w="80"/>
              <w:bottom w:type="dxa" w:w="80"/>
              <w:right w:type="dxa" w:w="80"/>
            </w:tcMar>
            <w:vAlign w:val="top"/>
          </w:tcPr>
          <w:p>
            <w:pPr>
              <w:pStyle w:val="Equation"/>
              <w:keepLines w:val="1"/>
              <w:spacing w:after="40"/>
              <w:ind w:firstLine="0"/>
            </w:pPr>
            <w:r>
              <w:rPr>
                <w:rFonts w:ascii="Times New Roman" w:hAnsi="Times New Roman"/>
                <w:sz w:val="18"/>
                <w:szCs w:val="18"/>
                <w:rtl w:val="0"/>
                <w:lang w:val="en-US"/>
              </w:rPr>
              <w:t>v</w:t>
            </w:r>
            <w:r>
              <w:rPr>
                <w:rFonts w:ascii="Arial Unicode MS" w:cs="Arial Unicode MS" w:hAnsi="Arial Unicode MS" w:eastAsia="Arial Unicode MS" w:hint="default"/>
                <w:b w:val="0"/>
                <w:bCs w:val="0"/>
                <w:i w:val="0"/>
                <w:iCs w:val="0"/>
                <w:sz w:val="18"/>
                <w:szCs w:val="18"/>
                <w:rtl w:val="0"/>
                <w:lang w:val="en-US"/>
              </w:rPr>
              <w:t>₀</w:t>
            </w:r>
            <w:r>
              <w:rPr>
                <w:rFonts w:ascii="Times New Roman" w:hAnsi="Times New Roman" w:hint="default"/>
                <w:sz w:val="18"/>
                <w:szCs w:val="18"/>
                <w:rtl w:val="0"/>
                <w:lang w:val="en-US"/>
              </w:rPr>
              <w:t xml:space="preserve">² </w:t>
            </w:r>
            <w:r>
              <w:rPr>
                <w:rFonts w:ascii="Times New Roman" w:hAnsi="Times New Roman"/>
                <w:sz w:val="18"/>
                <w:szCs w:val="18"/>
                <w:rtl w:val="0"/>
                <w:lang w:val="en-US"/>
              </w:rPr>
              <w:t>= [a</w:t>
            </w:r>
            <w:r>
              <w:rPr>
                <w:rFonts w:ascii="Arial Unicode MS" w:cs="Arial Unicode MS" w:hAnsi="Arial Unicode MS" w:eastAsia="Arial Unicode MS" w:hint="default"/>
                <w:b w:val="0"/>
                <w:bCs w:val="0"/>
                <w:i w:val="0"/>
                <w:iCs w:val="0"/>
                <w:sz w:val="18"/>
                <w:szCs w:val="18"/>
                <w:rtl w:val="0"/>
                <w:lang w:val="en-US"/>
              </w:rPr>
              <w:t>₁</w:t>
            </w:r>
            <w:r>
              <w:rPr>
                <w:rFonts w:ascii="Times New Roman" w:hAnsi="Times New Roman"/>
                <w:sz w:val="18"/>
                <w:szCs w:val="18"/>
                <w:rtl w:val="0"/>
                <w:lang w:val="en-US"/>
              </w:rPr>
              <w:t>(b</w:t>
            </w:r>
            <w:r>
              <w:rPr>
                <w:rFonts w:ascii="Arial Unicode MS" w:cs="Arial Unicode MS" w:hAnsi="Arial Unicode MS" w:eastAsia="Arial Unicode MS" w:hint="default"/>
                <w:b w:val="0"/>
                <w:bCs w:val="0"/>
                <w:i w:val="0"/>
                <w:iCs w:val="0"/>
                <w:sz w:val="18"/>
                <w:szCs w:val="18"/>
                <w:rtl w:val="0"/>
                <w:lang w:val="en-US"/>
              </w:rPr>
              <w:t>₁</w:t>
            </w:r>
            <w:r>
              <w:rPr>
                <w:rFonts w:ascii="Times New Roman" w:hAnsi="Times New Roman"/>
                <w:sz w:val="18"/>
                <w:szCs w:val="18"/>
                <w:rtl w:val="0"/>
                <w:lang w:val="en-US"/>
              </w:rPr>
              <w:t>/a</w:t>
            </w:r>
            <w:r>
              <w:rPr>
                <w:rFonts w:ascii="Arial Unicode MS" w:cs="Arial Unicode MS" w:hAnsi="Arial Unicode MS" w:eastAsia="Arial Unicode MS" w:hint="default"/>
                <w:b w:val="0"/>
                <w:bCs w:val="0"/>
                <w:i w:val="0"/>
                <w:iCs w:val="0"/>
                <w:sz w:val="18"/>
                <w:szCs w:val="18"/>
                <w:rtl w:val="0"/>
                <w:lang w:val="en-US"/>
              </w:rPr>
              <w:t>₁</w:t>
            </w:r>
            <w:r>
              <w:rPr>
                <w:rFonts w:ascii="Times New Roman" w:hAnsi="Times New Roman"/>
                <w:sz w:val="18"/>
                <w:szCs w:val="18"/>
                <w:rtl w:val="0"/>
                <w:lang w:val="en-US"/>
              </w:rPr>
              <w:t>) + a</w:t>
            </w:r>
            <w:r>
              <w:rPr>
                <w:rFonts w:ascii="Arial Unicode MS" w:cs="Arial Unicode MS" w:hAnsi="Arial Unicode MS" w:eastAsia="Arial Unicode MS" w:hint="default"/>
                <w:b w:val="0"/>
                <w:bCs w:val="0"/>
                <w:i w:val="0"/>
                <w:iCs w:val="0"/>
                <w:sz w:val="18"/>
                <w:szCs w:val="18"/>
                <w:rtl w:val="0"/>
                <w:lang w:val="en-US"/>
              </w:rPr>
              <w:t>₂</w:t>
            </w:r>
            <w:r>
              <w:rPr>
                <w:rFonts w:ascii="Times New Roman" w:hAnsi="Times New Roman"/>
                <w:sz w:val="18"/>
                <w:szCs w:val="18"/>
                <w:rtl w:val="0"/>
                <w:lang w:val="en-US"/>
              </w:rPr>
              <w:t>(b</w:t>
            </w:r>
            <w:r>
              <w:rPr>
                <w:rFonts w:ascii="Arial Unicode MS" w:cs="Arial Unicode MS" w:hAnsi="Arial Unicode MS" w:eastAsia="Arial Unicode MS" w:hint="default"/>
                <w:b w:val="0"/>
                <w:bCs w:val="0"/>
                <w:i w:val="0"/>
                <w:iCs w:val="0"/>
                <w:sz w:val="18"/>
                <w:szCs w:val="18"/>
                <w:rtl w:val="0"/>
                <w:lang w:val="en-US"/>
              </w:rPr>
              <w:t>₂</w:t>
            </w:r>
            <w:r>
              <w:rPr>
                <w:rFonts w:ascii="Times New Roman" w:hAnsi="Times New Roman"/>
                <w:sz w:val="18"/>
                <w:szCs w:val="18"/>
                <w:rtl w:val="0"/>
                <w:lang w:val="en-US"/>
              </w:rPr>
              <w:t>/a</w:t>
            </w:r>
            <w:r>
              <w:rPr>
                <w:rFonts w:ascii="Arial Unicode MS" w:cs="Arial Unicode MS" w:hAnsi="Arial Unicode MS" w:eastAsia="Arial Unicode MS" w:hint="default"/>
                <w:b w:val="0"/>
                <w:bCs w:val="0"/>
                <w:i w:val="0"/>
                <w:iCs w:val="0"/>
                <w:sz w:val="18"/>
                <w:szCs w:val="18"/>
                <w:rtl w:val="0"/>
                <w:lang w:val="en-US"/>
              </w:rPr>
              <w:t>₂</w:t>
            </w:r>
            <w:r>
              <w:rPr>
                <w:rFonts w:ascii="Times New Roman" w:hAnsi="Times New Roman"/>
                <w:sz w:val="18"/>
                <w:szCs w:val="18"/>
                <w:rtl w:val="0"/>
                <w:lang w:val="en-US"/>
              </w:rPr>
              <w:t>)]/(a</w:t>
            </w:r>
            <w:r>
              <w:rPr>
                <w:rFonts w:ascii="Arial Unicode MS" w:cs="Arial Unicode MS" w:hAnsi="Arial Unicode MS" w:eastAsia="Arial Unicode MS" w:hint="default"/>
                <w:b w:val="0"/>
                <w:bCs w:val="0"/>
                <w:i w:val="0"/>
                <w:iCs w:val="0"/>
                <w:sz w:val="18"/>
                <w:szCs w:val="18"/>
                <w:rtl w:val="0"/>
                <w:lang w:val="en-US"/>
              </w:rPr>
              <w:t>₁</w:t>
            </w:r>
            <w:r>
              <w:rPr>
                <w:rFonts w:ascii="Times New Roman" w:hAnsi="Times New Roman"/>
                <w:sz w:val="18"/>
                <w:szCs w:val="18"/>
                <w:rtl w:val="0"/>
                <w:lang w:val="en-US"/>
              </w:rPr>
              <w:t xml:space="preserve"> </w:t>
            </w:r>
            <w:r>
              <w:rPr>
                <w:rFonts w:ascii="Times New Roman" w:hAnsi="Times New Roman"/>
                <w:sz w:val="18"/>
                <w:szCs w:val="18"/>
                <w:rtl w:val="0"/>
                <w:lang w:val="en-US"/>
              </w:rPr>
              <w:t>+ a</w:t>
            </w:r>
            <w:r>
              <w:rPr>
                <w:rFonts w:ascii="Arial Unicode MS" w:cs="Arial Unicode MS" w:hAnsi="Arial Unicode MS" w:eastAsia="Arial Unicode MS" w:hint="default"/>
                <w:b w:val="0"/>
                <w:bCs w:val="0"/>
                <w:i w:val="0"/>
                <w:iCs w:val="0"/>
                <w:sz w:val="18"/>
                <w:szCs w:val="18"/>
                <w:rtl w:val="0"/>
                <w:lang w:val="en-US"/>
              </w:rPr>
              <w:t>₂</w:t>
            </w:r>
            <w:r>
              <w:rPr>
                <w:rFonts w:ascii="Times New Roman" w:hAnsi="Times New Roman"/>
                <w:sz w:val="18"/>
                <w:szCs w:val="18"/>
                <w:rtl w:val="0"/>
                <w:lang w:val="en-US"/>
              </w:rPr>
              <w:t>).</w:t>
            </w:r>
          </w:p>
        </w:tc>
        <w:tc>
          <w:tcPr>
            <w:tcW w:type="dxa" w:w="565"/>
            <w:tcBorders>
              <w:top w:val="nil"/>
              <w:left w:val="nil"/>
              <w:bottom w:val="nil"/>
              <w:right w:val="nil"/>
            </w:tcBorders>
            <w:shd w:val="clear" w:color="auto" w:fill="auto"/>
            <w:tcMar>
              <w:top w:type="dxa" w:w="80"/>
              <w:left w:type="dxa" w:w="80"/>
              <w:bottom w:type="dxa" w:w="80"/>
              <w:right w:type="dxa" w:w="80"/>
            </w:tcMar>
            <w:vAlign w:val="top"/>
          </w:tcPr>
          <w:p>
            <w:pPr>
              <w:pStyle w:val="Normal.0"/>
              <w:keepLines w:val="1"/>
              <w:spacing w:after="40" w:line="240" w:lineRule="auto"/>
              <w:ind w:firstLine="0"/>
              <w:jc w:val="right"/>
            </w:pPr>
            <w:r>
              <w:rPr>
                <w:sz w:val="18"/>
                <w:szCs w:val="18"/>
                <w:rtl w:val="0"/>
                <w:lang w:val="en-US"/>
              </w:rPr>
              <w:t>(28)</w:t>
            </w:r>
          </w:p>
        </w:tc>
      </w:tr>
    </w:tbl>
    <w:p>
      <w:pPr>
        <w:pStyle w:val="Normal.0"/>
        <w:widowControl w:val="0"/>
        <w:spacing w:after="80" w:line="240" w:lineRule="atLeast"/>
        <w:ind w:firstLine="0"/>
        <w:jc w:val="center"/>
      </w:pPr>
    </w:p>
    <w:p>
      <w:pPr>
        <w:pStyle w:val="Normal.0"/>
        <w:spacing w:after="80" w:line="240" w:lineRule="atLeast"/>
      </w:pPr>
      <w:r>
        <w:rPr>
          <w:sz w:val="22"/>
          <w:szCs w:val="22"/>
          <w:rtl w:val="0"/>
          <w:lang w:val="en-US"/>
        </w:rPr>
        <w:t>It therefore lies between b</w:t>
      </w:r>
      <w:r>
        <w:rPr>
          <w:rFonts w:ascii="Arial Unicode MS" w:cs="Arial Unicode MS" w:hAnsi="Arial Unicode MS" w:eastAsia="Arial Unicode MS" w:hint="default"/>
          <w:b w:val="0"/>
          <w:bCs w:val="0"/>
          <w:i w:val="0"/>
          <w:iCs w:val="0"/>
          <w:sz w:val="22"/>
          <w:szCs w:val="22"/>
          <w:rtl w:val="0"/>
          <w:lang w:val="en-US"/>
        </w:rPr>
        <w:t>₁</w:t>
      </w:r>
      <w:r>
        <w:rPr>
          <w:sz w:val="22"/>
          <w:szCs w:val="22"/>
          <w:rtl w:val="0"/>
          <w:lang w:val="en-US"/>
        </w:rPr>
        <w:t>/a</w:t>
      </w:r>
      <w:r>
        <w:rPr>
          <w:rFonts w:ascii="Arial Unicode MS" w:cs="Arial Unicode MS" w:hAnsi="Arial Unicode MS" w:eastAsia="Arial Unicode MS" w:hint="default"/>
          <w:b w:val="0"/>
          <w:bCs w:val="0"/>
          <w:i w:val="0"/>
          <w:iCs w:val="0"/>
          <w:sz w:val="22"/>
          <w:szCs w:val="22"/>
          <w:rtl w:val="0"/>
          <w:lang w:val="en-US"/>
        </w:rPr>
        <w:t>₁</w:t>
      </w:r>
      <w:r>
        <w:rPr>
          <w:sz w:val="22"/>
          <w:szCs w:val="22"/>
          <w:rtl w:val="0"/>
          <w:lang w:val="en-US"/>
        </w:rPr>
        <w:t xml:space="preserve"> </w:t>
      </w:r>
      <w:r>
        <w:rPr>
          <w:sz w:val="22"/>
          <w:szCs w:val="22"/>
          <w:rtl w:val="0"/>
          <w:lang w:val="en-US"/>
        </w:rPr>
        <w:t>and b</w:t>
      </w:r>
      <w:r>
        <w:rPr>
          <w:rFonts w:ascii="Arial Unicode MS" w:cs="Arial Unicode MS" w:hAnsi="Arial Unicode MS" w:eastAsia="Arial Unicode MS" w:hint="default"/>
          <w:b w:val="0"/>
          <w:bCs w:val="0"/>
          <w:i w:val="0"/>
          <w:iCs w:val="0"/>
          <w:sz w:val="22"/>
          <w:szCs w:val="22"/>
          <w:rtl w:val="0"/>
          <w:lang w:val="en-US"/>
        </w:rPr>
        <w:t>₂</w:t>
      </w:r>
      <w:r>
        <w:rPr>
          <w:sz w:val="22"/>
          <w:szCs w:val="22"/>
          <w:rtl w:val="0"/>
          <w:lang w:val="en-US"/>
        </w:rPr>
        <w:t>/a</w:t>
      </w:r>
      <w:r>
        <w:rPr>
          <w:rFonts w:ascii="Arial Unicode MS" w:cs="Arial Unicode MS" w:hAnsi="Arial Unicode MS" w:eastAsia="Arial Unicode MS" w:hint="default"/>
          <w:b w:val="0"/>
          <w:bCs w:val="0"/>
          <w:i w:val="0"/>
          <w:iCs w:val="0"/>
          <w:sz w:val="22"/>
          <w:szCs w:val="22"/>
          <w:rtl w:val="0"/>
          <w:lang w:val="en-US"/>
        </w:rPr>
        <w:t>₂</w:t>
      </w:r>
      <w:r>
        <w:rPr>
          <w:sz w:val="22"/>
          <w:szCs w:val="22"/>
          <w:rtl w:val="0"/>
          <w:lang w:val="en-US"/>
        </w:rPr>
        <w:t xml:space="preserve">. If these ratios coincide, K = 0 and the collective and relative coordinates separate exactly. If they differ, a negative correction of order </w:t>
      </w:r>
      <w:r>
        <w:rPr>
          <w:sz w:val="22"/>
          <w:szCs w:val="22"/>
          <w:rtl w:val="0"/>
          <w:lang w:val="en-US"/>
        </w:rPr>
        <w:t xml:space="preserve">ν² </w:t>
      </w:r>
      <w:r>
        <w:rPr>
          <w:sz w:val="22"/>
          <w:szCs w:val="22"/>
          <w:rtl w:val="0"/>
          <w:lang w:val="en-US"/>
        </w:rPr>
        <w:t>appears. The sign of this correction does not imply an instability of the complete model: the exact eigenvalues of Eq. (20) are nonnegative. The truncated expansion in Eq. (26) must not be extrapolated beyond its domain of validity.</w:t>
      </w:r>
    </w:p>
    <w:p>
      <w:pPr>
        <w:pStyle w:val="Заголовок 3"/>
        <w:spacing w:line="240" w:lineRule="atLeast"/>
        <w:rPr>
          <w:u w:val="single"/>
        </w:rPr>
      </w:pPr>
      <w:r>
        <w:rPr>
          <w:u w:val="single"/>
          <w:rtl w:val="0"/>
          <w:lang w:val="en-US"/>
        </w:rPr>
        <w:t>6.2. What Has Actually Become Universal</w:t>
      </w:r>
    </w:p>
    <w:p>
      <w:pPr>
        <w:pStyle w:val="Normal.0"/>
        <w:spacing w:after="80" w:line="240" w:lineRule="atLeast"/>
        <w:ind w:firstLine="0"/>
      </w:pPr>
      <w:r>
        <w:rPr>
          <w:sz w:val="22"/>
          <w:szCs w:val="22"/>
          <w:rtl w:val="0"/>
          <w:lang w:val="en-US"/>
        </w:rPr>
        <w:t>At frequencies well below g</w:t>
      </w:r>
      <w:r>
        <w:rPr>
          <w:rFonts w:ascii="Arial Unicode MS" w:cs="Arial Unicode MS" w:hAnsi="Arial Unicode MS" w:eastAsia="Arial Unicode MS" w:hint="default"/>
          <w:b w:val="0"/>
          <w:bCs w:val="0"/>
          <w:i w:val="0"/>
          <w:iCs w:val="0"/>
          <w:sz w:val="22"/>
          <w:szCs w:val="22"/>
          <w:rtl w:val="0"/>
          <w:lang w:val="en-US"/>
        </w:rPr>
        <w:t>₀</w:t>
      </w:r>
      <w:r>
        <w:rPr>
          <w:sz w:val="22"/>
          <w:szCs w:val="22"/>
          <w:rtl w:val="0"/>
          <w:lang w:val="en-US"/>
        </w:rPr>
        <w:t>, relative motion is suppressed and both microscopic components project onto the same collective mode. Its long-wavelength speed is finite for any positive a</w:t>
      </w:r>
      <w:r>
        <w:rPr>
          <w:rFonts w:ascii="Arial Unicode MS" w:cs="Arial Unicode MS" w:hAnsi="Arial Unicode MS" w:eastAsia="Arial Unicode MS" w:hint="default"/>
          <w:b w:val="0"/>
          <w:bCs w:val="0"/>
          <w:i w:val="0"/>
          <w:iCs w:val="0"/>
          <w:sz w:val="22"/>
          <w:szCs w:val="22"/>
          <w:rtl w:val="0"/>
          <w:lang w:val="en-US"/>
        </w:rPr>
        <w:t>₁</w:t>
      </w:r>
      <w:r>
        <w:rPr>
          <w:sz w:val="22"/>
          <w:szCs w:val="22"/>
          <w:rtl w:val="0"/>
          <w:lang w:val="en-US"/>
        </w:rPr>
        <w:t>, a</w:t>
      </w:r>
      <w:r>
        <w:rPr>
          <w:rFonts w:ascii="Arial Unicode MS" w:cs="Arial Unicode MS" w:hAnsi="Arial Unicode MS" w:eastAsia="Arial Unicode MS" w:hint="default"/>
          <w:b w:val="0"/>
          <w:bCs w:val="0"/>
          <w:i w:val="0"/>
          <w:iCs w:val="0"/>
          <w:sz w:val="22"/>
          <w:szCs w:val="22"/>
          <w:rtl w:val="0"/>
          <w:lang w:val="en-US"/>
        </w:rPr>
        <w:t>₂</w:t>
      </w:r>
      <w:r>
        <w:rPr>
          <w:sz w:val="22"/>
          <w:szCs w:val="22"/>
          <w:rtl w:val="0"/>
          <w:lang w:val="en-US"/>
        </w:rPr>
        <w:t>, b</w:t>
      </w:r>
      <w:r>
        <w:rPr>
          <w:rFonts w:ascii="Arial Unicode MS" w:cs="Arial Unicode MS" w:hAnsi="Arial Unicode MS" w:eastAsia="Arial Unicode MS" w:hint="default"/>
          <w:b w:val="0"/>
          <w:bCs w:val="0"/>
          <w:i w:val="0"/>
          <w:iCs w:val="0"/>
          <w:sz w:val="22"/>
          <w:szCs w:val="22"/>
          <w:rtl w:val="0"/>
          <w:lang w:val="en-US"/>
        </w:rPr>
        <w:t>₁</w:t>
      </w:r>
      <w:r>
        <w:rPr>
          <w:sz w:val="22"/>
          <w:szCs w:val="22"/>
          <w:rtl w:val="0"/>
          <w:lang w:val="en-US"/>
        </w:rPr>
        <w:t>, b</w:t>
      </w:r>
      <w:r>
        <w:rPr>
          <w:rFonts w:ascii="Arial Unicode MS" w:cs="Arial Unicode MS" w:hAnsi="Arial Unicode MS" w:eastAsia="Arial Unicode MS" w:hint="default"/>
          <w:b w:val="0"/>
          <w:bCs w:val="0"/>
          <w:i w:val="0"/>
          <w:iCs w:val="0"/>
          <w:sz w:val="22"/>
          <w:szCs w:val="22"/>
          <w:rtl w:val="0"/>
          <w:lang w:val="en-US"/>
        </w:rPr>
        <w:t>₂</w:t>
      </w:r>
      <w:r>
        <w:rPr>
          <w:sz w:val="22"/>
          <w:szCs w:val="22"/>
          <w:rtl w:val="0"/>
          <w:lang w:val="en-US"/>
        </w:rPr>
        <w:t xml:space="preserve"> </w:t>
      </w:r>
      <w:r>
        <w:rPr>
          <w:sz w:val="22"/>
          <w:szCs w:val="22"/>
          <w:rtl w:val="0"/>
          <w:lang w:val="en-US"/>
        </w:rPr>
        <w:t xml:space="preserve">and fixed </w:t>
      </w:r>
      <w:r>
        <w:rPr>
          <w:sz w:val="22"/>
          <w:szCs w:val="22"/>
          <w:rtl w:val="0"/>
          <w:lang w:val="en-US"/>
        </w:rPr>
        <w:t xml:space="preserve">η </w:t>
      </w:r>
      <w:r>
        <w:rPr>
          <w:sz w:val="22"/>
          <w:szCs w:val="22"/>
          <w:rtl w:val="0"/>
          <w:lang w:val="en-US"/>
        </w:rPr>
        <w:t>&gt; 0; equality of the original microscopic speeds is not required. However, only one massless branch remains in the system. This is a robust reduction of the number of low-energy degrees of freedom, not an equalization of the speeds of two independent massless fields.</w:t>
      </w:r>
    </w:p>
    <w:p>
      <w:pPr>
        <w:pStyle w:val="Normal.0"/>
        <w:spacing w:after="80" w:line="240" w:lineRule="atLeast"/>
      </w:pPr>
      <w:r>
        <w:rPr>
          <w:sz w:val="22"/>
          <w:szCs w:val="22"/>
          <w:rtl w:val="0"/>
          <w:lang w:val="en-US"/>
        </w:rPr>
        <w:t xml:space="preserve">Even the upper gapped branch generally has a different low-momentum slope: the coefficient of </w:t>
      </w:r>
      <w:r>
        <w:rPr>
          <w:sz w:val="22"/>
          <w:szCs w:val="22"/>
          <w:rtl w:val="0"/>
          <w:lang w:val="en-US"/>
        </w:rPr>
        <w:t xml:space="preserve">ν </w:t>
      </w:r>
      <w:r>
        <w:rPr>
          <w:sz w:val="22"/>
          <w:szCs w:val="22"/>
          <w:rtl w:val="0"/>
          <w:lang w:val="en-US"/>
        </w:rPr>
        <w:t xml:space="preserve">in </w:t>
      </w:r>
      <w:r>
        <w:rPr>
          <w:sz w:val="22"/>
          <w:szCs w:val="22"/>
          <w:rtl w:val="0"/>
          <w:lang w:val="en-US"/>
        </w:rPr>
        <w:t>ω²</w:t>
      </w:r>
      <w:r>
        <w:rPr>
          <w:rFonts w:ascii="Arial Unicode MS" w:cs="Arial Unicode MS" w:hAnsi="Arial Unicode MS" w:eastAsia="Arial Unicode MS" w:hint="default"/>
          <w:b w:val="0"/>
          <w:bCs w:val="0"/>
          <w:i w:val="0"/>
          <w:iCs w:val="0"/>
          <w:sz w:val="22"/>
          <w:szCs w:val="22"/>
          <w:rtl w:val="0"/>
          <w:lang w:val="en-US"/>
        </w:rPr>
        <w:t>₊</w:t>
      </w:r>
      <w:r>
        <w:rPr>
          <w:sz w:val="22"/>
          <w:szCs w:val="22"/>
          <w:rtl w:val="0"/>
          <w:lang w:val="en-US"/>
        </w:rPr>
        <w:t xml:space="preserve"> </w:t>
      </w:r>
      <w:r>
        <w:rPr>
          <w:sz w:val="22"/>
          <w:szCs w:val="22"/>
          <w:rtl w:val="0"/>
          <w:lang w:val="en-US"/>
        </w:rPr>
        <w:t>is b</w:t>
      </w:r>
      <w:r>
        <w:rPr>
          <w:rFonts w:ascii="Arial Unicode MS" w:cs="Arial Unicode MS" w:hAnsi="Arial Unicode MS" w:eastAsia="Arial Unicode MS" w:hint="default"/>
          <w:b w:val="0"/>
          <w:bCs w:val="0"/>
          <w:i w:val="0"/>
          <w:iCs w:val="0"/>
          <w:sz w:val="22"/>
          <w:szCs w:val="22"/>
          <w:rtl w:val="0"/>
          <w:lang w:val="en-US"/>
        </w:rPr>
        <w:t>₁</w:t>
      </w:r>
      <w:r>
        <w:rPr>
          <w:sz w:val="22"/>
          <w:szCs w:val="22"/>
          <w:rtl w:val="0"/>
          <w:lang w:val="en-US"/>
        </w:rPr>
        <w:t>/a</w:t>
      </w:r>
      <w:r>
        <w:rPr>
          <w:rFonts w:ascii="Arial Unicode MS" w:cs="Arial Unicode MS" w:hAnsi="Arial Unicode MS" w:eastAsia="Arial Unicode MS" w:hint="default"/>
          <w:b w:val="0"/>
          <w:bCs w:val="0"/>
          <w:i w:val="0"/>
          <w:iCs w:val="0"/>
          <w:sz w:val="22"/>
          <w:szCs w:val="22"/>
          <w:rtl w:val="0"/>
          <w:lang w:val="en-US"/>
        </w:rPr>
        <w:t>₁</w:t>
      </w:r>
      <w:r>
        <w:rPr>
          <w:sz w:val="22"/>
          <w:szCs w:val="22"/>
          <w:rtl w:val="0"/>
          <w:lang w:val="en-US"/>
        </w:rPr>
        <w:t xml:space="preserve"> </w:t>
      </w:r>
      <w:r>
        <w:rPr>
          <w:sz w:val="22"/>
          <w:szCs w:val="22"/>
          <w:rtl w:val="0"/>
          <w:lang w:val="en-US"/>
        </w:rPr>
        <w:t>+ b</w:t>
      </w:r>
      <w:r>
        <w:rPr>
          <w:rFonts w:ascii="Arial Unicode MS" w:cs="Arial Unicode MS" w:hAnsi="Arial Unicode MS" w:eastAsia="Arial Unicode MS" w:hint="default"/>
          <w:b w:val="0"/>
          <w:bCs w:val="0"/>
          <w:i w:val="0"/>
          <w:iCs w:val="0"/>
          <w:sz w:val="22"/>
          <w:szCs w:val="22"/>
          <w:rtl w:val="0"/>
          <w:lang w:val="en-US"/>
        </w:rPr>
        <w:t>₂</w:t>
      </w:r>
      <w:r>
        <w:rPr>
          <w:sz w:val="22"/>
          <w:szCs w:val="22"/>
          <w:rtl w:val="0"/>
          <w:lang w:val="en-US"/>
        </w:rPr>
        <w:t>/a</w:t>
      </w:r>
      <w:r>
        <w:rPr>
          <w:rFonts w:ascii="Arial Unicode MS" w:cs="Arial Unicode MS" w:hAnsi="Arial Unicode MS" w:eastAsia="Arial Unicode MS" w:hint="default"/>
          <w:b w:val="0"/>
          <w:bCs w:val="0"/>
          <w:i w:val="0"/>
          <w:iCs w:val="0"/>
          <w:sz w:val="22"/>
          <w:szCs w:val="22"/>
          <w:rtl w:val="0"/>
          <w:lang w:val="en-US"/>
        </w:rPr>
        <w:t>₂</w:t>
      </w:r>
      <w:r>
        <w:rPr>
          <w:sz w:val="22"/>
          <w:szCs w:val="22"/>
          <w:rtl w:val="0"/>
          <w:lang w:val="en-US"/>
        </w:rPr>
        <w:t xml:space="preserve"> − </w:t>
      </w:r>
      <w:r>
        <w:rPr>
          <w:sz w:val="22"/>
          <w:szCs w:val="22"/>
          <w:rtl w:val="0"/>
          <w:lang w:val="en-US"/>
        </w:rPr>
        <w:t>v</w:t>
      </w:r>
      <w:r>
        <w:rPr>
          <w:rFonts w:ascii="Arial Unicode MS" w:cs="Arial Unicode MS" w:hAnsi="Arial Unicode MS" w:eastAsia="Arial Unicode MS" w:hint="default"/>
          <w:b w:val="0"/>
          <w:bCs w:val="0"/>
          <w:i w:val="0"/>
          <w:iCs w:val="0"/>
          <w:sz w:val="22"/>
          <w:szCs w:val="22"/>
          <w:rtl w:val="0"/>
          <w:lang w:val="en-US"/>
        </w:rPr>
        <w:t>₀</w:t>
      </w:r>
      <w:r>
        <w:rPr>
          <w:sz w:val="22"/>
          <w:szCs w:val="22"/>
          <w:rtl w:val="0"/>
          <w:lang w:val="en-US"/>
        </w:rPr>
        <w:t>²</w:t>
      </w:r>
      <w:r>
        <w:rPr>
          <w:sz w:val="22"/>
          <w:szCs w:val="22"/>
          <w:rtl w:val="0"/>
          <w:lang w:val="en-US"/>
        </w:rPr>
        <w:t>. Matching the effective kinematics of the massive and massless sectors would therefore require additional conditions, as in analogue models [6]. A mass term by itself does not change the principal symbol of a local equation, but the kinetic coefficients of the sectors must still be matched.</w:t>
      </w:r>
    </w:p>
    <w:p>
      <w:pPr>
        <w:pStyle w:val="Normal.0"/>
        <w:spacing w:after="80" w:line="240" w:lineRule="atLeast"/>
      </w:pPr>
      <w:r>
        <w:rPr>
          <w:sz w:val="22"/>
          <w:szCs w:val="22"/>
          <w:rtl w:val="0"/>
          <w:lang w:val="en-US"/>
        </w:rPr>
        <w:t>In the full two-field continuum equation the high-frequency principal symbol is determined by A and B; the intravertex matrix U is of lower differential order. The coupling in Eq. (18) therefore does not turn two distinct ultraviolet cones into a single cone. The common cone discussed here belongs to the leading theory of the single low-energy mode that remains after the gapped relative mode is eliminated. This distinction is especially important when discussing signal-front velocity.</w:t>
      </w:r>
    </w:p>
    <w:p>
      <w:pPr>
        <w:pStyle w:val="Заголовок 3"/>
        <w:spacing w:line="240" w:lineRule="atLeast"/>
        <w:rPr>
          <w:u w:val="single"/>
        </w:rPr>
      </w:pPr>
      <w:r>
        <w:rPr>
          <w:u w:val="single"/>
          <w:rtl w:val="0"/>
          <w:lang w:val="en-US"/>
        </w:rPr>
        <w:t>6.3. Gap Closing and Noncommuting Limits</w:t>
      </w:r>
    </w:p>
    <w:p>
      <w:pPr>
        <w:pStyle w:val="Normal.0"/>
        <w:spacing w:after="80" w:line="240" w:lineRule="atLeast"/>
        <w:ind w:firstLine="0"/>
      </w:pPr>
      <w:r>
        <w:rPr>
          <w:sz w:val="22"/>
          <w:szCs w:val="22"/>
          <w:rtl w:val="0"/>
          <w:lang w:val="en-US"/>
        </w:rPr>
        <w:t xml:space="preserve">As </w:t>
      </w:r>
      <w:r>
        <w:rPr>
          <w:sz w:val="22"/>
          <w:szCs w:val="22"/>
          <w:rtl w:val="0"/>
          <w:lang w:val="en-US"/>
        </w:rPr>
        <w:t xml:space="preserve">η → </w:t>
      </w:r>
      <w:r>
        <w:rPr>
          <w:sz w:val="22"/>
          <w:szCs w:val="22"/>
          <w:rtl w:val="0"/>
          <w:lang w:val="en-US"/>
        </w:rPr>
        <w:t xml:space="preserve">0 the gap in Eq. (25) closes. At </w:t>
      </w:r>
      <w:r>
        <w:rPr>
          <w:sz w:val="22"/>
          <w:szCs w:val="22"/>
          <w:rtl w:val="0"/>
          <w:lang w:val="en-US"/>
        </w:rPr>
        <w:t xml:space="preserve">η </w:t>
      </w:r>
      <w:r>
        <w:rPr>
          <w:sz w:val="22"/>
          <w:szCs w:val="22"/>
          <w:rtl w:val="0"/>
          <w:lang w:val="en-US"/>
        </w:rPr>
        <w:t xml:space="preserve">= 0 there are two independent massless branches with speeds </w:t>
      </w:r>
      <w:r>
        <w:rPr>
          <w:sz w:val="22"/>
          <w:szCs w:val="22"/>
          <w:rtl w:val="0"/>
          <w:lang w:val="en-US"/>
        </w:rPr>
        <w:t>√</w:t>
      </w:r>
      <w:r>
        <w:rPr>
          <w:sz w:val="22"/>
          <w:szCs w:val="22"/>
          <w:rtl w:val="0"/>
          <w:lang w:val="en-US"/>
        </w:rPr>
        <w:t>(b</w:t>
      </w:r>
      <w:r>
        <w:rPr>
          <w:rFonts w:ascii="Arial Unicode MS" w:cs="Arial Unicode MS" w:hAnsi="Arial Unicode MS" w:eastAsia="Arial Unicode MS" w:hint="default"/>
          <w:b w:val="0"/>
          <w:bCs w:val="0"/>
          <w:i w:val="0"/>
          <w:iCs w:val="0"/>
          <w:sz w:val="22"/>
          <w:szCs w:val="22"/>
          <w:rtl w:val="0"/>
          <w:lang w:val="en-US"/>
        </w:rPr>
        <w:t>₁</w:t>
      </w:r>
      <w:r>
        <w:rPr>
          <w:sz w:val="22"/>
          <w:szCs w:val="22"/>
          <w:rtl w:val="0"/>
          <w:lang w:val="en-US"/>
        </w:rPr>
        <w:t>/a</w:t>
      </w:r>
      <w:r>
        <w:rPr>
          <w:rFonts w:ascii="Arial Unicode MS" w:cs="Arial Unicode MS" w:hAnsi="Arial Unicode MS" w:eastAsia="Arial Unicode MS" w:hint="default"/>
          <w:b w:val="0"/>
          <w:bCs w:val="0"/>
          <w:i w:val="0"/>
          <w:iCs w:val="0"/>
          <w:sz w:val="22"/>
          <w:szCs w:val="22"/>
          <w:rtl w:val="0"/>
          <w:lang w:val="en-US"/>
        </w:rPr>
        <w:t>₁</w:t>
      </w:r>
      <w:r>
        <w:rPr>
          <w:sz w:val="22"/>
          <w:szCs w:val="22"/>
          <w:rtl w:val="0"/>
          <w:lang w:val="en-US"/>
        </w:rPr>
        <w:t xml:space="preserve">) and </w:t>
      </w:r>
      <w:r>
        <w:rPr>
          <w:sz w:val="22"/>
          <w:szCs w:val="22"/>
          <w:rtl w:val="0"/>
          <w:lang w:val="en-US"/>
        </w:rPr>
        <w:t>√</w:t>
      </w:r>
      <w:r>
        <w:rPr>
          <w:sz w:val="22"/>
          <w:szCs w:val="22"/>
          <w:rtl w:val="0"/>
          <w:lang w:val="en-US"/>
        </w:rPr>
        <w:t>(b</w:t>
      </w:r>
      <w:r>
        <w:rPr>
          <w:rFonts w:ascii="Arial Unicode MS" w:cs="Arial Unicode MS" w:hAnsi="Arial Unicode MS" w:eastAsia="Arial Unicode MS" w:hint="default"/>
          <w:b w:val="0"/>
          <w:bCs w:val="0"/>
          <w:i w:val="0"/>
          <w:iCs w:val="0"/>
          <w:sz w:val="22"/>
          <w:szCs w:val="22"/>
          <w:rtl w:val="0"/>
          <w:lang w:val="en-US"/>
        </w:rPr>
        <w:t>₂</w:t>
      </w:r>
      <w:r>
        <w:rPr>
          <w:sz w:val="22"/>
          <w:szCs w:val="22"/>
          <w:rtl w:val="0"/>
          <w:lang w:val="en-US"/>
        </w:rPr>
        <w:t>/a</w:t>
      </w:r>
      <w:r>
        <w:rPr>
          <w:rFonts w:ascii="Arial Unicode MS" w:cs="Arial Unicode MS" w:hAnsi="Arial Unicode MS" w:eastAsia="Arial Unicode MS" w:hint="default"/>
          <w:b w:val="0"/>
          <w:bCs w:val="0"/>
          <w:i w:val="0"/>
          <w:iCs w:val="0"/>
          <w:sz w:val="22"/>
          <w:szCs w:val="22"/>
          <w:rtl w:val="0"/>
          <w:lang w:val="en-US"/>
        </w:rPr>
        <w:t>₂</w:t>
      </w:r>
      <w:r>
        <w:rPr>
          <w:sz w:val="22"/>
          <w:szCs w:val="22"/>
          <w:rtl w:val="0"/>
          <w:lang w:val="en-US"/>
        </w:rPr>
        <w:t>). The infrared region in which the relative mode can be integrated out shrinks together with g</w:t>
      </w:r>
      <w:r>
        <w:rPr>
          <w:rFonts w:ascii="Arial Unicode MS" w:cs="Arial Unicode MS" w:hAnsi="Arial Unicode MS" w:eastAsia="Arial Unicode MS" w:hint="default"/>
          <w:b w:val="0"/>
          <w:bCs w:val="0"/>
          <w:i w:val="0"/>
          <w:iCs w:val="0"/>
          <w:sz w:val="22"/>
          <w:szCs w:val="22"/>
          <w:rtl w:val="0"/>
          <w:lang w:val="en-US"/>
        </w:rPr>
        <w:t>₀</w:t>
      </w:r>
      <w:r>
        <w:rPr>
          <w:sz w:val="22"/>
          <w:szCs w:val="22"/>
          <w:rtl w:val="0"/>
          <w:lang w:val="en-US"/>
        </w:rPr>
        <w:t>. For unequal microscopic speeds,</w:t>
      </w:r>
    </w:p>
    <w:tbl>
      <w:tblPr>
        <w:tblW w:w="9411"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8846"/>
        <w:gridCol w:w="565"/>
      </w:tblGrid>
      <w:tr>
        <w:tblPrEx>
          <w:shd w:val="clear" w:color="auto" w:fill="ced7e7"/>
        </w:tblPrEx>
        <w:trPr>
          <w:trHeight w:val="241" w:hRule="atLeast"/>
        </w:trPr>
        <w:tc>
          <w:tcPr>
            <w:tcW w:type="dxa" w:w="8846"/>
            <w:tcBorders>
              <w:top w:val="nil"/>
              <w:left w:val="nil"/>
              <w:bottom w:val="nil"/>
              <w:right w:val="nil"/>
            </w:tcBorders>
            <w:shd w:val="clear" w:color="auto" w:fill="auto"/>
            <w:tcMar>
              <w:top w:type="dxa" w:w="80"/>
              <w:left w:type="dxa" w:w="80"/>
              <w:bottom w:type="dxa" w:w="80"/>
              <w:right w:type="dxa" w:w="80"/>
            </w:tcMar>
            <w:vAlign w:val="top"/>
          </w:tcPr>
          <w:p>
            <w:pPr>
              <w:pStyle w:val="Equation"/>
              <w:keepLines w:val="1"/>
              <w:spacing w:after="40"/>
              <w:ind w:firstLine="0"/>
            </w:pPr>
            <w:r>
              <w:rPr>
                <w:rFonts w:ascii="Times New Roman" w:hAnsi="Times New Roman"/>
                <w:sz w:val="18"/>
                <w:szCs w:val="18"/>
                <w:rtl w:val="0"/>
                <w:lang w:val="en-US"/>
              </w:rPr>
              <w:t>lim(</w:t>
            </w:r>
            <w:r>
              <w:rPr>
                <w:rFonts w:ascii="Times New Roman" w:hAnsi="Times New Roman" w:hint="default"/>
                <w:sz w:val="18"/>
                <w:szCs w:val="18"/>
                <w:rtl w:val="0"/>
                <w:lang w:val="en-US"/>
              </w:rPr>
              <w:t>η→</w:t>
            </w:r>
            <w:r>
              <w:rPr>
                <w:rFonts w:ascii="Times New Roman" w:hAnsi="Times New Roman"/>
                <w:sz w:val="18"/>
                <w:szCs w:val="18"/>
                <w:rtl w:val="0"/>
                <w:lang w:val="en-US"/>
              </w:rPr>
              <w:t>0</w:t>
            </w:r>
            <w:r>
              <w:rPr>
                <w:rFonts w:ascii="Arial Unicode MS" w:cs="Arial Unicode MS" w:hAnsi="Arial Unicode MS" w:eastAsia="Arial Unicode MS" w:hint="default"/>
                <w:b w:val="0"/>
                <w:bCs w:val="0"/>
                <w:i w:val="0"/>
                <w:iCs w:val="0"/>
                <w:sz w:val="18"/>
                <w:szCs w:val="18"/>
                <w:rtl w:val="0"/>
                <w:lang w:val="en-US"/>
              </w:rPr>
              <w:t>⁺</w:t>
            </w:r>
            <w:r>
              <w:rPr>
                <w:rFonts w:ascii="Times New Roman" w:hAnsi="Times New Roman"/>
                <w:sz w:val="18"/>
                <w:szCs w:val="18"/>
                <w:rtl w:val="0"/>
                <w:lang w:val="en-US"/>
              </w:rPr>
              <w:t>) lim(</w:t>
            </w:r>
            <w:r>
              <w:rPr>
                <w:rFonts w:ascii="Times New Roman" w:hAnsi="Times New Roman" w:hint="default"/>
                <w:sz w:val="18"/>
                <w:szCs w:val="18"/>
                <w:rtl w:val="0"/>
                <w:lang w:val="en-US"/>
              </w:rPr>
              <w:t>ν→</w:t>
            </w:r>
            <w:r>
              <w:rPr>
                <w:rFonts w:ascii="Times New Roman" w:hAnsi="Times New Roman"/>
                <w:sz w:val="18"/>
                <w:szCs w:val="18"/>
                <w:rtl w:val="0"/>
                <w:lang w:val="en-US"/>
              </w:rPr>
              <w:t>0</w:t>
            </w:r>
            <w:r>
              <w:rPr>
                <w:rFonts w:ascii="Arial Unicode MS" w:cs="Arial Unicode MS" w:hAnsi="Arial Unicode MS" w:eastAsia="Arial Unicode MS" w:hint="default"/>
                <w:b w:val="0"/>
                <w:bCs w:val="0"/>
                <w:i w:val="0"/>
                <w:iCs w:val="0"/>
                <w:sz w:val="18"/>
                <w:szCs w:val="18"/>
                <w:rtl w:val="0"/>
                <w:lang w:val="en-US"/>
              </w:rPr>
              <w:t>⁺</w:t>
            </w:r>
            <w:r>
              <w:rPr>
                <w:rFonts w:ascii="Times New Roman" w:hAnsi="Times New Roman"/>
                <w:sz w:val="18"/>
                <w:szCs w:val="18"/>
                <w:rtl w:val="0"/>
                <w:lang w:val="en-US"/>
              </w:rPr>
              <w:t xml:space="preserve">) </w:t>
            </w:r>
            <w:r>
              <w:rPr>
                <w:rFonts w:ascii="Times New Roman" w:hAnsi="Times New Roman" w:hint="default"/>
                <w:sz w:val="18"/>
                <w:szCs w:val="18"/>
                <w:rtl w:val="0"/>
                <w:lang w:val="en-US"/>
              </w:rPr>
              <w:t>ω²</w:t>
            </w:r>
            <w:r>
              <w:rPr>
                <w:rFonts w:ascii="Arial Unicode MS" w:cs="Arial Unicode MS" w:hAnsi="Arial Unicode MS" w:eastAsia="Arial Unicode MS" w:hint="default"/>
                <w:b w:val="0"/>
                <w:bCs w:val="0"/>
                <w:i w:val="0"/>
                <w:iCs w:val="0"/>
                <w:sz w:val="18"/>
                <w:szCs w:val="18"/>
                <w:rtl w:val="0"/>
                <w:lang w:val="en-US"/>
              </w:rPr>
              <w:t>₋</w:t>
            </w:r>
            <w:r>
              <w:rPr>
                <w:rFonts w:ascii="Times New Roman" w:hAnsi="Times New Roman"/>
                <w:sz w:val="18"/>
                <w:szCs w:val="18"/>
                <w:rtl w:val="0"/>
                <w:lang w:val="en-US"/>
              </w:rPr>
              <w:t>(</w:t>
            </w:r>
            <w:r>
              <w:rPr>
                <w:rFonts w:ascii="Times New Roman" w:hAnsi="Times New Roman" w:hint="default"/>
                <w:sz w:val="18"/>
                <w:szCs w:val="18"/>
                <w:rtl w:val="0"/>
                <w:lang w:val="en-US"/>
              </w:rPr>
              <w:t>ν</w:t>
            </w:r>
            <w:r>
              <w:rPr>
                <w:rFonts w:ascii="Times New Roman" w:hAnsi="Times New Roman"/>
                <w:sz w:val="18"/>
                <w:szCs w:val="18"/>
                <w:rtl w:val="0"/>
                <w:lang w:val="en-US"/>
              </w:rPr>
              <w:t>,</w:t>
            </w:r>
            <w:r>
              <w:rPr>
                <w:rFonts w:ascii="Times New Roman" w:hAnsi="Times New Roman" w:hint="default"/>
                <w:sz w:val="18"/>
                <w:szCs w:val="18"/>
                <w:rtl w:val="0"/>
                <w:lang w:val="en-US"/>
              </w:rPr>
              <w:t>η</w:t>
            </w:r>
            <w:r>
              <w:rPr>
                <w:rFonts w:ascii="Times New Roman" w:hAnsi="Times New Roman"/>
                <w:sz w:val="18"/>
                <w:szCs w:val="18"/>
                <w:rtl w:val="0"/>
                <w:lang w:val="en-US"/>
              </w:rPr>
              <w:t>)/</w:t>
            </w:r>
            <w:r>
              <w:rPr>
                <w:rFonts w:ascii="Times New Roman" w:hAnsi="Times New Roman" w:hint="default"/>
                <w:sz w:val="18"/>
                <w:szCs w:val="18"/>
                <w:rtl w:val="0"/>
                <w:lang w:val="en-US"/>
              </w:rPr>
              <w:t xml:space="preserve">ν </w:t>
            </w:r>
            <w:r>
              <w:rPr>
                <w:rFonts w:ascii="Times New Roman" w:hAnsi="Times New Roman"/>
                <w:sz w:val="18"/>
                <w:szCs w:val="18"/>
                <w:rtl w:val="0"/>
                <w:lang w:val="en-US"/>
              </w:rPr>
              <w:t>= (b</w:t>
            </w:r>
            <w:r>
              <w:rPr>
                <w:rFonts w:ascii="Arial Unicode MS" w:cs="Arial Unicode MS" w:hAnsi="Arial Unicode MS" w:eastAsia="Arial Unicode MS" w:hint="default"/>
                <w:b w:val="0"/>
                <w:bCs w:val="0"/>
                <w:i w:val="0"/>
                <w:iCs w:val="0"/>
                <w:sz w:val="18"/>
                <w:szCs w:val="18"/>
                <w:rtl w:val="0"/>
                <w:lang w:val="en-US"/>
              </w:rPr>
              <w:t>₁</w:t>
            </w:r>
            <w:r>
              <w:rPr>
                <w:rFonts w:ascii="Times New Roman" w:hAnsi="Times New Roman"/>
                <w:sz w:val="18"/>
                <w:szCs w:val="18"/>
                <w:rtl w:val="0"/>
                <w:lang w:val="en-US"/>
              </w:rPr>
              <w:t xml:space="preserve"> </w:t>
            </w:r>
            <w:r>
              <w:rPr>
                <w:rFonts w:ascii="Times New Roman" w:hAnsi="Times New Roman"/>
                <w:sz w:val="18"/>
                <w:szCs w:val="18"/>
                <w:rtl w:val="0"/>
                <w:lang w:val="en-US"/>
              </w:rPr>
              <w:t>+ b</w:t>
            </w:r>
            <w:r>
              <w:rPr>
                <w:rFonts w:ascii="Arial Unicode MS" w:cs="Arial Unicode MS" w:hAnsi="Arial Unicode MS" w:eastAsia="Arial Unicode MS" w:hint="default"/>
                <w:b w:val="0"/>
                <w:bCs w:val="0"/>
                <w:i w:val="0"/>
                <w:iCs w:val="0"/>
                <w:sz w:val="18"/>
                <w:szCs w:val="18"/>
                <w:rtl w:val="0"/>
                <w:lang w:val="en-US"/>
              </w:rPr>
              <w:t>₂</w:t>
            </w:r>
            <w:r>
              <w:rPr>
                <w:rFonts w:ascii="Times New Roman" w:hAnsi="Times New Roman"/>
                <w:sz w:val="18"/>
                <w:szCs w:val="18"/>
                <w:rtl w:val="0"/>
                <w:lang w:val="en-US"/>
              </w:rPr>
              <w:t>)/(a</w:t>
            </w:r>
            <w:r>
              <w:rPr>
                <w:rFonts w:ascii="Arial Unicode MS" w:cs="Arial Unicode MS" w:hAnsi="Arial Unicode MS" w:eastAsia="Arial Unicode MS" w:hint="default"/>
                <w:b w:val="0"/>
                <w:bCs w:val="0"/>
                <w:i w:val="0"/>
                <w:iCs w:val="0"/>
                <w:sz w:val="18"/>
                <w:szCs w:val="18"/>
                <w:rtl w:val="0"/>
                <w:lang w:val="en-US"/>
              </w:rPr>
              <w:t>₁</w:t>
            </w:r>
            <w:r>
              <w:rPr>
                <w:rFonts w:ascii="Times New Roman" w:hAnsi="Times New Roman"/>
                <w:sz w:val="18"/>
                <w:szCs w:val="18"/>
                <w:rtl w:val="0"/>
                <w:lang w:val="en-US"/>
              </w:rPr>
              <w:t xml:space="preserve"> </w:t>
            </w:r>
            <w:r>
              <w:rPr>
                <w:rFonts w:ascii="Times New Roman" w:hAnsi="Times New Roman"/>
                <w:sz w:val="18"/>
                <w:szCs w:val="18"/>
                <w:rtl w:val="0"/>
                <w:lang w:val="en-US"/>
              </w:rPr>
              <w:t>+ a</w:t>
            </w:r>
            <w:r>
              <w:rPr>
                <w:rFonts w:ascii="Arial Unicode MS" w:cs="Arial Unicode MS" w:hAnsi="Arial Unicode MS" w:eastAsia="Arial Unicode MS" w:hint="default"/>
                <w:b w:val="0"/>
                <w:bCs w:val="0"/>
                <w:i w:val="0"/>
                <w:iCs w:val="0"/>
                <w:sz w:val="18"/>
                <w:szCs w:val="18"/>
                <w:rtl w:val="0"/>
                <w:lang w:val="en-US"/>
              </w:rPr>
              <w:t>₂</w:t>
            </w:r>
            <w:r>
              <w:rPr>
                <w:rFonts w:ascii="Times New Roman" w:hAnsi="Times New Roman"/>
                <w:sz w:val="18"/>
                <w:szCs w:val="18"/>
                <w:rtl w:val="0"/>
                <w:lang w:val="en-US"/>
              </w:rPr>
              <w:t>),</w:t>
            </w:r>
          </w:p>
        </w:tc>
        <w:tc>
          <w:tcPr>
            <w:tcW w:type="dxa" w:w="565"/>
            <w:tcBorders>
              <w:top w:val="nil"/>
              <w:left w:val="nil"/>
              <w:bottom w:val="nil"/>
              <w:right w:val="nil"/>
            </w:tcBorders>
            <w:shd w:val="clear" w:color="auto" w:fill="auto"/>
            <w:tcMar>
              <w:top w:type="dxa" w:w="80"/>
              <w:left w:type="dxa" w:w="80"/>
              <w:bottom w:type="dxa" w:w="80"/>
              <w:right w:type="dxa" w:w="80"/>
            </w:tcMar>
            <w:vAlign w:val="top"/>
          </w:tcPr>
          <w:p>
            <w:pPr>
              <w:pStyle w:val="Normal.0"/>
              <w:keepLines w:val="1"/>
              <w:spacing w:after="40" w:line="240" w:lineRule="auto"/>
              <w:ind w:firstLine="0"/>
              <w:jc w:val="right"/>
            </w:pPr>
            <w:r>
              <w:rPr>
                <w:sz w:val="18"/>
                <w:szCs w:val="18"/>
                <w:rtl w:val="0"/>
                <w:lang w:val="en-US"/>
              </w:rPr>
              <w:t>(29)</w:t>
            </w:r>
          </w:p>
        </w:tc>
      </w:tr>
      <w:tr>
        <w:tblPrEx>
          <w:shd w:val="clear" w:color="auto" w:fill="ced7e7"/>
        </w:tblPrEx>
        <w:trPr>
          <w:trHeight w:val="241" w:hRule="atLeast"/>
        </w:trPr>
        <w:tc>
          <w:tcPr>
            <w:tcW w:type="dxa" w:w="8846"/>
            <w:tcBorders>
              <w:top w:val="nil"/>
              <w:left w:val="nil"/>
              <w:bottom w:val="nil"/>
              <w:right w:val="nil"/>
            </w:tcBorders>
            <w:shd w:val="clear" w:color="auto" w:fill="auto"/>
            <w:tcMar>
              <w:top w:type="dxa" w:w="80"/>
              <w:left w:type="dxa" w:w="80"/>
              <w:bottom w:type="dxa" w:w="80"/>
              <w:right w:type="dxa" w:w="80"/>
            </w:tcMar>
            <w:vAlign w:val="top"/>
          </w:tcPr>
          <w:p>
            <w:pPr>
              <w:pStyle w:val="Equation"/>
              <w:keepLines w:val="1"/>
              <w:spacing w:after="40"/>
              <w:ind w:firstLine="0"/>
            </w:pPr>
            <w:r>
              <w:rPr>
                <w:rFonts w:ascii="Times New Roman" w:hAnsi="Times New Roman"/>
                <w:sz w:val="18"/>
                <w:szCs w:val="18"/>
                <w:rtl w:val="0"/>
                <w:lang w:val="en-US"/>
              </w:rPr>
              <w:t>lim(</w:t>
            </w:r>
            <w:r>
              <w:rPr>
                <w:rFonts w:ascii="Times New Roman" w:hAnsi="Times New Roman" w:hint="default"/>
                <w:sz w:val="18"/>
                <w:szCs w:val="18"/>
                <w:rtl w:val="0"/>
                <w:lang w:val="en-US"/>
              </w:rPr>
              <w:t>ν→</w:t>
            </w:r>
            <w:r>
              <w:rPr>
                <w:rFonts w:ascii="Times New Roman" w:hAnsi="Times New Roman"/>
                <w:sz w:val="18"/>
                <w:szCs w:val="18"/>
                <w:rtl w:val="0"/>
                <w:lang w:val="en-US"/>
              </w:rPr>
              <w:t>0</w:t>
            </w:r>
            <w:r>
              <w:rPr>
                <w:rFonts w:ascii="Arial Unicode MS" w:cs="Arial Unicode MS" w:hAnsi="Arial Unicode MS" w:eastAsia="Arial Unicode MS" w:hint="default"/>
                <w:b w:val="0"/>
                <w:bCs w:val="0"/>
                <w:i w:val="0"/>
                <w:iCs w:val="0"/>
                <w:sz w:val="18"/>
                <w:szCs w:val="18"/>
                <w:rtl w:val="0"/>
                <w:lang w:val="en-US"/>
              </w:rPr>
              <w:t>⁺</w:t>
            </w:r>
            <w:r>
              <w:rPr>
                <w:rFonts w:ascii="Times New Roman" w:hAnsi="Times New Roman"/>
                <w:sz w:val="18"/>
                <w:szCs w:val="18"/>
                <w:rtl w:val="0"/>
                <w:lang w:val="en-US"/>
              </w:rPr>
              <w:t>) lim(</w:t>
            </w:r>
            <w:r>
              <w:rPr>
                <w:rFonts w:ascii="Times New Roman" w:hAnsi="Times New Roman" w:hint="default"/>
                <w:sz w:val="18"/>
                <w:szCs w:val="18"/>
                <w:rtl w:val="0"/>
                <w:lang w:val="en-US"/>
              </w:rPr>
              <w:t>η→</w:t>
            </w:r>
            <w:r>
              <w:rPr>
                <w:rFonts w:ascii="Times New Roman" w:hAnsi="Times New Roman"/>
                <w:sz w:val="18"/>
                <w:szCs w:val="18"/>
                <w:rtl w:val="0"/>
                <w:lang w:val="en-US"/>
              </w:rPr>
              <w:t>0</w:t>
            </w:r>
            <w:r>
              <w:rPr>
                <w:rFonts w:ascii="Arial Unicode MS" w:cs="Arial Unicode MS" w:hAnsi="Arial Unicode MS" w:eastAsia="Arial Unicode MS" w:hint="default"/>
                <w:b w:val="0"/>
                <w:bCs w:val="0"/>
                <w:i w:val="0"/>
                <w:iCs w:val="0"/>
                <w:sz w:val="18"/>
                <w:szCs w:val="18"/>
                <w:rtl w:val="0"/>
                <w:lang w:val="en-US"/>
              </w:rPr>
              <w:t>⁺</w:t>
            </w:r>
            <w:r>
              <w:rPr>
                <w:rFonts w:ascii="Times New Roman" w:hAnsi="Times New Roman"/>
                <w:sz w:val="18"/>
                <w:szCs w:val="18"/>
                <w:rtl w:val="0"/>
                <w:lang w:val="en-US"/>
              </w:rPr>
              <w:t xml:space="preserve">) </w:t>
            </w:r>
            <w:r>
              <w:rPr>
                <w:rFonts w:ascii="Times New Roman" w:hAnsi="Times New Roman" w:hint="default"/>
                <w:sz w:val="18"/>
                <w:szCs w:val="18"/>
                <w:rtl w:val="0"/>
                <w:lang w:val="en-US"/>
              </w:rPr>
              <w:t>ω²</w:t>
            </w:r>
            <w:r>
              <w:rPr>
                <w:rFonts w:ascii="Arial Unicode MS" w:cs="Arial Unicode MS" w:hAnsi="Arial Unicode MS" w:eastAsia="Arial Unicode MS" w:hint="default"/>
                <w:b w:val="0"/>
                <w:bCs w:val="0"/>
                <w:i w:val="0"/>
                <w:iCs w:val="0"/>
                <w:sz w:val="18"/>
                <w:szCs w:val="18"/>
                <w:rtl w:val="0"/>
                <w:lang w:val="en-US"/>
              </w:rPr>
              <w:t>₋</w:t>
            </w:r>
            <w:r>
              <w:rPr>
                <w:rFonts w:ascii="Times New Roman" w:hAnsi="Times New Roman"/>
                <w:sz w:val="18"/>
                <w:szCs w:val="18"/>
                <w:rtl w:val="0"/>
                <w:lang w:val="en-US"/>
              </w:rPr>
              <w:t>(</w:t>
            </w:r>
            <w:r>
              <w:rPr>
                <w:rFonts w:ascii="Times New Roman" w:hAnsi="Times New Roman" w:hint="default"/>
                <w:sz w:val="18"/>
                <w:szCs w:val="18"/>
                <w:rtl w:val="0"/>
                <w:lang w:val="en-US"/>
              </w:rPr>
              <w:t>ν</w:t>
            </w:r>
            <w:r>
              <w:rPr>
                <w:rFonts w:ascii="Times New Roman" w:hAnsi="Times New Roman"/>
                <w:sz w:val="18"/>
                <w:szCs w:val="18"/>
                <w:rtl w:val="0"/>
                <w:lang w:val="en-US"/>
              </w:rPr>
              <w:t>,</w:t>
            </w:r>
            <w:r>
              <w:rPr>
                <w:rFonts w:ascii="Times New Roman" w:hAnsi="Times New Roman" w:hint="default"/>
                <w:sz w:val="18"/>
                <w:szCs w:val="18"/>
                <w:rtl w:val="0"/>
                <w:lang w:val="en-US"/>
              </w:rPr>
              <w:t>η</w:t>
            </w:r>
            <w:r>
              <w:rPr>
                <w:rFonts w:ascii="Times New Roman" w:hAnsi="Times New Roman"/>
                <w:sz w:val="18"/>
                <w:szCs w:val="18"/>
                <w:rtl w:val="0"/>
                <w:lang w:val="en-US"/>
              </w:rPr>
              <w:t>)/</w:t>
            </w:r>
            <w:r>
              <w:rPr>
                <w:rFonts w:ascii="Times New Roman" w:hAnsi="Times New Roman" w:hint="default"/>
                <w:sz w:val="18"/>
                <w:szCs w:val="18"/>
                <w:rtl w:val="0"/>
                <w:lang w:val="en-US"/>
              </w:rPr>
              <w:t xml:space="preserve">ν </w:t>
            </w:r>
            <w:r>
              <w:rPr>
                <w:rFonts w:ascii="Times New Roman" w:hAnsi="Times New Roman"/>
                <w:sz w:val="18"/>
                <w:szCs w:val="18"/>
                <w:rtl w:val="0"/>
                <w:lang w:val="en-US"/>
              </w:rPr>
              <w:t>= min(b</w:t>
            </w:r>
            <w:r>
              <w:rPr>
                <w:rFonts w:ascii="Arial Unicode MS" w:cs="Arial Unicode MS" w:hAnsi="Arial Unicode MS" w:eastAsia="Arial Unicode MS" w:hint="default"/>
                <w:b w:val="0"/>
                <w:bCs w:val="0"/>
                <w:i w:val="0"/>
                <w:iCs w:val="0"/>
                <w:sz w:val="18"/>
                <w:szCs w:val="18"/>
                <w:rtl w:val="0"/>
                <w:lang w:val="en-US"/>
              </w:rPr>
              <w:t>₁</w:t>
            </w:r>
            <w:r>
              <w:rPr>
                <w:rFonts w:ascii="Times New Roman" w:hAnsi="Times New Roman"/>
                <w:sz w:val="18"/>
                <w:szCs w:val="18"/>
                <w:rtl w:val="0"/>
                <w:lang w:val="en-US"/>
              </w:rPr>
              <w:t>/a</w:t>
            </w:r>
            <w:r>
              <w:rPr>
                <w:rFonts w:ascii="Arial Unicode MS" w:cs="Arial Unicode MS" w:hAnsi="Arial Unicode MS" w:eastAsia="Arial Unicode MS" w:hint="default"/>
                <w:b w:val="0"/>
                <w:bCs w:val="0"/>
                <w:i w:val="0"/>
                <w:iCs w:val="0"/>
                <w:sz w:val="18"/>
                <w:szCs w:val="18"/>
                <w:rtl w:val="0"/>
                <w:lang w:val="en-US"/>
              </w:rPr>
              <w:t>₁</w:t>
            </w:r>
            <w:r>
              <w:rPr>
                <w:rFonts w:ascii="Times New Roman" w:hAnsi="Times New Roman"/>
                <w:sz w:val="18"/>
                <w:szCs w:val="18"/>
                <w:rtl w:val="0"/>
                <w:lang w:val="en-US"/>
              </w:rPr>
              <w:t>,b</w:t>
            </w:r>
            <w:r>
              <w:rPr>
                <w:rFonts w:ascii="Arial Unicode MS" w:cs="Arial Unicode MS" w:hAnsi="Arial Unicode MS" w:eastAsia="Arial Unicode MS" w:hint="default"/>
                <w:b w:val="0"/>
                <w:bCs w:val="0"/>
                <w:i w:val="0"/>
                <w:iCs w:val="0"/>
                <w:sz w:val="18"/>
                <w:szCs w:val="18"/>
                <w:rtl w:val="0"/>
                <w:lang w:val="en-US"/>
              </w:rPr>
              <w:t>₂</w:t>
            </w:r>
            <w:r>
              <w:rPr>
                <w:rFonts w:ascii="Times New Roman" w:hAnsi="Times New Roman"/>
                <w:sz w:val="18"/>
                <w:szCs w:val="18"/>
                <w:rtl w:val="0"/>
                <w:lang w:val="en-US"/>
              </w:rPr>
              <w:t>/a</w:t>
            </w:r>
            <w:r>
              <w:rPr>
                <w:rFonts w:ascii="Arial Unicode MS" w:cs="Arial Unicode MS" w:hAnsi="Arial Unicode MS" w:eastAsia="Arial Unicode MS" w:hint="default"/>
                <w:b w:val="0"/>
                <w:bCs w:val="0"/>
                <w:i w:val="0"/>
                <w:iCs w:val="0"/>
                <w:sz w:val="18"/>
                <w:szCs w:val="18"/>
                <w:rtl w:val="0"/>
                <w:lang w:val="en-US"/>
              </w:rPr>
              <w:t>₂</w:t>
            </w:r>
            <w:r>
              <w:rPr>
                <w:rFonts w:ascii="Times New Roman" w:hAnsi="Times New Roman"/>
                <w:sz w:val="18"/>
                <w:szCs w:val="18"/>
                <w:rtl w:val="0"/>
                <w:lang w:val="en-US"/>
              </w:rPr>
              <w:t>).</w:t>
            </w:r>
          </w:p>
        </w:tc>
        <w:tc>
          <w:tcPr>
            <w:tcW w:type="dxa" w:w="565"/>
            <w:tcBorders>
              <w:top w:val="nil"/>
              <w:left w:val="nil"/>
              <w:bottom w:val="nil"/>
              <w:right w:val="nil"/>
            </w:tcBorders>
            <w:shd w:val="clear" w:color="auto" w:fill="auto"/>
            <w:tcMar>
              <w:top w:type="dxa" w:w="80"/>
              <w:left w:type="dxa" w:w="80"/>
              <w:bottom w:type="dxa" w:w="80"/>
              <w:right w:type="dxa" w:w="80"/>
            </w:tcMar>
            <w:vAlign w:val="top"/>
          </w:tcPr>
          <w:p>
            <w:pPr>
              <w:pStyle w:val="Normal.0"/>
              <w:keepLines w:val="1"/>
              <w:spacing w:after="40" w:line="240" w:lineRule="auto"/>
              <w:ind w:firstLine="0"/>
              <w:jc w:val="right"/>
            </w:pPr>
            <w:r>
              <w:rPr>
                <w:sz w:val="18"/>
                <w:szCs w:val="18"/>
                <w:rtl w:val="0"/>
                <w:lang w:val="en-US"/>
              </w:rPr>
              <w:t>(30)</w:t>
            </w:r>
          </w:p>
        </w:tc>
      </w:tr>
    </w:tbl>
    <w:p>
      <w:pPr>
        <w:pStyle w:val="Normal.0"/>
        <w:widowControl w:val="0"/>
        <w:spacing w:after="80" w:line="240" w:lineRule="atLeast"/>
        <w:ind w:firstLine="0"/>
        <w:jc w:val="center"/>
      </w:pPr>
    </w:p>
    <w:p>
      <w:pPr>
        <w:pStyle w:val="Normal.0"/>
        <w:spacing w:after="80" w:line="240" w:lineRule="atLeast"/>
      </w:pPr>
      <w:r>
        <w:rPr>
          <w:sz w:val="22"/>
          <w:szCs w:val="22"/>
          <w:rtl w:val="0"/>
          <w:lang w:val="en-US"/>
        </w:rPr>
        <w:t xml:space="preserve">Thus the appearance of an additional free sector as the coupling is removed does not guarantee universality of its cone. </w:t>
      </w:r>
    </w:p>
    <w:p>
      <w:pPr>
        <w:pStyle w:val="Normal.0"/>
        <w:spacing w:after="80" w:line="240" w:lineRule="atLeast"/>
      </w:pPr>
      <w:r>
        <w:rPr>
          <w:sz w:val="22"/>
          <w:szCs w:val="22"/>
          <w:rtl w:val="0"/>
          <w:lang w:val="en-US"/>
        </w:rPr>
        <w:t>A hypothesis in which free null modes emerge collectively must be tested together with changes in the dimension of the massless subspace. It should not be identified with the appearance of an individual photon or with recombination in standard cosmology.</w:t>
      </w:r>
    </w:p>
    <w:p>
      <w:pPr>
        <w:pStyle w:val="Заголовок 3"/>
        <w:spacing w:line="240" w:lineRule="atLeast"/>
        <w:rPr>
          <w:u w:val="single"/>
        </w:rPr>
      </w:pPr>
      <w:r>
        <w:rPr>
          <w:u w:val="single"/>
          <w:rtl w:val="0"/>
          <w:lang w:val="en-US"/>
        </w:rPr>
        <w:t>6.4. Long-Wavelength Example on a Cycle</w:t>
      </w:r>
    </w:p>
    <w:p>
      <w:pPr>
        <w:pStyle w:val="Normal.0"/>
        <w:spacing w:after="80" w:line="240" w:lineRule="atLeast"/>
        <w:ind w:firstLine="0"/>
      </w:pPr>
      <w:r>
        <w:rPr>
          <w:sz w:val="22"/>
          <w:szCs w:val="22"/>
          <w:rtl w:val="0"/>
          <w:lang w:val="en-US"/>
        </w:rPr>
        <w:t>Take a</w:t>
      </w:r>
      <w:r>
        <w:rPr>
          <w:rFonts w:ascii="Arial Unicode MS" w:cs="Arial Unicode MS" w:hAnsi="Arial Unicode MS" w:eastAsia="Arial Unicode MS" w:hint="default"/>
          <w:b w:val="0"/>
          <w:bCs w:val="0"/>
          <w:i w:val="0"/>
          <w:iCs w:val="0"/>
          <w:sz w:val="22"/>
          <w:szCs w:val="22"/>
          <w:rtl w:val="0"/>
          <w:lang w:val="en-US"/>
        </w:rPr>
        <w:t>₁</w:t>
      </w:r>
      <w:r>
        <w:rPr>
          <w:sz w:val="22"/>
          <w:szCs w:val="22"/>
          <w:rtl w:val="0"/>
          <w:lang w:val="en-US"/>
        </w:rPr>
        <w:t xml:space="preserve"> </w:t>
      </w:r>
      <w:r>
        <w:rPr>
          <w:sz w:val="22"/>
          <w:szCs w:val="22"/>
          <w:rtl w:val="0"/>
          <w:lang w:val="en-US"/>
        </w:rPr>
        <w:t>= 1, a</w:t>
      </w:r>
      <w:r>
        <w:rPr>
          <w:rFonts w:ascii="Arial Unicode MS" w:cs="Arial Unicode MS" w:hAnsi="Arial Unicode MS" w:eastAsia="Arial Unicode MS" w:hint="default"/>
          <w:b w:val="0"/>
          <w:bCs w:val="0"/>
          <w:i w:val="0"/>
          <w:iCs w:val="0"/>
          <w:sz w:val="22"/>
          <w:szCs w:val="22"/>
          <w:rtl w:val="0"/>
          <w:lang w:val="en-US"/>
        </w:rPr>
        <w:t>₂</w:t>
      </w:r>
      <w:r>
        <w:rPr>
          <w:sz w:val="22"/>
          <w:szCs w:val="22"/>
          <w:rtl w:val="0"/>
          <w:lang w:val="en-US"/>
        </w:rPr>
        <w:t xml:space="preserve"> </w:t>
      </w:r>
      <w:r>
        <w:rPr>
          <w:sz w:val="22"/>
          <w:szCs w:val="22"/>
          <w:rtl w:val="0"/>
          <w:lang w:val="en-US"/>
        </w:rPr>
        <w:t>= 2, b</w:t>
      </w:r>
      <w:r>
        <w:rPr>
          <w:rFonts w:ascii="Arial Unicode MS" w:cs="Arial Unicode MS" w:hAnsi="Arial Unicode MS" w:eastAsia="Arial Unicode MS" w:hint="default"/>
          <w:b w:val="0"/>
          <w:bCs w:val="0"/>
          <w:i w:val="0"/>
          <w:iCs w:val="0"/>
          <w:sz w:val="22"/>
          <w:szCs w:val="22"/>
          <w:rtl w:val="0"/>
          <w:lang w:val="en-US"/>
        </w:rPr>
        <w:t>₁</w:t>
      </w:r>
      <w:r>
        <w:rPr>
          <w:sz w:val="22"/>
          <w:szCs w:val="22"/>
          <w:rtl w:val="0"/>
          <w:lang w:val="en-US"/>
        </w:rPr>
        <w:t xml:space="preserve"> </w:t>
      </w:r>
      <w:r>
        <w:rPr>
          <w:sz w:val="22"/>
          <w:szCs w:val="22"/>
          <w:rtl w:val="0"/>
          <w:lang w:val="en-US"/>
        </w:rPr>
        <w:t>= 1, b</w:t>
      </w:r>
      <w:r>
        <w:rPr>
          <w:rFonts w:ascii="Arial Unicode MS" w:cs="Arial Unicode MS" w:hAnsi="Arial Unicode MS" w:eastAsia="Arial Unicode MS" w:hint="default"/>
          <w:b w:val="0"/>
          <w:bCs w:val="0"/>
          <w:i w:val="0"/>
          <w:iCs w:val="0"/>
          <w:sz w:val="22"/>
          <w:szCs w:val="22"/>
          <w:rtl w:val="0"/>
          <w:lang w:val="en-US"/>
        </w:rPr>
        <w:t>₂</w:t>
      </w:r>
      <w:r>
        <w:rPr>
          <w:sz w:val="22"/>
          <w:szCs w:val="22"/>
          <w:rtl w:val="0"/>
          <w:lang w:val="en-US"/>
        </w:rPr>
        <w:t xml:space="preserve"> </w:t>
      </w:r>
      <w:r>
        <w:rPr>
          <w:sz w:val="22"/>
          <w:szCs w:val="22"/>
          <w:rtl w:val="0"/>
          <w:lang w:val="en-US"/>
        </w:rPr>
        <w:t xml:space="preserve">= 8, and </w:t>
      </w:r>
      <w:r>
        <w:rPr>
          <w:sz w:val="22"/>
          <w:szCs w:val="22"/>
          <w:rtl w:val="0"/>
          <w:lang w:val="en-US"/>
        </w:rPr>
        <w:t xml:space="preserve">η </w:t>
      </w:r>
      <w:r>
        <w:rPr>
          <w:sz w:val="22"/>
          <w:szCs w:val="22"/>
          <w:rtl w:val="0"/>
          <w:lang w:val="en-US"/>
        </w:rPr>
        <w:t>= 3. Then v</w:t>
      </w:r>
      <w:r>
        <w:rPr>
          <w:rFonts w:ascii="Arial Unicode MS" w:cs="Arial Unicode MS" w:hAnsi="Arial Unicode MS" w:eastAsia="Arial Unicode MS" w:hint="default"/>
          <w:b w:val="0"/>
          <w:bCs w:val="0"/>
          <w:i w:val="0"/>
          <w:iCs w:val="0"/>
          <w:sz w:val="22"/>
          <w:szCs w:val="22"/>
          <w:rtl w:val="0"/>
          <w:lang w:val="en-US"/>
        </w:rPr>
        <w:t>₀</w:t>
      </w:r>
      <w:r>
        <w:rPr>
          <w:sz w:val="22"/>
          <w:szCs w:val="22"/>
          <w:rtl w:val="0"/>
          <w:lang w:val="en-US"/>
        </w:rPr>
        <w:t xml:space="preserve">² </w:t>
      </w:r>
      <w:r>
        <w:rPr>
          <w:sz w:val="22"/>
          <w:szCs w:val="22"/>
          <w:rtl w:val="0"/>
          <w:lang w:val="en-US"/>
        </w:rPr>
        <w:t>= 3, g</w:t>
      </w:r>
      <w:r>
        <w:rPr>
          <w:rFonts w:ascii="Arial Unicode MS" w:cs="Arial Unicode MS" w:hAnsi="Arial Unicode MS" w:eastAsia="Arial Unicode MS" w:hint="default"/>
          <w:b w:val="0"/>
          <w:bCs w:val="0"/>
          <w:i w:val="0"/>
          <w:iCs w:val="0"/>
          <w:sz w:val="22"/>
          <w:szCs w:val="22"/>
          <w:rtl w:val="0"/>
          <w:lang w:val="en-US"/>
        </w:rPr>
        <w:t>₀</w:t>
      </w:r>
      <w:r>
        <w:rPr>
          <w:sz w:val="22"/>
          <w:szCs w:val="22"/>
          <w:rtl w:val="0"/>
          <w:lang w:val="en-US"/>
        </w:rPr>
        <w:t xml:space="preserve">² </w:t>
      </w:r>
      <w:r>
        <w:rPr>
          <w:sz w:val="22"/>
          <w:szCs w:val="22"/>
          <w:rtl w:val="0"/>
          <w:lang w:val="en-US"/>
        </w:rPr>
        <w:t xml:space="preserve">= 4.5, and K = 4/9. For a unit-spacing cycle, </w:t>
      </w:r>
      <w:r>
        <w:rPr>
          <w:sz w:val="22"/>
          <w:szCs w:val="22"/>
          <w:rtl w:val="0"/>
          <w:lang w:val="en-US"/>
        </w:rPr>
        <w:t>ν</w:t>
      </w:r>
      <w:r>
        <w:rPr>
          <w:sz w:val="22"/>
          <w:szCs w:val="22"/>
          <w:rtl w:val="0"/>
          <w:lang w:val="en-US"/>
        </w:rPr>
        <w:t>(k) = 4 sin</w:t>
      </w:r>
      <w:r>
        <w:rPr>
          <w:sz w:val="22"/>
          <w:szCs w:val="22"/>
          <w:rtl w:val="0"/>
          <w:lang w:val="en-US"/>
        </w:rPr>
        <w:t>²</w:t>
      </w:r>
      <w:r>
        <w:rPr>
          <w:sz w:val="22"/>
          <w:szCs w:val="22"/>
          <w:rtl w:val="0"/>
          <w:lang w:val="en-US"/>
        </w:rPr>
        <w:t>(k/2), hence</w:t>
      </w:r>
    </w:p>
    <w:tbl>
      <w:tblPr>
        <w:tblW w:w="9411"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8846"/>
        <w:gridCol w:w="565"/>
      </w:tblGrid>
      <w:tr>
        <w:tblPrEx>
          <w:shd w:val="clear" w:color="auto" w:fill="ced7e7"/>
        </w:tblPrEx>
        <w:trPr>
          <w:trHeight w:val="241" w:hRule="atLeast"/>
        </w:trPr>
        <w:tc>
          <w:tcPr>
            <w:tcW w:type="dxa" w:w="8846"/>
            <w:tcBorders>
              <w:top w:val="nil"/>
              <w:left w:val="nil"/>
              <w:bottom w:val="nil"/>
              <w:right w:val="nil"/>
            </w:tcBorders>
            <w:shd w:val="clear" w:color="auto" w:fill="auto"/>
            <w:tcMar>
              <w:top w:type="dxa" w:w="80"/>
              <w:left w:type="dxa" w:w="80"/>
              <w:bottom w:type="dxa" w:w="80"/>
              <w:right w:type="dxa" w:w="80"/>
            </w:tcMar>
            <w:vAlign w:val="top"/>
          </w:tcPr>
          <w:p>
            <w:pPr>
              <w:pStyle w:val="Equation"/>
              <w:keepLines w:val="1"/>
              <w:spacing w:after="40"/>
              <w:ind w:firstLine="0"/>
            </w:pPr>
            <w:r>
              <w:rPr>
                <w:rFonts w:ascii="Times New Roman" w:hAnsi="Times New Roman" w:hint="default"/>
                <w:sz w:val="18"/>
                <w:szCs w:val="18"/>
                <w:rtl w:val="0"/>
                <w:lang w:val="en-US"/>
              </w:rPr>
              <w:t>ω²</w:t>
            </w:r>
            <w:r>
              <w:rPr>
                <w:rFonts w:ascii="Arial Unicode MS" w:cs="Arial Unicode MS" w:hAnsi="Arial Unicode MS" w:eastAsia="Arial Unicode MS" w:hint="default"/>
                <w:b w:val="0"/>
                <w:bCs w:val="0"/>
                <w:i w:val="0"/>
                <w:iCs w:val="0"/>
                <w:sz w:val="18"/>
                <w:szCs w:val="18"/>
                <w:rtl w:val="0"/>
                <w:lang w:val="en-US"/>
              </w:rPr>
              <w:t>₋</w:t>
            </w:r>
            <w:r>
              <w:rPr>
                <w:rFonts w:ascii="Times New Roman" w:hAnsi="Times New Roman"/>
                <w:sz w:val="18"/>
                <w:szCs w:val="18"/>
                <w:rtl w:val="0"/>
                <w:lang w:val="en-US"/>
              </w:rPr>
              <w:t>(k) = 3k</w:t>
            </w:r>
            <w:r>
              <w:rPr>
                <w:rFonts w:ascii="Times New Roman" w:hAnsi="Times New Roman" w:hint="default"/>
                <w:sz w:val="18"/>
                <w:szCs w:val="18"/>
                <w:rtl w:val="0"/>
                <w:lang w:val="en-US"/>
              </w:rPr>
              <w:t xml:space="preserve">² − </w:t>
            </w:r>
            <w:r>
              <w:rPr>
                <w:rFonts w:ascii="Times New Roman" w:hAnsi="Times New Roman"/>
                <w:sz w:val="18"/>
                <w:szCs w:val="18"/>
                <w:rtl w:val="0"/>
                <w:lang w:val="en-US"/>
              </w:rPr>
              <w:t>(25/36)k</w:t>
            </w:r>
            <w:r>
              <w:rPr>
                <w:rFonts w:ascii="Arial Unicode MS" w:cs="Arial Unicode MS" w:hAnsi="Arial Unicode MS" w:eastAsia="Arial Unicode MS" w:hint="default"/>
                <w:b w:val="0"/>
                <w:bCs w:val="0"/>
                <w:i w:val="0"/>
                <w:iCs w:val="0"/>
                <w:sz w:val="18"/>
                <w:szCs w:val="18"/>
                <w:rtl w:val="0"/>
                <w:lang w:val="en-US"/>
              </w:rPr>
              <w:t>⁴</w:t>
            </w:r>
            <w:r>
              <w:rPr>
                <w:rFonts w:ascii="Times New Roman" w:hAnsi="Times New Roman"/>
                <w:sz w:val="18"/>
                <w:szCs w:val="18"/>
                <w:rtl w:val="0"/>
                <w:lang w:val="en-US"/>
              </w:rPr>
              <w:t xml:space="preserve"> </w:t>
            </w:r>
            <w:r>
              <w:rPr>
                <w:rFonts w:ascii="Times New Roman" w:hAnsi="Times New Roman"/>
                <w:sz w:val="18"/>
                <w:szCs w:val="18"/>
                <w:rtl w:val="0"/>
                <w:lang w:val="en-US"/>
              </w:rPr>
              <w:t>+ O(k</w:t>
            </w:r>
            <w:r>
              <w:rPr>
                <w:rFonts w:ascii="Arial Unicode MS" w:cs="Arial Unicode MS" w:hAnsi="Arial Unicode MS" w:eastAsia="Arial Unicode MS" w:hint="default"/>
                <w:b w:val="0"/>
                <w:bCs w:val="0"/>
                <w:i w:val="0"/>
                <w:iCs w:val="0"/>
                <w:sz w:val="18"/>
                <w:szCs w:val="18"/>
                <w:rtl w:val="0"/>
                <w:lang w:val="en-US"/>
              </w:rPr>
              <w:t>⁶</w:t>
            </w:r>
            <w:r>
              <w:rPr>
                <w:rFonts w:ascii="Times New Roman" w:hAnsi="Times New Roman"/>
                <w:sz w:val="18"/>
                <w:szCs w:val="18"/>
                <w:rtl w:val="0"/>
                <w:lang w:val="en-US"/>
              </w:rPr>
              <w:t>).</w:t>
            </w:r>
          </w:p>
        </w:tc>
        <w:tc>
          <w:tcPr>
            <w:tcW w:type="dxa" w:w="565"/>
            <w:tcBorders>
              <w:top w:val="nil"/>
              <w:left w:val="nil"/>
              <w:bottom w:val="nil"/>
              <w:right w:val="nil"/>
            </w:tcBorders>
            <w:shd w:val="clear" w:color="auto" w:fill="auto"/>
            <w:tcMar>
              <w:top w:type="dxa" w:w="80"/>
              <w:left w:type="dxa" w:w="80"/>
              <w:bottom w:type="dxa" w:w="80"/>
              <w:right w:type="dxa" w:w="80"/>
            </w:tcMar>
            <w:vAlign w:val="top"/>
          </w:tcPr>
          <w:p>
            <w:pPr>
              <w:pStyle w:val="Normal.0"/>
              <w:keepLines w:val="1"/>
              <w:spacing w:after="40" w:line="240" w:lineRule="auto"/>
              <w:ind w:firstLine="0"/>
              <w:jc w:val="right"/>
            </w:pPr>
            <w:r>
              <w:rPr>
                <w:sz w:val="18"/>
                <w:szCs w:val="18"/>
                <w:rtl w:val="0"/>
                <w:lang w:val="en-US"/>
              </w:rPr>
              <w:t>(31)</w:t>
            </w:r>
          </w:p>
        </w:tc>
      </w:tr>
    </w:tbl>
    <w:p>
      <w:pPr>
        <w:pStyle w:val="Normal.0"/>
        <w:widowControl w:val="0"/>
        <w:spacing w:after="80" w:line="240" w:lineRule="atLeast"/>
        <w:ind w:firstLine="0"/>
        <w:jc w:val="center"/>
      </w:pPr>
    </w:p>
    <w:p>
      <w:pPr>
        <w:pStyle w:val="Normal.0"/>
        <w:spacing w:after="80" w:line="240" w:lineRule="atLeast"/>
      </w:pPr>
      <w:r>
        <w:rPr>
          <w:sz w:val="22"/>
          <w:szCs w:val="22"/>
          <w:rtl w:val="0"/>
          <w:lang w:val="en-US"/>
        </w:rPr>
        <w:t>The coefficient 25/36 combines the lattice discreteness of the cycle with the elimination of the relative mode. When a physical lattice spacing and time calibration are restored, all dimensional factors must be reinstated consistently. The numerical parameters in this example are dimensionless model parameters, not estimates of physical constants.</w:t>
      </w:r>
    </w:p>
    <w:p>
      <w:pPr>
        <w:pStyle w:val="Normal.0"/>
        <w:keepNext w:val="1"/>
        <w:keepLines w:val="1"/>
        <w:spacing w:before="140" w:after="80" w:line="240" w:lineRule="atLeast"/>
        <w:ind w:firstLine="0"/>
        <w:jc w:val="center"/>
      </w:pPr>
      <w:r>
        <w:drawing>
          <wp:inline distT="0" distB="0" distL="0" distR="0">
            <wp:extent cx="5687568" cy="2427530"/>
            <wp:effectExtent l="0" t="0" r="0" b="0"/>
            <wp:docPr id="1073741826" name="officeArt object" descr="figure_2_dispersion.png"/>
            <wp:cNvGraphicFramePr/>
            <a:graphic xmlns:a="http://schemas.openxmlformats.org/drawingml/2006/main">
              <a:graphicData uri="http://schemas.openxmlformats.org/drawingml/2006/picture">
                <pic:pic xmlns:pic="http://schemas.openxmlformats.org/drawingml/2006/picture">
                  <pic:nvPicPr>
                    <pic:cNvPr id="1073741826" name="figure_2_dispersion.png" descr="figure_2_dispersion.png"/>
                    <pic:cNvPicPr>
                      <a:picLocks noChangeAspect="1"/>
                    </pic:cNvPicPr>
                  </pic:nvPicPr>
                  <pic:blipFill>
                    <a:blip r:embed="rId5">
                      <a:extLst/>
                    </a:blip>
                    <a:stretch>
                      <a:fillRect/>
                    </a:stretch>
                  </pic:blipFill>
                  <pic:spPr>
                    <a:xfrm>
                      <a:off x="0" y="0"/>
                      <a:ext cx="5687568" cy="2427530"/>
                    </a:xfrm>
                    <a:prstGeom prst="rect">
                      <a:avLst/>
                    </a:prstGeom>
                    <a:ln w="12700" cap="flat">
                      <a:noFill/>
                      <a:miter lim="400000"/>
                    </a:ln>
                    <a:effectLst/>
                  </pic:spPr>
                </pic:pic>
              </a:graphicData>
            </a:graphic>
          </wp:inline>
        </w:drawing>
      </w:r>
    </w:p>
    <w:p>
      <w:pPr>
        <w:pStyle w:val="caption"/>
        <w:spacing w:before="60" w:after="120" w:line="240" w:lineRule="atLeast"/>
      </w:pPr>
      <w:r>
        <w:rPr>
          <w:b w:val="1"/>
          <w:bCs w:val="1"/>
          <w:rtl w:val="0"/>
          <w:lang w:val="en-US"/>
        </w:rPr>
        <w:t xml:space="preserve">Figure 2. </w:t>
      </w:r>
      <w:r>
        <w:rPr>
          <w:rtl w:val="0"/>
          <w:lang w:val="en-US"/>
        </w:rPr>
        <w:t>Exact spectrum of the model in Eq. (18) for a</w:t>
      </w:r>
      <w:r>
        <w:rPr>
          <w:rFonts w:ascii="Arial Unicode MS" w:cs="Arial Unicode MS" w:hAnsi="Arial Unicode MS" w:eastAsia="Arial Unicode MS" w:hint="default"/>
          <w:b w:val="0"/>
          <w:bCs w:val="0"/>
          <w:i w:val="0"/>
          <w:iCs w:val="0"/>
          <w:rtl w:val="0"/>
          <w:lang w:val="en-US"/>
        </w:rPr>
        <w:t>₁</w:t>
      </w:r>
      <w:r>
        <w:rPr>
          <w:rtl w:val="0"/>
          <w:lang w:val="en-US"/>
        </w:rPr>
        <w:t xml:space="preserve"> </w:t>
      </w:r>
      <w:r>
        <w:rPr>
          <w:rtl w:val="0"/>
          <w:lang w:val="en-US"/>
        </w:rPr>
        <w:t>= 1, a</w:t>
      </w:r>
      <w:r>
        <w:rPr>
          <w:rFonts w:ascii="Arial Unicode MS" w:cs="Arial Unicode MS" w:hAnsi="Arial Unicode MS" w:eastAsia="Arial Unicode MS" w:hint="default"/>
          <w:b w:val="0"/>
          <w:bCs w:val="0"/>
          <w:i w:val="0"/>
          <w:iCs w:val="0"/>
          <w:rtl w:val="0"/>
          <w:lang w:val="en-US"/>
        </w:rPr>
        <w:t>₂</w:t>
      </w:r>
      <w:r>
        <w:rPr>
          <w:rtl w:val="0"/>
          <w:lang w:val="en-US"/>
        </w:rPr>
        <w:t xml:space="preserve"> </w:t>
      </w:r>
      <w:r>
        <w:rPr>
          <w:rtl w:val="0"/>
          <w:lang w:val="en-US"/>
        </w:rPr>
        <w:t>= 2, b</w:t>
      </w:r>
      <w:r>
        <w:rPr>
          <w:rFonts w:ascii="Arial Unicode MS" w:cs="Arial Unicode MS" w:hAnsi="Arial Unicode MS" w:eastAsia="Arial Unicode MS" w:hint="default"/>
          <w:b w:val="0"/>
          <w:bCs w:val="0"/>
          <w:i w:val="0"/>
          <w:iCs w:val="0"/>
          <w:rtl w:val="0"/>
          <w:lang w:val="en-US"/>
        </w:rPr>
        <w:t>₁</w:t>
      </w:r>
      <w:r>
        <w:rPr>
          <w:rtl w:val="0"/>
          <w:lang w:val="en-US"/>
        </w:rPr>
        <w:t xml:space="preserve"> </w:t>
      </w:r>
      <w:r>
        <w:rPr>
          <w:rtl w:val="0"/>
          <w:lang w:val="en-US"/>
        </w:rPr>
        <w:t>= 1, b</w:t>
      </w:r>
      <w:r>
        <w:rPr>
          <w:rFonts w:ascii="Arial Unicode MS" w:cs="Arial Unicode MS" w:hAnsi="Arial Unicode MS" w:eastAsia="Arial Unicode MS" w:hint="default"/>
          <w:b w:val="0"/>
          <w:bCs w:val="0"/>
          <w:i w:val="0"/>
          <w:iCs w:val="0"/>
          <w:rtl w:val="0"/>
          <w:lang w:val="en-US"/>
        </w:rPr>
        <w:t>₂</w:t>
      </w:r>
      <w:r>
        <w:rPr>
          <w:rtl w:val="0"/>
          <w:lang w:val="en-US"/>
        </w:rPr>
        <w:t xml:space="preserve"> </w:t>
      </w:r>
      <w:r>
        <w:rPr>
          <w:rtl w:val="0"/>
          <w:lang w:val="en-US"/>
        </w:rPr>
        <w:t xml:space="preserve">= 8, and </w:t>
      </w:r>
      <w:r>
        <w:rPr>
          <w:rtl w:val="0"/>
          <w:lang w:val="en-US"/>
        </w:rPr>
        <w:t xml:space="preserve">η </w:t>
      </w:r>
      <w:r>
        <w:rPr>
          <w:rtl w:val="0"/>
          <w:lang w:val="en-US"/>
        </w:rPr>
        <w:t xml:space="preserve">= 3 on a unit cycle. A: gapless and gapped branches; the line </w:t>
      </w:r>
      <w:r>
        <w:rPr>
          <w:rtl w:val="0"/>
          <w:lang w:val="en-US"/>
        </w:rPr>
        <w:t>√</w:t>
      </w:r>
      <w:r>
        <w:rPr>
          <w:rtl w:val="0"/>
          <w:lang w:val="en-US"/>
        </w:rPr>
        <w:t xml:space="preserve">3 k is shown as an infrared reference. B: phase velocity of the lower branch and its expansion </w:t>
      </w:r>
      <w:r>
        <w:rPr>
          <w:rtl w:val="0"/>
          <w:lang w:val="en-US"/>
        </w:rPr>
        <w:t>√</w:t>
      </w:r>
      <w:r>
        <w:rPr>
          <w:rtl w:val="0"/>
          <w:lang w:val="en-US"/>
        </w:rPr>
        <w:t xml:space="preserve">3[1 </w:t>
      </w:r>
      <w:r>
        <w:rPr>
          <w:rtl w:val="0"/>
          <w:lang w:val="en-US"/>
        </w:rPr>
        <w:t xml:space="preserve">− </w:t>
      </w:r>
      <w:r>
        <w:rPr>
          <w:rtl w:val="0"/>
          <w:lang w:val="en-US"/>
        </w:rPr>
        <w:t>25k</w:t>
      </w:r>
      <w:r>
        <w:rPr>
          <w:rtl w:val="0"/>
          <w:lang w:val="en-US"/>
        </w:rPr>
        <w:t>²</w:t>
      </w:r>
      <w:r>
        <w:rPr>
          <w:rtl w:val="0"/>
          <w:lang w:val="en-US"/>
        </w:rPr>
        <w:t xml:space="preserve">/216]. Agreement as k </w:t>
      </w:r>
      <w:r>
        <w:rPr>
          <w:rtl w:val="0"/>
          <w:lang w:val="en-US"/>
        </w:rPr>
        <w:t xml:space="preserve">→ </w:t>
      </w:r>
      <w:r>
        <w:rPr>
          <w:rtl w:val="0"/>
          <w:lang w:val="en-US"/>
        </w:rPr>
        <w:t>0 does not imply the absence of dispersion at finite k.</w:t>
      </w:r>
    </w:p>
    <w:p>
      <w:pPr>
        <w:pStyle w:val="Заголовок 2"/>
        <w:spacing w:line="240" w:lineRule="atLeast"/>
      </w:pPr>
      <w:r>
        <w:rPr>
          <w:rtl w:val="0"/>
          <w:lang w:val="en-US"/>
        </w:rPr>
        <w:t>7. Criterion for a Common Cone with Several Massless Modes</w:t>
      </w:r>
    </w:p>
    <w:p>
      <w:pPr>
        <w:pStyle w:val="Заголовок 3"/>
        <w:spacing w:line="240" w:lineRule="atLeast"/>
        <w:rPr>
          <w:u w:val="single"/>
        </w:rPr>
      </w:pPr>
      <w:r>
        <w:rPr>
          <w:u w:val="single"/>
          <w:rtl w:val="0"/>
          <w:lang w:val="en-US"/>
        </w:rPr>
        <w:t>7.1. Normalized Spectral Problem</w:t>
      </w:r>
    </w:p>
    <w:p>
      <w:pPr>
        <w:pStyle w:val="Normal.0"/>
        <w:spacing w:after="80" w:line="240" w:lineRule="atLeast"/>
        <w:ind w:firstLine="0"/>
      </w:pPr>
      <w:r>
        <w:rPr>
          <w:sz w:val="22"/>
          <w:szCs w:val="22"/>
          <w:rtl w:val="0"/>
          <w:lang w:val="en-US"/>
        </w:rPr>
        <w:t>For the general matrices A, B, and U of Section 3 define</w:t>
      </w:r>
    </w:p>
    <w:tbl>
      <w:tblPr>
        <w:tblW w:w="9411"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8846"/>
        <w:gridCol w:w="565"/>
      </w:tblGrid>
      <w:tr>
        <w:tblPrEx>
          <w:shd w:val="clear" w:color="auto" w:fill="ced7e7"/>
        </w:tblPrEx>
        <w:trPr>
          <w:trHeight w:val="253" w:hRule="atLeast"/>
        </w:trPr>
        <w:tc>
          <w:tcPr>
            <w:tcW w:type="dxa" w:w="8846"/>
            <w:tcBorders>
              <w:top w:val="nil"/>
              <w:left w:val="nil"/>
              <w:bottom w:val="nil"/>
              <w:right w:val="nil"/>
            </w:tcBorders>
            <w:shd w:val="clear" w:color="auto" w:fill="auto"/>
            <w:tcMar>
              <w:top w:type="dxa" w:w="80"/>
              <w:left w:type="dxa" w:w="80"/>
              <w:bottom w:type="dxa" w:w="80"/>
              <w:right w:type="dxa" w:w="80"/>
            </w:tcMar>
            <w:vAlign w:val="top"/>
          </w:tcPr>
          <w:p>
            <w:pPr>
              <w:pStyle w:val="Equation"/>
              <w:keepLines w:val="1"/>
              <w:spacing w:after="40"/>
              <w:ind w:firstLine="0"/>
            </w:pPr>
            <w:r>
              <w:rPr>
                <w:rFonts w:ascii="Times New Roman" w:hAnsi="Times New Roman"/>
                <w:sz w:val="18"/>
                <w:szCs w:val="18"/>
                <w:rtl w:val="0"/>
                <w:lang w:val="en-US"/>
              </w:rPr>
              <w:t>T = A</w:t>
            </w:r>
            <w:r>
              <w:rPr>
                <w:rFonts w:ascii="Arial Unicode MS" w:cs="Arial Unicode MS" w:hAnsi="Arial Unicode MS" w:eastAsia="Arial Unicode MS" w:hint="default"/>
                <w:b w:val="0"/>
                <w:bCs w:val="0"/>
                <w:i w:val="0"/>
                <w:iCs w:val="0"/>
                <w:sz w:val="18"/>
                <w:szCs w:val="18"/>
                <w:rtl w:val="0"/>
                <w:lang w:val="en-US"/>
              </w:rPr>
              <w:t>⁻</w:t>
            </w:r>
            <w:r>
              <w:rPr>
                <w:rFonts w:ascii="Times New Roman" w:hAnsi="Times New Roman" w:hint="default"/>
                <w:sz w:val="18"/>
                <w:szCs w:val="18"/>
                <w:rtl w:val="0"/>
                <w:lang w:val="en-US"/>
              </w:rPr>
              <w:t>¹</w:t>
            </w:r>
            <w:r>
              <w:rPr>
                <w:rFonts w:ascii="Arial Unicode MS" w:cs="Arial Unicode MS" w:hAnsi="Arial Unicode MS" w:eastAsia="Arial Unicode MS"/>
                <w:b w:val="0"/>
                <w:bCs w:val="0"/>
                <w:i w:val="0"/>
                <w:iCs w:val="0"/>
                <w:sz w:val="18"/>
                <w:szCs w:val="18"/>
                <w:rtl w:val="0"/>
                <w:lang w:val="en-US"/>
              </w:rPr>
              <w:t>ᐟ</w:t>
            </w:r>
            <w:r>
              <w:rPr>
                <w:rFonts w:ascii="Times New Roman" w:hAnsi="Times New Roman" w:hint="default"/>
                <w:sz w:val="18"/>
                <w:szCs w:val="18"/>
                <w:rtl w:val="0"/>
                <w:lang w:val="en-US"/>
              </w:rPr>
              <w:t>²</w:t>
            </w:r>
            <w:r>
              <w:rPr>
                <w:rFonts w:ascii="Times New Roman" w:hAnsi="Times New Roman"/>
                <w:sz w:val="18"/>
                <w:szCs w:val="18"/>
                <w:rtl w:val="0"/>
                <w:lang w:val="en-US"/>
              </w:rPr>
              <w:t>UA</w:t>
            </w:r>
            <w:r>
              <w:rPr>
                <w:rFonts w:ascii="Arial Unicode MS" w:cs="Arial Unicode MS" w:hAnsi="Arial Unicode MS" w:eastAsia="Arial Unicode MS" w:hint="default"/>
                <w:b w:val="0"/>
                <w:bCs w:val="0"/>
                <w:i w:val="0"/>
                <w:iCs w:val="0"/>
                <w:sz w:val="18"/>
                <w:szCs w:val="18"/>
                <w:rtl w:val="0"/>
                <w:lang w:val="en-US"/>
              </w:rPr>
              <w:t>⁻</w:t>
            </w:r>
            <w:r>
              <w:rPr>
                <w:rFonts w:ascii="Times New Roman" w:hAnsi="Times New Roman" w:hint="default"/>
                <w:sz w:val="18"/>
                <w:szCs w:val="18"/>
                <w:rtl w:val="0"/>
                <w:lang w:val="en-US"/>
              </w:rPr>
              <w:t>¹</w:t>
            </w:r>
            <w:r>
              <w:rPr>
                <w:rFonts w:ascii="Arial Unicode MS" w:cs="Arial Unicode MS" w:hAnsi="Arial Unicode MS" w:eastAsia="Arial Unicode MS"/>
                <w:b w:val="0"/>
                <w:bCs w:val="0"/>
                <w:i w:val="0"/>
                <w:iCs w:val="0"/>
                <w:sz w:val="18"/>
                <w:szCs w:val="18"/>
                <w:rtl w:val="0"/>
                <w:lang w:val="en-US"/>
              </w:rPr>
              <w:t>ᐟ</w:t>
            </w:r>
            <w:r>
              <w:rPr>
                <w:rFonts w:ascii="Times New Roman" w:hAnsi="Times New Roman" w:hint="default"/>
                <w:sz w:val="18"/>
                <w:szCs w:val="18"/>
                <w:rtl w:val="0"/>
                <w:lang w:val="en-US"/>
              </w:rPr>
              <w:t>²</w:t>
            </w:r>
            <w:r>
              <w:rPr>
                <w:rFonts w:ascii="Times New Roman" w:hAnsi="Times New Roman"/>
                <w:sz w:val="18"/>
                <w:szCs w:val="18"/>
                <w:rtl w:val="0"/>
                <w:lang w:val="en-US"/>
              </w:rPr>
              <w:t>,     D = A</w:t>
            </w:r>
            <w:r>
              <w:rPr>
                <w:rFonts w:ascii="Arial Unicode MS" w:cs="Arial Unicode MS" w:hAnsi="Arial Unicode MS" w:eastAsia="Arial Unicode MS" w:hint="default"/>
                <w:b w:val="0"/>
                <w:bCs w:val="0"/>
                <w:i w:val="0"/>
                <w:iCs w:val="0"/>
                <w:sz w:val="18"/>
                <w:szCs w:val="18"/>
                <w:rtl w:val="0"/>
                <w:lang w:val="en-US"/>
              </w:rPr>
              <w:t>⁻</w:t>
            </w:r>
            <w:r>
              <w:rPr>
                <w:rFonts w:ascii="Times New Roman" w:hAnsi="Times New Roman" w:hint="default"/>
                <w:sz w:val="18"/>
                <w:szCs w:val="18"/>
                <w:rtl w:val="0"/>
                <w:lang w:val="en-US"/>
              </w:rPr>
              <w:t>¹</w:t>
            </w:r>
            <w:r>
              <w:rPr>
                <w:rFonts w:ascii="Arial Unicode MS" w:cs="Arial Unicode MS" w:hAnsi="Arial Unicode MS" w:eastAsia="Arial Unicode MS"/>
                <w:b w:val="0"/>
                <w:bCs w:val="0"/>
                <w:i w:val="0"/>
                <w:iCs w:val="0"/>
                <w:sz w:val="18"/>
                <w:szCs w:val="18"/>
                <w:rtl w:val="0"/>
                <w:lang w:val="en-US"/>
              </w:rPr>
              <w:t>ᐟ</w:t>
            </w:r>
            <w:r>
              <w:rPr>
                <w:rFonts w:ascii="Times New Roman" w:hAnsi="Times New Roman" w:hint="default"/>
                <w:sz w:val="18"/>
                <w:szCs w:val="18"/>
                <w:rtl w:val="0"/>
                <w:lang w:val="en-US"/>
              </w:rPr>
              <w:t>²</w:t>
            </w:r>
            <w:r>
              <w:rPr>
                <w:rFonts w:ascii="Times New Roman" w:hAnsi="Times New Roman"/>
                <w:sz w:val="18"/>
                <w:szCs w:val="18"/>
                <w:rtl w:val="0"/>
                <w:lang w:val="en-US"/>
              </w:rPr>
              <w:t>BA</w:t>
            </w:r>
            <w:r>
              <w:rPr>
                <w:rFonts w:ascii="Arial Unicode MS" w:cs="Arial Unicode MS" w:hAnsi="Arial Unicode MS" w:eastAsia="Arial Unicode MS" w:hint="default"/>
                <w:b w:val="0"/>
                <w:bCs w:val="0"/>
                <w:i w:val="0"/>
                <w:iCs w:val="0"/>
                <w:sz w:val="18"/>
                <w:szCs w:val="18"/>
                <w:rtl w:val="0"/>
                <w:lang w:val="en-US"/>
              </w:rPr>
              <w:t>⁻</w:t>
            </w:r>
            <w:r>
              <w:rPr>
                <w:rFonts w:ascii="Times New Roman" w:hAnsi="Times New Roman" w:hint="default"/>
                <w:sz w:val="18"/>
                <w:szCs w:val="18"/>
                <w:rtl w:val="0"/>
                <w:lang w:val="en-US"/>
              </w:rPr>
              <w:t>¹</w:t>
            </w:r>
            <w:r>
              <w:rPr>
                <w:rFonts w:ascii="Arial Unicode MS" w:cs="Arial Unicode MS" w:hAnsi="Arial Unicode MS" w:eastAsia="Arial Unicode MS"/>
                <w:b w:val="0"/>
                <w:bCs w:val="0"/>
                <w:i w:val="0"/>
                <w:iCs w:val="0"/>
                <w:sz w:val="18"/>
                <w:szCs w:val="18"/>
                <w:rtl w:val="0"/>
                <w:lang w:val="en-US"/>
              </w:rPr>
              <w:t>ᐟ</w:t>
            </w:r>
            <w:r>
              <w:rPr>
                <w:rFonts w:ascii="Times New Roman" w:hAnsi="Times New Roman" w:hint="default"/>
                <w:sz w:val="18"/>
                <w:szCs w:val="18"/>
                <w:rtl w:val="0"/>
                <w:lang w:val="en-US"/>
              </w:rPr>
              <w:t>²</w:t>
            </w:r>
            <w:r>
              <w:rPr>
                <w:rFonts w:ascii="Times New Roman" w:hAnsi="Times New Roman"/>
                <w:sz w:val="18"/>
                <w:szCs w:val="18"/>
                <w:rtl w:val="0"/>
                <w:lang w:val="en-US"/>
              </w:rPr>
              <w:t>.</w:t>
            </w:r>
          </w:p>
        </w:tc>
        <w:tc>
          <w:tcPr>
            <w:tcW w:type="dxa" w:w="565"/>
            <w:tcBorders>
              <w:top w:val="nil"/>
              <w:left w:val="nil"/>
              <w:bottom w:val="nil"/>
              <w:right w:val="nil"/>
            </w:tcBorders>
            <w:shd w:val="clear" w:color="auto" w:fill="auto"/>
            <w:tcMar>
              <w:top w:type="dxa" w:w="80"/>
              <w:left w:type="dxa" w:w="80"/>
              <w:bottom w:type="dxa" w:w="80"/>
              <w:right w:type="dxa" w:w="80"/>
            </w:tcMar>
            <w:vAlign w:val="top"/>
          </w:tcPr>
          <w:p>
            <w:pPr>
              <w:pStyle w:val="Normal.0"/>
              <w:keepLines w:val="1"/>
              <w:spacing w:after="40" w:line="240" w:lineRule="auto"/>
              <w:ind w:firstLine="0"/>
              <w:jc w:val="right"/>
            </w:pPr>
            <w:r>
              <w:rPr>
                <w:sz w:val="18"/>
                <w:szCs w:val="18"/>
                <w:rtl w:val="0"/>
                <w:lang w:val="en-US"/>
              </w:rPr>
              <w:t>(32)</w:t>
            </w:r>
          </w:p>
        </w:tc>
      </w:tr>
    </w:tbl>
    <w:p>
      <w:pPr>
        <w:pStyle w:val="Normal.0"/>
        <w:widowControl w:val="0"/>
        <w:spacing w:after="80" w:line="240" w:lineRule="atLeast"/>
        <w:ind w:firstLine="0"/>
        <w:jc w:val="center"/>
      </w:pPr>
    </w:p>
    <w:p>
      <w:pPr>
        <w:pStyle w:val="Normal.0"/>
        <w:spacing w:after="80" w:line="240" w:lineRule="atLeast"/>
      </w:pPr>
      <w:r>
        <w:rPr>
          <w:sz w:val="22"/>
          <w:szCs w:val="22"/>
          <w:rtl w:val="0"/>
          <w:lang w:val="en-US"/>
        </w:rPr>
        <w:t>After the change of variables x = A</w:t>
      </w:r>
      <w:r>
        <w:rPr>
          <w:sz w:val="22"/>
          <w:szCs w:val="22"/>
          <w:rtl w:val="0"/>
          <w:lang w:val="en-US"/>
        </w:rPr>
        <w:t>¹</w:t>
      </w:r>
      <w:r>
        <w:rPr>
          <w:rFonts w:ascii="Arial Unicode MS" w:cs="Arial Unicode MS" w:hAnsi="Arial Unicode MS" w:eastAsia="Arial Unicode MS"/>
          <w:b w:val="0"/>
          <w:bCs w:val="0"/>
          <w:i w:val="0"/>
          <w:iCs w:val="0"/>
          <w:sz w:val="22"/>
          <w:szCs w:val="22"/>
          <w:rtl w:val="0"/>
          <w:lang w:val="en-US"/>
        </w:rPr>
        <w:t>ᐟ</w:t>
      </w:r>
      <w:r>
        <w:rPr>
          <w:sz w:val="22"/>
          <w:szCs w:val="22"/>
          <w:rtl w:val="0"/>
          <w:lang w:val="en-US"/>
        </w:rPr>
        <w:t>²Φ</w:t>
      </w:r>
      <w:r>
        <w:rPr>
          <w:sz w:val="22"/>
          <w:szCs w:val="22"/>
          <w:rtl w:val="0"/>
          <w:lang w:val="en-US"/>
        </w:rPr>
        <w:t xml:space="preserve">, the squared frequency on a mode with spectral parameter </w:t>
      </w:r>
      <w:r>
        <w:rPr>
          <w:sz w:val="22"/>
          <w:szCs w:val="22"/>
          <w:rtl w:val="0"/>
          <w:lang w:val="en-US"/>
        </w:rPr>
        <w:t xml:space="preserve">ν </w:t>
      </w:r>
      <w:r>
        <w:rPr>
          <w:sz w:val="22"/>
          <w:szCs w:val="22"/>
          <w:rtl w:val="0"/>
          <w:lang w:val="en-US"/>
        </w:rPr>
        <w:t xml:space="preserve">is an eigenvalue of T + </w:t>
      </w:r>
      <w:r>
        <w:rPr>
          <w:sz w:val="22"/>
          <w:szCs w:val="22"/>
          <w:rtl w:val="0"/>
          <w:lang w:val="en-US"/>
        </w:rPr>
        <w:t>ν</w:t>
      </w:r>
      <w:r>
        <w:rPr>
          <w:sz w:val="22"/>
          <w:szCs w:val="22"/>
          <w:rtl w:val="0"/>
          <w:lang w:val="en-US"/>
        </w:rPr>
        <w:t xml:space="preserve">D. Here T and D denote matrices; the scalar functions of the same names introduced in Section 6 are not used below. Let dim ker T = r </w:t>
      </w:r>
      <w:r>
        <w:rPr>
          <w:sz w:val="22"/>
          <w:szCs w:val="22"/>
          <w:rtl w:val="0"/>
          <w:lang w:val="en-US"/>
        </w:rPr>
        <w:t xml:space="preserve">≥ </w:t>
      </w:r>
      <w:r>
        <w:rPr>
          <w:sz w:val="22"/>
          <w:szCs w:val="22"/>
          <w:rtl w:val="0"/>
          <w:lang w:val="en-US"/>
        </w:rPr>
        <w:t>1. On its orthogonal complement assume a gap g</w:t>
      </w:r>
      <w:r>
        <w:rPr>
          <w:sz w:val="22"/>
          <w:szCs w:val="22"/>
          <w:rtl w:val="0"/>
          <w:lang w:val="en-US"/>
        </w:rPr>
        <w:t xml:space="preserve">² </w:t>
      </w:r>
      <w:r>
        <w:rPr>
          <w:sz w:val="22"/>
          <w:szCs w:val="22"/>
          <w:rtl w:val="0"/>
          <w:lang w:val="en-US"/>
        </w:rPr>
        <w:t>&gt; 0. If r = m, the complement is absent and the compression described below is exact, with no mode elimination required.</w:t>
      </w:r>
    </w:p>
    <w:p>
      <w:pPr>
        <w:pStyle w:val="Normal.0"/>
        <w:spacing w:after="80" w:line="240" w:lineRule="atLeast"/>
      </w:pPr>
      <w:r>
        <w:rPr>
          <w:sz w:val="22"/>
          <w:szCs w:val="22"/>
          <w:rtl w:val="0"/>
          <w:lang w:val="en-US"/>
        </w:rPr>
        <w:t>Choose a matrix Z whose columns form an orthonormal basis of ker T, and an orthonormal complement Y. Define the blocks</w:t>
      </w:r>
    </w:p>
    <w:tbl>
      <w:tblPr>
        <w:tblW w:w="9411"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8846"/>
        <w:gridCol w:w="565"/>
      </w:tblGrid>
      <w:tr>
        <w:tblPrEx>
          <w:shd w:val="clear" w:color="auto" w:fill="ced7e7"/>
        </w:tblPrEx>
        <w:trPr>
          <w:trHeight w:val="241" w:hRule="atLeast"/>
        </w:trPr>
        <w:tc>
          <w:tcPr>
            <w:tcW w:type="dxa" w:w="8846"/>
            <w:tcBorders>
              <w:top w:val="nil"/>
              <w:left w:val="nil"/>
              <w:bottom w:val="nil"/>
              <w:right w:val="nil"/>
            </w:tcBorders>
            <w:shd w:val="clear" w:color="auto" w:fill="auto"/>
            <w:tcMar>
              <w:top w:type="dxa" w:w="80"/>
              <w:left w:type="dxa" w:w="80"/>
              <w:bottom w:type="dxa" w:w="80"/>
              <w:right w:type="dxa" w:w="80"/>
            </w:tcMar>
            <w:vAlign w:val="top"/>
          </w:tcPr>
          <w:p>
            <w:pPr>
              <w:pStyle w:val="Equation"/>
              <w:keepLines w:val="1"/>
              <w:spacing w:after="40"/>
              <w:ind w:firstLine="0"/>
            </w:pPr>
            <w:r>
              <w:rPr>
                <w:rFonts w:ascii="Times New Roman" w:hAnsi="Times New Roman"/>
                <w:sz w:val="18"/>
                <w:szCs w:val="18"/>
                <w:rtl w:val="0"/>
                <w:lang w:val="en-US"/>
              </w:rPr>
              <w:t>D</w:t>
            </w:r>
            <w:r>
              <w:rPr>
                <w:rFonts w:ascii="Arial Unicode MS" w:cs="Arial Unicode MS" w:hAnsi="Arial Unicode MS" w:eastAsia="Arial Unicode MS" w:hint="default"/>
                <w:b w:val="0"/>
                <w:bCs w:val="0"/>
                <w:i w:val="0"/>
                <w:iCs w:val="0"/>
                <w:sz w:val="18"/>
                <w:szCs w:val="18"/>
                <w:rtl w:val="0"/>
                <w:lang w:val="en-US"/>
              </w:rPr>
              <w:t>₀₀</w:t>
            </w:r>
            <w:r>
              <w:rPr>
                <w:rFonts w:ascii="Times New Roman" w:hAnsi="Times New Roman"/>
                <w:sz w:val="18"/>
                <w:szCs w:val="18"/>
                <w:rtl w:val="0"/>
                <w:lang w:val="en-US"/>
              </w:rPr>
              <w:t xml:space="preserve"> </w:t>
            </w:r>
            <w:r>
              <w:rPr>
                <w:rFonts w:ascii="Times New Roman" w:hAnsi="Times New Roman"/>
                <w:sz w:val="18"/>
                <w:szCs w:val="18"/>
                <w:rtl w:val="0"/>
                <w:lang w:val="en-US"/>
              </w:rPr>
              <w:t>= ZᵀDZ,     D</w:t>
            </w:r>
            <w:r>
              <w:rPr>
                <w:rFonts w:ascii="Arial Unicode MS" w:cs="Arial Unicode MS" w:hAnsi="Arial Unicode MS" w:eastAsia="Arial Unicode MS" w:hint="default"/>
                <w:b w:val="0"/>
                <w:bCs w:val="0"/>
                <w:i w:val="0"/>
                <w:iCs w:val="0"/>
                <w:sz w:val="18"/>
                <w:szCs w:val="18"/>
                <w:rtl w:val="0"/>
                <w:lang w:val="en-US"/>
              </w:rPr>
              <w:t>₀₁</w:t>
            </w:r>
            <w:r>
              <w:rPr>
                <w:rFonts w:ascii="Times New Roman" w:hAnsi="Times New Roman"/>
                <w:sz w:val="18"/>
                <w:szCs w:val="18"/>
                <w:rtl w:val="0"/>
                <w:lang w:val="en-US"/>
              </w:rPr>
              <w:t xml:space="preserve"> </w:t>
            </w:r>
            <w:r>
              <w:rPr>
                <w:rFonts w:ascii="Times New Roman" w:hAnsi="Times New Roman"/>
                <w:sz w:val="18"/>
                <w:szCs w:val="18"/>
                <w:rtl w:val="0"/>
                <w:lang w:val="en-US"/>
              </w:rPr>
              <w:t>= ZᵀDY,     D</w:t>
            </w:r>
            <w:r>
              <w:rPr>
                <w:rFonts w:ascii="Arial Unicode MS" w:cs="Arial Unicode MS" w:hAnsi="Arial Unicode MS" w:eastAsia="Arial Unicode MS" w:hint="default"/>
                <w:b w:val="0"/>
                <w:bCs w:val="0"/>
                <w:i w:val="0"/>
                <w:iCs w:val="0"/>
                <w:sz w:val="18"/>
                <w:szCs w:val="18"/>
                <w:rtl w:val="0"/>
                <w:lang w:val="en-US"/>
              </w:rPr>
              <w:t>₁₁</w:t>
            </w:r>
            <w:r>
              <w:rPr>
                <w:rFonts w:ascii="Times New Roman" w:hAnsi="Times New Roman"/>
                <w:sz w:val="18"/>
                <w:szCs w:val="18"/>
                <w:rtl w:val="0"/>
                <w:lang w:val="en-US"/>
              </w:rPr>
              <w:t xml:space="preserve"> </w:t>
            </w:r>
            <w:r>
              <w:rPr>
                <w:rFonts w:ascii="Times New Roman" w:hAnsi="Times New Roman"/>
                <w:sz w:val="18"/>
                <w:szCs w:val="18"/>
                <w:rtl w:val="0"/>
                <w:lang w:val="en-US"/>
              </w:rPr>
              <w:t>= YᵀDY,     T</w:t>
            </w:r>
            <w:r>
              <w:rPr>
                <w:rFonts w:ascii="Arial Unicode MS" w:cs="Arial Unicode MS" w:hAnsi="Arial Unicode MS" w:eastAsia="Arial Unicode MS" w:hint="default"/>
                <w:b w:val="0"/>
                <w:bCs w:val="0"/>
                <w:i w:val="0"/>
                <w:iCs w:val="0"/>
                <w:sz w:val="18"/>
                <w:szCs w:val="18"/>
                <w:rtl w:val="0"/>
                <w:lang w:val="en-US"/>
              </w:rPr>
              <w:t>₁₁</w:t>
            </w:r>
            <w:r>
              <w:rPr>
                <w:rFonts w:ascii="Times New Roman" w:hAnsi="Times New Roman"/>
                <w:sz w:val="18"/>
                <w:szCs w:val="18"/>
                <w:rtl w:val="0"/>
                <w:lang w:val="en-US"/>
              </w:rPr>
              <w:t xml:space="preserve"> </w:t>
            </w:r>
            <w:r>
              <w:rPr>
                <w:rFonts w:ascii="Times New Roman" w:hAnsi="Times New Roman"/>
                <w:sz w:val="18"/>
                <w:szCs w:val="18"/>
                <w:rtl w:val="0"/>
                <w:lang w:val="en-US"/>
              </w:rPr>
              <w:t xml:space="preserve">= YᵀTY </w:t>
            </w:r>
            <w:r>
              <w:rPr>
                <w:rFonts w:ascii="Times New Roman" w:hAnsi="Times New Roman" w:hint="default"/>
                <w:sz w:val="18"/>
                <w:szCs w:val="18"/>
                <w:rtl w:val="0"/>
                <w:lang w:val="en-US"/>
              </w:rPr>
              <w:t xml:space="preserve">≥ </w:t>
            </w:r>
            <w:r>
              <w:rPr>
                <w:rFonts w:ascii="Times New Roman" w:hAnsi="Times New Roman"/>
                <w:sz w:val="18"/>
                <w:szCs w:val="18"/>
                <w:rtl w:val="0"/>
                <w:lang w:val="en-US"/>
              </w:rPr>
              <w:t>g</w:t>
            </w:r>
            <w:r>
              <w:rPr>
                <w:rFonts w:ascii="Times New Roman" w:hAnsi="Times New Roman" w:hint="default"/>
                <w:sz w:val="18"/>
                <w:szCs w:val="18"/>
                <w:rtl w:val="0"/>
                <w:lang w:val="en-US"/>
              </w:rPr>
              <w:t>²</w:t>
            </w:r>
            <w:r>
              <w:rPr>
                <w:rFonts w:ascii="Times New Roman" w:hAnsi="Times New Roman"/>
                <w:sz w:val="18"/>
                <w:szCs w:val="18"/>
                <w:rtl w:val="0"/>
                <w:lang w:val="en-US"/>
              </w:rPr>
              <w:t>I.</w:t>
            </w:r>
          </w:p>
        </w:tc>
        <w:tc>
          <w:tcPr>
            <w:tcW w:type="dxa" w:w="565"/>
            <w:tcBorders>
              <w:top w:val="nil"/>
              <w:left w:val="nil"/>
              <w:bottom w:val="nil"/>
              <w:right w:val="nil"/>
            </w:tcBorders>
            <w:shd w:val="clear" w:color="auto" w:fill="auto"/>
            <w:tcMar>
              <w:top w:type="dxa" w:w="80"/>
              <w:left w:type="dxa" w:w="80"/>
              <w:bottom w:type="dxa" w:w="80"/>
              <w:right w:type="dxa" w:w="80"/>
            </w:tcMar>
            <w:vAlign w:val="top"/>
          </w:tcPr>
          <w:p>
            <w:pPr>
              <w:pStyle w:val="Normal.0"/>
              <w:keepLines w:val="1"/>
              <w:spacing w:after="40" w:line="240" w:lineRule="auto"/>
              <w:ind w:firstLine="0"/>
              <w:jc w:val="right"/>
            </w:pPr>
            <w:r>
              <w:rPr>
                <w:sz w:val="18"/>
                <w:szCs w:val="18"/>
                <w:rtl w:val="0"/>
                <w:lang w:val="en-US"/>
              </w:rPr>
              <w:t>(33)</w:t>
            </w:r>
          </w:p>
        </w:tc>
      </w:tr>
    </w:tbl>
    <w:p>
      <w:pPr>
        <w:pStyle w:val="Normal.0"/>
        <w:widowControl w:val="0"/>
        <w:spacing w:after="80" w:line="240" w:lineRule="atLeast"/>
        <w:ind w:firstLine="0"/>
        <w:jc w:val="center"/>
      </w:pPr>
    </w:p>
    <w:p>
      <w:pPr>
        <w:pStyle w:val="Normal.0"/>
        <w:spacing w:after="80" w:line="240" w:lineRule="atLeast"/>
      </w:pPr>
      <w:r>
        <w:rPr>
          <w:sz w:val="22"/>
          <w:szCs w:val="22"/>
          <w:rtl w:val="0"/>
          <w:lang w:val="en-US"/>
        </w:rPr>
        <w:t>The matrix D</w:t>
      </w:r>
      <w:r>
        <w:rPr>
          <w:rFonts w:ascii="Arial Unicode MS" w:cs="Arial Unicode MS" w:hAnsi="Arial Unicode MS" w:eastAsia="Arial Unicode MS" w:hint="default"/>
          <w:b w:val="0"/>
          <w:bCs w:val="0"/>
          <w:i w:val="0"/>
          <w:iCs w:val="0"/>
          <w:sz w:val="22"/>
          <w:szCs w:val="22"/>
          <w:rtl w:val="0"/>
          <w:lang w:val="en-US"/>
        </w:rPr>
        <w:t>₀₀</w:t>
      </w:r>
      <w:r>
        <w:rPr>
          <w:sz w:val="22"/>
          <w:szCs w:val="22"/>
          <w:rtl w:val="0"/>
          <w:lang w:val="en-US"/>
        </w:rPr>
        <w:t xml:space="preserve"> </w:t>
      </w:r>
      <w:r>
        <w:rPr>
          <w:sz w:val="22"/>
          <w:szCs w:val="22"/>
          <w:rtl w:val="0"/>
          <w:lang w:val="en-US"/>
        </w:rPr>
        <w:t>is positive definite. Its eigenvalues v</w:t>
      </w:r>
      <w:r>
        <w:rPr>
          <w:rFonts w:ascii="Arial Unicode MS" w:cs="Arial Unicode MS" w:hAnsi="Arial Unicode MS" w:eastAsia="Arial Unicode MS" w:hint="default"/>
          <w:b w:val="0"/>
          <w:bCs w:val="0"/>
          <w:i w:val="0"/>
          <w:iCs w:val="0"/>
          <w:sz w:val="22"/>
          <w:szCs w:val="22"/>
          <w:rtl w:val="0"/>
          <w:lang w:val="en-US"/>
        </w:rPr>
        <w:t>₁</w:t>
      </w:r>
      <w:r>
        <w:rPr>
          <w:sz w:val="22"/>
          <w:szCs w:val="22"/>
          <w:rtl w:val="0"/>
          <w:lang w:val="en-US"/>
        </w:rPr>
        <w:t>²</w:t>
      </w:r>
      <w:r>
        <w:rPr>
          <w:sz w:val="22"/>
          <w:szCs w:val="22"/>
          <w:rtl w:val="0"/>
          <w:lang w:val="en-US"/>
        </w:rPr>
        <w:t>,</w:t>
      </w:r>
      <w:r>
        <w:rPr>
          <w:sz w:val="22"/>
          <w:szCs w:val="22"/>
          <w:rtl w:val="0"/>
          <w:lang w:val="en-US"/>
        </w:rPr>
        <w:t>…</w:t>
      </w:r>
      <w:r>
        <w:rPr>
          <w:sz w:val="22"/>
          <w:szCs w:val="22"/>
          <w:rtl w:val="0"/>
          <w:lang w:val="en-US"/>
        </w:rPr>
        <w:t>,vᵣ</w:t>
      </w:r>
      <w:r>
        <w:rPr>
          <w:sz w:val="22"/>
          <w:szCs w:val="22"/>
          <w:rtl w:val="0"/>
          <w:lang w:val="en-US"/>
        </w:rPr>
        <w:t xml:space="preserve">² </w:t>
      </w:r>
      <w:r>
        <w:rPr>
          <w:sz w:val="22"/>
          <w:szCs w:val="22"/>
          <w:rtl w:val="0"/>
          <w:lang w:val="en-US"/>
        </w:rPr>
        <w:t>determine the leading low-energy slopes:</w:t>
      </w:r>
    </w:p>
    <w:tbl>
      <w:tblPr>
        <w:tblW w:w="9411"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8846"/>
        <w:gridCol w:w="565"/>
      </w:tblGrid>
      <w:tr>
        <w:tblPrEx>
          <w:shd w:val="clear" w:color="auto" w:fill="ced7e7"/>
        </w:tblPrEx>
        <w:trPr>
          <w:trHeight w:val="220" w:hRule="atLeast"/>
        </w:trPr>
        <w:tc>
          <w:tcPr>
            <w:tcW w:type="dxa" w:w="8846"/>
            <w:tcBorders>
              <w:top w:val="nil"/>
              <w:left w:val="nil"/>
              <w:bottom w:val="nil"/>
              <w:right w:val="nil"/>
            </w:tcBorders>
            <w:shd w:val="clear" w:color="auto" w:fill="auto"/>
            <w:tcMar>
              <w:top w:type="dxa" w:w="80"/>
              <w:left w:type="dxa" w:w="80"/>
              <w:bottom w:type="dxa" w:w="80"/>
              <w:right w:type="dxa" w:w="80"/>
            </w:tcMar>
            <w:vAlign w:val="top"/>
          </w:tcPr>
          <w:p>
            <w:pPr>
              <w:pStyle w:val="Equation"/>
              <w:keepLines w:val="1"/>
              <w:spacing w:after="40"/>
              <w:ind w:firstLine="0"/>
            </w:pPr>
            <w:r>
              <w:rPr>
                <w:rFonts w:ascii="Times New Roman" w:hAnsi="Times New Roman" w:hint="default"/>
                <w:sz w:val="18"/>
                <w:szCs w:val="18"/>
                <w:rtl w:val="0"/>
                <w:lang w:val="en-US"/>
              </w:rPr>
              <w:t>ω²</w:t>
            </w:r>
            <w:r>
              <w:rPr>
                <w:rFonts w:ascii="Arial Unicode MS" w:cs="Arial Unicode MS" w:hAnsi="Arial Unicode MS" w:eastAsia="Arial Unicode MS" w:hint="default"/>
                <w:b w:val="0"/>
                <w:bCs w:val="0"/>
                <w:i w:val="0"/>
                <w:iCs w:val="0"/>
                <w:sz w:val="18"/>
                <w:szCs w:val="18"/>
                <w:rtl w:val="0"/>
                <w:lang w:val="en-US"/>
              </w:rPr>
              <w:t>ⱼ</w:t>
            </w:r>
            <w:r>
              <w:rPr>
                <w:rFonts w:ascii="Times New Roman" w:hAnsi="Times New Roman"/>
                <w:sz w:val="18"/>
                <w:szCs w:val="18"/>
                <w:rtl w:val="0"/>
                <w:lang w:val="en-US"/>
              </w:rPr>
              <w:t>(</w:t>
            </w:r>
            <w:r>
              <w:rPr>
                <w:rFonts w:ascii="Times New Roman" w:hAnsi="Times New Roman" w:hint="default"/>
                <w:sz w:val="18"/>
                <w:szCs w:val="18"/>
                <w:rtl w:val="0"/>
                <w:lang w:val="en-US"/>
              </w:rPr>
              <w:t>ν</w:t>
            </w:r>
            <w:r>
              <w:rPr>
                <w:rFonts w:ascii="Times New Roman" w:hAnsi="Times New Roman"/>
                <w:sz w:val="18"/>
                <w:szCs w:val="18"/>
                <w:rtl w:val="0"/>
                <w:lang w:val="en-US"/>
              </w:rPr>
              <w:t>) = v</w:t>
            </w:r>
            <w:r>
              <w:rPr>
                <w:rFonts w:ascii="Arial Unicode MS" w:cs="Arial Unicode MS" w:hAnsi="Arial Unicode MS" w:eastAsia="Arial Unicode MS" w:hint="default"/>
                <w:b w:val="0"/>
                <w:bCs w:val="0"/>
                <w:i w:val="0"/>
                <w:iCs w:val="0"/>
                <w:sz w:val="18"/>
                <w:szCs w:val="18"/>
                <w:rtl w:val="0"/>
                <w:lang w:val="en-US"/>
              </w:rPr>
              <w:t>ⱼ</w:t>
            </w:r>
            <w:r>
              <w:rPr>
                <w:rFonts w:ascii="Times New Roman" w:hAnsi="Times New Roman" w:hint="default"/>
                <w:sz w:val="18"/>
                <w:szCs w:val="18"/>
                <w:rtl w:val="0"/>
                <w:lang w:val="en-US"/>
              </w:rPr>
              <w:t xml:space="preserve">²ν </w:t>
            </w:r>
            <w:r>
              <w:rPr>
                <w:rFonts w:ascii="Times New Roman" w:hAnsi="Times New Roman"/>
                <w:sz w:val="18"/>
                <w:szCs w:val="18"/>
                <w:rtl w:val="0"/>
                <w:lang w:val="en-US"/>
              </w:rPr>
              <w:t>+ O(</w:t>
            </w:r>
            <w:r>
              <w:rPr>
                <w:rFonts w:ascii="Times New Roman" w:hAnsi="Times New Roman" w:hint="default"/>
                <w:sz w:val="18"/>
                <w:szCs w:val="18"/>
                <w:rtl w:val="0"/>
                <w:lang w:val="en-US"/>
              </w:rPr>
              <w:t>ν²</w:t>
            </w:r>
            <w:r>
              <w:rPr>
                <w:rFonts w:ascii="Times New Roman" w:hAnsi="Times New Roman"/>
                <w:sz w:val="18"/>
                <w:szCs w:val="18"/>
                <w:rtl w:val="0"/>
                <w:lang w:val="en-US"/>
              </w:rPr>
              <w:t>),     j = 1,</w:t>
            </w:r>
            <w:r>
              <w:rPr>
                <w:rFonts w:ascii="Times New Roman" w:hAnsi="Times New Roman" w:hint="default"/>
                <w:sz w:val="18"/>
                <w:szCs w:val="18"/>
                <w:rtl w:val="0"/>
                <w:lang w:val="en-US"/>
              </w:rPr>
              <w:t>…</w:t>
            </w:r>
            <w:r>
              <w:rPr>
                <w:rFonts w:ascii="Times New Roman" w:hAnsi="Times New Roman"/>
                <w:sz w:val="18"/>
                <w:szCs w:val="18"/>
                <w:rtl w:val="0"/>
                <w:lang w:val="en-US"/>
              </w:rPr>
              <w:t>,r.</w:t>
            </w:r>
          </w:p>
        </w:tc>
        <w:tc>
          <w:tcPr>
            <w:tcW w:type="dxa" w:w="565"/>
            <w:tcBorders>
              <w:top w:val="nil"/>
              <w:left w:val="nil"/>
              <w:bottom w:val="nil"/>
              <w:right w:val="nil"/>
            </w:tcBorders>
            <w:shd w:val="clear" w:color="auto" w:fill="auto"/>
            <w:tcMar>
              <w:top w:type="dxa" w:w="80"/>
              <w:left w:type="dxa" w:w="80"/>
              <w:bottom w:type="dxa" w:w="80"/>
              <w:right w:type="dxa" w:w="80"/>
            </w:tcMar>
            <w:vAlign w:val="top"/>
          </w:tcPr>
          <w:p>
            <w:pPr>
              <w:pStyle w:val="Normal.0"/>
              <w:keepLines w:val="1"/>
              <w:spacing w:after="40" w:line="240" w:lineRule="auto"/>
              <w:ind w:firstLine="0"/>
              <w:jc w:val="right"/>
            </w:pPr>
            <w:r>
              <w:rPr>
                <w:sz w:val="18"/>
                <w:szCs w:val="18"/>
                <w:rtl w:val="0"/>
                <w:lang w:val="en-US"/>
              </w:rPr>
              <w:t>(34)</w:t>
            </w:r>
          </w:p>
        </w:tc>
      </w:tr>
    </w:tbl>
    <w:p>
      <w:pPr>
        <w:pStyle w:val="Normal.0"/>
        <w:widowControl w:val="0"/>
        <w:spacing w:after="80" w:line="240" w:lineRule="atLeast"/>
        <w:ind w:firstLine="0"/>
        <w:jc w:val="center"/>
      </w:pPr>
    </w:p>
    <w:p>
      <w:pPr>
        <w:pStyle w:val="Normal.0"/>
        <w:spacing w:after="80" w:line="240" w:lineRule="atLeast"/>
      </w:pPr>
      <w:r>
        <w:rPr>
          <w:sz w:val="22"/>
          <w:szCs w:val="22"/>
          <w:rtl w:val="0"/>
          <w:lang w:val="en-US"/>
        </w:rPr>
        <w:t xml:space="preserve">It is the dimension r, not the number m of microscopic components, that determines the number of massless branches. On a finite graph this means r branches emanate from zero when </w:t>
      </w:r>
      <w:r>
        <w:rPr>
          <w:sz w:val="22"/>
          <w:szCs w:val="22"/>
          <w:rtl w:val="0"/>
          <w:lang w:val="en-US"/>
        </w:rPr>
        <w:t xml:space="preserve">ν </w:t>
      </w:r>
      <w:r>
        <w:rPr>
          <w:sz w:val="22"/>
          <w:szCs w:val="22"/>
          <w:rtl w:val="0"/>
          <w:lang w:val="en-US"/>
        </w:rPr>
        <w:t xml:space="preserve">is treated as a spectral parameter. A physical limit </w:t>
      </w:r>
      <w:r>
        <w:rPr>
          <w:sz w:val="22"/>
          <w:szCs w:val="22"/>
          <w:rtl w:val="0"/>
          <w:lang w:val="en-US"/>
        </w:rPr>
        <w:t xml:space="preserve">ν → </w:t>
      </w:r>
      <w:r>
        <w:rPr>
          <w:sz w:val="22"/>
          <w:szCs w:val="22"/>
          <w:rtl w:val="0"/>
          <w:lang w:val="en-US"/>
        </w:rPr>
        <w:t>0 requires a family of graphs or another controlled limiting procedure, because a single finite connected graph has a finite gap between the zero mode and the next spectral level.</w:t>
      </w:r>
    </w:p>
    <w:p>
      <w:pPr>
        <w:pStyle w:val="Заголовок 3"/>
        <w:spacing w:line="240" w:lineRule="atLeast"/>
        <w:rPr>
          <w:u w:val="single"/>
        </w:rPr>
      </w:pPr>
      <w:r>
        <w:rPr>
          <w:u w:val="single"/>
          <w:rtl w:val="0"/>
          <w:lang w:val="en-US"/>
        </w:rPr>
        <w:t>7.2. Elimination of Gapped Modes and Error Control</w:t>
      </w:r>
    </w:p>
    <w:p>
      <w:pPr>
        <w:pStyle w:val="Normal.0"/>
        <w:spacing w:after="80" w:line="240" w:lineRule="atLeast"/>
        <w:ind w:firstLine="0"/>
      </w:pPr>
      <w:r>
        <w:rPr>
          <w:sz w:val="22"/>
          <w:szCs w:val="22"/>
          <w:rtl w:val="0"/>
          <w:lang w:val="en-US"/>
        </w:rPr>
        <w:t>Write x = Z</w:t>
      </w:r>
      <w:r>
        <w:rPr>
          <w:sz w:val="22"/>
          <w:szCs w:val="22"/>
          <w:rtl w:val="0"/>
          <w:lang w:val="en-US"/>
        </w:rPr>
        <w:t xml:space="preserve">ξ </w:t>
      </w:r>
      <w:r>
        <w:rPr>
          <w:sz w:val="22"/>
          <w:szCs w:val="22"/>
          <w:rtl w:val="0"/>
          <w:lang w:val="en-US"/>
        </w:rPr>
        <w:t>+ Y</w:t>
      </w:r>
      <w:r>
        <w:rPr>
          <w:sz w:val="22"/>
          <w:szCs w:val="22"/>
          <w:rtl w:val="0"/>
          <w:lang w:val="en-US"/>
        </w:rPr>
        <w:t xml:space="preserve">ζ </w:t>
      </w:r>
      <w:r>
        <w:rPr>
          <w:sz w:val="22"/>
          <w:szCs w:val="22"/>
          <w:rtl w:val="0"/>
          <w:lang w:val="en-US"/>
        </w:rPr>
        <w:t xml:space="preserve">and z = </w:t>
      </w:r>
      <w:r>
        <w:rPr>
          <w:sz w:val="22"/>
          <w:szCs w:val="22"/>
          <w:rtl w:val="0"/>
          <w:lang w:val="en-US"/>
        </w:rPr>
        <w:t>ω²</w:t>
      </w:r>
      <w:r>
        <w:rPr>
          <w:sz w:val="22"/>
          <w:szCs w:val="22"/>
          <w:rtl w:val="0"/>
          <w:lang w:val="en-US"/>
        </w:rPr>
        <w:t>. The second block equation gives</w:t>
      </w:r>
    </w:p>
    <w:tbl>
      <w:tblPr>
        <w:tblW w:w="9411"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8846"/>
        <w:gridCol w:w="565"/>
      </w:tblGrid>
      <w:tr>
        <w:tblPrEx>
          <w:shd w:val="clear" w:color="auto" w:fill="ced7e7"/>
        </w:tblPrEx>
        <w:trPr>
          <w:trHeight w:val="241" w:hRule="atLeast"/>
        </w:trPr>
        <w:tc>
          <w:tcPr>
            <w:tcW w:type="dxa" w:w="8846"/>
            <w:tcBorders>
              <w:top w:val="nil"/>
              <w:left w:val="nil"/>
              <w:bottom w:val="nil"/>
              <w:right w:val="nil"/>
            </w:tcBorders>
            <w:shd w:val="clear" w:color="auto" w:fill="auto"/>
            <w:tcMar>
              <w:top w:type="dxa" w:w="80"/>
              <w:left w:type="dxa" w:w="80"/>
              <w:bottom w:type="dxa" w:w="80"/>
              <w:right w:type="dxa" w:w="80"/>
            </w:tcMar>
            <w:vAlign w:val="top"/>
          </w:tcPr>
          <w:p>
            <w:pPr>
              <w:pStyle w:val="Equation"/>
              <w:keepLines w:val="1"/>
              <w:spacing w:after="40"/>
              <w:ind w:firstLine="0"/>
            </w:pPr>
            <w:r>
              <w:rPr>
                <w:rFonts w:ascii="Times New Roman" w:hAnsi="Times New Roman" w:hint="default"/>
                <w:sz w:val="18"/>
                <w:szCs w:val="18"/>
                <w:rtl w:val="0"/>
                <w:lang w:val="en-US"/>
              </w:rPr>
              <w:t xml:space="preserve">ζ </w:t>
            </w:r>
            <w:r>
              <w:rPr>
                <w:rFonts w:ascii="Times New Roman" w:hAnsi="Times New Roman"/>
                <w:sz w:val="18"/>
                <w:szCs w:val="18"/>
                <w:rtl w:val="0"/>
                <w:lang w:val="en-US"/>
              </w:rPr>
              <w:t xml:space="preserve">= </w:t>
            </w:r>
            <w:r>
              <w:rPr>
                <w:rFonts w:ascii="Times New Roman" w:hAnsi="Times New Roman" w:hint="default"/>
                <w:sz w:val="18"/>
                <w:szCs w:val="18"/>
                <w:rtl w:val="0"/>
                <w:lang w:val="en-US"/>
              </w:rPr>
              <w:t>−ν</w:t>
            </w:r>
            <w:r>
              <w:rPr>
                <w:rFonts w:ascii="Times New Roman" w:hAnsi="Times New Roman"/>
                <w:sz w:val="18"/>
                <w:szCs w:val="18"/>
                <w:rtl w:val="0"/>
                <w:lang w:val="en-US"/>
              </w:rPr>
              <w:t>(T</w:t>
            </w:r>
            <w:r>
              <w:rPr>
                <w:rFonts w:ascii="Arial Unicode MS" w:cs="Arial Unicode MS" w:hAnsi="Arial Unicode MS" w:eastAsia="Arial Unicode MS" w:hint="default"/>
                <w:b w:val="0"/>
                <w:bCs w:val="0"/>
                <w:i w:val="0"/>
                <w:iCs w:val="0"/>
                <w:sz w:val="18"/>
                <w:szCs w:val="18"/>
                <w:rtl w:val="0"/>
                <w:lang w:val="en-US"/>
              </w:rPr>
              <w:t>₁₁</w:t>
            </w:r>
            <w:r>
              <w:rPr>
                <w:rFonts w:ascii="Times New Roman" w:hAnsi="Times New Roman"/>
                <w:sz w:val="18"/>
                <w:szCs w:val="18"/>
                <w:rtl w:val="0"/>
                <w:lang w:val="en-US"/>
              </w:rPr>
              <w:t xml:space="preserve"> </w:t>
            </w:r>
            <w:r>
              <w:rPr>
                <w:rFonts w:ascii="Times New Roman" w:hAnsi="Times New Roman"/>
                <w:sz w:val="18"/>
                <w:szCs w:val="18"/>
                <w:rtl w:val="0"/>
                <w:lang w:val="en-US"/>
              </w:rPr>
              <w:t xml:space="preserve">+ </w:t>
            </w:r>
            <w:r>
              <w:rPr>
                <w:rFonts w:ascii="Times New Roman" w:hAnsi="Times New Roman" w:hint="default"/>
                <w:sz w:val="18"/>
                <w:szCs w:val="18"/>
                <w:rtl w:val="0"/>
                <w:lang w:val="en-US"/>
              </w:rPr>
              <w:t>ν</w:t>
            </w:r>
            <w:r>
              <w:rPr>
                <w:rFonts w:ascii="Times New Roman" w:hAnsi="Times New Roman"/>
                <w:sz w:val="18"/>
                <w:szCs w:val="18"/>
                <w:rtl w:val="0"/>
                <w:lang w:val="en-US"/>
              </w:rPr>
              <w:t>D</w:t>
            </w:r>
            <w:r>
              <w:rPr>
                <w:rFonts w:ascii="Arial Unicode MS" w:cs="Arial Unicode MS" w:hAnsi="Arial Unicode MS" w:eastAsia="Arial Unicode MS" w:hint="default"/>
                <w:b w:val="0"/>
                <w:bCs w:val="0"/>
                <w:i w:val="0"/>
                <w:iCs w:val="0"/>
                <w:sz w:val="18"/>
                <w:szCs w:val="18"/>
                <w:rtl w:val="0"/>
                <w:lang w:val="en-US"/>
              </w:rPr>
              <w:t>₁₁</w:t>
            </w:r>
            <w:r>
              <w:rPr>
                <w:rFonts w:ascii="Times New Roman" w:hAnsi="Times New Roman" w:hint="default"/>
                <w:sz w:val="18"/>
                <w:szCs w:val="18"/>
                <w:rtl w:val="0"/>
                <w:lang w:val="en-US"/>
              </w:rPr>
              <w:t xml:space="preserve"> − </w:t>
            </w:r>
            <w:r>
              <w:rPr>
                <w:rFonts w:ascii="Times New Roman" w:hAnsi="Times New Roman"/>
                <w:sz w:val="18"/>
                <w:szCs w:val="18"/>
                <w:rtl w:val="0"/>
                <w:lang w:val="en-US"/>
              </w:rPr>
              <w:t>zI)</w:t>
            </w:r>
            <w:r>
              <w:rPr>
                <w:rFonts w:ascii="Arial Unicode MS" w:cs="Arial Unicode MS" w:hAnsi="Arial Unicode MS" w:eastAsia="Arial Unicode MS" w:hint="default"/>
                <w:b w:val="0"/>
                <w:bCs w:val="0"/>
                <w:i w:val="0"/>
                <w:iCs w:val="0"/>
                <w:sz w:val="18"/>
                <w:szCs w:val="18"/>
                <w:rtl w:val="0"/>
                <w:lang w:val="en-US"/>
              </w:rPr>
              <w:t>⁻</w:t>
            </w:r>
            <w:r>
              <w:rPr>
                <w:rFonts w:ascii="Times New Roman" w:hAnsi="Times New Roman" w:hint="default"/>
                <w:sz w:val="18"/>
                <w:szCs w:val="18"/>
                <w:rtl w:val="0"/>
                <w:lang w:val="en-US"/>
              </w:rPr>
              <w:t>¹</w:t>
            </w:r>
            <w:r>
              <w:rPr>
                <w:rFonts w:ascii="Times New Roman" w:hAnsi="Times New Roman"/>
                <w:sz w:val="18"/>
                <w:szCs w:val="18"/>
                <w:rtl w:val="0"/>
                <w:lang w:val="en-US"/>
              </w:rPr>
              <w:t>D</w:t>
            </w:r>
            <w:r>
              <w:rPr>
                <w:rFonts w:ascii="Arial Unicode MS" w:cs="Arial Unicode MS" w:hAnsi="Arial Unicode MS" w:eastAsia="Arial Unicode MS" w:hint="default"/>
                <w:b w:val="0"/>
                <w:bCs w:val="0"/>
                <w:i w:val="0"/>
                <w:iCs w:val="0"/>
                <w:sz w:val="18"/>
                <w:szCs w:val="18"/>
                <w:rtl w:val="0"/>
                <w:lang w:val="en-US"/>
              </w:rPr>
              <w:t>₁₀</w:t>
            </w:r>
            <w:r>
              <w:rPr>
                <w:rFonts w:ascii="Times New Roman" w:hAnsi="Times New Roman" w:hint="default"/>
                <w:sz w:val="18"/>
                <w:szCs w:val="18"/>
                <w:rtl w:val="0"/>
                <w:lang w:val="en-US"/>
              </w:rPr>
              <w:t>ξ</w:t>
            </w:r>
            <w:r>
              <w:rPr>
                <w:rFonts w:ascii="Times New Roman" w:hAnsi="Times New Roman"/>
                <w:sz w:val="18"/>
                <w:szCs w:val="18"/>
                <w:rtl w:val="0"/>
                <w:lang w:val="en-US"/>
              </w:rPr>
              <w:t>.</w:t>
            </w:r>
          </w:p>
        </w:tc>
        <w:tc>
          <w:tcPr>
            <w:tcW w:type="dxa" w:w="565"/>
            <w:tcBorders>
              <w:top w:val="nil"/>
              <w:left w:val="nil"/>
              <w:bottom w:val="nil"/>
              <w:right w:val="nil"/>
            </w:tcBorders>
            <w:shd w:val="clear" w:color="auto" w:fill="auto"/>
            <w:tcMar>
              <w:top w:type="dxa" w:w="80"/>
              <w:left w:type="dxa" w:w="80"/>
              <w:bottom w:type="dxa" w:w="80"/>
              <w:right w:type="dxa" w:w="80"/>
            </w:tcMar>
            <w:vAlign w:val="top"/>
          </w:tcPr>
          <w:p>
            <w:pPr>
              <w:pStyle w:val="Normal.0"/>
              <w:keepLines w:val="1"/>
              <w:spacing w:after="40" w:line="240" w:lineRule="auto"/>
              <w:ind w:firstLine="0"/>
              <w:jc w:val="right"/>
            </w:pPr>
            <w:r>
              <w:rPr>
                <w:sz w:val="18"/>
                <w:szCs w:val="18"/>
                <w:rtl w:val="0"/>
                <w:lang w:val="en-US"/>
              </w:rPr>
              <w:t>(35)</w:t>
            </w:r>
          </w:p>
        </w:tc>
      </w:tr>
    </w:tbl>
    <w:p>
      <w:pPr>
        <w:pStyle w:val="Normal.0"/>
        <w:widowControl w:val="0"/>
        <w:spacing w:after="80" w:line="240" w:lineRule="atLeast"/>
        <w:ind w:firstLine="0"/>
        <w:jc w:val="center"/>
      </w:pPr>
    </w:p>
    <w:p>
      <w:pPr>
        <w:pStyle w:val="Normal.0"/>
        <w:spacing w:after="80" w:line="240" w:lineRule="atLeast"/>
      </w:pPr>
      <w:r>
        <w:rPr>
          <w:sz w:val="22"/>
          <w:szCs w:val="22"/>
          <w:rtl w:val="0"/>
          <w:lang w:val="en-US"/>
        </w:rPr>
        <w:t>Substitution into the first block yields the exact Schur-complement equation whenever the indicated inverse exists:</w:t>
      </w:r>
    </w:p>
    <w:tbl>
      <w:tblPr>
        <w:tblW w:w="9411"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8846"/>
        <w:gridCol w:w="565"/>
      </w:tblGrid>
      <w:tr>
        <w:tblPrEx>
          <w:shd w:val="clear" w:color="auto" w:fill="ced7e7"/>
        </w:tblPrEx>
        <w:trPr>
          <w:trHeight w:val="241" w:hRule="atLeast"/>
        </w:trPr>
        <w:tc>
          <w:tcPr>
            <w:tcW w:type="dxa" w:w="8846"/>
            <w:tcBorders>
              <w:top w:val="nil"/>
              <w:left w:val="nil"/>
              <w:bottom w:val="nil"/>
              <w:right w:val="nil"/>
            </w:tcBorders>
            <w:shd w:val="clear" w:color="auto" w:fill="auto"/>
            <w:tcMar>
              <w:top w:type="dxa" w:w="80"/>
              <w:left w:type="dxa" w:w="80"/>
              <w:bottom w:type="dxa" w:w="80"/>
              <w:right w:type="dxa" w:w="80"/>
            </w:tcMar>
            <w:vAlign w:val="top"/>
          </w:tcPr>
          <w:p>
            <w:pPr>
              <w:pStyle w:val="Equation"/>
              <w:keepLines w:val="1"/>
              <w:spacing w:after="40"/>
              <w:ind w:firstLine="0"/>
            </w:pPr>
            <w:r>
              <w:rPr>
                <w:rFonts w:ascii="Times New Roman" w:hAnsi="Times New Roman"/>
                <w:sz w:val="18"/>
                <w:szCs w:val="18"/>
                <w:rtl w:val="0"/>
                <w:lang w:val="en-US"/>
              </w:rPr>
              <w:t>[</w:t>
            </w:r>
            <w:r>
              <w:rPr>
                <w:rFonts w:ascii="Times New Roman" w:hAnsi="Times New Roman" w:hint="default"/>
                <w:sz w:val="18"/>
                <w:szCs w:val="18"/>
                <w:rtl w:val="0"/>
                <w:lang w:val="en-US"/>
              </w:rPr>
              <w:t>ν</w:t>
            </w:r>
            <w:r>
              <w:rPr>
                <w:rFonts w:ascii="Times New Roman" w:hAnsi="Times New Roman"/>
                <w:sz w:val="18"/>
                <w:szCs w:val="18"/>
                <w:rtl w:val="0"/>
                <w:lang w:val="en-US"/>
              </w:rPr>
              <w:t>D</w:t>
            </w:r>
            <w:r>
              <w:rPr>
                <w:rFonts w:ascii="Arial Unicode MS" w:cs="Arial Unicode MS" w:hAnsi="Arial Unicode MS" w:eastAsia="Arial Unicode MS" w:hint="default"/>
                <w:b w:val="0"/>
                <w:bCs w:val="0"/>
                <w:i w:val="0"/>
                <w:iCs w:val="0"/>
                <w:sz w:val="18"/>
                <w:szCs w:val="18"/>
                <w:rtl w:val="0"/>
                <w:lang w:val="en-US"/>
              </w:rPr>
              <w:t>₀₀</w:t>
            </w:r>
            <w:r>
              <w:rPr>
                <w:rFonts w:ascii="Times New Roman" w:hAnsi="Times New Roman" w:hint="default"/>
                <w:sz w:val="18"/>
                <w:szCs w:val="18"/>
                <w:rtl w:val="0"/>
                <w:lang w:val="en-US"/>
              </w:rPr>
              <w:t xml:space="preserve"> − </w:t>
            </w:r>
            <w:r>
              <w:rPr>
                <w:rFonts w:ascii="Times New Roman" w:hAnsi="Times New Roman"/>
                <w:sz w:val="18"/>
                <w:szCs w:val="18"/>
                <w:rtl w:val="0"/>
                <w:lang w:val="en-US"/>
              </w:rPr>
              <w:t xml:space="preserve">zI </w:t>
            </w:r>
            <w:r>
              <w:rPr>
                <w:rFonts w:ascii="Times New Roman" w:hAnsi="Times New Roman" w:hint="default"/>
                <w:sz w:val="18"/>
                <w:szCs w:val="18"/>
                <w:rtl w:val="0"/>
                <w:lang w:val="en-US"/>
              </w:rPr>
              <w:t>− ν²</w:t>
            </w:r>
            <w:r>
              <w:rPr>
                <w:rFonts w:ascii="Times New Roman" w:hAnsi="Times New Roman"/>
                <w:sz w:val="18"/>
                <w:szCs w:val="18"/>
                <w:rtl w:val="0"/>
                <w:lang w:val="en-US"/>
              </w:rPr>
              <w:t>D</w:t>
            </w:r>
            <w:r>
              <w:rPr>
                <w:rFonts w:ascii="Arial Unicode MS" w:cs="Arial Unicode MS" w:hAnsi="Arial Unicode MS" w:eastAsia="Arial Unicode MS" w:hint="default"/>
                <w:b w:val="0"/>
                <w:bCs w:val="0"/>
                <w:i w:val="0"/>
                <w:iCs w:val="0"/>
                <w:sz w:val="18"/>
                <w:szCs w:val="18"/>
                <w:rtl w:val="0"/>
                <w:lang w:val="en-US"/>
              </w:rPr>
              <w:t>₀₁</w:t>
            </w:r>
            <w:r>
              <w:rPr>
                <w:rFonts w:ascii="Times New Roman" w:hAnsi="Times New Roman"/>
                <w:sz w:val="18"/>
                <w:szCs w:val="18"/>
                <w:rtl w:val="0"/>
                <w:lang w:val="en-US"/>
              </w:rPr>
              <w:t>(T</w:t>
            </w:r>
            <w:r>
              <w:rPr>
                <w:rFonts w:ascii="Arial Unicode MS" w:cs="Arial Unicode MS" w:hAnsi="Arial Unicode MS" w:eastAsia="Arial Unicode MS" w:hint="default"/>
                <w:b w:val="0"/>
                <w:bCs w:val="0"/>
                <w:i w:val="0"/>
                <w:iCs w:val="0"/>
                <w:sz w:val="18"/>
                <w:szCs w:val="18"/>
                <w:rtl w:val="0"/>
                <w:lang w:val="en-US"/>
              </w:rPr>
              <w:t>₁₁</w:t>
            </w:r>
            <w:r>
              <w:rPr>
                <w:rFonts w:ascii="Times New Roman" w:hAnsi="Times New Roman"/>
                <w:sz w:val="18"/>
                <w:szCs w:val="18"/>
                <w:rtl w:val="0"/>
                <w:lang w:val="en-US"/>
              </w:rPr>
              <w:t xml:space="preserve"> </w:t>
            </w:r>
            <w:r>
              <w:rPr>
                <w:rFonts w:ascii="Times New Roman" w:hAnsi="Times New Roman"/>
                <w:sz w:val="18"/>
                <w:szCs w:val="18"/>
                <w:rtl w:val="0"/>
                <w:lang w:val="en-US"/>
              </w:rPr>
              <w:t xml:space="preserve">+ </w:t>
            </w:r>
            <w:r>
              <w:rPr>
                <w:rFonts w:ascii="Times New Roman" w:hAnsi="Times New Roman" w:hint="default"/>
                <w:sz w:val="18"/>
                <w:szCs w:val="18"/>
                <w:rtl w:val="0"/>
                <w:lang w:val="en-US"/>
              </w:rPr>
              <w:t>ν</w:t>
            </w:r>
            <w:r>
              <w:rPr>
                <w:rFonts w:ascii="Times New Roman" w:hAnsi="Times New Roman"/>
                <w:sz w:val="18"/>
                <w:szCs w:val="18"/>
                <w:rtl w:val="0"/>
                <w:lang w:val="en-US"/>
              </w:rPr>
              <w:t>D</w:t>
            </w:r>
            <w:r>
              <w:rPr>
                <w:rFonts w:ascii="Arial Unicode MS" w:cs="Arial Unicode MS" w:hAnsi="Arial Unicode MS" w:eastAsia="Arial Unicode MS" w:hint="default"/>
                <w:b w:val="0"/>
                <w:bCs w:val="0"/>
                <w:i w:val="0"/>
                <w:iCs w:val="0"/>
                <w:sz w:val="18"/>
                <w:szCs w:val="18"/>
                <w:rtl w:val="0"/>
                <w:lang w:val="en-US"/>
              </w:rPr>
              <w:t>₁₁</w:t>
            </w:r>
            <w:r>
              <w:rPr>
                <w:rFonts w:ascii="Times New Roman" w:hAnsi="Times New Roman" w:hint="default"/>
                <w:sz w:val="18"/>
                <w:szCs w:val="18"/>
                <w:rtl w:val="0"/>
                <w:lang w:val="en-US"/>
              </w:rPr>
              <w:t xml:space="preserve"> − </w:t>
            </w:r>
            <w:r>
              <w:rPr>
                <w:rFonts w:ascii="Times New Roman" w:hAnsi="Times New Roman"/>
                <w:sz w:val="18"/>
                <w:szCs w:val="18"/>
                <w:rtl w:val="0"/>
                <w:lang w:val="en-US"/>
              </w:rPr>
              <w:t>zI)</w:t>
            </w:r>
            <w:r>
              <w:rPr>
                <w:rFonts w:ascii="Arial Unicode MS" w:cs="Arial Unicode MS" w:hAnsi="Arial Unicode MS" w:eastAsia="Arial Unicode MS" w:hint="default"/>
                <w:b w:val="0"/>
                <w:bCs w:val="0"/>
                <w:i w:val="0"/>
                <w:iCs w:val="0"/>
                <w:sz w:val="18"/>
                <w:szCs w:val="18"/>
                <w:rtl w:val="0"/>
                <w:lang w:val="en-US"/>
              </w:rPr>
              <w:t>⁻</w:t>
            </w:r>
            <w:r>
              <w:rPr>
                <w:rFonts w:ascii="Times New Roman" w:hAnsi="Times New Roman" w:hint="default"/>
                <w:sz w:val="18"/>
                <w:szCs w:val="18"/>
                <w:rtl w:val="0"/>
                <w:lang w:val="en-US"/>
              </w:rPr>
              <w:t>¹</w:t>
            </w:r>
            <w:r>
              <w:rPr>
                <w:rFonts w:ascii="Times New Roman" w:hAnsi="Times New Roman"/>
                <w:sz w:val="18"/>
                <w:szCs w:val="18"/>
                <w:rtl w:val="0"/>
                <w:lang w:val="en-US"/>
              </w:rPr>
              <w:t>D</w:t>
            </w:r>
            <w:r>
              <w:rPr>
                <w:rFonts w:ascii="Arial Unicode MS" w:cs="Arial Unicode MS" w:hAnsi="Arial Unicode MS" w:eastAsia="Arial Unicode MS" w:hint="default"/>
                <w:b w:val="0"/>
                <w:bCs w:val="0"/>
                <w:i w:val="0"/>
                <w:iCs w:val="0"/>
                <w:sz w:val="18"/>
                <w:szCs w:val="18"/>
                <w:rtl w:val="0"/>
                <w:lang w:val="en-US"/>
              </w:rPr>
              <w:t>₁₀</w:t>
            </w:r>
            <w:r>
              <w:rPr>
                <w:rFonts w:ascii="Times New Roman" w:hAnsi="Times New Roman"/>
                <w:sz w:val="18"/>
                <w:szCs w:val="18"/>
                <w:rtl w:val="0"/>
                <w:lang w:val="en-US"/>
              </w:rPr>
              <w:t>]</w:t>
            </w:r>
            <w:r>
              <w:rPr>
                <w:rFonts w:ascii="Times New Roman" w:hAnsi="Times New Roman" w:hint="default"/>
                <w:sz w:val="18"/>
                <w:szCs w:val="18"/>
                <w:rtl w:val="0"/>
                <w:lang w:val="en-US"/>
              </w:rPr>
              <w:t xml:space="preserve">ξ </w:t>
            </w:r>
            <w:r>
              <w:rPr>
                <w:rFonts w:ascii="Times New Roman" w:hAnsi="Times New Roman"/>
                <w:sz w:val="18"/>
                <w:szCs w:val="18"/>
                <w:rtl w:val="0"/>
                <w:lang w:val="en-US"/>
              </w:rPr>
              <w:t>= 0.</w:t>
            </w:r>
          </w:p>
        </w:tc>
        <w:tc>
          <w:tcPr>
            <w:tcW w:type="dxa" w:w="565"/>
            <w:tcBorders>
              <w:top w:val="nil"/>
              <w:left w:val="nil"/>
              <w:bottom w:val="nil"/>
              <w:right w:val="nil"/>
            </w:tcBorders>
            <w:shd w:val="clear" w:color="auto" w:fill="auto"/>
            <w:tcMar>
              <w:top w:type="dxa" w:w="80"/>
              <w:left w:type="dxa" w:w="80"/>
              <w:bottom w:type="dxa" w:w="80"/>
              <w:right w:type="dxa" w:w="80"/>
            </w:tcMar>
            <w:vAlign w:val="top"/>
          </w:tcPr>
          <w:p>
            <w:pPr>
              <w:pStyle w:val="Normal.0"/>
              <w:keepLines w:val="1"/>
              <w:spacing w:after="40" w:line="240" w:lineRule="auto"/>
              <w:ind w:firstLine="0"/>
              <w:jc w:val="right"/>
            </w:pPr>
            <w:r>
              <w:rPr>
                <w:sz w:val="18"/>
                <w:szCs w:val="18"/>
                <w:rtl w:val="0"/>
                <w:lang w:val="en-US"/>
              </w:rPr>
              <w:t>(36)</w:t>
            </w:r>
          </w:p>
        </w:tc>
      </w:tr>
    </w:tbl>
    <w:p>
      <w:pPr>
        <w:pStyle w:val="Normal.0"/>
        <w:widowControl w:val="0"/>
        <w:spacing w:after="80" w:line="240" w:lineRule="atLeast"/>
        <w:ind w:firstLine="0"/>
        <w:jc w:val="center"/>
      </w:pPr>
    </w:p>
    <w:p>
      <w:pPr>
        <w:pStyle w:val="Normal.0"/>
        <w:spacing w:after="80" w:line="240" w:lineRule="atLeast"/>
      </w:pPr>
      <w:r>
        <w:rPr>
          <w:sz w:val="22"/>
          <w:szCs w:val="22"/>
          <w:rtl w:val="0"/>
          <w:lang w:val="en-US"/>
        </w:rPr>
        <w:t xml:space="preserve">For 0 </w:t>
      </w:r>
      <w:r>
        <w:rPr>
          <w:sz w:val="22"/>
          <w:szCs w:val="22"/>
          <w:rtl w:val="0"/>
          <w:lang w:val="en-US"/>
        </w:rPr>
        <w:t xml:space="preserve">≤ </w:t>
      </w:r>
      <w:r>
        <w:rPr>
          <w:sz w:val="22"/>
          <w:szCs w:val="22"/>
          <w:rtl w:val="0"/>
          <w:lang w:val="en-US"/>
        </w:rPr>
        <w:t xml:space="preserve">z </w:t>
      </w:r>
      <w:r>
        <w:rPr>
          <w:sz w:val="22"/>
          <w:szCs w:val="22"/>
          <w:rtl w:val="0"/>
          <w:lang w:val="en-US"/>
        </w:rPr>
        <w:t xml:space="preserve">≤ </w:t>
      </w:r>
      <w:r>
        <w:rPr>
          <w:sz w:val="22"/>
          <w:szCs w:val="22"/>
          <w:rtl w:val="0"/>
          <w:lang w:val="en-US"/>
        </w:rPr>
        <w:t>g</w:t>
      </w:r>
      <w:r>
        <w:rPr>
          <w:sz w:val="22"/>
          <w:szCs w:val="22"/>
          <w:rtl w:val="0"/>
          <w:lang w:val="en-US"/>
        </w:rPr>
        <w:t>²</w:t>
      </w:r>
      <w:r>
        <w:rPr>
          <w:sz w:val="22"/>
          <w:szCs w:val="22"/>
          <w:rtl w:val="0"/>
          <w:lang w:val="en-US"/>
        </w:rPr>
        <w:t xml:space="preserve">/2 and </w:t>
      </w:r>
      <w:r>
        <w:rPr>
          <w:sz w:val="22"/>
          <w:szCs w:val="22"/>
          <w:rtl w:val="0"/>
          <w:lang w:val="en-US"/>
        </w:rPr>
        <w:t xml:space="preserve">ν ≥ </w:t>
      </w:r>
      <w:r>
        <w:rPr>
          <w:sz w:val="22"/>
          <w:szCs w:val="22"/>
          <w:rtl w:val="0"/>
          <w:lang w:val="en-US"/>
        </w:rPr>
        <w:t>0, the norm of the inverse is at most 2/g</w:t>
      </w:r>
      <w:r>
        <w:rPr>
          <w:sz w:val="22"/>
          <w:szCs w:val="22"/>
          <w:rtl w:val="0"/>
          <w:lang w:val="en-US"/>
        </w:rPr>
        <w:t>²</w:t>
      </w:r>
      <w:r>
        <w:rPr>
          <w:sz w:val="22"/>
          <w:szCs w:val="22"/>
          <w:rtl w:val="0"/>
          <w:lang w:val="en-US"/>
        </w:rPr>
        <w:t xml:space="preserve">. Hence the norm of the correction to </w:t>
      </w:r>
      <w:r>
        <w:rPr>
          <w:sz w:val="22"/>
          <w:szCs w:val="22"/>
          <w:rtl w:val="0"/>
          <w:lang w:val="en-US"/>
        </w:rPr>
        <w:t>ν</w:t>
      </w:r>
      <w:r>
        <w:rPr>
          <w:sz w:val="22"/>
          <w:szCs w:val="22"/>
          <w:rtl w:val="0"/>
          <w:lang w:val="en-US"/>
        </w:rPr>
        <w:t>D</w:t>
      </w:r>
      <w:r>
        <w:rPr>
          <w:rFonts w:ascii="Arial Unicode MS" w:cs="Arial Unicode MS" w:hAnsi="Arial Unicode MS" w:eastAsia="Arial Unicode MS" w:hint="default"/>
          <w:b w:val="0"/>
          <w:bCs w:val="0"/>
          <w:i w:val="0"/>
          <w:iCs w:val="0"/>
          <w:sz w:val="22"/>
          <w:szCs w:val="22"/>
          <w:rtl w:val="0"/>
          <w:lang w:val="en-US"/>
        </w:rPr>
        <w:t>₀₀</w:t>
      </w:r>
      <w:r>
        <w:rPr>
          <w:sz w:val="22"/>
          <w:szCs w:val="22"/>
          <w:rtl w:val="0"/>
          <w:lang w:val="en-US"/>
        </w:rPr>
        <w:t xml:space="preserve"> − </w:t>
      </w:r>
      <w:r>
        <w:rPr>
          <w:sz w:val="22"/>
          <w:szCs w:val="22"/>
          <w:rtl w:val="0"/>
          <w:lang w:val="en-US"/>
        </w:rPr>
        <w:t>zI is bounded by 2</w:t>
      </w:r>
      <w:r>
        <w:rPr>
          <w:sz w:val="22"/>
          <w:szCs w:val="22"/>
          <w:rtl w:val="0"/>
          <w:lang w:val="en-US"/>
        </w:rPr>
        <w:t>ν²‖</w:t>
      </w:r>
      <w:r>
        <w:rPr>
          <w:sz w:val="22"/>
          <w:szCs w:val="22"/>
          <w:rtl w:val="0"/>
          <w:lang w:val="en-US"/>
        </w:rPr>
        <w:t>D</w:t>
      </w:r>
      <w:r>
        <w:rPr>
          <w:sz w:val="22"/>
          <w:szCs w:val="22"/>
          <w:rtl w:val="0"/>
          <w:lang w:val="en-US"/>
        </w:rPr>
        <w:t>‖²</w:t>
      </w:r>
      <w:r>
        <w:rPr>
          <w:sz w:val="22"/>
          <w:szCs w:val="22"/>
          <w:rtl w:val="0"/>
          <w:lang w:val="en-US"/>
        </w:rPr>
        <w:t>/g</w:t>
      </w:r>
      <w:r>
        <w:rPr>
          <w:sz w:val="22"/>
          <w:szCs w:val="22"/>
          <w:rtl w:val="0"/>
          <w:lang w:val="en-US"/>
        </w:rPr>
        <w:t>²</w:t>
      </w:r>
      <w:r>
        <w:rPr>
          <w:sz w:val="22"/>
          <w:szCs w:val="22"/>
          <w:rtl w:val="0"/>
          <w:lang w:val="en-US"/>
        </w:rPr>
        <w:t xml:space="preserve">. The condition </w:t>
      </w:r>
      <w:r>
        <w:rPr>
          <w:sz w:val="22"/>
          <w:szCs w:val="22"/>
          <w:rtl w:val="0"/>
          <w:lang w:val="en-US"/>
        </w:rPr>
        <w:t>ν‖</w:t>
      </w:r>
      <w:r>
        <w:rPr>
          <w:sz w:val="22"/>
          <w:szCs w:val="22"/>
          <w:rtl w:val="0"/>
          <w:lang w:val="en-US"/>
        </w:rPr>
        <w:t>D</w:t>
      </w:r>
      <w:r>
        <w:rPr>
          <w:sz w:val="22"/>
          <w:szCs w:val="22"/>
          <w:rtl w:val="0"/>
          <w:lang w:val="en-US"/>
        </w:rPr>
        <w:t xml:space="preserve">‖ </w:t>
      </w:r>
      <w:r>
        <w:rPr>
          <w:rFonts w:ascii="Arial Unicode MS" w:cs="Arial Unicode MS" w:hAnsi="Arial Unicode MS" w:eastAsia="Arial Unicode MS" w:hint="default"/>
          <w:b w:val="0"/>
          <w:bCs w:val="0"/>
          <w:i w:val="0"/>
          <w:iCs w:val="0"/>
          <w:sz w:val="22"/>
          <w:szCs w:val="22"/>
          <w:rtl w:val="0"/>
          <w:lang w:val="en-US"/>
        </w:rPr>
        <w:t>≪</w:t>
      </w:r>
      <w:r>
        <w:rPr>
          <w:sz w:val="22"/>
          <w:szCs w:val="22"/>
          <w:rtl w:val="0"/>
          <w:lang w:val="en-US"/>
        </w:rPr>
        <w:t xml:space="preserve"> </w:t>
      </w:r>
      <w:r>
        <w:rPr>
          <w:sz w:val="22"/>
          <w:szCs w:val="22"/>
          <w:rtl w:val="0"/>
          <w:lang w:val="en-US"/>
        </w:rPr>
        <w:t>g</w:t>
      </w:r>
      <w:r>
        <w:rPr>
          <w:sz w:val="22"/>
          <w:szCs w:val="22"/>
          <w:rtl w:val="0"/>
          <w:lang w:val="en-US"/>
        </w:rPr>
        <w:t xml:space="preserve">² </w:t>
      </w:r>
      <w:r>
        <w:rPr>
          <w:sz w:val="22"/>
          <w:szCs w:val="22"/>
          <w:rtl w:val="0"/>
          <w:lang w:val="en-US"/>
        </w:rPr>
        <w:t>controls the elimination of the gapped modes. Expansion gives</w:t>
      </w:r>
    </w:p>
    <w:tbl>
      <w:tblPr>
        <w:tblW w:w="9411"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8846"/>
        <w:gridCol w:w="565"/>
      </w:tblGrid>
      <w:tr>
        <w:tblPrEx>
          <w:shd w:val="clear" w:color="auto" w:fill="ced7e7"/>
        </w:tblPrEx>
        <w:trPr>
          <w:trHeight w:val="241" w:hRule="atLeast"/>
        </w:trPr>
        <w:tc>
          <w:tcPr>
            <w:tcW w:type="dxa" w:w="8846"/>
            <w:tcBorders>
              <w:top w:val="nil"/>
              <w:left w:val="nil"/>
              <w:bottom w:val="nil"/>
              <w:right w:val="nil"/>
            </w:tcBorders>
            <w:shd w:val="clear" w:color="auto" w:fill="auto"/>
            <w:tcMar>
              <w:top w:type="dxa" w:w="80"/>
              <w:left w:type="dxa" w:w="80"/>
              <w:bottom w:type="dxa" w:w="80"/>
              <w:right w:type="dxa" w:w="80"/>
            </w:tcMar>
            <w:vAlign w:val="top"/>
          </w:tcPr>
          <w:p>
            <w:pPr>
              <w:pStyle w:val="Equation"/>
              <w:keepLines w:val="1"/>
              <w:spacing w:after="40"/>
              <w:ind w:firstLine="0"/>
            </w:pPr>
            <w:r>
              <w:rPr>
                <w:rFonts w:ascii="Times New Roman" w:hAnsi="Times New Roman" w:hint="default"/>
                <w:sz w:val="18"/>
                <w:szCs w:val="18"/>
                <w:rtl w:val="0"/>
                <w:lang w:val="en-US"/>
              </w:rPr>
              <w:t>ν</w:t>
            </w:r>
            <w:r>
              <w:rPr>
                <w:rFonts w:ascii="Times New Roman" w:hAnsi="Times New Roman"/>
                <w:sz w:val="18"/>
                <w:szCs w:val="18"/>
                <w:rtl w:val="0"/>
                <w:lang w:val="en-US"/>
              </w:rPr>
              <w:t>D</w:t>
            </w:r>
            <w:r>
              <w:rPr>
                <w:rFonts w:ascii="Arial Unicode MS" w:cs="Arial Unicode MS" w:hAnsi="Arial Unicode MS" w:eastAsia="Arial Unicode MS" w:hint="default"/>
                <w:b w:val="0"/>
                <w:bCs w:val="0"/>
                <w:i w:val="0"/>
                <w:iCs w:val="0"/>
                <w:sz w:val="18"/>
                <w:szCs w:val="18"/>
                <w:rtl w:val="0"/>
                <w:lang w:val="en-US"/>
              </w:rPr>
              <w:t>₀₀</w:t>
            </w:r>
            <w:r>
              <w:rPr>
                <w:rFonts w:ascii="Times New Roman" w:hAnsi="Times New Roman" w:hint="default"/>
                <w:sz w:val="18"/>
                <w:szCs w:val="18"/>
                <w:rtl w:val="0"/>
                <w:lang w:val="en-US"/>
              </w:rPr>
              <w:t xml:space="preserve"> − ν²</w:t>
            </w:r>
            <w:r>
              <w:rPr>
                <w:rFonts w:ascii="Times New Roman" w:hAnsi="Times New Roman"/>
                <w:sz w:val="18"/>
                <w:szCs w:val="18"/>
                <w:rtl w:val="0"/>
                <w:lang w:val="en-US"/>
              </w:rPr>
              <w:t>D</w:t>
            </w:r>
            <w:r>
              <w:rPr>
                <w:rFonts w:ascii="Arial Unicode MS" w:cs="Arial Unicode MS" w:hAnsi="Arial Unicode MS" w:eastAsia="Arial Unicode MS" w:hint="default"/>
                <w:b w:val="0"/>
                <w:bCs w:val="0"/>
                <w:i w:val="0"/>
                <w:iCs w:val="0"/>
                <w:sz w:val="18"/>
                <w:szCs w:val="18"/>
                <w:rtl w:val="0"/>
                <w:lang w:val="en-US"/>
              </w:rPr>
              <w:t>₀₁</w:t>
            </w:r>
            <w:r>
              <w:rPr>
                <w:rFonts w:ascii="Times New Roman" w:hAnsi="Times New Roman"/>
                <w:sz w:val="18"/>
                <w:szCs w:val="18"/>
                <w:rtl w:val="0"/>
                <w:lang w:val="en-US"/>
              </w:rPr>
              <w:t>T</w:t>
            </w:r>
            <w:r>
              <w:rPr>
                <w:rFonts w:ascii="Arial Unicode MS" w:cs="Arial Unicode MS" w:hAnsi="Arial Unicode MS" w:eastAsia="Arial Unicode MS" w:hint="default"/>
                <w:b w:val="0"/>
                <w:bCs w:val="0"/>
                <w:i w:val="0"/>
                <w:iCs w:val="0"/>
                <w:sz w:val="18"/>
                <w:szCs w:val="18"/>
                <w:rtl w:val="0"/>
                <w:lang w:val="en-US"/>
              </w:rPr>
              <w:t>₁₁⁻</w:t>
            </w:r>
            <w:r>
              <w:rPr>
                <w:rFonts w:ascii="Times New Roman" w:hAnsi="Times New Roman" w:hint="default"/>
                <w:sz w:val="18"/>
                <w:szCs w:val="18"/>
                <w:rtl w:val="0"/>
                <w:lang w:val="en-US"/>
              </w:rPr>
              <w:t>¹</w:t>
            </w:r>
            <w:r>
              <w:rPr>
                <w:rFonts w:ascii="Times New Roman" w:hAnsi="Times New Roman"/>
                <w:sz w:val="18"/>
                <w:szCs w:val="18"/>
                <w:rtl w:val="0"/>
                <w:lang w:val="en-US"/>
              </w:rPr>
              <w:t>D</w:t>
            </w:r>
            <w:r>
              <w:rPr>
                <w:rFonts w:ascii="Arial Unicode MS" w:cs="Arial Unicode MS" w:hAnsi="Arial Unicode MS" w:eastAsia="Arial Unicode MS" w:hint="default"/>
                <w:b w:val="0"/>
                <w:bCs w:val="0"/>
                <w:i w:val="0"/>
                <w:iCs w:val="0"/>
                <w:sz w:val="18"/>
                <w:szCs w:val="18"/>
                <w:rtl w:val="0"/>
                <w:lang w:val="en-US"/>
              </w:rPr>
              <w:t>₁₀</w:t>
            </w:r>
            <w:r>
              <w:rPr>
                <w:rFonts w:ascii="Times New Roman" w:hAnsi="Times New Roman"/>
                <w:sz w:val="18"/>
                <w:szCs w:val="18"/>
                <w:rtl w:val="0"/>
                <w:lang w:val="en-US"/>
              </w:rPr>
              <w:t xml:space="preserve"> </w:t>
            </w:r>
            <w:r>
              <w:rPr>
                <w:rFonts w:ascii="Times New Roman" w:hAnsi="Times New Roman"/>
                <w:sz w:val="18"/>
                <w:szCs w:val="18"/>
                <w:rtl w:val="0"/>
                <w:lang w:val="en-US"/>
              </w:rPr>
              <w:t>+ O(</w:t>
            </w:r>
            <w:r>
              <w:rPr>
                <w:rFonts w:ascii="Times New Roman" w:hAnsi="Times New Roman" w:hint="default"/>
                <w:sz w:val="18"/>
                <w:szCs w:val="18"/>
                <w:rtl w:val="0"/>
                <w:lang w:val="en-US"/>
              </w:rPr>
              <w:t>ν³</w:t>
            </w:r>
            <w:r>
              <w:rPr>
                <w:rFonts w:ascii="Times New Roman" w:hAnsi="Times New Roman"/>
                <w:sz w:val="18"/>
                <w:szCs w:val="18"/>
                <w:rtl w:val="0"/>
                <w:lang w:val="en-US"/>
              </w:rPr>
              <w:t>).</w:t>
            </w:r>
          </w:p>
        </w:tc>
        <w:tc>
          <w:tcPr>
            <w:tcW w:type="dxa" w:w="565"/>
            <w:tcBorders>
              <w:top w:val="nil"/>
              <w:left w:val="nil"/>
              <w:bottom w:val="nil"/>
              <w:right w:val="nil"/>
            </w:tcBorders>
            <w:shd w:val="clear" w:color="auto" w:fill="auto"/>
            <w:tcMar>
              <w:top w:type="dxa" w:w="80"/>
              <w:left w:type="dxa" w:w="80"/>
              <w:bottom w:type="dxa" w:w="80"/>
              <w:right w:type="dxa" w:w="80"/>
            </w:tcMar>
            <w:vAlign w:val="top"/>
          </w:tcPr>
          <w:p>
            <w:pPr>
              <w:pStyle w:val="Normal.0"/>
              <w:keepLines w:val="1"/>
              <w:spacing w:after="40" w:line="240" w:lineRule="auto"/>
              <w:ind w:firstLine="0"/>
              <w:jc w:val="right"/>
            </w:pPr>
            <w:r>
              <w:rPr>
                <w:sz w:val="18"/>
                <w:szCs w:val="18"/>
                <w:rtl w:val="0"/>
                <w:lang w:val="en-US"/>
              </w:rPr>
              <w:t>(37)</w:t>
            </w:r>
          </w:p>
        </w:tc>
      </w:tr>
    </w:tbl>
    <w:p>
      <w:pPr>
        <w:pStyle w:val="Normal.0"/>
        <w:widowControl w:val="0"/>
        <w:spacing w:after="80" w:line="240" w:lineRule="atLeast"/>
        <w:ind w:firstLine="0"/>
        <w:jc w:val="center"/>
      </w:pPr>
    </w:p>
    <w:p>
      <w:pPr>
        <w:pStyle w:val="Normal.0"/>
        <w:spacing w:after="80" w:line="240" w:lineRule="atLeast"/>
      </w:pPr>
      <w:r>
        <w:rPr>
          <w:sz w:val="22"/>
          <w:szCs w:val="22"/>
          <w:rtl w:val="0"/>
          <w:lang w:val="en-US"/>
        </w:rPr>
        <w:t>Equation (37) refers to the low branch z = O(</w:t>
      </w:r>
      <w:r>
        <w:rPr>
          <w:sz w:val="22"/>
          <w:szCs w:val="22"/>
          <w:rtl w:val="0"/>
          <w:lang w:val="en-US"/>
        </w:rPr>
        <w:t>ν</w:t>
      </w:r>
      <w:r>
        <w:rPr>
          <w:sz w:val="22"/>
          <w:szCs w:val="22"/>
          <w:rtl w:val="0"/>
          <w:lang w:val="en-US"/>
        </w:rPr>
        <w:t>); constants in the remainder depend on fixed D and g. If D</w:t>
      </w:r>
      <w:r>
        <w:rPr>
          <w:rFonts w:ascii="Arial Unicode MS" w:cs="Arial Unicode MS" w:hAnsi="Arial Unicode MS" w:eastAsia="Arial Unicode MS" w:hint="default"/>
          <w:b w:val="0"/>
          <w:bCs w:val="0"/>
          <w:i w:val="0"/>
          <w:iCs w:val="0"/>
          <w:sz w:val="22"/>
          <w:szCs w:val="22"/>
          <w:rtl w:val="0"/>
          <w:lang w:val="en-US"/>
        </w:rPr>
        <w:t>₀₀</w:t>
      </w:r>
      <w:r>
        <w:rPr>
          <w:sz w:val="22"/>
          <w:szCs w:val="22"/>
          <w:rtl w:val="0"/>
          <w:lang w:val="en-US"/>
        </w:rPr>
        <w:t xml:space="preserve"> </w:t>
      </w:r>
      <w:r>
        <w:rPr>
          <w:sz w:val="22"/>
          <w:szCs w:val="22"/>
          <w:rtl w:val="0"/>
          <w:lang w:val="en-US"/>
        </w:rPr>
        <w:t>is degenerate, the second-order correction must be diagonalized within the degenerate subspace. The matrix D</w:t>
      </w:r>
      <w:r>
        <w:rPr>
          <w:rFonts w:ascii="Arial Unicode MS" w:cs="Arial Unicode MS" w:hAnsi="Arial Unicode MS" w:eastAsia="Arial Unicode MS" w:hint="default"/>
          <w:b w:val="0"/>
          <w:bCs w:val="0"/>
          <w:i w:val="0"/>
          <w:iCs w:val="0"/>
          <w:sz w:val="22"/>
          <w:szCs w:val="22"/>
          <w:rtl w:val="0"/>
          <w:lang w:val="en-US"/>
        </w:rPr>
        <w:t>₀₁</w:t>
      </w:r>
      <w:r>
        <w:rPr>
          <w:sz w:val="22"/>
          <w:szCs w:val="22"/>
          <w:rtl w:val="0"/>
          <w:lang w:val="en-US"/>
        </w:rPr>
        <w:t>T</w:t>
      </w:r>
      <w:r>
        <w:rPr>
          <w:rFonts w:ascii="Arial Unicode MS" w:cs="Arial Unicode MS" w:hAnsi="Arial Unicode MS" w:eastAsia="Arial Unicode MS" w:hint="default"/>
          <w:b w:val="0"/>
          <w:bCs w:val="0"/>
          <w:i w:val="0"/>
          <w:iCs w:val="0"/>
          <w:sz w:val="22"/>
          <w:szCs w:val="22"/>
          <w:rtl w:val="0"/>
          <w:lang w:val="en-US"/>
        </w:rPr>
        <w:t>₁₁⁻</w:t>
      </w:r>
      <w:r>
        <w:rPr>
          <w:sz w:val="22"/>
          <w:szCs w:val="22"/>
          <w:rtl w:val="0"/>
          <w:lang w:val="en-US"/>
        </w:rPr>
        <w:t>¹</w:t>
      </w:r>
      <w:r>
        <w:rPr>
          <w:sz w:val="22"/>
          <w:szCs w:val="22"/>
          <w:rtl w:val="0"/>
          <w:lang w:val="en-US"/>
        </w:rPr>
        <w:t>D</w:t>
      </w:r>
      <w:r>
        <w:rPr>
          <w:rFonts w:ascii="Arial Unicode MS" w:cs="Arial Unicode MS" w:hAnsi="Arial Unicode MS" w:eastAsia="Arial Unicode MS" w:hint="default"/>
          <w:b w:val="0"/>
          <w:bCs w:val="0"/>
          <w:i w:val="0"/>
          <w:iCs w:val="0"/>
          <w:sz w:val="22"/>
          <w:szCs w:val="22"/>
          <w:rtl w:val="0"/>
          <w:lang w:val="en-US"/>
        </w:rPr>
        <w:t>₁₀</w:t>
      </w:r>
      <w:r>
        <w:rPr>
          <w:sz w:val="22"/>
          <w:szCs w:val="22"/>
          <w:rtl w:val="0"/>
          <w:lang w:val="en-US"/>
        </w:rPr>
        <w:t xml:space="preserve"> </w:t>
      </w:r>
      <w:r>
        <w:rPr>
          <w:sz w:val="22"/>
          <w:szCs w:val="22"/>
          <w:rtl w:val="0"/>
          <w:lang w:val="en-US"/>
        </w:rPr>
        <w:t>is nonnegative, and the minus sign in Eq. (37) explains the sign of K in the two-component example.</w:t>
      </w:r>
    </w:p>
    <w:p>
      <w:pPr>
        <w:pStyle w:val="Заголовок 3"/>
        <w:spacing w:line="240" w:lineRule="atLeast"/>
        <w:rPr>
          <w:u w:val="single"/>
        </w:rPr>
      </w:pPr>
      <w:r>
        <w:rPr>
          <w:u w:val="single"/>
          <w:rtl w:val="0"/>
          <w:lang w:val="it-IT"/>
        </w:rPr>
        <w:t>7.3. Conditional Lorentzian Interpretation</w:t>
      </w:r>
    </w:p>
    <w:p>
      <w:pPr>
        <w:pStyle w:val="Normal.0"/>
        <w:spacing w:after="80" w:line="240" w:lineRule="atLeast"/>
        <w:ind w:firstLine="0"/>
      </w:pPr>
      <w:r>
        <w:rPr>
          <w:sz w:val="22"/>
          <w:szCs w:val="22"/>
          <w:rtl w:val="0"/>
          <w:lang w:val="en-US"/>
        </w:rPr>
        <w:t>Now impose a separate assumption: a continuum limit exists. Suppose a family of graphs and a map of observables admit, on the scales of interest, a common local elliptic spatial operator with positive form h</w:t>
      </w:r>
      <w:r>
        <w:rPr>
          <w:rFonts w:ascii="Arial Unicode MS" w:cs="Arial Unicode MS" w:hAnsi="Arial Unicode MS" w:eastAsia="Arial Unicode MS" w:hint="default"/>
          <w:b w:val="0"/>
          <w:bCs w:val="0"/>
          <w:i w:val="0"/>
          <w:iCs w:val="0"/>
          <w:sz w:val="22"/>
          <w:szCs w:val="22"/>
          <w:rtl w:val="0"/>
          <w:lang w:val="en-US"/>
        </w:rPr>
        <w:t>ⁱ</w:t>
      </w:r>
      <w:r>
        <w:rPr>
          <w:sz w:val="22"/>
          <w:szCs w:val="22"/>
          <w:rtl w:val="0"/>
          <w:lang w:val="en-US"/>
        </w:rPr>
        <w:t xml:space="preserve">ʲ </w:t>
      </w:r>
      <w:r>
        <w:rPr>
          <w:sz w:val="22"/>
          <w:szCs w:val="22"/>
          <w:rtl w:val="0"/>
          <w:lang w:val="en-US"/>
        </w:rPr>
        <w:t>and spectrum</w:t>
      </w:r>
    </w:p>
    <w:tbl>
      <w:tblPr>
        <w:tblW w:w="9411"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8846"/>
        <w:gridCol w:w="565"/>
      </w:tblGrid>
      <w:tr>
        <w:tblPrEx>
          <w:shd w:val="clear" w:color="auto" w:fill="ced7e7"/>
        </w:tblPrEx>
        <w:trPr>
          <w:trHeight w:val="244" w:hRule="atLeast"/>
        </w:trPr>
        <w:tc>
          <w:tcPr>
            <w:tcW w:type="dxa" w:w="8846"/>
            <w:tcBorders>
              <w:top w:val="nil"/>
              <w:left w:val="nil"/>
              <w:bottom w:val="nil"/>
              <w:right w:val="nil"/>
            </w:tcBorders>
            <w:shd w:val="clear" w:color="auto" w:fill="auto"/>
            <w:tcMar>
              <w:top w:type="dxa" w:w="80"/>
              <w:left w:type="dxa" w:w="80"/>
              <w:bottom w:type="dxa" w:w="80"/>
              <w:right w:type="dxa" w:w="80"/>
            </w:tcMar>
            <w:vAlign w:val="top"/>
          </w:tcPr>
          <w:p>
            <w:pPr>
              <w:pStyle w:val="Equation"/>
              <w:keepLines w:val="1"/>
              <w:spacing w:after="40"/>
              <w:ind w:firstLine="0"/>
            </w:pPr>
            <w:r>
              <w:rPr>
                <w:rFonts w:ascii="Times New Roman" w:hAnsi="Times New Roman" w:hint="default"/>
                <w:sz w:val="18"/>
                <w:szCs w:val="18"/>
                <w:rtl w:val="0"/>
                <w:lang w:val="en-US"/>
              </w:rPr>
              <w:t>ν</w:t>
            </w:r>
            <w:r>
              <w:rPr>
                <w:rFonts w:ascii="Times New Roman" w:hAnsi="Times New Roman"/>
                <w:sz w:val="18"/>
                <w:szCs w:val="18"/>
                <w:rtl w:val="0"/>
                <w:lang w:val="en-US"/>
              </w:rPr>
              <w:t xml:space="preserve">(k) = </w:t>
            </w:r>
            <w:r>
              <w:rPr>
                <w:rFonts w:ascii="Times New Roman" w:hAnsi="Times New Roman" w:hint="default"/>
                <w:sz w:val="18"/>
                <w:szCs w:val="18"/>
                <w:rtl w:val="0"/>
                <w:lang w:val="en-US"/>
              </w:rPr>
              <w:t>β</w:t>
            </w:r>
            <w:r>
              <w:rPr>
                <w:rFonts w:ascii="Times New Roman" w:hAnsi="Times New Roman"/>
                <w:sz w:val="18"/>
                <w:szCs w:val="18"/>
                <w:rtl w:val="0"/>
                <w:lang w:val="en-US"/>
              </w:rPr>
              <w:t>h</w:t>
            </w:r>
            <w:r>
              <w:rPr>
                <w:rFonts w:ascii="Arial Unicode MS" w:cs="Arial Unicode MS" w:hAnsi="Arial Unicode MS" w:eastAsia="Arial Unicode MS" w:hint="default"/>
                <w:b w:val="0"/>
                <w:bCs w:val="0"/>
                <w:i w:val="0"/>
                <w:iCs w:val="0"/>
                <w:sz w:val="18"/>
                <w:szCs w:val="18"/>
                <w:rtl w:val="0"/>
                <w:lang w:val="en-US"/>
              </w:rPr>
              <w:t>ⁱ</w:t>
            </w:r>
            <w:r>
              <w:rPr>
                <w:rFonts w:ascii="Times New Roman" w:hAnsi="Times New Roman" w:hint="default"/>
                <w:sz w:val="18"/>
                <w:szCs w:val="18"/>
                <w:rtl w:val="0"/>
                <w:lang w:val="en-US"/>
              </w:rPr>
              <w:t>ʲ</w:t>
            </w:r>
            <w:r>
              <w:rPr>
                <w:rFonts w:ascii="Times New Roman" w:hAnsi="Times New Roman"/>
                <w:sz w:val="18"/>
                <w:szCs w:val="18"/>
                <w:rtl w:val="0"/>
                <w:lang w:val="en-US"/>
              </w:rPr>
              <w:t>kᵢk</w:t>
            </w:r>
            <w:r>
              <w:rPr>
                <w:rFonts w:ascii="Arial Unicode MS" w:cs="Arial Unicode MS" w:hAnsi="Arial Unicode MS" w:eastAsia="Arial Unicode MS" w:hint="default"/>
                <w:b w:val="0"/>
                <w:bCs w:val="0"/>
                <w:i w:val="0"/>
                <w:iCs w:val="0"/>
                <w:sz w:val="18"/>
                <w:szCs w:val="18"/>
                <w:rtl w:val="0"/>
                <w:lang w:val="en-US"/>
              </w:rPr>
              <w:t>ⱼ</w:t>
            </w:r>
            <w:r>
              <w:rPr>
                <w:rFonts w:ascii="Times New Roman" w:hAnsi="Times New Roman"/>
                <w:sz w:val="18"/>
                <w:szCs w:val="18"/>
                <w:rtl w:val="0"/>
                <w:lang w:val="en-US"/>
              </w:rPr>
              <w:t xml:space="preserve"> </w:t>
            </w:r>
            <w:r>
              <w:rPr>
                <w:rFonts w:ascii="Times New Roman" w:hAnsi="Times New Roman"/>
                <w:sz w:val="18"/>
                <w:szCs w:val="18"/>
                <w:rtl w:val="0"/>
                <w:lang w:val="en-US"/>
              </w:rPr>
              <w:t>+ O(|k|</w:t>
            </w:r>
            <w:r>
              <w:rPr>
                <w:rFonts w:ascii="Arial Unicode MS" w:cs="Arial Unicode MS" w:hAnsi="Arial Unicode MS" w:eastAsia="Arial Unicode MS" w:hint="default"/>
                <w:b w:val="0"/>
                <w:bCs w:val="0"/>
                <w:i w:val="0"/>
                <w:iCs w:val="0"/>
                <w:sz w:val="18"/>
                <w:szCs w:val="18"/>
                <w:rtl w:val="0"/>
                <w:lang w:val="en-US"/>
              </w:rPr>
              <w:t>⁴</w:t>
            </w:r>
            <w:r>
              <w:rPr>
                <w:rFonts w:ascii="Times New Roman" w:hAnsi="Times New Roman"/>
                <w:sz w:val="18"/>
                <w:szCs w:val="18"/>
                <w:rtl w:val="0"/>
                <w:lang w:val="en-US"/>
              </w:rPr>
              <w:t xml:space="preserve">),     </w:t>
            </w:r>
            <w:r>
              <w:rPr>
                <w:rFonts w:ascii="Times New Roman" w:hAnsi="Times New Roman" w:hint="default"/>
                <w:sz w:val="18"/>
                <w:szCs w:val="18"/>
                <w:rtl w:val="0"/>
                <w:lang w:val="en-US"/>
              </w:rPr>
              <w:t xml:space="preserve">β </w:t>
            </w:r>
            <w:r>
              <w:rPr>
                <w:rFonts w:ascii="Times New Roman" w:hAnsi="Times New Roman"/>
                <w:sz w:val="18"/>
                <w:szCs w:val="18"/>
                <w:rtl w:val="0"/>
                <w:lang w:val="en-US"/>
              </w:rPr>
              <w:t>&gt; 0.</w:t>
            </w:r>
          </w:p>
        </w:tc>
        <w:tc>
          <w:tcPr>
            <w:tcW w:type="dxa" w:w="565"/>
            <w:tcBorders>
              <w:top w:val="nil"/>
              <w:left w:val="nil"/>
              <w:bottom w:val="nil"/>
              <w:right w:val="nil"/>
            </w:tcBorders>
            <w:shd w:val="clear" w:color="auto" w:fill="auto"/>
            <w:tcMar>
              <w:top w:type="dxa" w:w="80"/>
              <w:left w:type="dxa" w:w="80"/>
              <w:bottom w:type="dxa" w:w="80"/>
              <w:right w:type="dxa" w:w="80"/>
            </w:tcMar>
            <w:vAlign w:val="top"/>
          </w:tcPr>
          <w:p>
            <w:pPr>
              <w:pStyle w:val="Normal.0"/>
              <w:keepLines w:val="1"/>
              <w:spacing w:after="40" w:line="240" w:lineRule="auto"/>
              <w:ind w:firstLine="0"/>
              <w:jc w:val="right"/>
            </w:pPr>
            <w:r>
              <w:rPr>
                <w:sz w:val="18"/>
                <w:szCs w:val="18"/>
                <w:rtl w:val="0"/>
                <w:lang w:val="en-US"/>
              </w:rPr>
              <w:t>(38)</w:t>
            </w:r>
          </w:p>
        </w:tc>
      </w:tr>
    </w:tbl>
    <w:p>
      <w:pPr>
        <w:pStyle w:val="Normal.0"/>
        <w:widowControl w:val="0"/>
        <w:spacing w:after="80" w:line="240" w:lineRule="atLeast"/>
        <w:ind w:firstLine="0"/>
        <w:jc w:val="center"/>
      </w:pPr>
    </w:p>
    <w:p>
      <w:pPr>
        <w:pStyle w:val="Normal.0"/>
        <w:spacing w:after="80" w:line="240" w:lineRule="atLeast"/>
      </w:pPr>
      <w:r>
        <w:rPr>
          <w:sz w:val="22"/>
          <w:szCs w:val="22"/>
          <w:rtl w:val="0"/>
          <w:lang w:val="en-US"/>
        </w:rPr>
        <w:t>Condition (38) is not merely a statement about the list of eigenvalues. Suitable eigenfunctions, locality of the limiting operator, and a consistent map of observables are also required. Defining k</w:t>
      </w:r>
      <w:r>
        <w:rPr>
          <w:rFonts w:ascii="Arial Unicode MS" w:cs="Arial Unicode MS" w:hAnsi="Arial Unicode MS" w:eastAsia="Arial Unicode MS" w:hint="default"/>
          <w:b w:val="0"/>
          <w:bCs w:val="0"/>
          <w:i w:val="0"/>
          <w:iCs w:val="0"/>
          <w:sz w:val="22"/>
          <w:szCs w:val="22"/>
          <w:rtl w:val="0"/>
          <w:lang w:val="en-US"/>
        </w:rPr>
        <w:t>ₙ</w:t>
      </w:r>
      <w:r>
        <w:rPr>
          <w:sz w:val="22"/>
          <w:szCs w:val="22"/>
          <w:rtl w:val="0"/>
          <w:lang w:val="en-US"/>
        </w:rPr>
        <w:t xml:space="preserve"> </w:t>
      </w:r>
      <w:r>
        <w:rPr>
          <w:sz w:val="22"/>
          <w:szCs w:val="22"/>
          <w:rtl w:val="0"/>
          <w:lang w:val="en-US"/>
        </w:rPr>
        <w:t xml:space="preserve">= </w:t>
      </w:r>
      <w:r>
        <w:rPr>
          <w:sz w:val="22"/>
          <w:szCs w:val="22"/>
          <w:rtl w:val="0"/>
          <w:lang w:val="en-US"/>
        </w:rPr>
        <w:t>√ν</w:t>
      </w:r>
      <w:r>
        <w:rPr>
          <w:rFonts w:ascii="Arial Unicode MS" w:cs="Arial Unicode MS" w:hAnsi="Arial Unicode MS" w:eastAsia="Arial Unicode MS" w:hint="default"/>
          <w:b w:val="0"/>
          <w:bCs w:val="0"/>
          <w:i w:val="0"/>
          <w:iCs w:val="0"/>
          <w:sz w:val="22"/>
          <w:szCs w:val="22"/>
          <w:rtl w:val="0"/>
          <w:lang w:val="en-US"/>
        </w:rPr>
        <w:t>ₙ</w:t>
      </w:r>
      <w:r>
        <w:rPr>
          <w:sz w:val="22"/>
          <w:szCs w:val="22"/>
          <w:rtl w:val="0"/>
          <w:lang w:val="en-US"/>
        </w:rPr>
        <w:t xml:space="preserve"> </w:t>
      </w:r>
      <w:r>
        <w:rPr>
          <w:sz w:val="22"/>
          <w:szCs w:val="22"/>
          <w:rtl w:val="0"/>
          <w:lang w:val="en-US"/>
        </w:rPr>
        <w:t>without these data would merely rename the spectrum. The spatial tensor h and the number of its directions belong to the reconstructed limit, not to the fundamental data W.</w:t>
      </w:r>
    </w:p>
    <w:p>
      <w:pPr>
        <w:pStyle w:val="Normal.0"/>
        <w:spacing w:after="80" w:line="240" w:lineRule="atLeast"/>
      </w:pPr>
      <w:r>
        <w:rPr>
          <w:sz w:val="22"/>
          <w:szCs w:val="22"/>
          <w:rtl w:val="0"/>
          <w:lang w:val="en-US"/>
        </w:rPr>
        <w:t>In the leading two-derivative theory of the massless modes, the principal symbol after kinetic normalization is</w:t>
      </w:r>
    </w:p>
    <w:tbl>
      <w:tblPr>
        <w:tblW w:w="9411"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8846"/>
        <w:gridCol w:w="565"/>
      </w:tblGrid>
      <w:tr>
        <w:tblPrEx>
          <w:shd w:val="clear" w:color="auto" w:fill="ced7e7"/>
        </w:tblPrEx>
        <w:trPr>
          <w:trHeight w:val="244" w:hRule="atLeast"/>
        </w:trPr>
        <w:tc>
          <w:tcPr>
            <w:tcW w:type="dxa" w:w="8846"/>
            <w:tcBorders>
              <w:top w:val="nil"/>
              <w:left w:val="nil"/>
              <w:bottom w:val="nil"/>
              <w:right w:val="nil"/>
            </w:tcBorders>
            <w:shd w:val="clear" w:color="auto" w:fill="auto"/>
            <w:tcMar>
              <w:top w:type="dxa" w:w="80"/>
              <w:left w:type="dxa" w:w="80"/>
              <w:bottom w:type="dxa" w:w="80"/>
              <w:right w:type="dxa" w:w="80"/>
            </w:tcMar>
            <w:vAlign w:val="top"/>
          </w:tcPr>
          <w:p>
            <w:pPr>
              <w:pStyle w:val="Equation"/>
              <w:keepLines w:val="1"/>
              <w:spacing w:after="40"/>
              <w:ind w:firstLine="0"/>
            </w:pPr>
            <w:r>
              <w:rPr>
                <w:rFonts w:ascii="Times New Roman" w:hAnsi="Times New Roman"/>
                <w:sz w:val="18"/>
                <w:szCs w:val="18"/>
                <w:rtl w:val="0"/>
                <w:lang w:val="en-US"/>
              </w:rPr>
              <w:t>P(</w:t>
            </w:r>
            <w:r>
              <w:rPr>
                <w:rFonts w:ascii="Times New Roman" w:hAnsi="Times New Roman" w:hint="default"/>
                <w:sz w:val="18"/>
                <w:szCs w:val="18"/>
                <w:rtl w:val="0"/>
                <w:lang w:val="en-US"/>
              </w:rPr>
              <w:t>ω</w:t>
            </w:r>
            <w:r>
              <w:rPr>
                <w:rFonts w:ascii="Times New Roman" w:hAnsi="Times New Roman"/>
                <w:sz w:val="18"/>
                <w:szCs w:val="18"/>
                <w:rtl w:val="0"/>
                <w:lang w:val="en-US"/>
              </w:rPr>
              <w:t xml:space="preserve">,k) = </w:t>
            </w:r>
            <w:r>
              <w:rPr>
                <w:rFonts w:ascii="Times New Roman" w:hAnsi="Times New Roman" w:hint="default"/>
                <w:sz w:val="18"/>
                <w:szCs w:val="18"/>
                <w:rtl w:val="0"/>
                <w:lang w:val="en-US"/>
              </w:rPr>
              <w:t>−ω²</w:t>
            </w:r>
            <w:r>
              <w:rPr>
                <w:rFonts w:ascii="Times New Roman" w:hAnsi="Times New Roman"/>
                <w:sz w:val="18"/>
                <w:szCs w:val="18"/>
                <w:rtl w:val="0"/>
                <w:lang w:val="en-US"/>
              </w:rPr>
              <w:t xml:space="preserve">Iᵣ + </w:t>
            </w:r>
            <w:r>
              <w:rPr>
                <w:rFonts w:ascii="Times New Roman" w:hAnsi="Times New Roman" w:hint="default"/>
                <w:sz w:val="18"/>
                <w:szCs w:val="18"/>
                <w:rtl w:val="0"/>
                <w:lang w:val="en-US"/>
              </w:rPr>
              <w:t>β</w:t>
            </w:r>
            <w:r>
              <w:rPr>
                <w:rFonts w:ascii="Times New Roman" w:hAnsi="Times New Roman"/>
                <w:sz w:val="18"/>
                <w:szCs w:val="18"/>
                <w:rtl w:val="0"/>
                <w:lang w:val="en-US"/>
              </w:rPr>
              <w:t>h</w:t>
            </w:r>
            <w:r>
              <w:rPr>
                <w:rFonts w:ascii="Arial Unicode MS" w:cs="Arial Unicode MS" w:hAnsi="Arial Unicode MS" w:eastAsia="Arial Unicode MS" w:hint="default"/>
                <w:b w:val="0"/>
                <w:bCs w:val="0"/>
                <w:i w:val="0"/>
                <w:iCs w:val="0"/>
                <w:sz w:val="18"/>
                <w:szCs w:val="18"/>
                <w:rtl w:val="0"/>
                <w:lang w:val="en-US"/>
              </w:rPr>
              <w:t>ⁱ</w:t>
            </w:r>
            <w:r>
              <w:rPr>
                <w:rFonts w:ascii="Times New Roman" w:hAnsi="Times New Roman" w:hint="default"/>
                <w:sz w:val="18"/>
                <w:szCs w:val="18"/>
                <w:rtl w:val="0"/>
                <w:lang w:val="en-US"/>
              </w:rPr>
              <w:t>ʲ</w:t>
            </w:r>
            <w:r>
              <w:rPr>
                <w:rFonts w:ascii="Times New Roman" w:hAnsi="Times New Roman"/>
                <w:sz w:val="18"/>
                <w:szCs w:val="18"/>
                <w:rtl w:val="0"/>
                <w:lang w:val="en-US"/>
              </w:rPr>
              <w:t>kᵢk</w:t>
            </w:r>
            <w:r>
              <w:rPr>
                <w:rFonts w:ascii="Arial Unicode MS" w:cs="Arial Unicode MS" w:hAnsi="Arial Unicode MS" w:eastAsia="Arial Unicode MS" w:hint="default"/>
                <w:b w:val="0"/>
                <w:bCs w:val="0"/>
                <w:i w:val="0"/>
                <w:iCs w:val="0"/>
                <w:sz w:val="18"/>
                <w:szCs w:val="18"/>
                <w:rtl w:val="0"/>
                <w:lang w:val="en-US"/>
              </w:rPr>
              <w:t>ⱼ</w:t>
            </w:r>
            <w:r>
              <w:rPr>
                <w:rFonts w:ascii="Times New Roman" w:hAnsi="Times New Roman"/>
                <w:sz w:val="18"/>
                <w:szCs w:val="18"/>
                <w:rtl w:val="0"/>
                <w:lang w:val="en-US"/>
              </w:rPr>
              <w:t>D</w:t>
            </w:r>
            <w:r>
              <w:rPr>
                <w:rFonts w:ascii="Arial Unicode MS" w:cs="Arial Unicode MS" w:hAnsi="Arial Unicode MS" w:eastAsia="Arial Unicode MS" w:hint="default"/>
                <w:b w:val="0"/>
                <w:bCs w:val="0"/>
                <w:i w:val="0"/>
                <w:iCs w:val="0"/>
                <w:sz w:val="18"/>
                <w:szCs w:val="18"/>
                <w:rtl w:val="0"/>
                <w:lang w:val="en-US"/>
              </w:rPr>
              <w:t>₀₀</w:t>
            </w:r>
            <w:r>
              <w:rPr>
                <w:rFonts w:ascii="Times New Roman" w:hAnsi="Times New Roman"/>
                <w:sz w:val="18"/>
                <w:szCs w:val="18"/>
                <w:rtl w:val="0"/>
                <w:lang w:val="en-US"/>
              </w:rPr>
              <w:t>.</w:t>
            </w:r>
          </w:p>
        </w:tc>
        <w:tc>
          <w:tcPr>
            <w:tcW w:type="dxa" w:w="565"/>
            <w:tcBorders>
              <w:top w:val="nil"/>
              <w:left w:val="nil"/>
              <w:bottom w:val="nil"/>
              <w:right w:val="nil"/>
            </w:tcBorders>
            <w:shd w:val="clear" w:color="auto" w:fill="auto"/>
            <w:tcMar>
              <w:top w:type="dxa" w:w="80"/>
              <w:left w:type="dxa" w:w="80"/>
              <w:bottom w:type="dxa" w:w="80"/>
              <w:right w:type="dxa" w:w="80"/>
            </w:tcMar>
            <w:vAlign w:val="top"/>
          </w:tcPr>
          <w:p>
            <w:pPr>
              <w:pStyle w:val="Normal.0"/>
              <w:keepLines w:val="1"/>
              <w:spacing w:after="40" w:line="240" w:lineRule="auto"/>
              <w:ind w:firstLine="0"/>
              <w:jc w:val="right"/>
            </w:pPr>
            <w:r>
              <w:rPr>
                <w:sz w:val="18"/>
                <w:szCs w:val="18"/>
                <w:rtl w:val="0"/>
                <w:lang w:val="en-US"/>
              </w:rPr>
              <w:t>(39)</w:t>
            </w:r>
          </w:p>
        </w:tc>
      </w:tr>
    </w:tbl>
    <w:p>
      <w:pPr>
        <w:pStyle w:val="Normal.0"/>
        <w:widowControl w:val="0"/>
        <w:spacing w:after="80" w:line="240" w:lineRule="atLeast"/>
        <w:ind w:firstLine="0"/>
        <w:jc w:val="center"/>
      </w:pPr>
    </w:p>
    <w:p>
      <w:pPr>
        <w:pStyle w:val="Normal.0"/>
        <w:spacing w:after="80" w:line="240" w:lineRule="atLeast"/>
        <w:ind w:firstLine="0"/>
      </w:pPr>
      <w:r>
        <w:rPr>
          <w:b w:val="1"/>
          <w:bCs w:val="1"/>
          <w:sz w:val="22"/>
          <w:szCs w:val="22"/>
          <w:rtl w:val="0"/>
          <w:lang w:val="en-US"/>
        </w:rPr>
        <w:t>Theorem 4.</w:t>
      </w:r>
      <w:r>
        <w:rPr>
          <w:sz w:val="22"/>
          <w:szCs w:val="22"/>
          <w:rtl w:val="0"/>
          <w:lang w:val="en-US"/>
        </w:rPr>
        <w:t xml:space="preserve"> Within the class defined by Eqs. (32)</w:t>
      </w:r>
      <w:r>
        <w:rPr>
          <w:sz w:val="22"/>
          <w:szCs w:val="22"/>
          <w:rtl w:val="0"/>
          <w:lang w:val="en-US"/>
        </w:rPr>
        <w:t>–</w:t>
      </w:r>
      <w:r>
        <w:rPr>
          <w:sz w:val="22"/>
          <w:szCs w:val="22"/>
          <w:rtl w:val="0"/>
          <w:lang w:val="en-US"/>
        </w:rPr>
        <w:t>(39), all r massless branches have the same leading characteristic cone if and only if</w:t>
      </w:r>
    </w:p>
    <w:tbl>
      <w:tblPr>
        <w:tblW w:w="9411"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8846"/>
        <w:gridCol w:w="565"/>
      </w:tblGrid>
      <w:tr>
        <w:tblPrEx>
          <w:shd w:val="clear" w:color="auto" w:fill="ced7e7"/>
        </w:tblPrEx>
        <w:trPr>
          <w:trHeight w:val="241" w:hRule="atLeast"/>
        </w:trPr>
        <w:tc>
          <w:tcPr>
            <w:tcW w:type="dxa" w:w="8846"/>
            <w:tcBorders>
              <w:top w:val="nil"/>
              <w:left w:val="nil"/>
              <w:bottom w:val="nil"/>
              <w:right w:val="nil"/>
            </w:tcBorders>
            <w:shd w:val="clear" w:color="auto" w:fill="auto"/>
            <w:tcMar>
              <w:top w:type="dxa" w:w="80"/>
              <w:left w:type="dxa" w:w="80"/>
              <w:bottom w:type="dxa" w:w="80"/>
              <w:right w:type="dxa" w:w="80"/>
            </w:tcMar>
            <w:vAlign w:val="top"/>
          </w:tcPr>
          <w:p>
            <w:pPr>
              <w:pStyle w:val="Equation"/>
              <w:keepLines w:val="1"/>
              <w:spacing w:after="40"/>
              <w:ind w:firstLine="0"/>
            </w:pPr>
            <w:r>
              <w:rPr>
                <w:rFonts w:ascii="Times New Roman" w:hAnsi="Times New Roman"/>
                <w:sz w:val="18"/>
                <w:szCs w:val="18"/>
                <w:rtl w:val="0"/>
                <w:lang w:val="en-US"/>
              </w:rPr>
              <w:t>D</w:t>
            </w:r>
            <w:r>
              <w:rPr>
                <w:rFonts w:ascii="Arial Unicode MS" w:cs="Arial Unicode MS" w:hAnsi="Arial Unicode MS" w:eastAsia="Arial Unicode MS" w:hint="default"/>
                <w:b w:val="0"/>
                <w:bCs w:val="0"/>
                <w:i w:val="0"/>
                <w:iCs w:val="0"/>
                <w:sz w:val="18"/>
                <w:szCs w:val="18"/>
                <w:rtl w:val="0"/>
                <w:lang w:val="en-US"/>
              </w:rPr>
              <w:t>₀₀</w:t>
            </w:r>
            <w:r>
              <w:rPr>
                <w:rFonts w:ascii="Times New Roman" w:hAnsi="Times New Roman"/>
                <w:sz w:val="18"/>
                <w:szCs w:val="18"/>
                <w:rtl w:val="0"/>
                <w:lang w:val="en-US"/>
              </w:rPr>
              <w:t xml:space="preserve"> </w:t>
            </w:r>
            <w:r>
              <w:rPr>
                <w:rFonts w:ascii="Times New Roman" w:hAnsi="Times New Roman"/>
                <w:sz w:val="18"/>
                <w:szCs w:val="18"/>
                <w:rtl w:val="0"/>
                <w:lang w:val="en-US"/>
              </w:rPr>
              <w:t>= v</w:t>
            </w:r>
            <w:r>
              <w:rPr>
                <w:rFonts w:ascii="Times New Roman" w:hAnsi="Times New Roman" w:hint="default"/>
                <w:sz w:val="18"/>
                <w:szCs w:val="18"/>
                <w:rtl w:val="0"/>
                <w:lang w:val="en-US"/>
              </w:rPr>
              <w:t>²</w:t>
            </w:r>
            <w:r>
              <w:rPr>
                <w:rFonts w:ascii="Times New Roman" w:hAnsi="Times New Roman"/>
                <w:sz w:val="18"/>
                <w:szCs w:val="18"/>
                <w:rtl w:val="0"/>
                <w:lang w:val="en-US"/>
              </w:rPr>
              <w:t>Iᵣ     for some v</w:t>
            </w:r>
            <w:r>
              <w:rPr>
                <w:rFonts w:ascii="Times New Roman" w:hAnsi="Times New Roman" w:hint="default"/>
                <w:sz w:val="18"/>
                <w:szCs w:val="18"/>
                <w:rtl w:val="0"/>
                <w:lang w:val="en-US"/>
              </w:rPr>
              <w:t xml:space="preserve">² </w:t>
            </w:r>
            <w:r>
              <w:rPr>
                <w:rFonts w:ascii="Times New Roman" w:hAnsi="Times New Roman"/>
                <w:sz w:val="18"/>
                <w:szCs w:val="18"/>
                <w:rtl w:val="0"/>
                <w:lang w:val="en-US"/>
              </w:rPr>
              <w:t>&gt; 0.</w:t>
            </w:r>
          </w:p>
        </w:tc>
        <w:tc>
          <w:tcPr>
            <w:tcW w:type="dxa" w:w="565"/>
            <w:tcBorders>
              <w:top w:val="nil"/>
              <w:left w:val="nil"/>
              <w:bottom w:val="nil"/>
              <w:right w:val="nil"/>
            </w:tcBorders>
            <w:shd w:val="clear" w:color="auto" w:fill="auto"/>
            <w:tcMar>
              <w:top w:type="dxa" w:w="80"/>
              <w:left w:type="dxa" w:w="80"/>
              <w:bottom w:type="dxa" w:w="80"/>
              <w:right w:type="dxa" w:w="80"/>
            </w:tcMar>
            <w:vAlign w:val="top"/>
          </w:tcPr>
          <w:p>
            <w:pPr>
              <w:pStyle w:val="Normal.0"/>
              <w:keepLines w:val="1"/>
              <w:spacing w:after="40" w:line="240" w:lineRule="auto"/>
              <w:ind w:firstLine="0"/>
              <w:jc w:val="right"/>
            </w:pPr>
            <w:r>
              <w:rPr>
                <w:sz w:val="18"/>
                <w:szCs w:val="18"/>
                <w:rtl w:val="0"/>
                <w:lang w:val="en-US"/>
              </w:rPr>
              <w:t>(40)</w:t>
            </w:r>
          </w:p>
        </w:tc>
      </w:tr>
    </w:tbl>
    <w:p>
      <w:pPr>
        <w:pStyle w:val="Normal.0"/>
        <w:widowControl w:val="0"/>
        <w:spacing w:after="80" w:line="240" w:lineRule="atLeast"/>
        <w:ind w:firstLine="0"/>
        <w:jc w:val="center"/>
      </w:pPr>
    </w:p>
    <w:p>
      <w:pPr>
        <w:pStyle w:val="Normal.0"/>
        <w:spacing w:after="80" w:line="240" w:lineRule="atLeast"/>
      </w:pPr>
      <w:r>
        <w:rPr>
          <w:sz w:val="22"/>
          <w:szCs w:val="22"/>
          <w:rtl w:val="0"/>
          <w:lang w:val="en-US"/>
        </w:rPr>
        <w:t>In that case the common symbol has the zero set</w:t>
      </w:r>
    </w:p>
    <w:tbl>
      <w:tblPr>
        <w:tblW w:w="9411"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8846"/>
        <w:gridCol w:w="565"/>
      </w:tblGrid>
      <w:tr>
        <w:tblPrEx>
          <w:shd w:val="clear" w:color="auto" w:fill="ced7e7"/>
        </w:tblPrEx>
        <w:trPr>
          <w:trHeight w:val="244" w:hRule="atLeast"/>
        </w:trPr>
        <w:tc>
          <w:tcPr>
            <w:tcW w:type="dxa" w:w="8846"/>
            <w:tcBorders>
              <w:top w:val="nil"/>
              <w:left w:val="nil"/>
              <w:bottom w:val="nil"/>
              <w:right w:val="nil"/>
            </w:tcBorders>
            <w:shd w:val="clear" w:color="auto" w:fill="auto"/>
            <w:tcMar>
              <w:top w:type="dxa" w:w="80"/>
              <w:left w:type="dxa" w:w="80"/>
              <w:bottom w:type="dxa" w:w="80"/>
              <w:right w:type="dxa" w:w="80"/>
            </w:tcMar>
            <w:vAlign w:val="top"/>
          </w:tcPr>
          <w:p>
            <w:pPr>
              <w:pStyle w:val="Equation"/>
              <w:keepLines w:val="1"/>
              <w:spacing w:after="40"/>
              <w:ind w:firstLine="0"/>
            </w:pPr>
            <w:r>
              <w:rPr>
                <w:rFonts w:ascii="Times New Roman" w:hAnsi="Times New Roman" w:hint="default"/>
                <w:sz w:val="18"/>
                <w:szCs w:val="18"/>
                <w:rtl w:val="0"/>
                <w:lang w:val="en-US"/>
              </w:rPr>
              <w:t xml:space="preserve">−ω² </w:t>
            </w:r>
            <w:r>
              <w:rPr>
                <w:rFonts w:ascii="Times New Roman" w:hAnsi="Times New Roman"/>
                <w:sz w:val="18"/>
                <w:szCs w:val="18"/>
                <w:rtl w:val="0"/>
                <w:lang w:val="en-US"/>
              </w:rPr>
              <w:t>+ c</w:t>
            </w:r>
            <w:r>
              <w:rPr>
                <w:rFonts w:ascii="Times New Roman" w:hAnsi="Times New Roman" w:hint="default"/>
                <w:sz w:val="18"/>
                <w:szCs w:val="18"/>
                <w:rtl w:val="0"/>
                <w:lang w:val="en-US"/>
              </w:rPr>
              <w:t>²</w:t>
            </w:r>
            <w:r>
              <w:rPr>
                <w:rFonts w:ascii="Times New Roman" w:hAnsi="Times New Roman"/>
                <w:sz w:val="18"/>
                <w:szCs w:val="18"/>
                <w:rtl w:val="0"/>
                <w:lang w:val="en-US"/>
              </w:rPr>
              <w:t>h</w:t>
            </w:r>
            <w:r>
              <w:rPr>
                <w:rFonts w:ascii="Arial Unicode MS" w:cs="Arial Unicode MS" w:hAnsi="Arial Unicode MS" w:eastAsia="Arial Unicode MS" w:hint="default"/>
                <w:b w:val="0"/>
                <w:bCs w:val="0"/>
                <w:i w:val="0"/>
                <w:iCs w:val="0"/>
                <w:sz w:val="18"/>
                <w:szCs w:val="18"/>
                <w:rtl w:val="0"/>
                <w:lang w:val="en-US"/>
              </w:rPr>
              <w:t>ⁱ</w:t>
            </w:r>
            <w:r>
              <w:rPr>
                <w:rFonts w:ascii="Times New Roman" w:hAnsi="Times New Roman" w:hint="default"/>
                <w:sz w:val="18"/>
                <w:szCs w:val="18"/>
                <w:rtl w:val="0"/>
                <w:lang w:val="en-US"/>
              </w:rPr>
              <w:t>ʲ</w:t>
            </w:r>
            <w:r>
              <w:rPr>
                <w:rFonts w:ascii="Times New Roman" w:hAnsi="Times New Roman"/>
                <w:sz w:val="18"/>
                <w:szCs w:val="18"/>
                <w:rtl w:val="0"/>
                <w:lang w:val="en-US"/>
              </w:rPr>
              <w:t>kᵢk</w:t>
            </w:r>
            <w:r>
              <w:rPr>
                <w:rFonts w:ascii="Arial Unicode MS" w:cs="Arial Unicode MS" w:hAnsi="Arial Unicode MS" w:eastAsia="Arial Unicode MS" w:hint="default"/>
                <w:b w:val="0"/>
                <w:bCs w:val="0"/>
                <w:i w:val="0"/>
                <w:iCs w:val="0"/>
                <w:sz w:val="18"/>
                <w:szCs w:val="18"/>
                <w:rtl w:val="0"/>
                <w:lang w:val="en-US"/>
              </w:rPr>
              <w:t>ⱼ</w:t>
            </w:r>
            <w:r>
              <w:rPr>
                <w:rFonts w:ascii="Times New Roman" w:hAnsi="Times New Roman"/>
                <w:sz w:val="18"/>
                <w:szCs w:val="18"/>
                <w:rtl w:val="0"/>
                <w:lang w:val="en-US"/>
              </w:rPr>
              <w:t xml:space="preserve"> </w:t>
            </w:r>
            <w:r>
              <w:rPr>
                <w:rFonts w:ascii="Times New Roman" w:hAnsi="Times New Roman"/>
                <w:sz w:val="18"/>
                <w:szCs w:val="18"/>
                <w:rtl w:val="0"/>
                <w:lang w:val="en-US"/>
              </w:rPr>
              <w:t>= 0,     c</w:t>
            </w:r>
            <w:r>
              <w:rPr>
                <w:rFonts w:ascii="Times New Roman" w:hAnsi="Times New Roman" w:hint="default"/>
                <w:sz w:val="18"/>
                <w:szCs w:val="18"/>
                <w:rtl w:val="0"/>
                <w:lang w:val="en-US"/>
              </w:rPr>
              <w:t xml:space="preserve">² </w:t>
            </w:r>
            <w:r>
              <w:rPr>
                <w:rFonts w:ascii="Times New Roman" w:hAnsi="Times New Roman"/>
                <w:sz w:val="18"/>
                <w:szCs w:val="18"/>
                <w:rtl w:val="0"/>
                <w:lang w:val="en-US"/>
              </w:rPr>
              <w:t xml:space="preserve">= </w:t>
            </w:r>
            <w:r>
              <w:rPr>
                <w:rFonts w:ascii="Times New Roman" w:hAnsi="Times New Roman" w:hint="default"/>
                <w:sz w:val="18"/>
                <w:szCs w:val="18"/>
                <w:rtl w:val="0"/>
                <w:lang w:val="en-US"/>
              </w:rPr>
              <w:t>β</w:t>
            </w:r>
            <w:r>
              <w:rPr>
                <w:rFonts w:ascii="Times New Roman" w:hAnsi="Times New Roman"/>
                <w:sz w:val="18"/>
                <w:szCs w:val="18"/>
                <w:rtl w:val="0"/>
                <w:lang w:val="en-US"/>
              </w:rPr>
              <w:t>v</w:t>
            </w:r>
            <w:r>
              <w:rPr>
                <w:rFonts w:ascii="Times New Roman" w:hAnsi="Times New Roman" w:hint="default"/>
                <w:sz w:val="18"/>
                <w:szCs w:val="18"/>
                <w:rtl w:val="0"/>
                <w:lang w:val="en-US"/>
              </w:rPr>
              <w:t>²</w:t>
            </w:r>
            <w:r>
              <w:rPr>
                <w:rFonts w:ascii="Times New Roman" w:hAnsi="Times New Roman"/>
                <w:sz w:val="18"/>
                <w:szCs w:val="18"/>
                <w:rtl w:val="0"/>
                <w:lang w:val="en-US"/>
              </w:rPr>
              <w:t>.</w:t>
            </w:r>
          </w:p>
        </w:tc>
        <w:tc>
          <w:tcPr>
            <w:tcW w:type="dxa" w:w="565"/>
            <w:tcBorders>
              <w:top w:val="nil"/>
              <w:left w:val="nil"/>
              <w:bottom w:val="nil"/>
              <w:right w:val="nil"/>
            </w:tcBorders>
            <w:shd w:val="clear" w:color="auto" w:fill="auto"/>
            <w:tcMar>
              <w:top w:type="dxa" w:w="80"/>
              <w:left w:type="dxa" w:w="80"/>
              <w:bottom w:type="dxa" w:w="80"/>
              <w:right w:type="dxa" w:w="80"/>
            </w:tcMar>
            <w:vAlign w:val="top"/>
          </w:tcPr>
          <w:p>
            <w:pPr>
              <w:pStyle w:val="Normal.0"/>
              <w:keepLines w:val="1"/>
              <w:spacing w:after="40" w:line="240" w:lineRule="auto"/>
              <w:ind w:firstLine="0"/>
              <w:jc w:val="right"/>
            </w:pPr>
            <w:r>
              <w:rPr>
                <w:sz w:val="18"/>
                <w:szCs w:val="18"/>
                <w:rtl w:val="0"/>
                <w:lang w:val="en-US"/>
              </w:rPr>
              <w:t>(41)</w:t>
            </w:r>
          </w:p>
        </w:tc>
      </w:tr>
    </w:tbl>
    <w:p>
      <w:pPr>
        <w:pStyle w:val="Normal.0"/>
        <w:widowControl w:val="0"/>
        <w:spacing w:after="80" w:line="240" w:lineRule="atLeast"/>
        <w:ind w:firstLine="0"/>
        <w:jc w:val="center"/>
      </w:pPr>
    </w:p>
    <w:p>
      <w:pPr>
        <w:pStyle w:val="Normal.0"/>
        <w:spacing w:after="80" w:line="240" w:lineRule="atLeast"/>
        <w:ind w:firstLine="0"/>
      </w:pPr>
      <w:r>
        <w:rPr>
          <w:b w:val="1"/>
          <w:bCs w:val="1"/>
          <w:sz w:val="22"/>
          <w:szCs w:val="22"/>
          <w:rtl w:val="0"/>
          <w:lang w:val="en-US"/>
        </w:rPr>
        <w:t>Proof.</w:t>
      </w:r>
      <w:r>
        <w:rPr>
          <w:sz w:val="22"/>
          <w:szCs w:val="22"/>
          <w:rtl w:val="0"/>
          <w:lang w:val="en-US"/>
        </w:rPr>
        <w:t xml:space="preserve"> D</w:t>
      </w:r>
      <w:r>
        <w:rPr>
          <w:rFonts w:ascii="Arial Unicode MS" w:cs="Arial Unicode MS" w:hAnsi="Arial Unicode MS" w:eastAsia="Arial Unicode MS" w:hint="default"/>
          <w:b w:val="0"/>
          <w:bCs w:val="0"/>
          <w:i w:val="0"/>
          <w:iCs w:val="0"/>
          <w:sz w:val="22"/>
          <w:szCs w:val="22"/>
          <w:rtl w:val="0"/>
          <w:lang w:val="en-US"/>
        </w:rPr>
        <w:t>₀₀</w:t>
      </w:r>
      <w:r>
        <w:rPr>
          <w:sz w:val="22"/>
          <w:szCs w:val="22"/>
          <w:rtl w:val="0"/>
          <w:lang w:val="en-US"/>
        </w:rPr>
        <w:t xml:space="preserve"> </w:t>
      </w:r>
      <w:r>
        <w:rPr>
          <w:sz w:val="22"/>
          <w:szCs w:val="22"/>
          <w:rtl w:val="0"/>
          <w:lang w:val="en-US"/>
        </w:rPr>
        <w:t xml:space="preserve">is a real symmetric positive matrix and can be orthogonally diagonalized. The determinant of Eq. (39) is the product of factors </w:t>
      </w:r>
      <w:r>
        <w:rPr>
          <w:sz w:val="22"/>
          <w:szCs w:val="22"/>
          <w:rtl w:val="0"/>
          <w:lang w:val="en-US"/>
        </w:rPr>
        <w:t xml:space="preserve">−ω² </w:t>
      </w:r>
      <w:r>
        <w:rPr>
          <w:sz w:val="22"/>
          <w:szCs w:val="22"/>
          <w:rtl w:val="0"/>
          <w:lang w:val="en-US"/>
        </w:rPr>
        <w:t xml:space="preserve">+ </w:t>
      </w:r>
      <w:r>
        <w:rPr>
          <w:sz w:val="22"/>
          <w:szCs w:val="22"/>
          <w:rtl w:val="0"/>
          <w:lang w:val="en-US"/>
        </w:rPr>
        <w:t>β</w:t>
      </w:r>
      <w:r>
        <w:rPr>
          <w:sz w:val="22"/>
          <w:szCs w:val="22"/>
          <w:rtl w:val="0"/>
          <w:lang w:val="en-US"/>
        </w:rPr>
        <w:t>v</w:t>
      </w:r>
      <w:r>
        <w:rPr>
          <w:rFonts w:ascii="Arial Unicode MS" w:cs="Arial Unicode MS" w:hAnsi="Arial Unicode MS" w:eastAsia="Arial Unicode MS" w:hint="default"/>
          <w:b w:val="0"/>
          <w:bCs w:val="0"/>
          <w:i w:val="0"/>
          <w:iCs w:val="0"/>
          <w:sz w:val="22"/>
          <w:szCs w:val="22"/>
          <w:rtl w:val="0"/>
          <w:lang w:val="en-US"/>
        </w:rPr>
        <w:t>ⱼ</w:t>
      </w:r>
      <w:r>
        <w:rPr>
          <w:sz w:val="22"/>
          <w:szCs w:val="22"/>
          <w:rtl w:val="0"/>
          <w:lang w:val="en-US"/>
        </w:rPr>
        <w:t>²</w:t>
      </w:r>
      <w:r>
        <w:rPr>
          <w:sz w:val="22"/>
          <w:szCs w:val="22"/>
          <w:rtl w:val="0"/>
          <w:lang w:val="en-US"/>
        </w:rPr>
        <w:t>h</w:t>
      </w:r>
      <w:r>
        <w:rPr>
          <w:rFonts w:ascii="Arial Unicode MS" w:cs="Arial Unicode MS" w:hAnsi="Arial Unicode MS" w:eastAsia="Arial Unicode MS" w:hint="default"/>
          <w:b w:val="0"/>
          <w:bCs w:val="0"/>
          <w:i w:val="0"/>
          <w:iCs w:val="0"/>
          <w:sz w:val="22"/>
          <w:szCs w:val="22"/>
          <w:rtl w:val="0"/>
          <w:lang w:val="en-US"/>
        </w:rPr>
        <w:t>ⁱ</w:t>
      </w:r>
      <w:r>
        <w:rPr>
          <w:sz w:val="22"/>
          <w:szCs w:val="22"/>
          <w:rtl w:val="0"/>
          <w:lang w:val="en-US"/>
        </w:rPr>
        <w:t>ʲ</w:t>
      </w:r>
      <w:r>
        <w:rPr>
          <w:sz w:val="22"/>
          <w:szCs w:val="22"/>
          <w:rtl w:val="0"/>
          <w:lang w:val="en-US"/>
        </w:rPr>
        <w:t>kᵢk</w:t>
      </w:r>
      <w:r>
        <w:rPr>
          <w:rFonts w:ascii="Arial Unicode MS" w:cs="Arial Unicode MS" w:hAnsi="Arial Unicode MS" w:eastAsia="Arial Unicode MS" w:hint="default"/>
          <w:b w:val="0"/>
          <w:bCs w:val="0"/>
          <w:i w:val="0"/>
          <w:iCs w:val="0"/>
          <w:sz w:val="22"/>
          <w:szCs w:val="22"/>
          <w:rtl w:val="0"/>
          <w:lang w:val="en-US"/>
        </w:rPr>
        <w:t>ⱼ</w:t>
      </w:r>
      <w:r>
        <w:rPr>
          <w:sz w:val="22"/>
          <w:szCs w:val="22"/>
          <w:rtl w:val="0"/>
          <w:lang w:val="en-US"/>
        </w:rPr>
        <w:t>. For a positive spatial form, the cones coincide exactly when all v</w:t>
      </w:r>
      <w:r>
        <w:rPr>
          <w:rFonts w:ascii="Arial Unicode MS" w:cs="Arial Unicode MS" w:hAnsi="Arial Unicode MS" w:eastAsia="Arial Unicode MS" w:hint="default"/>
          <w:b w:val="0"/>
          <w:bCs w:val="0"/>
          <w:i w:val="0"/>
          <w:iCs w:val="0"/>
          <w:sz w:val="22"/>
          <w:szCs w:val="22"/>
          <w:rtl w:val="0"/>
          <w:lang w:val="en-US"/>
        </w:rPr>
        <w:t>ⱼ</w:t>
      </w:r>
      <w:r>
        <w:rPr>
          <w:sz w:val="22"/>
          <w:szCs w:val="22"/>
          <w:rtl w:val="0"/>
          <w:lang w:val="en-US"/>
        </w:rPr>
        <w:t xml:space="preserve">² </w:t>
      </w:r>
      <w:r>
        <w:rPr>
          <w:sz w:val="22"/>
          <w:szCs w:val="22"/>
          <w:rtl w:val="0"/>
          <w:lang w:val="en-US"/>
        </w:rPr>
        <w:t xml:space="preserve">are equal. A symmetric matrix with only one eigenvalue is that eigenvalue times the identity. </w:t>
      </w:r>
      <w:r>
        <w:rPr>
          <w:sz w:val="22"/>
          <w:szCs w:val="22"/>
          <w:rtl w:val="0"/>
          <w:lang w:val="en-US"/>
        </w:rPr>
        <w:t>□</w:t>
      </w:r>
    </w:p>
    <w:p>
      <w:pPr>
        <w:pStyle w:val="Normal.0"/>
        <w:spacing w:after="80" w:line="240" w:lineRule="atLeast"/>
      </w:pPr>
      <w:r>
        <w:rPr>
          <w:sz w:val="22"/>
          <w:szCs w:val="22"/>
          <w:rtl w:val="0"/>
          <w:lang w:val="en-US"/>
        </w:rPr>
        <w:t>The condition can be written without selecting a normalized basis. If the columns of Q form any basis of ker U, it is equivalent to</w:t>
      </w:r>
    </w:p>
    <w:tbl>
      <w:tblPr>
        <w:tblW w:w="9411"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8846"/>
        <w:gridCol w:w="565"/>
      </w:tblGrid>
      <w:tr>
        <w:tblPrEx>
          <w:shd w:val="clear" w:color="auto" w:fill="ced7e7"/>
        </w:tblPrEx>
        <w:trPr>
          <w:trHeight w:val="212" w:hRule="atLeast"/>
        </w:trPr>
        <w:tc>
          <w:tcPr>
            <w:tcW w:type="dxa" w:w="8846"/>
            <w:tcBorders>
              <w:top w:val="nil"/>
              <w:left w:val="nil"/>
              <w:bottom w:val="nil"/>
              <w:right w:val="nil"/>
            </w:tcBorders>
            <w:shd w:val="clear" w:color="auto" w:fill="auto"/>
            <w:tcMar>
              <w:top w:type="dxa" w:w="80"/>
              <w:left w:type="dxa" w:w="80"/>
              <w:bottom w:type="dxa" w:w="80"/>
              <w:right w:type="dxa" w:w="80"/>
            </w:tcMar>
            <w:vAlign w:val="top"/>
          </w:tcPr>
          <w:p>
            <w:pPr>
              <w:pStyle w:val="Equation"/>
              <w:keepLines w:val="1"/>
              <w:spacing w:after="40"/>
              <w:ind w:firstLine="0"/>
            </w:pPr>
            <w:r>
              <w:rPr>
                <w:rFonts w:ascii="Times New Roman" w:hAnsi="Times New Roman"/>
                <w:sz w:val="18"/>
                <w:szCs w:val="18"/>
                <w:rtl w:val="0"/>
                <w:lang w:val="en-US"/>
              </w:rPr>
              <w:t>QᵀBQ = v</w:t>
            </w:r>
            <w:r>
              <w:rPr>
                <w:rFonts w:ascii="Times New Roman" w:hAnsi="Times New Roman" w:hint="default"/>
                <w:sz w:val="18"/>
                <w:szCs w:val="18"/>
                <w:rtl w:val="0"/>
                <w:lang w:val="en-US"/>
              </w:rPr>
              <w:t>²</w:t>
            </w:r>
            <w:r>
              <w:rPr>
                <w:rFonts w:ascii="Times New Roman" w:hAnsi="Times New Roman"/>
                <w:sz w:val="18"/>
                <w:szCs w:val="18"/>
                <w:rtl w:val="0"/>
                <w:lang w:val="en-US"/>
              </w:rPr>
              <w:t>QᵀAQ.</w:t>
            </w:r>
          </w:p>
        </w:tc>
        <w:tc>
          <w:tcPr>
            <w:tcW w:type="dxa" w:w="565"/>
            <w:tcBorders>
              <w:top w:val="nil"/>
              <w:left w:val="nil"/>
              <w:bottom w:val="nil"/>
              <w:right w:val="nil"/>
            </w:tcBorders>
            <w:shd w:val="clear" w:color="auto" w:fill="auto"/>
            <w:tcMar>
              <w:top w:type="dxa" w:w="80"/>
              <w:left w:type="dxa" w:w="80"/>
              <w:bottom w:type="dxa" w:w="80"/>
              <w:right w:type="dxa" w:w="80"/>
            </w:tcMar>
            <w:vAlign w:val="top"/>
          </w:tcPr>
          <w:p>
            <w:pPr>
              <w:pStyle w:val="Normal.0"/>
              <w:keepLines w:val="1"/>
              <w:spacing w:after="40" w:line="240" w:lineRule="auto"/>
              <w:ind w:firstLine="0"/>
              <w:jc w:val="right"/>
            </w:pPr>
            <w:r>
              <w:rPr>
                <w:sz w:val="18"/>
                <w:szCs w:val="18"/>
                <w:rtl w:val="0"/>
                <w:lang w:val="en-US"/>
              </w:rPr>
              <w:t>(42)</w:t>
            </w:r>
          </w:p>
        </w:tc>
      </w:tr>
    </w:tbl>
    <w:p>
      <w:pPr>
        <w:pStyle w:val="Normal.0"/>
        <w:widowControl w:val="0"/>
        <w:spacing w:after="80" w:line="240" w:lineRule="atLeast"/>
        <w:ind w:firstLine="0"/>
        <w:jc w:val="center"/>
      </w:pPr>
    </w:p>
    <w:p>
      <w:pPr>
        <w:pStyle w:val="Normal.0"/>
        <w:spacing w:after="80" w:line="240" w:lineRule="atLeast"/>
      </w:pPr>
      <w:r>
        <w:rPr>
          <w:sz w:val="22"/>
          <w:szCs w:val="22"/>
          <w:rtl w:val="0"/>
          <w:lang w:val="en-US"/>
        </w:rPr>
        <w:t xml:space="preserve">For r = 1 the condition is automatic: one branch necessarily has one leading speed. For r </w:t>
      </w:r>
      <w:r>
        <w:rPr>
          <w:sz w:val="22"/>
          <w:szCs w:val="22"/>
          <w:rtl w:val="0"/>
          <w:lang w:val="en-US"/>
        </w:rPr>
        <w:t xml:space="preserve">≥ </w:t>
      </w:r>
      <w:r>
        <w:rPr>
          <w:sz w:val="22"/>
          <w:szCs w:val="22"/>
          <w:rtl w:val="0"/>
          <w:lang w:val="en-US"/>
        </w:rPr>
        <w:t>2 it is a genuine constraint on the relative kinetic forms. If the graph continuum limit is anisotropic, the existence of a common spatial form preserves the meaning of Eq. (41); a common isotropic scalar c is obtained after choosing a local orthonormal spatial frame. In a more general class with different matrix coefficients B</w:t>
      </w:r>
      <w:r>
        <w:rPr>
          <w:rFonts w:ascii="Arial Unicode MS" w:cs="Arial Unicode MS" w:hAnsi="Arial Unicode MS" w:eastAsia="Arial Unicode MS" w:hint="default"/>
          <w:b w:val="0"/>
          <w:bCs w:val="0"/>
          <w:i w:val="0"/>
          <w:iCs w:val="0"/>
          <w:sz w:val="22"/>
          <w:szCs w:val="22"/>
          <w:rtl w:val="0"/>
          <w:lang w:val="en-US"/>
        </w:rPr>
        <w:t>ⁱ</w:t>
      </w:r>
      <w:r>
        <w:rPr>
          <w:sz w:val="22"/>
          <w:szCs w:val="22"/>
          <w:rtl w:val="0"/>
          <w:lang w:val="en-US"/>
        </w:rPr>
        <w:t>ʲ</w:t>
      </w:r>
      <w:r>
        <w:rPr>
          <w:sz w:val="22"/>
          <w:szCs w:val="22"/>
          <w:rtl w:val="0"/>
          <w:lang w:val="en-US"/>
        </w:rPr>
        <w:t>, the projections of all such matrices would have to be matched, not only a single B.</w:t>
      </w:r>
    </w:p>
    <w:p>
      <w:pPr>
        <w:pStyle w:val="Normal.0"/>
        <w:spacing w:after="80" w:line="240" w:lineRule="atLeast"/>
      </w:pPr>
      <w:r>
        <w:rPr>
          <w:sz w:val="22"/>
          <w:szCs w:val="22"/>
          <w:rtl w:val="0"/>
          <w:lang w:val="en-US"/>
        </w:rPr>
        <w:t xml:space="preserve">The theorem concerns principal symbols of the leading low-energy theory. It does not assert equality of the exact dispersion relations at all k, full Lorentz symmetry of interactions, or a common ultraviolet signal-front velocity. For r &gt; 1, the second-order matrix in Eq. (37) may split the branches at order </w:t>
      </w:r>
      <w:r>
        <w:rPr>
          <w:sz w:val="22"/>
          <w:szCs w:val="22"/>
          <w:rtl w:val="0"/>
          <w:lang w:val="en-US"/>
        </w:rPr>
        <w:t xml:space="preserve">ν² </w:t>
      </w:r>
      <w:r>
        <w:rPr>
          <w:sz w:val="22"/>
          <w:szCs w:val="22"/>
          <w:rtl w:val="0"/>
          <w:lang w:val="en-US"/>
        </w:rPr>
        <w:t>even when Eq. (40) holds.</w:t>
      </w:r>
    </w:p>
    <w:p>
      <w:pPr>
        <w:pStyle w:val="Заголовок 3"/>
        <w:spacing w:line="240" w:lineRule="atLeast"/>
        <w:rPr>
          <w:u w:val="single"/>
        </w:rPr>
      </w:pPr>
      <w:r>
        <w:rPr>
          <w:u w:val="single"/>
          <w:rtl w:val="0"/>
          <w:lang w:val="en-US"/>
        </w:rPr>
        <w:t>7.4. Symmetry Protection and Its Limits</w:t>
      </w:r>
    </w:p>
    <w:p>
      <w:pPr>
        <w:pStyle w:val="Normal.0"/>
        <w:spacing w:after="80" w:line="240" w:lineRule="atLeast"/>
        <w:ind w:firstLine="0"/>
      </w:pPr>
      <w:r>
        <w:rPr>
          <w:b w:val="1"/>
          <w:bCs w:val="1"/>
          <w:sz w:val="22"/>
          <w:szCs w:val="22"/>
          <w:rtl w:val="0"/>
          <w:lang w:val="en-US"/>
        </w:rPr>
        <w:t>Corollary 4.1.</w:t>
      </w:r>
      <w:r>
        <w:rPr>
          <w:sz w:val="22"/>
          <w:szCs w:val="22"/>
          <w:rtl w:val="0"/>
          <w:lang w:val="en-US"/>
        </w:rPr>
        <w:t xml:space="preserve"> Suppose an orthogonal group acts on ker T, its representation on the entire r-dimensional massless subspace is irreducible and unbroken by the background, and the full dynamics preserves the symmetry. Then any symmetric operator D</w:t>
      </w:r>
      <w:r>
        <w:rPr>
          <w:rFonts w:ascii="Arial Unicode MS" w:cs="Arial Unicode MS" w:hAnsi="Arial Unicode MS" w:eastAsia="Arial Unicode MS" w:hint="default"/>
          <w:b w:val="0"/>
          <w:bCs w:val="0"/>
          <w:i w:val="0"/>
          <w:iCs w:val="0"/>
          <w:sz w:val="22"/>
          <w:szCs w:val="22"/>
          <w:rtl w:val="0"/>
          <w:lang w:val="en-US"/>
        </w:rPr>
        <w:t>₀₀</w:t>
      </w:r>
      <w:r>
        <w:rPr>
          <w:sz w:val="22"/>
          <w:szCs w:val="22"/>
          <w:rtl w:val="0"/>
          <w:lang w:val="en-US"/>
        </w:rPr>
        <w:t xml:space="preserve"> </w:t>
      </w:r>
      <w:r>
        <w:rPr>
          <w:sz w:val="22"/>
          <w:szCs w:val="22"/>
          <w:rtl w:val="0"/>
          <w:lang w:val="en-US"/>
        </w:rPr>
        <w:t>commuting with the group action is scalar.</w:t>
      </w:r>
    </w:p>
    <w:p>
      <w:pPr>
        <w:pStyle w:val="Normal.0"/>
        <w:spacing w:after="80" w:line="240" w:lineRule="atLeast"/>
      </w:pPr>
      <w:r>
        <w:rPr>
          <w:sz w:val="22"/>
          <w:szCs w:val="22"/>
          <w:rtl w:val="0"/>
          <w:lang w:val="en-US"/>
        </w:rPr>
        <w:t>Indeed, each eigenspace of D</w:t>
      </w:r>
      <w:r>
        <w:rPr>
          <w:rFonts w:ascii="Arial Unicode MS" w:cs="Arial Unicode MS" w:hAnsi="Arial Unicode MS" w:eastAsia="Arial Unicode MS" w:hint="default"/>
          <w:b w:val="0"/>
          <w:bCs w:val="0"/>
          <w:i w:val="0"/>
          <w:iCs w:val="0"/>
          <w:sz w:val="22"/>
          <w:szCs w:val="22"/>
          <w:rtl w:val="0"/>
          <w:lang w:val="en-US"/>
        </w:rPr>
        <w:t>₀₀</w:t>
      </w:r>
      <w:r>
        <w:rPr>
          <w:sz w:val="22"/>
          <w:szCs w:val="22"/>
          <w:rtl w:val="0"/>
          <w:lang w:val="en-US"/>
        </w:rPr>
        <w:t xml:space="preserve"> </w:t>
      </w:r>
      <w:r>
        <w:rPr>
          <w:sz w:val="22"/>
          <w:szCs w:val="22"/>
          <w:rtl w:val="0"/>
          <w:lang w:val="en-US"/>
        </w:rPr>
        <w:t>is invariant under the group. Irreducibility therefore permits only the entire space. This argument applies to symmetric real operators and does not require any assumption about the type of the full real commutant.</w:t>
      </w:r>
    </w:p>
    <w:p>
      <w:pPr>
        <w:pStyle w:val="Normal.0"/>
        <w:spacing w:after="80" w:line="240" w:lineRule="atLeast"/>
      </w:pPr>
      <w:r>
        <w:rPr>
          <w:sz w:val="22"/>
          <w:szCs w:val="22"/>
          <w:rtl w:val="0"/>
          <w:lang w:val="en-US"/>
        </w:rPr>
        <w:t xml:space="preserve">An explicit example is obtained by replacing A </w:t>
      </w:r>
      <w:r>
        <w:rPr>
          <w:sz w:val="22"/>
          <w:szCs w:val="22"/>
          <w:rtl w:val="0"/>
          <w:lang w:val="en-US"/>
        </w:rPr>
        <w:t xml:space="preserve">→ </w:t>
      </w:r>
      <w:r>
        <w:rPr>
          <w:sz w:val="22"/>
          <w:szCs w:val="22"/>
          <w:rtl w:val="0"/>
          <w:lang w:val="en-US"/>
        </w:rPr>
        <w:t xml:space="preserve">A </w:t>
      </w:r>
      <w:r>
        <w:rPr>
          <w:rFonts w:ascii="Arial Unicode MS" w:cs="Arial Unicode MS" w:hAnsi="Arial Unicode MS" w:eastAsia="Arial Unicode MS" w:hint="default"/>
          <w:b w:val="0"/>
          <w:bCs w:val="0"/>
          <w:i w:val="0"/>
          <w:iCs w:val="0"/>
          <w:sz w:val="22"/>
          <w:szCs w:val="22"/>
          <w:rtl w:val="0"/>
          <w:lang w:val="en-US"/>
        </w:rPr>
        <w:t>⊗</w:t>
      </w:r>
      <w:r>
        <w:rPr>
          <w:sz w:val="22"/>
          <w:szCs w:val="22"/>
          <w:rtl w:val="0"/>
          <w:lang w:val="en-US"/>
        </w:rPr>
        <w:t xml:space="preserve"> </w:t>
      </w:r>
      <w:r>
        <w:rPr>
          <w:sz w:val="22"/>
          <w:szCs w:val="22"/>
          <w:rtl w:val="0"/>
          <w:lang w:val="en-US"/>
        </w:rPr>
        <w:t xml:space="preserve">Iᵣ, B </w:t>
      </w:r>
      <w:r>
        <w:rPr>
          <w:sz w:val="22"/>
          <w:szCs w:val="22"/>
          <w:rtl w:val="0"/>
          <w:lang w:val="en-US"/>
        </w:rPr>
        <w:t xml:space="preserve">→ </w:t>
      </w:r>
      <w:r>
        <w:rPr>
          <w:sz w:val="22"/>
          <w:szCs w:val="22"/>
          <w:rtl w:val="0"/>
          <w:lang w:val="en-US"/>
        </w:rPr>
        <w:t xml:space="preserve">B </w:t>
      </w:r>
      <w:r>
        <w:rPr>
          <w:rFonts w:ascii="Arial Unicode MS" w:cs="Arial Unicode MS" w:hAnsi="Arial Unicode MS" w:eastAsia="Arial Unicode MS" w:hint="default"/>
          <w:b w:val="0"/>
          <w:bCs w:val="0"/>
          <w:i w:val="0"/>
          <w:iCs w:val="0"/>
          <w:sz w:val="22"/>
          <w:szCs w:val="22"/>
          <w:rtl w:val="0"/>
          <w:lang w:val="en-US"/>
        </w:rPr>
        <w:t>⊗</w:t>
      </w:r>
      <w:r>
        <w:rPr>
          <w:sz w:val="22"/>
          <w:szCs w:val="22"/>
          <w:rtl w:val="0"/>
          <w:lang w:val="en-US"/>
        </w:rPr>
        <w:t xml:space="preserve"> </w:t>
      </w:r>
      <w:r>
        <w:rPr>
          <w:sz w:val="22"/>
          <w:szCs w:val="22"/>
          <w:rtl w:val="0"/>
          <w:lang w:val="en-US"/>
        </w:rPr>
        <w:t xml:space="preserve">Iᵣ, and U </w:t>
      </w:r>
      <w:r>
        <w:rPr>
          <w:sz w:val="22"/>
          <w:szCs w:val="22"/>
          <w:rtl w:val="0"/>
          <w:lang w:val="en-US"/>
        </w:rPr>
        <w:t xml:space="preserve">→ </w:t>
      </w:r>
      <w:r>
        <w:rPr>
          <w:sz w:val="22"/>
          <w:szCs w:val="22"/>
          <w:rtl w:val="0"/>
          <w:lang w:val="en-US"/>
        </w:rPr>
        <w:t xml:space="preserve">U </w:t>
      </w:r>
      <w:r>
        <w:rPr>
          <w:rFonts w:ascii="Arial Unicode MS" w:cs="Arial Unicode MS" w:hAnsi="Arial Unicode MS" w:eastAsia="Arial Unicode MS" w:hint="default"/>
          <w:b w:val="0"/>
          <w:bCs w:val="0"/>
          <w:i w:val="0"/>
          <w:iCs w:val="0"/>
          <w:sz w:val="22"/>
          <w:szCs w:val="22"/>
          <w:rtl w:val="0"/>
          <w:lang w:val="en-US"/>
        </w:rPr>
        <w:t>⊗</w:t>
      </w:r>
      <w:r>
        <w:rPr>
          <w:sz w:val="22"/>
          <w:szCs w:val="22"/>
          <w:rtl w:val="0"/>
          <w:lang w:val="en-US"/>
        </w:rPr>
        <w:t xml:space="preserve"> </w:t>
      </w:r>
      <w:r>
        <w:rPr>
          <w:sz w:val="22"/>
          <w:szCs w:val="22"/>
          <w:rtl w:val="0"/>
          <w:lang w:val="en-US"/>
        </w:rPr>
        <w:t>Iᵣ in the two-component model. This produces r collective massless modes, and O(r) forbids their splitting in a symmetric state. In this particular quadratic construction even the complete dispersion relations of the copies are identical. Their identical microscopic structure and the internal symmetry, however, are inserted assumptions. Such a construction cannot be regarded as a derivation of universality for all particles.</w:t>
      </w:r>
    </w:p>
    <w:p>
      <w:pPr>
        <w:pStyle w:val="Normal.0"/>
        <w:spacing w:after="80" w:line="240" w:lineRule="atLeast"/>
      </w:pPr>
      <w:r>
        <w:rPr>
          <w:sz w:val="22"/>
          <w:szCs w:val="22"/>
          <w:rtl w:val="0"/>
          <w:lang w:val="en-US"/>
        </w:rPr>
        <w:t>If the massless subspace decomposes into distinct irreducible representations, the symmetry allows different speeds between them. Multiplicities of equivalent representations also require analysis of the permitted mixing. For realistic scalar, fermionic, gauge, and gravitational excitations, a common irreducible representation has not been constructed here. Extending the theorem to those sectors requires their physical principal symbols after constraints and gauge redundancy have been removed.</w:t>
      </w:r>
    </w:p>
    <w:p>
      <w:pPr>
        <w:pStyle w:val="Normal.0"/>
        <w:spacing w:after="80" w:line="240" w:lineRule="atLeast"/>
      </w:pPr>
      <w:r>
        <w:rPr>
          <w:sz w:val="22"/>
          <w:szCs w:val="22"/>
          <w:rtl w:val="0"/>
          <w:lang w:val="en-US"/>
        </w:rPr>
        <w:t>When interactions are added, an exact internal symmetry continues to constrain the allowed matrix structures only if it is preserved by the regulator, the quantum theory, and the background. This is not a calculation of the renormalization-group flow. For mechanisms of the type discussed in Refs. [4, 5], one must instead show that sector-dependent differences are irrelevant directions of a specific flow; a postulated damping equation for the differences is not a substitute for such a derivation.</w:t>
      </w:r>
    </w:p>
    <w:p>
      <w:pPr>
        <w:pStyle w:val="Заголовок 2"/>
        <w:spacing w:line="240" w:lineRule="atLeast"/>
      </w:pPr>
      <w:r>
        <w:rPr>
          <w:rtl w:val="0"/>
          <w:lang w:val="en-US"/>
        </w:rPr>
        <w:t>8. Quasilocal Balance on a Changing Network</w:t>
      </w:r>
    </w:p>
    <w:p>
      <w:pPr>
        <w:pStyle w:val="Normal.0"/>
        <w:spacing w:after="80" w:line="240" w:lineRule="atLeast"/>
        <w:ind w:firstLine="0"/>
      </w:pPr>
      <w:r>
        <w:rPr>
          <w:sz w:val="22"/>
          <w:szCs w:val="22"/>
          <w:rtl w:val="0"/>
          <w:lang w:val="en-US"/>
        </w:rPr>
        <w:t>The Hamiltonian in Eqs. (2)</w:t>
      </w:r>
      <w:r>
        <w:rPr>
          <w:sz w:val="22"/>
          <w:szCs w:val="22"/>
          <w:rtl w:val="0"/>
          <w:lang w:val="en-US"/>
        </w:rPr>
        <w:t>–</w:t>
      </w:r>
      <w:r>
        <w:rPr>
          <w:sz w:val="22"/>
          <w:szCs w:val="22"/>
          <w:rtl w:val="0"/>
          <w:lang w:val="en-US"/>
        </w:rPr>
        <w:t>(4) makes it possible to state precisely what is conserved when the relational structure changes. Define the field energy assigned to vertex i by dividing every intervertex energy equally between its endpoints:</w:t>
      </w:r>
    </w:p>
    <w:tbl>
      <w:tblPr>
        <w:tblW w:w="9411"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8846"/>
        <w:gridCol w:w="565"/>
      </w:tblGrid>
      <w:tr>
        <w:tblPrEx>
          <w:shd w:val="clear" w:color="auto" w:fill="ced7e7"/>
        </w:tblPrEx>
        <w:trPr>
          <w:trHeight w:val="244" w:hRule="atLeast"/>
        </w:trPr>
        <w:tc>
          <w:tcPr>
            <w:tcW w:type="dxa" w:w="8846"/>
            <w:tcBorders>
              <w:top w:val="nil"/>
              <w:left w:val="nil"/>
              <w:bottom w:val="nil"/>
              <w:right w:val="nil"/>
            </w:tcBorders>
            <w:shd w:val="clear" w:color="auto" w:fill="auto"/>
            <w:tcMar>
              <w:top w:type="dxa" w:w="80"/>
              <w:left w:type="dxa" w:w="80"/>
              <w:bottom w:type="dxa" w:w="80"/>
              <w:right w:type="dxa" w:w="80"/>
            </w:tcMar>
            <w:vAlign w:val="top"/>
          </w:tcPr>
          <w:p>
            <w:pPr>
              <w:pStyle w:val="Equation"/>
              <w:keepLines w:val="1"/>
              <w:spacing w:after="40"/>
              <w:ind w:firstLine="0"/>
            </w:pPr>
            <w:r>
              <w:rPr>
                <w:rFonts w:ascii="Times New Roman" w:hAnsi="Times New Roman"/>
                <w:sz w:val="18"/>
                <w:szCs w:val="18"/>
                <w:rtl w:val="0"/>
                <w:lang w:val="en-US"/>
              </w:rPr>
              <w:t xml:space="preserve">eᵢ = </w:t>
            </w:r>
            <w:r>
              <w:rPr>
                <w:rFonts w:ascii="Times New Roman" w:hAnsi="Times New Roman" w:hint="default"/>
                <w:sz w:val="18"/>
                <w:szCs w:val="18"/>
                <w:rtl w:val="0"/>
                <w:lang w:val="en-US"/>
              </w:rPr>
              <w:t>½</w:t>
            </w:r>
            <w:r>
              <w:rPr>
                <w:rFonts w:ascii="Times New Roman" w:hAnsi="Times New Roman"/>
                <w:sz w:val="18"/>
                <w:szCs w:val="18"/>
                <w:rtl w:val="0"/>
                <w:lang w:val="en-US"/>
              </w:rPr>
              <w:t>pᵢᵀA</w:t>
            </w:r>
            <w:r>
              <w:rPr>
                <w:rFonts w:ascii="Arial Unicode MS" w:cs="Arial Unicode MS" w:hAnsi="Arial Unicode MS" w:eastAsia="Arial Unicode MS" w:hint="default"/>
                <w:b w:val="0"/>
                <w:bCs w:val="0"/>
                <w:i w:val="0"/>
                <w:iCs w:val="0"/>
                <w:sz w:val="18"/>
                <w:szCs w:val="18"/>
                <w:rtl w:val="0"/>
                <w:lang w:val="en-US"/>
              </w:rPr>
              <w:t>⁻</w:t>
            </w:r>
            <w:r>
              <w:rPr>
                <w:rFonts w:ascii="Times New Roman" w:hAnsi="Times New Roman" w:hint="default"/>
                <w:sz w:val="18"/>
                <w:szCs w:val="18"/>
                <w:rtl w:val="0"/>
                <w:lang w:val="en-US"/>
              </w:rPr>
              <w:t>¹</w:t>
            </w:r>
            <w:r>
              <w:rPr>
                <w:rFonts w:ascii="Times New Roman" w:hAnsi="Times New Roman"/>
                <w:sz w:val="18"/>
                <w:szCs w:val="18"/>
                <w:rtl w:val="0"/>
                <w:lang w:val="en-US"/>
              </w:rPr>
              <w:t xml:space="preserve">pᵢ + </w:t>
            </w:r>
            <w:r>
              <w:rPr>
                <w:rFonts w:ascii="Times New Roman" w:hAnsi="Times New Roman" w:hint="default"/>
                <w:sz w:val="18"/>
                <w:szCs w:val="18"/>
                <w:rtl w:val="0"/>
                <w:lang w:val="en-US"/>
              </w:rPr>
              <w:t>½Φ</w:t>
            </w:r>
            <w:r>
              <w:rPr>
                <w:rFonts w:ascii="Times New Roman" w:hAnsi="Times New Roman"/>
                <w:sz w:val="18"/>
                <w:szCs w:val="18"/>
                <w:rtl w:val="0"/>
                <w:lang w:val="en-US"/>
              </w:rPr>
              <w:t>ᵢᵀU</w:t>
            </w:r>
            <w:r>
              <w:rPr>
                <w:rFonts w:ascii="Times New Roman" w:hAnsi="Times New Roman" w:hint="default"/>
                <w:sz w:val="18"/>
                <w:szCs w:val="18"/>
                <w:rtl w:val="0"/>
                <w:lang w:val="en-US"/>
              </w:rPr>
              <w:t>Φ</w:t>
            </w:r>
            <w:r>
              <w:rPr>
                <w:rFonts w:ascii="Times New Roman" w:hAnsi="Times New Roman"/>
                <w:sz w:val="18"/>
                <w:szCs w:val="18"/>
                <w:rtl w:val="0"/>
                <w:lang w:val="en-US"/>
              </w:rPr>
              <w:t xml:space="preserve">ᵢ + </w:t>
            </w:r>
            <w:r>
              <w:rPr>
                <w:rFonts w:ascii="Times New Roman" w:hAnsi="Times New Roman" w:hint="default"/>
                <w:sz w:val="18"/>
                <w:szCs w:val="18"/>
                <w:rtl w:val="0"/>
                <w:lang w:val="en-US"/>
              </w:rPr>
              <w:t>¼∑</w:t>
            </w:r>
            <w:r>
              <w:rPr>
                <w:rFonts w:ascii="Arial Unicode MS" w:cs="Arial Unicode MS" w:hAnsi="Arial Unicode MS" w:eastAsia="Arial Unicode MS" w:hint="default"/>
                <w:b w:val="0"/>
                <w:bCs w:val="0"/>
                <w:i w:val="0"/>
                <w:iCs w:val="0"/>
                <w:sz w:val="18"/>
                <w:szCs w:val="18"/>
                <w:rtl w:val="0"/>
                <w:lang w:val="en-US"/>
              </w:rPr>
              <w:t>ⱼ</w:t>
            </w:r>
            <w:r>
              <w:rPr>
                <w:rFonts w:ascii="Times New Roman" w:hAnsi="Times New Roman"/>
                <w:sz w:val="18"/>
                <w:szCs w:val="18"/>
                <w:rtl w:val="0"/>
                <w:lang w:val="en-US"/>
              </w:rPr>
              <w:t xml:space="preserve"> </w:t>
            </w:r>
            <w:r>
              <w:rPr>
                <w:rFonts w:ascii="Times New Roman" w:hAnsi="Times New Roman"/>
                <w:sz w:val="18"/>
                <w:szCs w:val="18"/>
                <w:rtl w:val="0"/>
                <w:lang w:val="en-US"/>
              </w:rPr>
              <w:t>wᵢ</w:t>
            </w:r>
            <w:r>
              <w:rPr>
                <w:rFonts w:ascii="Arial Unicode MS" w:cs="Arial Unicode MS" w:hAnsi="Arial Unicode MS" w:eastAsia="Arial Unicode MS" w:hint="default"/>
                <w:b w:val="0"/>
                <w:bCs w:val="0"/>
                <w:i w:val="0"/>
                <w:iCs w:val="0"/>
                <w:sz w:val="18"/>
                <w:szCs w:val="18"/>
                <w:rtl w:val="0"/>
                <w:lang w:val="en-US"/>
              </w:rPr>
              <w:t>ⱼ</w:t>
            </w:r>
            <w:r>
              <w:rPr>
                <w:rFonts w:ascii="Times New Roman" w:hAnsi="Times New Roman"/>
                <w:sz w:val="18"/>
                <w:szCs w:val="18"/>
                <w:rtl w:val="0"/>
                <w:lang w:val="en-US"/>
              </w:rPr>
              <w:t>(</w:t>
            </w:r>
            <w:r>
              <w:rPr>
                <w:rFonts w:ascii="Times New Roman" w:hAnsi="Times New Roman" w:hint="default"/>
                <w:sz w:val="18"/>
                <w:szCs w:val="18"/>
                <w:rtl w:val="0"/>
                <w:lang w:val="en-US"/>
              </w:rPr>
              <w:t>ΔΦ</w:t>
            </w:r>
            <w:r>
              <w:rPr>
                <w:rFonts w:ascii="Times New Roman" w:hAnsi="Times New Roman"/>
                <w:sz w:val="18"/>
                <w:szCs w:val="18"/>
                <w:rtl w:val="0"/>
                <w:lang w:val="en-US"/>
              </w:rPr>
              <w:t>ᵢ</w:t>
            </w:r>
            <w:r>
              <w:rPr>
                <w:rFonts w:ascii="Arial Unicode MS" w:cs="Arial Unicode MS" w:hAnsi="Arial Unicode MS" w:eastAsia="Arial Unicode MS" w:hint="default"/>
                <w:b w:val="0"/>
                <w:bCs w:val="0"/>
                <w:i w:val="0"/>
                <w:iCs w:val="0"/>
                <w:sz w:val="18"/>
                <w:szCs w:val="18"/>
                <w:rtl w:val="0"/>
                <w:lang w:val="en-US"/>
              </w:rPr>
              <w:t>ⱼ</w:t>
            </w:r>
            <w:r>
              <w:rPr>
                <w:rFonts w:ascii="Times New Roman" w:hAnsi="Times New Roman"/>
                <w:sz w:val="18"/>
                <w:szCs w:val="18"/>
                <w:rtl w:val="0"/>
                <w:lang w:val="en-US"/>
              </w:rPr>
              <w:t>)ᵀB</w:t>
            </w:r>
            <w:r>
              <w:rPr>
                <w:rFonts w:ascii="Times New Roman" w:hAnsi="Times New Roman" w:hint="default"/>
                <w:sz w:val="18"/>
                <w:szCs w:val="18"/>
                <w:rtl w:val="0"/>
                <w:lang w:val="en-US"/>
              </w:rPr>
              <w:t>ΔΦ</w:t>
            </w:r>
            <w:r>
              <w:rPr>
                <w:rFonts w:ascii="Times New Roman" w:hAnsi="Times New Roman"/>
                <w:sz w:val="18"/>
                <w:szCs w:val="18"/>
                <w:rtl w:val="0"/>
                <w:lang w:val="en-US"/>
              </w:rPr>
              <w:t>ᵢ</w:t>
            </w:r>
            <w:r>
              <w:rPr>
                <w:rFonts w:ascii="Arial Unicode MS" w:cs="Arial Unicode MS" w:hAnsi="Arial Unicode MS" w:eastAsia="Arial Unicode MS" w:hint="default"/>
                <w:b w:val="0"/>
                <w:bCs w:val="0"/>
                <w:i w:val="0"/>
                <w:iCs w:val="0"/>
                <w:sz w:val="18"/>
                <w:szCs w:val="18"/>
                <w:rtl w:val="0"/>
                <w:lang w:val="en-US"/>
              </w:rPr>
              <w:t>ⱼ</w:t>
            </w:r>
            <w:r>
              <w:rPr>
                <w:rFonts w:ascii="Times New Roman" w:hAnsi="Times New Roman"/>
                <w:sz w:val="18"/>
                <w:szCs w:val="18"/>
                <w:rtl w:val="0"/>
                <w:lang w:val="en-US"/>
              </w:rPr>
              <w:t>.</w:t>
            </w:r>
          </w:p>
        </w:tc>
        <w:tc>
          <w:tcPr>
            <w:tcW w:type="dxa" w:w="565"/>
            <w:tcBorders>
              <w:top w:val="nil"/>
              <w:left w:val="nil"/>
              <w:bottom w:val="nil"/>
              <w:right w:val="nil"/>
            </w:tcBorders>
            <w:shd w:val="clear" w:color="auto" w:fill="auto"/>
            <w:tcMar>
              <w:top w:type="dxa" w:w="80"/>
              <w:left w:type="dxa" w:w="80"/>
              <w:bottom w:type="dxa" w:w="80"/>
              <w:right w:type="dxa" w:w="80"/>
            </w:tcMar>
            <w:vAlign w:val="top"/>
          </w:tcPr>
          <w:p>
            <w:pPr>
              <w:pStyle w:val="Normal.0"/>
              <w:keepLines w:val="1"/>
              <w:spacing w:after="40" w:line="240" w:lineRule="auto"/>
              <w:ind w:firstLine="0"/>
              <w:jc w:val="right"/>
            </w:pPr>
            <w:r>
              <w:rPr>
                <w:sz w:val="18"/>
                <w:szCs w:val="18"/>
                <w:rtl w:val="0"/>
                <w:lang w:val="en-US"/>
              </w:rPr>
              <w:t>(43)</w:t>
            </w:r>
          </w:p>
        </w:tc>
      </w:tr>
    </w:tbl>
    <w:p>
      <w:pPr>
        <w:pStyle w:val="Normal.0"/>
        <w:widowControl w:val="0"/>
        <w:spacing w:after="80" w:line="240" w:lineRule="atLeast"/>
        <w:ind w:firstLine="0"/>
        <w:jc w:val="center"/>
      </w:pPr>
    </w:p>
    <w:p>
      <w:pPr>
        <w:pStyle w:val="Normal.0"/>
        <w:spacing w:after="80" w:line="240" w:lineRule="atLeast"/>
      </w:pPr>
      <w:r>
        <w:rPr>
          <w:sz w:val="22"/>
          <w:szCs w:val="22"/>
          <w:rtl w:val="0"/>
          <w:lang w:val="en-US"/>
        </w:rPr>
        <w:t>Let vᵢ = A</w:t>
      </w:r>
      <w:r>
        <w:rPr>
          <w:rFonts w:ascii="Arial Unicode MS" w:cs="Arial Unicode MS" w:hAnsi="Arial Unicode MS" w:eastAsia="Arial Unicode MS" w:hint="default"/>
          <w:b w:val="0"/>
          <w:bCs w:val="0"/>
          <w:i w:val="0"/>
          <w:iCs w:val="0"/>
          <w:sz w:val="22"/>
          <w:szCs w:val="22"/>
          <w:rtl w:val="0"/>
          <w:lang w:val="en-US"/>
        </w:rPr>
        <w:t>⁻</w:t>
      </w:r>
      <w:r>
        <w:rPr>
          <w:sz w:val="22"/>
          <w:szCs w:val="22"/>
          <w:rtl w:val="0"/>
          <w:lang w:val="en-US"/>
        </w:rPr>
        <w:t>¹</w:t>
      </w:r>
      <w:r>
        <w:rPr>
          <w:sz w:val="22"/>
          <w:szCs w:val="22"/>
          <w:rtl w:val="0"/>
          <w:lang w:val="en-US"/>
        </w:rPr>
        <w:t>pᵢ. Differentiation using Eq. (5) gives</w:t>
      </w:r>
    </w:p>
    <w:tbl>
      <w:tblPr>
        <w:tblW w:w="9411"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8846"/>
        <w:gridCol w:w="565"/>
      </w:tblGrid>
      <w:tr>
        <w:tblPrEx>
          <w:shd w:val="clear" w:color="auto" w:fill="ced7e7"/>
        </w:tblPrEx>
        <w:trPr>
          <w:trHeight w:val="220" w:hRule="atLeast"/>
        </w:trPr>
        <w:tc>
          <w:tcPr>
            <w:tcW w:type="dxa" w:w="8846"/>
            <w:tcBorders>
              <w:top w:val="nil"/>
              <w:left w:val="nil"/>
              <w:bottom w:val="nil"/>
              <w:right w:val="nil"/>
            </w:tcBorders>
            <w:shd w:val="clear" w:color="auto" w:fill="auto"/>
            <w:tcMar>
              <w:top w:type="dxa" w:w="80"/>
              <w:left w:type="dxa" w:w="80"/>
              <w:bottom w:type="dxa" w:w="80"/>
              <w:right w:type="dxa" w:w="80"/>
            </w:tcMar>
            <w:vAlign w:val="top"/>
          </w:tcPr>
          <w:p>
            <w:pPr>
              <w:pStyle w:val="Equation"/>
              <w:keepLines w:val="1"/>
              <w:spacing w:after="40"/>
              <w:ind w:firstLine="0"/>
            </w:pPr>
            <w:r>
              <w:rPr>
                <w:rFonts w:ascii="Times New Roman" w:hAnsi="Times New Roman"/>
                <w:sz w:val="18"/>
                <w:szCs w:val="18"/>
                <w:rtl w:val="0"/>
                <w:lang w:val="en-US"/>
              </w:rPr>
              <w:t>e</w:t>
            </w:r>
            <w:r>
              <w:rPr>
                <w:rFonts w:ascii="Times New Roman" w:hAnsi="Times New Roman" w:hint="default"/>
                <w:sz w:val="18"/>
                <w:szCs w:val="18"/>
                <w:rtl w:val="0"/>
                <w:lang w:val="en-US"/>
              </w:rPr>
              <w:t>̇</w:t>
            </w:r>
            <w:r>
              <w:rPr>
                <w:rFonts w:ascii="Times New Roman" w:hAnsi="Times New Roman"/>
                <w:sz w:val="18"/>
                <w:szCs w:val="18"/>
                <w:rtl w:val="0"/>
                <w:lang w:val="en-US"/>
              </w:rPr>
              <w:t xml:space="preserve">ᵢ = </w:t>
            </w:r>
            <w:r>
              <w:rPr>
                <w:rFonts w:ascii="Times New Roman" w:hAnsi="Times New Roman" w:hint="default"/>
                <w:sz w:val="18"/>
                <w:szCs w:val="18"/>
                <w:rtl w:val="0"/>
                <w:lang w:val="en-US"/>
              </w:rPr>
              <w:t>−∑</w:t>
            </w:r>
            <w:r>
              <w:rPr>
                <w:rFonts w:ascii="Arial Unicode MS" w:cs="Arial Unicode MS" w:hAnsi="Arial Unicode MS" w:eastAsia="Arial Unicode MS" w:hint="default"/>
                <w:b w:val="0"/>
                <w:bCs w:val="0"/>
                <w:i w:val="0"/>
                <w:iCs w:val="0"/>
                <w:sz w:val="18"/>
                <w:szCs w:val="18"/>
                <w:rtl w:val="0"/>
                <w:lang w:val="en-US"/>
              </w:rPr>
              <w:t>ⱼ</w:t>
            </w:r>
            <w:r>
              <w:rPr>
                <w:rFonts w:ascii="Times New Roman" w:hAnsi="Times New Roman"/>
                <w:sz w:val="18"/>
                <w:szCs w:val="18"/>
                <w:rtl w:val="0"/>
                <w:lang w:val="en-US"/>
              </w:rPr>
              <w:t xml:space="preserve"> </w:t>
            </w:r>
            <w:r>
              <w:rPr>
                <w:rFonts w:ascii="Times New Roman" w:hAnsi="Times New Roman"/>
                <w:sz w:val="18"/>
                <w:szCs w:val="18"/>
                <w:rtl w:val="0"/>
                <w:lang w:val="en-US"/>
              </w:rPr>
              <w:t>Jᵢ</w:t>
            </w:r>
            <w:r>
              <w:rPr>
                <w:rFonts w:ascii="Arial Unicode MS" w:cs="Arial Unicode MS" w:hAnsi="Arial Unicode MS" w:eastAsia="Arial Unicode MS" w:hint="default"/>
                <w:b w:val="0"/>
                <w:bCs w:val="0"/>
                <w:i w:val="0"/>
                <w:iCs w:val="0"/>
                <w:sz w:val="18"/>
                <w:szCs w:val="18"/>
                <w:rtl w:val="0"/>
                <w:lang w:val="en-US"/>
              </w:rPr>
              <w:t>ⱼ</w:t>
            </w:r>
            <w:r>
              <w:rPr>
                <w:rFonts w:ascii="Times New Roman" w:hAnsi="Times New Roman"/>
                <w:sz w:val="18"/>
                <w:szCs w:val="18"/>
                <w:rtl w:val="0"/>
                <w:lang w:val="en-US"/>
              </w:rPr>
              <w:t xml:space="preserve"> </w:t>
            </w:r>
            <w:r>
              <w:rPr>
                <w:rFonts w:ascii="Times New Roman" w:hAnsi="Times New Roman"/>
                <w:sz w:val="18"/>
                <w:szCs w:val="18"/>
                <w:rtl w:val="0"/>
                <w:lang w:val="en-US"/>
              </w:rPr>
              <w:t>+ Sᵢ,</w:t>
            </w:r>
          </w:p>
        </w:tc>
        <w:tc>
          <w:tcPr>
            <w:tcW w:type="dxa" w:w="565"/>
            <w:tcBorders>
              <w:top w:val="nil"/>
              <w:left w:val="nil"/>
              <w:bottom w:val="nil"/>
              <w:right w:val="nil"/>
            </w:tcBorders>
            <w:shd w:val="clear" w:color="auto" w:fill="auto"/>
            <w:tcMar>
              <w:top w:type="dxa" w:w="80"/>
              <w:left w:type="dxa" w:w="80"/>
              <w:bottom w:type="dxa" w:w="80"/>
              <w:right w:type="dxa" w:w="80"/>
            </w:tcMar>
            <w:vAlign w:val="top"/>
          </w:tcPr>
          <w:p>
            <w:pPr>
              <w:pStyle w:val="Normal.0"/>
              <w:keepLines w:val="1"/>
              <w:spacing w:after="40" w:line="240" w:lineRule="auto"/>
              <w:ind w:firstLine="0"/>
              <w:jc w:val="right"/>
            </w:pPr>
            <w:r>
              <w:rPr>
                <w:sz w:val="18"/>
                <w:szCs w:val="18"/>
                <w:rtl w:val="0"/>
                <w:lang w:val="en-US"/>
              </w:rPr>
              <w:t>(44)</w:t>
            </w:r>
          </w:p>
        </w:tc>
      </w:tr>
      <w:tr>
        <w:tblPrEx>
          <w:shd w:val="clear" w:color="auto" w:fill="ced7e7"/>
        </w:tblPrEx>
        <w:trPr>
          <w:trHeight w:val="220" w:hRule="atLeast"/>
        </w:trPr>
        <w:tc>
          <w:tcPr>
            <w:tcW w:type="dxa" w:w="8846"/>
            <w:tcBorders>
              <w:top w:val="nil"/>
              <w:left w:val="nil"/>
              <w:bottom w:val="nil"/>
              <w:right w:val="nil"/>
            </w:tcBorders>
            <w:shd w:val="clear" w:color="auto" w:fill="auto"/>
            <w:tcMar>
              <w:top w:type="dxa" w:w="80"/>
              <w:left w:type="dxa" w:w="80"/>
              <w:bottom w:type="dxa" w:w="80"/>
              <w:right w:type="dxa" w:w="80"/>
            </w:tcMar>
            <w:vAlign w:val="top"/>
          </w:tcPr>
          <w:p>
            <w:pPr>
              <w:pStyle w:val="Equation"/>
              <w:keepLines w:val="1"/>
              <w:spacing w:after="40"/>
              <w:ind w:firstLine="0"/>
            </w:pPr>
            <w:r>
              <w:rPr>
                <w:rFonts w:ascii="Times New Roman" w:hAnsi="Times New Roman"/>
                <w:sz w:val="18"/>
                <w:szCs w:val="18"/>
                <w:rtl w:val="0"/>
                <w:lang w:val="en-US"/>
              </w:rPr>
              <w:t>Jᵢ</w:t>
            </w:r>
            <w:r>
              <w:rPr>
                <w:rFonts w:ascii="Arial Unicode MS" w:cs="Arial Unicode MS" w:hAnsi="Arial Unicode MS" w:eastAsia="Arial Unicode MS" w:hint="default"/>
                <w:b w:val="0"/>
                <w:bCs w:val="0"/>
                <w:i w:val="0"/>
                <w:iCs w:val="0"/>
                <w:sz w:val="18"/>
                <w:szCs w:val="18"/>
                <w:rtl w:val="0"/>
                <w:lang w:val="en-US"/>
              </w:rPr>
              <w:t>ⱼ</w:t>
            </w:r>
            <w:r>
              <w:rPr>
                <w:rFonts w:ascii="Times New Roman" w:hAnsi="Times New Roman"/>
                <w:sz w:val="18"/>
                <w:szCs w:val="18"/>
                <w:rtl w:val="0"/>
                <w:lang w:val="en-US"/>
              </w:rPr>
              <w:t xml:space="preserve"> </w:t>
            </w:r>
            <w:r>
              <w:rPr>
                <w:rFonts w:ascii="Times New Roman" w:hAnsi="Times New Roman"/>
                <w:sz w:val="18"/>
                <w:szCs w:val="18"/>
                <w:rtl w:val="0"/>
                <w:lang w:val="en-US"/>
              </w:rPr>
              <w:t xml:space="preserve">= </w:t>
            </w:r>
            <w:r>
              <w:rPr>
                <w:rFonts w:ascii="Times New Roman" w:hAnsi="Times New Roman" w:hint="default"/>
                <w:sz w:val="18"/>
                <w:szCs w:val="18"/>
                <w:rtl w:val="0"/>
                <w:lang w:val="en-US"/>
              </w:rPr>
              <w:t>½</w:t>
            </w:r>
            <w:r>
              <w:rPr>
                <w:rFonts w:ascii="Times New Roman" w:hAnsi="Times New Roman"/>
                <w:sz w:val="18"/>
                <w:szCs w:val="18"/>
                <w:rtl w:val="0"/>
                <w:lang w:val="en-US"/>
              </w:rPr>
              <w:t>wᵢ</w:t>
            </w:r>
            <w:r>
              <w:rPr>
                <w:rFonts w:ascii="Arial Unicode MS" w:cs="Arial Unicode MS" w:hAnsi="Arial Unicode MS" w:eastAsia="Arial Unicode MS" w:hint="default"/>
                <w:b w:val="0"/>
                <w:bCs w:val="0"/>
                <w:i w:val="0"/>
                <w:iCs w:val="0"/>
                <w:sz w:val="18"/>
                <w:szCs w:val="18"/>
                <w:rtl w:val="0"/>
                <w:lang w:val="en-US"/>
              </w:rPr>
              <w:t>ⱼ</w:t>
            </w:r>
            <w:r>
              <w:rPr>
                <w:rFonts w:ascii="Times New Roman" w:hAnsi="Times New Roman"/>
                <w:sz w:val="18"/>
                <w:szCs w:val="18"/>
                <w:rtl w:val="0"/>
                <w:lang w:val="en-US"/>
              </w:rPr>
              <w:t>(vᵢ + v</w:t>
            </w:r>
            <w:r>
              <w:rPr>
                <w:rFonts w:ascii="Arial Unicode MS" w:cs="Arial Unicode MS" w:hAnsi="Arial Unicode MS" w:eastAsia="Arial Unicode MS" w:hint="default"/>
                <w:b w:val="0"/>
                <w:bCs w:val="0"/>
                <w:i w:val="0"/>
                <w:iCs w:val="0"/>
                <w:sz w:val="18"/>
                <w:szCs w:val="18"/>
                <w:rtl w:val="0"/>
                <w:lang w:val="en-US"/>
              </w:rPr>
              <w:t>ⱼ</w:t>
            </w:r>
            <w:r>
              <w:rPr>
                <w:rFonts w:ascii="Times New Roman" w:hAnsi="Times New Roman"/>
                <w:sz w:val="18"/>
                <w:szCs w:val="18"/>
                <w:rtl w:val="0"/>
                <w:lang w:val="en-US"/>
              </w:rPr>
              <w:t>)ᵀB(</w:t>
            </w:r>
            <w:r>
              <w:rPr>
                <w:rFonts w:ascii="Times New Roman" w:hAnsi="Times New Roman" w:hint="default"/>
                <w:sz w:val="18"/>
                <w:szCs w:val="18"/>
                <w:rtl w:val="0"/>
                <w:lang w:val="en-US"/>
              </w:rPr>
              <w:t>Φ</w:t>
            </w:r>
            <w:r>
              <w:rPr>
                <w:rFonts w:ascii="Times New Roman" w:hAnsi="Times New Roman"/>
                <w:sz w:val="18"/>
                <w:szCs w:val="18"/>
                <w:rtl w:val="0"/>
                <w:lang w:val="en-US"/>
              </w:rPr>
              <w:t xml:space="preserve">ᵢ </w:t>
            </w:r>
            <w:r>
              <w:rPr>
                <w:rFonts w:ascii="Times New Roman" w:hAnsi="Times New Roman" w:hint="default"/>
                <w:sz w:val="18"/>
                <w:szCs w:val="18"/>
                <w:rtl w:val="0"/>
                <w:lang w:val="en-US"/>
              </w:rPr>
              <w:t>− Φ</w:t>
            </w:r>
            <w:r>
              <w:rPr>
                <w:rFonts w:ascii="Arial Unicode MS" w:cs="Arial Unicode MS" w:hAnsi="Arial Unicode MS" w:eastAsia="Arial Unicode MS" w:hint="default"/>
                <w:b w:val="0"/>
                <w:bCs w:val="0"/>
                <w:i w:val="0"/>
                <w:iCs w:val="0"/>
                <w:sz w:val="18"/>
                <w:szCs w:val="18"/>
                <w:rtl w:val="0"/>
                <w:lang w:val="en-US"/>
              </w:rPr>
              <w:t>ⱼ</w:t>
            </w:r>
            <w:r>
              <w:rPr>
                <w:rFonts w:ascii="Times New Roman" w:hAnsi="Times New Roman"/>
                <w:sz w:val="18"/>
                <w:szCs w:val="18"/>
                <w:rtl w:val="0"/>
                <w:lang w:val="en-US"/>
              </w:rPr>
              <w:t>),     Jᵢ</w:t>
            </w:r>
            <w:r>
              <w:rPr>
                <w:rFonts w:ascii="Arial Unicode MS" w:cs="Arial Unicode MS" w:hAnsi="Arial Unicode MS" w:eastAsia="Arial Unicode MS" w:hint="default"/>
                <w:b w:val="0"/>
                <w:bCs w:val="0"/>
                <w:i w:val="0"/>
                <w:iCs w:val="0"/>
                <w:sz w:val="18"/>
                <w:szCs w:val="18"/>
                <w:rtl w:val="0"/>
                <w:lang w:val="en-US"/>
              </w:rPr>
              <w:t>ⱼ</w:t>
            </w:r>
            <w:r>
              <w:rPr>
                <w:rFonts w:ascii="Times New Roman" w:hAnsi="Times New Roman"/>
                <w:sz w:val="18"/>
                <w:szCs w:val="18"/>
                <w:rtl w:val="0"/>
                <w:lang w:val="en-US"/>
              </w:rPr>
              <w:t xml:space="preserve"> </w:t>
            </w:r>
            <w:r>
              <w:rPr>
                <w:rFonts w:ascii="Times New Roman" w:hAnsi="Times New Roman"/>
                <w:sz w:val="18"/>
                <w:szCs w:val="18"/>
                <w:rtl w:val="0"/>
                <w:lang w:val="en-US"/>
              </w:rPr>
              <w:t xml:space="preserve">= </w:t>
            </w:r>
            <w:r>
              <w:rPr>
                <w:rFonts w:ascii="Times New Roman" w:hAnsi="Times New Roman" w:hint="default"/>
                <w:sz w:val="18"/>
                <w:szCs w:val="18"/>
                <w:rtl w:val="0"/>
                <w:lang w:val="en-US"/>
              </w:rPr>
              <w:t>−</w:t>
            </w:r>
            <w:r>
              <w:rPr>
                <w:rFonts w:ascii="Times New Roman" w:hAnsi="Times New Roman"/>
                <w:sz w:val="18"/>
                <w:szCs w:val="18"/>
                <w:rtl w:val="0"/>
                <w:lang w:val="en-US"/>
              </w:rPr>
              <w:t>J</w:t>
            </w:r>
            <w:r>
              <w:rPr>
                <w:rFonts w:ascii="Arial Unicode MS" w:cs="Arial Unicode MS" w:hAnsi="Arial Unicode MS" w:eastAsia="Arial Unicode MS" w:hint="default"/>
                <w:b w:val="0"/>
                <w:bCs w:val="0"/>
                <w:i w:val="0"/>
                <w:iCs w:val="0"/>
                <w:sz w:val="18"/>
                <w:szCs w:val="18"/>
                <w:rtl w:val="0"/>
                <w:lang w:val="en-US"/>
              </w:rPr>
              <w:t>ⱼ</w:t>
            </w:r>
            <w:r>
              <w:rPr>
                <w:rFonts w:ascii="Times New Roman" w:hAnsi="Times New Roman"/>
                <w:sz w:val="18"/>
                <w:szCs w:val="18"/>
                <w:rtl w:val="0"/>
                <w:lang w:val="en-US"/>
              </w:rPr>
              <w:t>ᵢ,</w:t>
            </w:r>
          </w:p>
        </w:tc>
        <w:tc>
          <w:tcPr>
            <w:tcW w:type="dxa" w:w="565"/>
            <w:tcBorders>
              <w:top w:val="nil"/>
              <w:left w:val="nil"/>
              <w:bottom w:val="nil"/>
              <w:right w:val="nil"/>
            </w:tcBorders>
            <w:shd w:val="clear" w:color="auto" w:fill="auto"/>
            <w:tcMar>
              <w:top w:type="dxa" w:w="80"/>
              <w:left w:type="dxa" w:w="80"/>
              <w:bottom w:type="dxa" w:w="80"/>
              <w:right w:type="dxa" w:w="80"/>
            </w:tcMar>
            <w:vAlign w:val="top"/>
          </w:tcPr>
          <w:p>
            <w:pPr>
              <w:pStyle w:val="Normal.0"/>
              <w:keepLines w:val="1"/>
              <w:spacing w:after="40" w:line="240" w:lineRule="auto"/>
              <w:ind w:firstLine="0"/>
              <w:jc w:val="right"/>
            </w:pPr>
            <w:r>
              <w:rPr>
                <w:sz w:val="18"/>
                <w:szCs w:val="18"/>
                <w:rtl w:val="0"/>
                <w:lang w:val="en-US"/>
              </w:rPr>
              <w:t>(45)</w:t>
            </w:r>
          </w:p>
        </w:tc>
      </w:tr>
      <w:tr>
        <w:tblPrEx>
          <w:shd w:val="clear" w:color="auto" w:fill="ced7e7"/>
        </w:tblPrEx>
        <w:trPr>
          <w:trHeight w:val="220" w:hRule="atLeast"/>
        </w:trPr>
        <w:tc>
          <w:tcPr>
            <w:tcW w:type="dxa" w:w="8846"/>
            <w:tcBorders>
              <w:top w:val="nil"/>
              <w:left w:val="nil"/>
              <w:bottom w:val="nil"/>
              <w:right w:val="nil"/>
            </w:tcBorders>
            <w:shd w:val="clear" w:color="auto" w:fill="auto"/>
            <w:tcMar>
              <w:top w:type="dxa" w:w="80"/>
              <w:left w:type="dxa" w:w="80"/>
              <w:bottom w:type="dxa" w:w="80"/>
              <w:right w:type="dxa" w:w="80"/>
            </w:tcMar>
            <w:vAlign w:val="top"/>
          </w:tcPr>
          <w:p>
            <w:pPr>
              <w:pStyle w:val="Equation"/>
              <w:keepLines w:val="1"/>
              <w:spacing w:after="40"/>
              <w:ind w:firstLine="0"/>
            </w:pPr>
            <w:r>
              <w:rPr>
                <w:rFonts w:ascii="Times New Roman" w:hAnsi="Times New Roman"/>
                <w:sz w:val="18"/>
                <w:szCs w:val="18"/>
                <w:rtl w:val="0"/>
                <w:lang w:val="en-US"/>
              </w:rPr>
              <w:t xml:space="preserve">Sᵢ = </w:t>
            </w:r>
            <w:r>
              <w:rPr>
                <w:rFonts w:ascii="Times New Roman" w:hAnsi="Times New Roman" w:hint="default"/>
                <w:sz w:val="18"/>
                <w:szCs w:val="18"/>
                <w:rtl w:val="0"/>
                <w:lang w:val="en-US"/>
              </w:rPr>
              <w:t>¼∑</w:t>
            </w:r>
            <w:r>
              <w:rPr>
                <w:rFonts w:ascii="Arial Unicode MS" w:cs="Arial Unicode MS" w:hAnsi="Arial Unicode MS" w:eastAsia="Arial Unicode MS" w:hint="default"/>
                <w:b w:val="0"/>
                <w:bCs w:val="0"/>
                <w:i w:val="0"/>
                <w:iCs w:val="0"/>
                <w:sz w:val="18"/>
                <w:szCs w:val="18"/>
                <w:rtl w:val="0"/>
                <w:lang w:val="en-US"/>
              </w:rPr>
              <w:t>ⱼ</w:t>
            </w:r>
            <w:r>
              <w:rPr>
                <w:rFonts w:ascii="Times New Roman" w:hAnsi="Times New Roman" w:hint="default"/>
                <w:sz w:val="18"/>
                <w:szCs w:val="18"/>
                <w:rtl w:val="0"/>
                <w:lang w:val="en-US"/>
              </w:rPr>
              <w:t xml:space="preserve"> ẇ</w:t>
            </w:r>
            <w:r>
              <w:rPr>
                <w:rFonts w:ascii="Times New Roman" w:hAnsi="Times New Roman"/>
                <w:sz w:val="18"/>
                <w:szCs w:val="18"/>
                <w:rtl w:val="0"/>
                <w:lang w:val="en-US"/>
              </w:rPr>
              <w:t>ᵢ</w:t>
            </w:r>
            <w:r>
              <w:rPr>
                <w:rFonts w:ascii="Arial Unicode MS" w:cs="Arial Unicode MS" w:hAnsi="Arial Unicode MS" w:eastAsia="Arial Unicode MS" w:hint="default"/>
                <w:b w:val="0"/>
                <w:bCs w:val="0"/>
                <w:i w:val="0"/>
                <w:iCs w:val="0"/>
                <w:sz w:val="18"/>
                <w:szCs w:val="18"/>
                <w:rtl w:val="0"/>
                <w:lang w:val="en-US"/>
              </w:rPr>
              <w:t>ⱼ</w:t>
            </w:r>
            <w:r>
              <w:rPr>
                <w:rFonts w:ascii="Times New Roman" w:hAnsi="Times New Roman"/>
                <w:sz w:val="18"/>
                <w:szCs w:val="18"/>
                <w:rtl w:val="0"/>
                <w:lang w:val="en-US"/>
              </w:rPr>
              <w:t>(</w:t>
            </w:r>
            <w:r>
              <w:rPr>
                <w:rFonts w:ascii="Times New Roman" w:hAnsi="Times New Roman" w:hint="default"/>
                <w:sz w:val="18"/>
                <w:szCs w:val="18"/>
                <w:rtl w:val="0"/>
                <w:lang w:val="en-US"/>
              </w:rPr>
              <w:t>ΔΦ</w:t>
            </w:r>
            <w:r>
              <w:rPr>
                <w:rFonts w:ascii="Times New Roman" w:hAnsi="Times New Roman"/>
                <w:sz w:val="18"/>
                <w:szCs w:val="18"/>
                <w:rtl w:val="0"/>
                <w:lang w:val="en-US"/>
              </w:rPr>
              <w:t>ᵢ</w:t>
            </w:r>
            <w:r>
              <w:rPr>
                <w:rFonts w:ascii="Arial Unicode MS" w:cs="Arial Unicode MS" w:hAnsi="Arial Unicode MS" w:eastAsia="Arial Unicode MS" w:hint="default"/>
                <w:b w:val="0"/>
                <w:bCs w:val="0"/>
                <w:i w:val="0"/>
                <w:iCs w:val="0"/>
                <w:sz w:val="18"/>
                <w:szCs w:val="18"/>
                <w:rtl w:val="0"/>
                <w:lang w:val="en-US"/>
              </w:rPr>
              <w:t>ⱼ</w:t>
            </w:r>
            <w:r>
              <w:rPr>
                <w:rFonts w:ascii="Times New Roman" w:hAnsi="Times New Roman"/>
                <w:sz w:val="18"/>
                <w:szCs w:val="18"/>
                <w:rtl w:val="0"/>
                <w:lang w:val="en-US"/>
              </w:rPr>
              <w:t>)ᵀB</w:t>
            </w:r>
            <w:r>
              <w:rPr>
                <w:rFonts w:ascii="Times New Roman" w:hAnsi="Times New Roman" w:hint="default"/>
                <w:sz w:val="18"/>
                <w:szCs w:val="18"/>
                <w:rtl w:val="0"/>
                <w:lang w:val="en-US"/>
              </w:rPr>
              <w:t>ΔΦ</w:t>
            </w:r>
            <w:r>
              <w:rPr>
                <w:rFonts w:ascii="Times New Roman" w:hAnsi="Times New Roman"/>
                <w:sz w:val="18"/>
                <w:szCs w:val="18"/>
                <w:rtl w:val="0"/>
                <w:lang w:val="en-US"/>
              </w:rPr>
              <w:t>ᵢ</w:t>
            </w:r>
            <w:r>
              <w:rPr>
                <w:rFonts w:ascii="Arial Unicode MS" w:cs="Arial Unicode MS" w:hAnsi="Arial Unicode MS" w:eastAsia="Arial Unicode MS" w:hint="default"/>
                <w:b w:val="0"/>
                <w:bCs w:val="0"/>
                <w:i w:val="0"/>
                <w:iCs w:val="0"/>
                <w:sz w:val="18"/>
                <w:szCs w:val="18"/>
                <w:rtl w:val="0"/>
                <w:lang w:val="en-US"/>
              </w:rPr>
              <w:t>ⱼ</w:t>
            </w:r>
            <w:r>
              <w:rPr>
                <w:rFonts w:ascii="Times New Roman" w:hAnsi="Times New Roman"/>
                <w:sz w:val="18"/>
                <w:szCs w:val="18"/>
                <w:rtl w:val="0"/>
                <w:lang w:val="en-US"/>
              </w:rPr>
              <w:t>.</w:t>
            </w:r>
          </w:p>
        </w:tc>
        <w:tc>
          <w:tcPr>
            <w:tcW w:type="dxa" w:w="565"/>
            <w:tcBorders>
              <w:top w:val="nil"/>
              <w:left w:val="nil"/>
              <w:bottom w:val="nil"/>
              <w:right w:val="nil"/>
            </w:tcBorders>
            <w:shd w:val="clear" w:color="auto" w:fill="auto"/>
            <w:tcMar>
              <w:top w:type="dxa" w:w="80"/>
              <w:left w:type="dxa" w:w="80"/>
              <w:bottom w:type="dxa" w:w="80"/>
              <w:right w:type="dxa" w:w="80"/>
            </w:tcMar>
            <w:vAlign w:val="top"/>
          </w:tcPr>
          <w:p>
            <w:pPr>
              <w:pStyle w:val="Normal.0"/>
              <w:keepLines w:val="1"/>
              <w:spacing w:after="40" w:line="240" w:lineRule="auto"/>
              <w:ind w:firstLine="0"/>
              <w:jc w:val="right"/>
            </w:pPr>
            <w:r>
              <w:rPr>
                <w:sz w:val="18"/>
                <w:szCs w:val="18"/>
                <w:rtl w:val="0"/>
                <w:lang w:val="en-US"/>
              </w:rPr>
              <w:t>(46)</w:t>
            </w:r>
          </w:p>
        </w:tc>
      </w:tr>
    </w:tbl>
    <w:p>
      <w:pPr>
        <w:pStyle w:val="Normal.0"/>
        <w:widowControl w:val="0"/>
        <w:spacing w:after="80" w:line="240" w:lineRule="atLeast"/>
        <w:ind w:firstLine="0"/>
        <w:jc w:val="center"/>
      </w:pPr>
    </w:p>
    <w:p>
      <w:pPr>
        <w:pStyle w:val="Normal.0"/>
        <w:spacing w:after="80" w:line="240" w:lineRule="atLeast"/>
      </w:pPr>
    </w:p>
    <w:p>
      <w:pPr>
        <w:pStyle w:val="Normal.0"/>
        <w:spacing w:after="80" w:line="240" w:lineRule="atLeast"/>
      </w:pPr>
      <w:r>
        <w:rPr>
          <w:sz w:val="22"/>
          <w:szCs w:val="22"/>
          <w:rtl w:val="0"/>
          <w:lang w:val="en-US"/>
        </w:rPr>
        <w:t>For a set Q of vertices, the internal fluxes cancel pairwise:</w:t>
      </w:r>
    </w:p>
    <w:tbl>
      <w:tblPr>
        <w:tblW w:w="9411"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8846"/>
        <w:gridCol w:w="565"/>
      </w:tblGrid>
      <w:tr>
        <w:tblPrEx>
          <w:shd w:val="clear" w:color="auto" w:fill="ced7e7"/>
        </w:tblPrEx>
        <w:trPr>
          <w:trHeight w:val="231" w:hRule="atLeast"/>
        </w:trPr>
        <w:tc>
          <w:tcPr>
            <w:tcW w:type="dxa" w:w="8846"/>
            <w:tcBorders>
              <w:top w:val="nil"/>
              <w:left w:val="nil"/>
              <w:bottom w:val="nil"/>
              <w:right w:val="nil"/>
            </w:tcBorders>
            <w:shd w:val="clear" w:color="auto" w:fill="auto"/>
            <w:tcMar>
              <w:top w:type="dxa" w:w="80"/>
              <w:left w:type="dxa" w:w="80"/>
              <w:bottom w:type="dxa" w:w="80"/>
              <w:right w:type="dxa" w:w="80"/>
            </w:tcMar>
            <w:vAlign w:val="top"/>
          </w:tcPr>
          <w:p>
            <w:pPr>
              <w:pStyle w:val="Equation"/>
              <w:keepLines w:val="1"/>
              <w:spacing w:after="40"/>
              <w:ind w:firstLine="0"/>
            </w:pPr>
            <w:r>
              <w:rPr>
                <w:rFonts w:ascii="Times New Roman" w:hAnsi="Times New Roman"/>
                <w:sz w:val="18"/>
                <w:szCs w:val="18"/>
                <w:rtl w:val="0"/>
                <w:lang w:val="en-US"/>
              </w:rPr>
              <w:t>d(</w:t>
            </w:r>
            <w:r>
              <w:rPr>
                <w:rFonts w:ascii="Times New Roman" w:hAnsi="Times New Roman" w:hint="default"/>
                <w:sz w:val="18"/>
                <w:szCs w:val="18"/>
                <w:rtl w:val="0"/>
                <w:lang w:val="en-US"/>
              </w:rPr>
              <w:t>∑</w:t>
            </w:r>
            <w:r>
              <w:rPr>
                <w:rFonts w:ascii="Times New Roman" w:hAnsi="Times New Roman"/>
                <w:sz w:val="18"/>
                <w:szCs w:val="18"/>
                <w:rtl w:val="0"/>
                <w:lang w:val="en-US"/>
              </w:rPr>
              <w:t>ᵢ</w:t>
            </w:r>
            <w:r>
              <w:rPr>
                <w:rFonts w:ascii="Arial Unicode MS" w:cs="Arial Unicode MS" w:hAnsi="Arial Unicode MS" w:eastAsia="Arial Unicode MS" w:hint="default"/>
                <w:b w:val="0"/>
                <w:bCs w:val="0"/>
                <w:i w:val="0"/>
                <w:iCs w:val="0"/>
                <w:sz w:val="18"/>
                <w:szCs w:val="18"/>
                <w:rtl w:val="0"/>
                <w:lang w:val="en-US"/>
              </w:rPr>
              <w:t>∈</w:t>
            </w:r>
            <w:r>
              <w:rPr>
                <w:rFonts w:ascii="Times New Roman" w:hAnsi="Times New Roman"/>
                <w:sz w:val="18"/>
                <w:szCs w:val="18"/>
                <w:rtl w:val="0"/>
                <w:lang w:val="en-US"/>
              </w:rPr>
              <w:t>Q eᵢ)/d</w:t>
            </w:r>
            <w:r>
              <w:rPr>
                <w:rFonts w:ascii="Times New Roman" w:hAnsi="Times New Roman" w:hint="default"/>
                <w:sz w:val="18"/>
                <w:szCs w:val="18"/>
                <w:rtl w:val="0"/>
                <w:lang w:val="en-US"/>
              </w:rPr>
              <w:t xml:space="preserve">τ </w:t>
            </w:r>
            <w:r>
              <w:rPr>
                <w:rFonts w:ascii="Times New Roman" w:hAnsi="Times New Roman"/>
                <w:sz w:val="18"/>
                <w:szCs w:val="18"/>
                <w:rtl w:val="0"/>
                <w:lang w:val="en-US"/>
              </w:rPr>
              <w:t xml:space="preserve">= </w:t>
            </w:r>
            <w:r>
              <w:rPr>
                <w:rFonts w:ascii="Times New Roman" w:hAnsi="Times New Roman" w:hint="default"/>
                <w:sz w:val="18"/>
                <w:szCs w:val="18"/>
                <w:rtl w:val="0"/>
                <w:lang w:val="en-US"/>
              </w:rPr>
              <w:t>−∑</w:t>
            </w:r>
            <w:r>
              <w:rPr>
                <w:rFonts w:ascii="Times New Roman" w:hAnsi="Times New Roman"/>
                <w:sz w:val="18"/>
                <w:szCs w:val="18"/>
                <w:rtl w:val="0"/>
                <w:lang w:val="en-US"/>
              </w:rPr>
              <w:t>ᵢ</w:t>
            </w:r>
            <w:r>
              <w:rPr>
                <w:rFonts w:ascii="Arial Unicode MS" w:cs="Arial Unicode MS" w:hAnsi="Arial Unicode MS" w:eastAsia="Arial Unicode MS" w:hint="default"/>
                <w:b w:val="0"/>
                <w:bCs w:val="0"/>
                <w:i w:val="0"/>
                <w:iCs w:val="0"/>
                <w:sz w:val="18"/>
                <w:szCs w:val="18"/>
                <w:rtl w:val="0"/>
                <w:lang w:val="en-US"/>
              </w:rPr>
              <w:t>∈</w:t>
            </w:r>
            <w:r>
              <w:rPr>
                <w:rFonts w:ascii="Times New Roman" w:hAnsi="Times New Roman"/>
                <w:sz w:val="18"/>
                <w:szCs w:val="18"/>
                <w:rtl w:val="0"/>
                <w:lang w:val="en-US"/>
              </w:rPr>
              <w:t>Q,</w:t>
            </w:r>
            <w:r>
              <w:rPr>
                <w:rFonts w:ascii="Arial Unicode MS" w:cs="Arial Unicode MS" w:hAnsi="Arial Unicode MS" w:eastAsia="Arial Unicode MS" w:hint="default"/>
                <w:b w:val="0"/>
                <w:bCs w:val="0"/>
                <w:i w:val="0"/>
                <w:iCs w:val="0"/>
                <w:sz w:val="18"/>
                <w:szCs w:val="18"/>
                <w:rtl w:val="0"/>
                <w:lang w:val="en-US"/>
              </w:rPr>
              <w:t>ⱼ∉</w:t>
            </w:r>
            <w:r>
              <w:rPr>
                <w:rFonts w:ascii="Times New Roman" w:hAnsi="Times New Roman"/>
                <w:sz w:val="18"/>
                <w:szCs w:val="18"/>
                <w:rtl w:val="0"/>
                <w:lang w:val="en-US"/>
              </w:rPr>
              <w:t>Q Jᵢ</w:t>
            </w:r>
            <w:r>
              <w:rPr>
                <w:rFonts w:ascii="Arial Unicode MS" w:cs="Arial Unicode MS" w:hAnsi="Arial Unicode MS" w:eastAsia="Arial Unicode MS" w:hint="default"/>
                <w:b w:val="0"/>
                <w:bCs w:val="0"/>
                <w:i w:val="0"/>
                <w:iCs w:val="0"/>
                <w:sz w:val="18"/>
                <w:szCs w:val="18"/>
                <w:rtl w:val="0"/>
                <w:lang w:val="en-US"/>
              </w:rPr>
              <w:t>ⱼ</w:t>
            </w:r>
            <w:r>
              <w:rPr>
                <w:rFonts w:ascii="Times New Roman" w:hAnsi="Times New Roman"/>
                <w:sz w:val="18"/>
                <w:szCs w:val="18"/>
                <w:rtl w:val="0"/>
                <w:lang w:val="en-US"/>
              </w:rPr>
              <w:t xml:space="preserve"> </w:t>
            </w:r>
            <w:r>
              <w:rPr>
                <w:rFonts w:ascii="Times New Roman" w:hAnsi="Times New Roman"/>
                <w:sz w:val="18"/>
                <w:szCs w:val="18"/>
                <w:rtl w:val="0"/>
                <w:lang w:val="en-US"/>
              </w:rPr>
              <w:t xml:space="preserve">+ </w:t>
            </w:r>
            <w:r>
              <w:rPr>
                <w:rFonts w:ascii="Times New Roman" w:hAnsi="Times New Roman" w:hint="default"/>
                <w:sz w:val="18"/>
                <w:szCs w:val="18"/>
                <w:rtl w:val="0"/>
                <w:lang w:val="en-US"/>
              </w:rPr>
              <w:t>∑</w:t>
            </w:r>
            <w:r>
              <w:rPr>
                <w:rFonts w:ascii="Times New Roman" w:hAnsi="Times New Roman"/>
                <w:sz w:val="18"/>
                <w:szCs w:val="18"/>
                <w:rtl w:val="0"/>
                <w:lang w:val="en-US"/>
              </w:rPr>
              <w:t>ᵢ</w:t>
            </w:r>
            <w:r>
              <w:rPr>
                <w:rFonts w:ascii="Arial Unicode MS" w:cs="Arial Unicode MS" w:hAnsi="Arial Unicode MS" w:eastAsia="Arial Unicode MS" w:hint="default"/>
                <w:b w:val="0"/>
                <w:bCs w:val="0"/>
                <w:i w:val="0"/>
                <w:iCs w:val="0"/>
                <w:sz w:val="18"/>
                <w:szCs w:val="18"/>
                <w:rtl w:val="0"/>
                <w:lang w:val="en-US"/>
              </w:rPr>
              <w:t>∈</w:t>
            </w:r>
            <w:r>
              <w:rPr>
                <w:rFonts w:ascii="Times New Roman" w:hAnsi="Times New Roman"/>
                <w:sz w:val="18"/>
                <w:szCs w:val="18"/>
                <w:rtl w:val="0"/>
                <w:lang w:val="en-US"/>
              </w:rPr>
              <w:t>Q Sᵢ.</w:t>
            </w:r>
          </w:p>
        </w:tc>
        <w:tc>
          <w:tcPr>
            <w:tcW w:type="dxa" w:w="565"/>
            <w:tcBorders>
              <w:top w:val="nil"/>
              <w:left w:val="nil"/>
              <w:bottom w:val="nil"/>
              <w:right w:val="nil"/>
            </w:tcBorders>
            <w:shd w:val="clear" w:color="auto" w:fill="auto"/>
            <w:tcMar>
              <w:top w:type="dxa" w:w="80"/>
              <w:left w:type="dxa" w:w="80"/>
              <w:bottom w:type="dxa" w:w="80"/>
              <w:right w:type="dxa" w:w="80"/>
            </w:tcMar>
            <w:vAlign w:val="top"/>
          </w:tcPr>
          <w:p>
            <w:pPr>
              <w:pStyle w:val="Normal.0"/>
              <w:keepLines w:val="1"/>
              <w:spacing w:after="40" w:line="240" w:lineRule="auto"/>
              <w:ind w:firstLine="0"/>
              <w:jc w:val="right"/>
            </w:pPr>
            <w:r>
              <w:rPr>
                <w:sz w:val="18"/>
                <w:szCs w:val="18"/>
                <w:rtl w:val="0"/>
                <w:lang w:val="en-US"/>
              </w:rPr>
              <w:t>(47)</w:t>
            </w:r>
          </w:p>
        </w:tc>
      </w:tr>
    </w:tbl>
    <w:p>
      <w:pPr>
        <w:pStyle w:val="Normal.0"/>
        <w:widowControl w:val="0"/>
        <w:spacing w:after="80" w:line="240" w:lineRule="atLeast"/>
        <w:ind w:firstLine="0"/>
        <w:jc w:val="center"/>
      </w:pPr>
    </w:p>
    <w:p>
      <w:pPr>
        <w:pStyle w:val="Normal.0"/>
        <w:spacing w:after="80" w:line="240" w:lineRule="atLeast"/>
      </w:pPr>
      <w:r>
        <w:rPr>
          <w:sz w:val="22"/>
          <w:szCs w:val="22"/>
          <w:rtl w:val="0"/>
          <w:lang w:val="en-US"/>
        </w:rPr>
        <w:t>This is an exact balance law with respect to a boundary defined by edges that cross the partition; no geometric surface is required. For a fixed network, Sᵢ = 0. If the weights change, the field sector gains or loses energy to the relational degrees of freedom themselves:</w:t>
      </w:r>
    </w:p>
    <w:tbl>
      <w:tblPr>
        <w:tblW w:w="9411"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8846"/>
        <w:gridCol w:w="565"/>
      </w:tblGrid>
      <w:tr>
        <w:tblPrEx>
          <w:shd w:val="clear" w:color="auto" w:fill="ced7e7"/>
        </w:tblPrEx>
        <w:trPr>
          <w:trHeight w:val="247" w:hRule="atLeast"/>
        </w:trPr>
        <w:tc>
          <w:tcPr>
            <w:tcW w:type="dxa" w:w="8846"/>
            <w:tcBorders>
              <w:top w:val="nil"/>
              <w:left w:val="nil"/>
              <w:bottom w:val="nil"/>
              <w:right w:val="nil"/>
            </w:tcBorders>
            <w:shd w:val="clear" w:color="auto" w:fill="auto"/>
            <w:tcMar>
              <w:top w:type="dxa" w:w="80"/>
              <w:left w:type="dxa" w:w="80"/>
              <w:bottom w:type="dxa" w:w="80"/>
              <w:right w:type="dxa" w:w="80"/>
            </w:tcMar>
            <w:vAlign w:val="top"/>
          </w:tcPr>
          <w:p>
            <w:pPr>
              <w:pStyle w:val="Equation"/>
              <w:keepLines w:val="1"/>
              <w:spacing w:after="40"/>
              <w:ind w:firstLine="0"/>
            </w:pPr>
            <w:r>
              <w:rPr>
                <w:rFonts w:ascii="Times New Roman" w:hAnsi="Times New Roman"/>
                <w:sz w:val="18"/>
                <w:szCs w:val="18"/>
                <w:rtl w:val="0"/>
                <w:lang w:val="en-US"/>
              </w:rPr>
              <w:t>H</w:t>
            </w:r>
            <w:r>
              <w:rPr>
                <w:rFonts w:ascii="Times New Roman" w:hAnsi="Times New Roman" w:hint="default"/>
                <w:sz w:val="18"/>
                <w:szCs w:val="18"/>
                <w:rtl w:val="0"/>
                <w:lang w:val="en-US"/>
              </w:rPr>
              <w:t>̇</w:t>
            </w:r>
            <w:r>
              <w:rPr>
                <w:rFonts w:ascii="Arial Unicode MS" w:cs="Arial Unicode MS" w:hAnsi="Arial Unicode MS" w:eastAsia="Arial Unicode MS" w:hint="default"/>
                <w:b w:val="0"/>
                <w:bCs w:val="0"/>
                <w:i w:val="0"/>
                <w:iCs w:val="0"/>
                <w:sz w:val="18"/>
                <w:szCs w:val="18"/>
                <w:rtl w:val="0"/>
                <w:lang w:val="en-US"/>
              </w:rPr>
              <w:t>ₚ</w:t>
            </w:r>
            <w:r>
              <w:rPr>
                <w:rFonts w:ascii="Times New Roman" w:hAnsi="Times New Roman"/>
                <w:sz w:val="18"/>
                <w:szCs w:val="18"/>
                <w:rtl w:val="0"/>
                <w:lang w:val="en-US"/>
              </w:rPr>
              <w:t xml:space="preserve"> </w:t>
            </w:r>
            <w:r>
              <w:rPr>
                <w:rFonts w:ascii="Times New Roman" w:hAnsi="Times New Roman"/>
                <w:sz w:val="18"/>
                <w:szCs w:val="18"/>
                <w:rtl w:val="0"/>
                <w:lang w:val="en-US"/>
              </w:rPr>
              <w:t xml:space="preserve">= </w:t>
            </w:r>
            <w:r>
              <w:rPr>
                <w:rFonts w:ascii="Times New Roman" w:hAnsi="Times New Roman" w:hint="default"/>
                <w:sz w:val="18"/>
                <w:szCs w:val="18"/>
                <w:rtl w:val="0"/>
                <w:lang w:val="en-US"/>
              </w:rPr>
              <w:t>½∑</w:t>
            </w:r>
            <w:r>
              <w:rPr>
                <w:rFonts w:ascii="Arial Unicode MS" w:cs="Arial Unicode MS" w:hAnsi="Arial Unicode MS" w:eastAsia="Arial Unicode MS" w:hint="default"/>
                <w:b w:val="0"/>
                <w:bCs w:val="0"/>
                <w:i w:val="0"/>
                <w:iCs w:val="0"/>
                <w:sz w:val="18"/>
                <w:szCs w:val="18"/>
                <w:rtl w:val="0"/>
                <w:lang w:val="en-US"/>
              </w:rPr>
              <w:t>⟨</w:t>
            </w:r>
            <w:r>
              <w:rPr>
                <w:rFonts w:ascii="Times New Roman" w:hAnsi="Times New Roman"/>
                <w:sz w:val="18"/>
                <w:szCs w:val="18"/>
                <w:rtl w:val="0"/>
                <w:lang w:val="en-US"/>
              </w:rPr>
              <w:t>ij</w:t>
            </w:r>
            <w:r>
              <w:rPr>
                <w:rFonts w:ascii="Arial Unicode MS" w:cs="Arial Unicode MS" w:hAnsi="Arial Unicode MS" w:eastAsia="Arial Unicode MS" w:hint="default"/>
                <w:b w:val="0"/>
                <w:bCs w:val="0"/>
                <w:i w:val="0"/>
                <w:iCs w:val="0"/>
                <w:sz w:val="18"/>
                <w:szCs w:val="18"/>
                <w:rtl w:val="0"/>
                <w:lang w:val="en-US"/>
              </w:rPr>
              <w:t>⟩</w:t>
            </w:r>
            <w:r>
              <w:rPr>
                <w:rFonts w:ascii="Times New Roman" w:hAnsi="Times New Roman" w:hint="default"/>
                <w:sz w:val="18"/>
                <w:szCs w:val="18"/>
                <w:rtl w:val="0"/>
                <w:lang w:val="en-US"/>
              </w:rPr>
              <w:t xml:space="preserve"> ẇ</w:t>
            </w:r>
            <w:r>
              <w:rPr>
                <w:rFonts w:ascii="Times New Roman" w:hAnsi="Times New Roman"/>
                <w:sz w:val="18"/>
                <w:szCs w:val="18"/>
                <w:rtl w:val="0"/>
                <w:lang w:val="en-US"/>
              </w:rPr>
              <w:t>ᵢ</w:t>
            </w:r>
            <w:r>
              <w:rPr>
                <w:rFonts w:ascii="Arial Unicode MS" w:cs="Arial Unicode MS" w:hAnsi="Arial Unicode MS" w:eastAsia="Arial Unicode MS" w:hint="default"/>
                <w:b w:val="0"/>
                <w:bCs w:val="0"/>
                <w:i w:val="0"/>
                <w:iCs w:val="0"/>
                <w:sz w:val="18"/>
                <w:szCs w:val="18"/>
                <w:rtl w:val="0"/>
                <w:lang w:val="en-US"/>
              </w:rPr>
              <w:t>ⱼ</w:t>
            </w:r>
            <w:r>
              <w:rPr>
                <w:rFonts w:ascii="Times New Roman" w:hAnsi="Times New Roman"/>
                <w:sz w:val="18"/>
                <w:szCs w:val="18"/>
                <w:rtl w:val="0"/>
                <w:lang w:val="en-US"/>
              </w:rPr>
              <w:t>(</w:t>
            </w:r>
            <w:r>
              <w:rPr>
                <w:rFonts w:ascii="Times New Roman" w:hAnsi="Times New Roman" w:hint="default"/>
                <w:sz w:val="18"/>
                <w:szCs w:val="18"/>
                <w:rtl w:val="0"/>
                <w:lang w:val="en-US"/>
              </w:rPr>
              <w:t>ΔΦ</w:t>
            </w:r>
            <w:r>
              <w:rPr>
                <w:rFonts w:ascii="Times New Roman" w:hAnsi="Times New Roman"/>
                <w:sz w:val="18"/>
                <w:szCs w:val="18"/>
                <w:rtl w:val="0"/>
                <w:lang w:val="en-US"/>
              </w:rPr>
              <w:t>ᵢ</w:t>
            </w:r>
            <w:r>
              <w:rPr>
                <w:rFonts w:ascii="Arial Unicode MS" w:cs="Arial Unicode MS" w:hAnsi="Arial Unicode MS" w:eastAsia="Arial Unicode MS" w:hint="default"/>
                <w:b w:val="0"/>
                <w:bCs w:val="0"/>
                <w:i w:val="0"/>
                <w:iCs w:val="0"/>
                <w:sz w:val="18"/>
                <w:szCs w:val="18"/>
                <w:rtl w:val="0"/>
                <w:lang w:val="en-US"/>
              </w:rPr>
              <w:t>ⱼ</w:t>
            </w:r>
            <w:r>
              <w:rPr>
                <w:rFonts w:ascii="Times New Roman" w:hAnsi="Times New Roman"/>
                <w:sz w:val="18"/>
                <w:szCs w:val="18"/>
                <w:rtl w:val="0"/>
                <w:lang w:val="en-US"/>
              </w:rPr>
              <w:t>)ᵀB</w:t>
            </w:r>
            <w:r>
              <w:rPr>
                <w:rFonts w:ascii="Times New Roman" w:hAnsi="Times New Roman" w:hint="default"/>
                <w:sz w:val="18"/>
                <w:szCs w:val="18"/>
                <w:rtl w:val="0"/>
                <w:lang w:val="en-US"/>
              </w:rPr>
              <w:t>ΔΦ</w:t>
            </w:r>
            <w:r>
              <w:rPr>
                <w:rFonts w:ascii="Times New Roman" w:hAnsi="Times New Roman"/>
                <w:sz w:val="18"/>
                <w:szCs w:val="18"/>
                <w:rtl w:val="0"/>
                <w:lang w:val="en-US"/>
              </w:rPr>
              <w:t>ᵢ</w:t>
            </w:r>
            <w:r>
              <w:rPr>
                <w:rFonts w:ascii="Arial Unicode MS" w:cs="Arial Unicode MS" w:hAnsi="Arial Unicode MS" w:eastAsia="Arial Unicode MS" w:hint="default"/>
                <w:b w:val="0"/>
                <w:bCs w:val="0"/>
                <w:i w:val="0"/>
                <w:iCs w:val="0"/>
                <w:sz w:val="18"/>
                <w:szCs w:val="18"/>
                <w:rtl w:val="0"/>
                <w:lang w:val="en-US"/>
              </w:rPr>
              <w:t>ⱼ</w:t>
            </w:r>
            <w:r>
              <w:rPr>
                <w:rFonts w:ascii="Times New Roman" w:hAnsi="Times New Roman"/>
                <w:sz w:val="18"/>
                <w:szCs w:val="18"/>
                <w:rtl w:val="0"/>
                <w:lang w:val="en-US"/>
              </w:rPr>
              <w:t xml:space="preserve"> </w:t>
            </w:r>
            <w:r>
              <w:rPr>
                <w:rFonts w:ascii="Times New Roman" w:hAnsi="Times New Roman"/>
                <w:sz w:val="18"/>
                <w:szCs w:val="18"/>
                <w:rtl w:val="0"/>
                <w:lang w:val="en-US"/>
              </w:rPr>
              <w:t xml:space="preserve">= </w:t>
            </w:r>
            <w:r>
              <w:rPr>
                <w:rFonts w:ascii="Times New Roman" w:hAnsi="Times New Roman" w:hint="default"/>
                <w:sz w:val="18"/>
                <w:szCs w:val="18"/>
                <w:rtl w:val="0"/>
                <w:lang w:val="en-US"/>
              </w:rPr>
              <w:t>−</w:t>
            </w:r>
            <w:r>
              <w:rPr>
                <w:rFonts w:ascii="Times New Roman" w:hAnsi="Times New Roman"/>
                <w:sz w:val="18"/>
                <w:szCs w:val="18"/>
                <w:rtl w:val="0"/>
                <w:lang w:val="en-US"/>
              </w:rPr>
              <w:t>H</w:t>
            </w:r>
            <w:r>
              <w:rPr>
                <w:rFonts w:ascii="Times New Roman" w:hAnsi="Times New Roman" w:hint="default"/>
                <w:sz w:val="18"/>
                <w:szCs w:val="18"/>
                <w:rtl w:val="0"/>
                <w:lang w:val="en-US"/>
              </w:rPr>
              <w:t>̇</w:t>
            </w:r>
            <w:r>
              <w:rPr>
                <w:rFonts w:ascii="Times New Roman" w:hAnsi="Times New Roman"/>
                <w:sz w:val="18"/>
                <w:szCs w:val="18"/>
                <w:rtl w:val="0"/>
                <w:lang w:val="en-US"/>
              </w:rPr>
              <w:t>ᵣ,     H</w:t>
            </w:r>
            <w:r>
              <w:rPr>
                <w:rFonts w:ascii="Times New Roman" w:hAnsi="Times New Roman" w:hint="default"/>
                <w:sz w:val="18"/>
                <w:szCs w:val="18"/>
                <w:rtl w:val="0"/>
                <w:lang w:val="en-US"/>
              </w:rPr>
              <w:t xml:space="preserve">̇ </w:t>
            </w:r>
            <w:r>
              <w:rPr>
                <w:rFonts w:ascii="Times New Roman" w:hAnsi="Times New Roman"/>
                <w:sz w:val="18"/>
                <w:szCs w:val="18"/>
                <w:rtl w:val="0"/>
                <w:lang w:val="en-US"/>
              </w:rPr>
              <w:t>= 0.</w:t>
            </w:r>
          </w:p>
        </w:tc>
        <w:tc>
          <w:tcPr>
            <w:tcW w:type="dxa" w:w="565"/>
            <w:tcBorders>
              <w:top w:val="nil"/>
              <w:left w:val="nil"/>
              <w:bottom w:val="nil"/>
              <w:right w:val="nil"/>
            </w:tcBorders>
            <w:shd w:val="clear" w:color="auto" w:fill="auto"/>
            <w:tcMar>
              <w:top w:type="dxa" w:w="80"/>
              <w:left w:type="dxa" w:w="80"/>
              <w:bottom w:type="dxa" w:w="80"/>
              <w:right w:type="dxa" w:w="80"/>
            </w:tcMar>
            <w:vAlign w:val="top"/>
          </w:tcPr>
          <w:p>
            <w:pPr>
              <w:pStyle w:val="Normal.0"/>
              <w:keepLines w:val="1"/>
              <w:spacing w:after="40" w:line="240" w:lineRule="auto"/>
              <w:ind w:firstLine="0"/>
              <w:jc w:val="right"/>
            </w:pPr>
            <w:r>
              <w:rPr>
                <w:sz w:val="18"/>
                <w:szCs w:val="18"/>
                <w:rtl w:val="0"/>
                <w:lang w:val="en-US"/>
              </w:rPr>
              <w:t>(48)</w:t>
            </w:r>
          </w:p>
        </w:tc>
      </w:tr>
    </w:tbl>
    <w:p>
      <w:pPr>
        <w:pStyle w:val="Normal.0"/>
        <w:widowControl w:val="0"/>
        <w:spacing w:after="80" w:line="240" w:lineRule="atLeast"/>
        <w:ind w:firstLine="0"/>
        <w:jc w:val="center"/>
      </w:pPr>
    </w:p>
    <w:p>
      <w:pPr>
        <w:pStyle w:val="Normal.0"/>
        <w:spacing w:after="80" w:line="240" w:lineRule="atLeast"/>
      </w:pPr>
      <w:r>
        <w:rPr>
          <w:sz w:val="22"/>
          <w:szCs w:val="22"/>
          <w:rtl w:val="0"/>
          <w:lang w:val="en-US"/>
        </w:rPr>
        <w:t>The symmetric assignment of each edge energy to its endpoints is convenient but not unique. Other local conventions change the detailed form of eᵢ and Jᵢ</w:t>
      </w:r>
      <w:r>
        <w:rPr>
          <w:rFonts w:ascii="Arial Unicode MS" w:cs="Arial Unicode MS" w:hAnsi="Arial Unicode MS" w:eastAsia="Arial Unicode MS" w:hint="default"/>
          <w:b w:val="0"/>
          <w:bCs w:val="0"/>
          <w:i w:val="0"/>
          <w:iCs w:val="0"/>
          <w:sz w:val="22"/>
          <w:szCs w:val="22"/>
          <w:rtl w:val="0"/>
          <w:lang w:val="en-US"/>
        </w:rPr>
        <w:t>ⱼ</w:t>
      </w:r>
      <w:r>
        <w:rPr>
          <w:sz w:val="22"/>
          <w:szCs w:val="22"/>
          <w:rtl w:val="0"/>
          <w:lang w:val="en-US"/>
        </w:rPr>
        <w:t xml:space="preserve"> </w:t>
      </w:r>
      <w:r>
        <w:rPr>
          <w:sz w:val="22"/>
          <w:szCs w:val="22"/>
          <w:rtl w:val="0"/>
          <w:lang w:val="en-US"/>
        </w:rPr>
        <w:t>while preserving the total balance. We do not introduce two independent resources, a bulk energy and a separate boundary flux; the flux describes the change of the same conserved quantity.</w:t>
      </w:r>
    </w:p>
    <w:p>
      <w:pPr>
        <w:pStyle w:val="Normal.0"/>
        <w:spacing w:after="80" w:line="240" w:lineRule="atLeast"/>
      </w:pPr>
      <w:r>
        <w:rPr>
          <w:sz w:val="22"/>
          <w:szCs w:val="22"/>
          <w:rtl w:val="0"/>
          <w:lang w:val="en-US"/>
        </w:rPr>
        <w:t xml:space="preserve">In particular, a gradient law </w:t>
      </w:r>
      <w:r>
        <w:rPr>
          <w:sz w:val="22"/>
          <w:szCs w:val="22"/>
          <w:rtl w:val="0"/>
          <w:lang w:val="en-US"/>
        </w:rPr>
        <w:t xml:space="preserve">Ẇ </w:t>
      </w:r>
      <w:r>
        <w:rPr>
          <w:sz w:val="22"/>
          <w:szCs w:val="22"/>
          <w:rtl w:val="0"/>
          <w:lang w:val="en-US"/>
        </w:rPr>
        <w:t xml:space="preserve">= </w:t>
      </w:r>
      <w:r>
        <w:rPr>
          <w:sz w:val="22"/>
          <w:szCs w:val="22"/>
          <w:rtl w:val="0"/>
          <w:lang w:val="en-US"/>
        </w:rPr>
        <w:t>−</w:t>
      </w:r>
      <w:r>
        <w:rPr>
          <w:rFonts w:ascii="Arial Unicode MS" w:cs="Arial Unicode MS" w:hAnsi="Arial Unicode MS" w:eastAsia="Arial Unicode MS" w:hint="default"/>
          <w:b w:val="0"/>
          <w:bCs w:val="0"/>
          <w:i w:val="0"/>
          <w:iCs w:val="0"/>
          <w:sz w:val="22"/>
          <w:szCs w:val="22"/>
          <w:rtl w:val="0"/>
          <w:lang w:val="en-US"/>
        </w:rPr>
        <w:t>∇</w:t>
      </w:r>
      <w:r>
        <w:rPr>
          <w:sz w:val="22"/>
          <w:szCs w:val="22"/>
          <w:rtl w:val="0"/>
          <w:lang w:val="en-US"/>
        </w:rPr>
        <w:t>V by itself describes dissipation of V because V</w:t>
      </w:r>
      <w:r>
        <w:rPr>
          <w:sz w:val="22"/>
          <w:szCs w:val="22"/>
          <w:rtl w:val="0"/>
          <w:lang w:val="en-US"/>
        </w:rPr>
        <w:t xml:space="preserve">̇ </w:t>
      </w:r>
      <w:r>
        <w:rPr>
          <w:sz w:val="22"/>
          <w:szCs w:val="22"/>
          <w:rtl w:val="0"/>
          <w:lang w:val="en-US"/>
        </w:rPr>
        <w:t xml:space="preserve">= </w:t>
      </w:r>
      <w:r>
        <w:rPr>
          <w:sz w:val="22"/>
          <w:szCs w:val="22"/>
          <w:rtl w:val="0"/>
          <w:lang w:val="en-US"/>
        </w:rPr>
        <w:t>−‖</w:t>
      </w:r>
      <w:r>
        <w:rPr>
          <w:rFonts w:ascii="Arial Unicode MS" w:cs="Arial Unicode MS" w:hAnsi="Arial Unicode MS" w:eastAsia="Arial Unicode MS" w:hint="default"/>
          <w:b w:val="0"/>
          <w:bCs w:val="0"/>
          <w:i w:val="0"/>
          <w:iCs w:val="0"/>
          <w:sz w:val="22"/>
          <w:szCs w:val="22"/>
          <w:rtl w:val="0"/>
          <w:lang w:val="en-US"/>
        </w:rPr>
        <w:t>∇</w:t>
      </w:r>
      <w:r>
        <w:rPr>
          <w:sz w:val="22"/>
          <w:szCs w:val="22"/>
          <w:rtl w:val="0"/>
          <w:lang w:val="en-US"/>
        </w:rPr>
        <w:t>V</w:t>
      </w:r>
      <w:r>
        <w:rPr>
          <w:sz w:val="22"/>
          <w:szCs w:val="22"/>
          <w:rtl w:val="0"/>
          <w:lang w:val="en-US"/>
        </w:rPr>
        <w:t xml:space="preserve">‖² ≤ </w:t>
      </w:r>
      <w:r>
        <w:rPr>
          <w:sz w:val="22"/>
          <w:szCs w:val="22"/>
          <w:rtl w:val="0"/>
          <w:lang w:val="en-US"/>
        </w:rPr>
        <w:t>0. It may be used as an optimization algorithm or as an effective law for an open subsystem. A closed description must include the degrees of freedom that receive the energy or explicitly adopt a different type of fundamental dynamics. Equations (5)</w:t>
      </w:r>
      <w:r>
        <w:rPr>
          <w:sz w:val="22"/>
          <w:szCs w:val="22"/>
          <w:rtl w:val="0"/>
          <w:lang w:val="en-US"/>
        </w:rPr>
        <w:t>–</w:t>
      </w:r>
      <w:r>
        <w:rPr>
          <w:sz w:val="22"/>
          <w:szCs w:val="22"/>
          <w:rtl w:val="0"/>
          <w:lang w:val="en-US"/>
        </w:rPr>
        <w:t>(6) provide one such closed realization.</w:t>
      </w:r>
    </w:p>
    <w:p>
      <w:pPr>
        <w:pStyle w:val="Normal.0"/>
        <w:spacing w:after="80" w:line="240" w:lineRule="atLeast"/>
      </w:pPr>
      <w:r>
        <w:rPr>
          <w:sz w:val="22"/>
          <w:szCs w:val="22"/>
          <w:rtl w:val="0"/>
          <w:lang w:val="en-US"/>
        </w:rPr>
        <w:t>Equation (48) gives concrete content to the original idea that redistribution and geometric restructuring are interdependent, but only at the level of changing relations. To call y or W geometric variables, one must exhibit a map to an effective metric. To identify H with gravitational energy, one must additionally match the relevant constraints and boundary conditions. Results such as Refs. [10, 11] may enter at that subsequent stage, but they do not follow from Eq. (48).</w:t>
      </w:r>
    </w:p>
    <w:p>
      <w:pPr>
        <w:pStyle w:val="Normal.0"/>
        <w:keepNext w:val="1"/>
        <w:keepLines w:val="1"/>
        <w:spacing w:before="140" w:after="80" w:line="240" w:lineRule="atLeast"/>
        <w:ind w:firstLine="0"/>
        <w:jc w:val="center"/>
      </w:pPr>
      <w:r>
        <w:drawing>
          <wp:inline distT="0" distB="0" distL="0" distR="0">
            <wp:extent cx="5687568" cy="2213879"/>
            <wp:effectExtent l="0" t="0" r="0" b="0"/>
            <wp:docPr id="1073741827" name="officeArt object" descr="figure_3_energy.png"/>
            <wp:cNvGraphicFramePr/>
            <a:graphic xmlns:a="http://schemas.openxmlformats.org/drawingml/2006/main">
              <a:graphicData uri="http://schemas.openxmlformats.org/drawingml/2006/picture">
                <pic:pic xmlns:pic="http://schemas.openxmlformats.org/drawingml/2006/picture">
                  <pic:nvPicPr>
                    <pic:cNvPr id="1073741827" name="figure_3_energy.png" descr="figure_3_energy.png"/>
                    <pic:cNvPicPr>
                      <a:picLocks noChangeAspect="1"/>
                    </pic:cNvPicPr>
                  </pic:nvPicPr>
                  <pic:blipFill>
                    <a:blip r:embed="rId6">
                      <a:extLst/>
                    </a:blip>
                    <a:stretch>
                      <a:fillRect/>
                    </a:stretch>
                  </pic:blipFill>
                  <pic:spPr>
                    <a:xfrm>
                      <a:off x="0" y="0"/>
                      <a:ext cx="5687568" cy="2213879"/>
                    </a:xfrm>
                    <a:prstGeom prst="rect">
                      <a:avLst/>
                    </a:prstGeom>
                    <a:ln w="12700" cap="flat">
                      <a:noFill/>
                      <a:miter lim="400000"/>
                    </a:ln>
                    <a:effectLst/>
                  </pic:spPr>
                </pic:pic>
              </a:graphicData>
            </a:graphic>
          </wp:inline>
        </w:drawing>
      </w:r>
    </w:p>
    <w:p>
      <w:pPr>
        <w:pStyle w:val="caption"/>
        <w:spacing w:before="60" w:after="120" w:line="240" w:lineRule="atLeast"/>
      </w:pPr>
      <w:r>
        <w:rPr>
          <w:b w:val="1"/>
          <w:bCs w:val="1"/>
          <w:rtl w:val="0"/>
          <w:lang w:val="en-US"/>
        </w:rPr>
        <w:t xml:space="preserve">Figure 3. </w:t>
      </w:r>
      <w:r>
        <w:rPr>
          <w:rtl w:val="0"/>
          <w:lang w:val="en-US"/>
        </w:rPr>
        <w:t xml:space="preserve">Closed dynamical network of five vertices and ten relations. A: field energy, relational energy, and their conserved sum. B: relative total-energy error for DOP853 integration on </w:t>
      </w:r>
      <w:r>
        <w:rPr>
          <w:rtl w:val="0"/>
          <w:lang w:val="en-US"/>
        </w:rPr>
        <w:t xml:space="preserve">τ </w:t>
      </w:r>
      <w:r>
        <w:rPr>
          <w:rFonts w:ascii="Arial Unicode MS" w:cs="Arial Unicode MS" w:hAnsi="Arial Unicode MS" w:eastAsia="Arial Unicode MS" w:hint="default"/>
          <w:b w:val="0"/>
          <w:bCs w:val="0"/>
          <w:i w:val="0"/>
          <w:iCs w:val="0"/>
          <w:rtl w:val="0"/>
          <w:lang w:val="en-US"/>
        </w:rPr>
        <w:t>∈</w:t>
      </w:r>
      <w:r>
        <w:rPr>
          <w:rtl w:val="0"/>
          <w:lang w:val="en-US"/>
        </w:rPr>
        <w:t xml:space="preserve"> </w:t>
      </w:r>
      <w:r>
        <w:rPr>
          <w:rtl w:val="0"/>
          <w:lang w:val="en-US"/>
        </w:rPr>
        <w:t>[0,20]. The graph is not interpreted as physical space; the computation tests internal exchange and closure of the equations.</w:t>
      </w:r>
    </w:p>
    <w:p>
      <w:pPr>
        <w:pStyle w:val="Заголовок 2"/>
        <w:spacing w:line="240" w:lineRule="atLeast"/>
      </w:pPr>
      <w:r>
        <w:rPr>
          <w:rtl w:val="0"/>
          <w:lang w:val="en-US"/>
        </w:rPr>
        <w:t>9. Correlations, Response, and Causality</w:t>
      </w:r>
    </w:p>
    <w:p>
      <w:pPr>
        <w:pStyle w:val="Заголовок 3"/>
        <w:spacing w:line="240" w:lineRule="atLeast"/>
        <w:rPr>
          <w:u w:val="single"/>
        </w:rPr>
      </w:pPr>
      <w:r>
        <w:rPr>
          <w:u w:val="single"/>
          <w:rtl w:val="0"/>
          <w:lang w:val="en-US"/>
        </w:rPr>
        <w:t>9.1. Analytic Tails on a Finite Network</w:t>
      </w:r>
    </w:p>
    <w:p>
      <w:pPr>
        <w:pStyle w:val="Normal.0"/>
        <w:spacing w:after="80" w:line="240" w:lineRule="atLeast"/>
        <w:ind w:firstLine="0"/>
      </w:pPr>
      <w:r>
        <w:rPr>
          <w:sz w:val="22"/>
          <w:szCs w:val="22"/>
          <w:rtl w:val="0"/>
          <w:lang w:val="en-US"/>
        </w:rPr>
        <w:t>Consider the scalar equation q</w:t>
      </w:r>
      <w:r>
        <w:rPr>
          <w:sz w:val="22"/>
          <w:szCs w:val="22"/>
          <w:rtl w:val="0"/>
          <w:lang w:val="en-US"/>
        </w:rPr>
        <w:t xml:space="preserve">̈ </w:t>
      </w:r>
      <w:r>
        <w:rPr>
          <w:sz w:val="22"/>
          <w:szCs w:val="22"/>
          <w:rtl w:val="0"/>
          <w:lang w:val="en-US"/>
        </w:rPr>
        <w:t xml:space="preserve">+ </w:t>
      </w:r>
      <w:r>
        <w:rPr>
          <w:sz w:val="22"/>
          <w:szCs w:val="22"/>
          <w:rtl w:val="0"/>
          <w:lang w:val="en-US"/>
        </w:rPr>
        <w:t>α</w:t>
      </w:r>
      <w:r>
        <w:rPr>
          <w:sz w:val="22"/>
          <w:szCs w:val="22"/>
          <w:rtl w:val="0"/>
          <w:lang w:val="en-US"/>
        </w:rPr>
        <w:t xml:space="preserve">Lq = 0 with </w:t>
      </w:r>
      <w:r>
        <w:rPr>
          <w:sz w:val="22"/>
          <w:szCs w:val="22"/>
          <w:rtl w:val="0"/>
          <w:lang w:val="en-US"/>
        </w:rPr>
        <w:t xml:space="preserve">α </w:t>
      </w:r>
      <w:r>
        <w:rPr>
          <w:sz w:val="22"/>
          <w:szCs w:val="22"/>
          <w:rtl w:val="0"/>
          <w:lang w:val="en-US"/>
        </w:rPr>
        <w:t>&gt; 0. The response at vertex i to a unit initial velocity at vertex j is the entire matrix function</w:t>
      </w:r>
    </w:p>
    <w:tbl>
      <w:tblPr>
        <w:tblW w:w="9411"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8846"/>
        <w:gridCol w:w="565"/>
      </w:tblGrid>
      <w:tr>
        <w:tblPrEx>
          <w:shd w:val="clear" w:color="auto" w:fill="ced7e7"/>
        </w:tblPrEx>
        <w:trPr>
          <w:trHeight w:val="244" w:hRule="atLeast"/>
        </w:trPr>
        <w:tc>
          <w:tcPr>
            <w:tcW w:type="dxa" w:w="8846"/>
            <w:tcBorders>
              <w:top w:val="nil"/>
              <w:left w:val="nil"/>
              <w:bottom w:val="nil"/>
              <w:right w:val="nil"/>
            </w:tcBorders>
            <w:shd w:val="clear" w:color="auto" w:fill="auto"/>
            <w:tcMar>
              <w:top w:type="dxa" w:w="80"/>
              <w:left w:type="dxa" w:w="80"/>
              <w:bottom w:type="dxa" w:w="80"/>
              <w:right w:type="dxa" w:w="80"/>
            </w:tcMar>
            <w:vAlign w:val="top"/>
          </w:tcPr>
          <w:p>
            <w:pPr>
              <w:pStyle w:val="Equation"/>
              <w:keepLines w:val="1"/>
              <w:spacing w:after="40"/>
              <w:ind w:firstLine="0"/>
            </w:pPr>
            <w:r>
              <w:rPr>
                <w:rFonts w:ascii="Times New Roman" w:hAnsi="Times New Roman"/>
                <w:sz w:val="18"/>
                <w:szCs w:val="18"/>
                <w:rtl w:val="0"/>
                <w:lang w:val="en-US"/>
              </w:rPr>
              <w:t>Rᵢ</w:t>
            </w:r>
            <w:r>
              <w:rPr>
                <w:rFonts w:ascii="Arial Unicode MS" w:cs="Arial Unicode MS" w:hAnsi="Arial Unicode MS" w:eastAsia="Arial Unicode MS" w:hint="default"/>
                <w:b w:val="0"/>
                <w:bCs w:val="0"/>
                <w:i w:val="0"/>
                <w:iCs w:val="0"/>
                <w:sz w:val="18"/>
                <w:szCs w:val="18"/>
                <w:rtl w:val="0"/>
                <w:lang w:val="en-US"/>
              </w:rPr>
              <w:t>ⱼ</w:t>
            </w:r>
            <w:r>
              <w:rPr>
                <w:rFonts w:ascii="Times New Roman" w:hAnsi="Times New Roman"/>
                <w:sz w:val="18"/>
                <w:szCs w:val="18"/>
                <w:rtl w:val="0"/>
                <w:lang w:val="en-US"/>
              </w:rPr>
              <w:t>(</w:t>
            </w:r>
            <w:r>
              <w:rPr>
                <w:rFonts w:ascii="Times New Roman" w:hAnsi="Times New Roman" w:hint="default"/>
                <w:sz w:val="18"/>
                <w:szCs w:val="18"/>
                <w:rtl w:val="0"/>
                <w:lang w:val="en-US"/>
              </w:rPr>
              <w:t>τ</w:t>
            </w:r>
            <w:r>
              <w:rPr>
                <w:rFonts w:ascii="Times New Roman" w:hAnsi="Times New Roman"/>
                <w:sz w:val="18"/>
                <w:szCs w:val="18"/>
                <w:rtl w:val="0"/>
                <w:lang w:val="en-US"/>
              </w:rPr>
              <w:t>) = [</w:t>
            </w:r>
            <w:r>
              <w:rPr>
                <w:rFonts w:ascii="Times New Roman" w:hAnsi="Times New Roman" w:hint="default"/>
                <w:sz w:val="18"/>
                <w:szCs w:val="18"/>
                <w:rtl w:val="0"/>
                <w:lang w:val="en-US"/>
              </w:rPr>
              <w:t>∑</w:t>
            </w:r>
            <w:r>
              <w:rPr>
                <w:rFonts w:ascii="Arial Unicode MS" w:cs="Arial Unicode MS" w:hAnsi="Arial Unicode MS" w:eastAsia="Arial Unicode MS" w:hint="default"/>
                <w:b w:val="0"/>
                <w:bCs w:val="0"/>
                <w:i w:val="0"/>
                <w:iCs w:val="0"/>
                <w:sz w:val="18"/>
                <w:szCs w:val="18"/>
                <w:rtl w:val="0"/>
                <w:lang w:val="en-US"/>
              </w:rPr>
              <w:t>ₙ₌₀</w:t>
            </w:r>
            <w:r>
              <w:rPr>
                <w:rFonts w:ascii="Times New Roman" w:hAnsi="Times New Roman" w:hint="default"/>
                <w:sz w:val="18"/>
                <w:szCs w:val="18"/>
                <w:rtl w:val="0"/>
                <w:lang w:val="en-US"/>
              </w:rPr>
              <w:t xml:space="preserve">∞ </w:t>
            </w:r>
            <w:r>
              <w:rPr>
                <w:rFonts w:ascii="Times New Roman" w:hAnsi="Times New Roman"/>
                <w:sz w:val="18"/>
                <w:szCs w:val="18"/>
                <w:rtl w:val="0"/>
                <w:lang w:val="en-US"/>
              </w:rPr>
              <w:t>(</w:t>
            </w:r>
            <w:r>
              <w:rPr>
                <w:rFonts w:ascii="Times New Roman" w:hAnsi="Times New Roman" w:hint="default"/>
                <w:sz w:val="18"/>
                <w:szCs w:val="18"/>
                <w:rtl w:val="0"/>
                <w:lang w:val="en-US"/>
              </w:rPr>
              <w:t>−α</w:t>
            </w:r>
            <w:r>
              <w:rPr>
                <w:rFonts w:ascii="Times New Roman" w:hAnsi="Times New Roman"/>
                <w:sz w:val="18"/>
                <w:szCs w:val="18"/>
                <w:rtl w:val="0"/>
                <w:lang w:val="en-US"/>
              </w:rPr>
              <w:t>L)</w:t>
            </w:r>
            <w:r>
              <w:rPr>
                <w:rFonts w:ascii="Times New Roman" w:hAnsi="Times New Roman" w:hint="default"/>
                <w:sz w:val="18"/>
                <w:szCs w:val="18"/>
                <w:rtl w:val="0"/>
                <w:lang w:val="en-US"/>
              </w:rPr>
              <w:t>ⁿτ²ⁿ</w:t>
            </w:r>
            <w:r>
              <w:rPr>
                <w:rFonts w:ascii="Arial Unicode MS" w:cs="Arial Unicode MS" w:hAnsi="Arial Unicode MS" w:eastAsia="Arial Unicode MS" w:hint="default"/>
                <w:b w:val="0"/>
                <w:bCs w:val="0"/>
                <w:i w:val="0"/>
                <w:iCs w:val="0"/>
                <w:sz w:val="18"/>
                <w:szCs w:val="18"/>
                <w:rtl w:val="0"/>
                <w:lang w:val="en-US"/>
              </w:rPr>
              <w:t>⁺</w:t>
            </w:r>
            <w:r>
              <w:rPr>
                <w:rFonts w:ascii="Times New Roman" w:hAnsi="Times New Roman" w:hint="default"/>
                <w:sz w:val="18"/>
                <w:szCs w:val="18"/>
                <w:rtl w:val="0"/>
                <w:lang w:val="en-US"/>
              </w:rPr>
              <w:t>¹</w:t>
            </w:r>
            <w:r>
              <w:rPr>
                <w:rFonts w:ascii="Times New Roman" w:hAnsi="Times New Roman"/>
                <w:sz w:val="18"/>
                <w:szCs w:val="18"/>
                <w:rtl w:val="0"/>
                <w:lang w:val="en-US"/>
              </w:rPr>
              <w:t>/(2n + 1)!]ᵢ</w:t>
            </w:r>
            <w:r>
              <w:rPr>
                <w:rFonts w:ascii="Arial Unicode MS" w:cs="Arial Unicode MS" w:hAnsi="Arial Unicode MS" w:eastAsia="Arial Unicode MS" w:hint="default"/>
                <w:b w:val="0"/>
                <w:bCs w:val="0"/>
                <w:i w:val="0"/>
                <w:iCs w:val="0"/>
                <w:sz w:val="18"/>
                <w:szCs w:val="18"/>
                <w:rtl w:val="0"/>
                <w:lang w:val="en-US"/>
              </w:rPr>
              <w:t>ⱼ</w:t>
            </w:r>
            <w:r>
              <w:rPr>
                <w:rFonts w:ascii="Times New Roman" w:hAnsi="Times New Roman"/>
                <w:sz w:val="18"/>
                <w:szCs w:val="18"/>
                <w:rtl w:val="0"/>
                <w:lang w:val="en-US"/>
              </w:rPr>
              <w:t>.</w:t>
            </w:r>
          </w:p>
        </w:tc>
        <w:tc>
          <w:tcPr>
            <w:tcW w:type="dxa" w:w="565"/>
            <w:tcBorders>
              <w:top w:val="nil"/>
              <w:left w:val="nil"/>
              <w:bottom w:val="nil"/>
              <w:right w:val="nil"/>
            </w:tcBorders>
            <w:shd w:val="clear" w:color="auto" w:fill="auto"/>
            <w:tcMar>
              <w:top w:type="dxa" w:w="80"/>
              <w:left w:type="dxa" w:w="80"/>
              <w:bottom w:type="dxa" w:w="80"/>
              <w:right w:type="dxa" w:w="80"/>
            </w:tcMar>
            <w:vAlign w:val="top"/>
          </w:tcPr>
          <w:p>
            <w:pPr>
              <w:pStyle w:val="Normal.0"/>
              <w:keepLines w:val="1"/>
              <w:spacing w:after="40" w:line="240" w:lineRule="auto"/>
              <w:ind w:firstLine="0"/>
              <w:jc w:val="right"/>
            </w:pPr>
            <w:r>
              <w:rPr>
                <w:sz w:val="18"/>
                <w:szCs w:val="18"/>
                <w:rtl w:val="0"/>
                <w:lang w:val="en-US"/>
              </w:rPr>
              <w:t>(49)</w:t>
            </w:r>
          </w:p>
        </w:tc>
      </w:tr>
    </w:tbl>
    <w:p>
      <w:pPr>
        <w:pStyle w:val="Normal.0"/>
        <w:widowControl w:val="0"/>
        <w:spacing w:after="80" w:line="240" w:lineRule="atLeast"/>
        <w:ind w:firstLine="0"/>
        <w:jc w:val="center"/>
      </w:pPr>
    </w:p>
    <w:p>
      <w:pPr>
        <w:pStyle w:val="Normal.0"/>
        <w:spacing w:after="80" w:line="240" w:lineRule="atLeast"/>
      </w:pPr>
      <w:r>
        <w:rPr>
          <w:sz w:val="22"/>
          <w:szCs w:val="22"/>
          <w:rtl w:val="0"/>
          <w:lang w:val="en-US"/>
        </w:rPr>
        <w:t>It may equivalently be written as sin(</w:t>
      </w:r>
      <w:r>
        <w:rPr>
          <w:sz w:val="22"/>
          <w:szCs w:val="22"/>
          <w:rtl w:val="0"/>
          <w:lang w:val="en-US"/>
        </w:rPr>
        <w:t>τ√</w:t>
      </w:r>
      <w:r>
        <w:rPr>
          <w:sz w:val="22"/>
          <w:szCs w:val="22"/>
          <w:rtl w:val="0"/>
          <w:lang w:val="en-US"/>
        </w:rPr>
        <w:t>(</w:t>
      </w:r>
      <w:r>
        <w:rPr>
          <w:sz w:val="22"/>
          <w:szCs w:val="22"/>
          <w:rtl w:val="0"/>
          <w:lang w:val="en-US"/>
        </w:rPr>
        <w:t>α</w:t>
      </w:r>
      <w:r>
        <w:rPr>
          <w:sz w:val="22"/>
          <w:szCs w:val="22"/>
          <w:rtl w:val="0"/>
          <w:lang w:val="en-US"/>
        </w:rPr>
        <w:t>L))/</w:t>
      </w:r>
      <w:r>
        <w:rPr>
          <w:sz w:val="22"/>
          <w:szCs w:val="22"/>
          <w:rtl w:val="0"/>
          <w:lang w:val="en-US"/>
        </w:rPr>
        <w:t>√</w:t>
      </w:r>
      <w:r>
        <w:rPr>
          <w:sz w:val="22"/>
          <w:szCs w:val="22"/>
          <w:rtl w:val="0"/>
          <w:lang w:val="en-US"/>
        </w:rPr>
        <w:t>(</w:t>
      </w:r>
      <w:r>
        <w:rPr>
          <w:sz w:val="22"/>
          <w:szCs w:val="22"/>
          <w:rtl w:val="0"/>
          <w:lang w:val="en-US"/>
        </w:rPr>
        <w:t>α</w:t>
      </w:r>
      <w:r>
        <w:rPr>
          <w:sz w:val="22"/>
          <w:szCs w:val="22"/>
          <w:rtl w:val="0"/>
          <w:lang w:val="en-US"/>
        </w:rPr>
        <w:t xml:space="preserve">L), with the value on the zero mode understood as </w:t>
      </w:r>
      <w:r>
        <w:rPr>
          <w:sz w:val="22"/>
          <w:szCs w:val="22"/>
          <w:rtl w:val="0"/>
          <w:lang w:val="en-US"/>
        </w:rPr>
        <w:t>τ</w:t>
      </w:r>
      <w:r>
        <w:rPr>
          <w:sz w:val="22"/>
          <w:szCs w:val="22"/>
          <w:rtl w:val="0"/>
          <w:lang w:val="en-US"/>
        </w:rPr>
        <w:t>. Let i and j be separated by r edges along a shortest path, and assume all edge weights are positive.</w:t>
      </w:r>
    </w:p>
    <w:p>
      <w:pPr>
        <w:pStyle w:val="Normal.0"/>
        <w:spacing w:after="80" w:line="240" w:lineRule="atLeast"/>
        <w:ind w:firstLine="0"/>
      </w:pPr>
      <w:r>
        <w:rPr>
          <w:b w:val="1"/>
          <w:bCs w:val="1"/>
          <w:sz w:val="22"/>
          <w:szCs w:val="22"/>
          <w:rtl w:val="0"/>
          <w:lang w:val="en-US"/>
        </w:rPr>
        <w:t>Proposition 5.</w:t>
      </w:r>
      <w:r>
        <w:rPr>
          <w:sz w:val="22"/>
          <w:szCs w:val="22"/>
          <w:rtl w:val="0"/>
          <w:lang w:val="en-US"/>
        </w:rPr>
        <w:t xml:space="preserve"> For r </w:t>
      </w:r>
      <w:r>
        <w:rPr>
          <w:sz w:val="22"/>
          <w:szCs w:val="22"/>
          <w:rtl w:val="0"/>
          <w:lang w:val="en-US"/>
        </w:rPr>
        <w:t xml:space="preserve">≥ </w:t>
      </w:r>
      <w:r>
        <w:rPr>
          <w:sz w:val="22"/>
          <w:szCs w:val="22"/>
          <w:rtl w:val="0"/>
          <w:lang w:val="en-US"/>
        </w:rPr>
        <w:t>1, the first r terms of the series in Eq. (49), namely those with n &lt; r, do not contribute. The first nonzero term is positive:</w:t>
      </w:r>
    </w:p>
    <w:tbl>
      <w:tblPr>
        <w:tblW w:w="9411"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8846"/>
        <w:gridCol w:w="565"/>
      </w:tblGrid>
      <w:tr>
        <w:tblPrEx>
          <w:shd w:val="clear" w:color="auto" w:fill="ced7e7"/>
        </w:tblPrEx>
        <w:trPr>
          <w:trHeight w:val="244" w:hRule="atLeast"/>
        </w:trPr>
        <w:tc>
          <w:tcPr>
            <w:tcW w:type="dxa" w:w="8846"/>
            <w:tcBorders>
              <w:top w:val="nil"/>
              <w:left w:val="nil"/>
              <w:bottom w:val="nil"/>
              <w:right w:val="nil"/>
            </w:tcBorders>
            <w:shd w:val="clear" w:color="auto" w:fill="auto"/>
            <w:tcMar>
              <w:top w:type="dxa" w:w="80"/>
              <w:left w:type="dxa" w:w="80"/>
              <w:bottom w:type="dxa" w:w="80"/>
              <w:right w:type="dxa" w:w="80"/>
            </w:tcMar>
            <w:vAlign w:val="top"/>
          </w:tcPr>
          <w:p>
            <w:pPr>
              <w:pStyle w:val="Equation"/>
              <w:keepLines w:val="1"/>
              <w:spacing w:after="40"/>
              <w:ind w:firstLine="0"/>
            </w:pPr>
            <w:r>
              <w:rPr>
                <w:rFonts w:ascii="Times New Roman" w:hAnsi="Times New Roman"/>
                <w:sz w:val="18"/>
                <w:szCs w:val="18"/>
                <w:rtl w:val="0"/>
                <w:lang w:val="en-US"/>
              </w:rPr>
              <w:t>Rᵢ</w:t>
            </w:r>
            <w:r>
              <w:rPr>
                <w:rFonts w:ascii="Arial Unicode MS" w:cs="Arial Unicode MS" w:hAnsi="Arial Unicode MS" w:eastAsia="Arial Unicode MS" w:hint="default"/>
                <w:b w:val="0"/>
                <w:bCs w:val="0"/>
                <w:i w:val="0"/>
                <w:iCs w:val="0"/>
                <w:sz w:val="18"/>
                <w:szCs w:val="18"/>
                <w:rtl w:val="0"/>
                <w:lang w:val="en-US"/>
              </w:rPr>
              <w:t>ⱼ</w:t>
            </w:r>
            <w:r>
              <w:rPr>
                <w:rFonts w:ascii="Times New Roman" w:hAnsi="Times New Roman"/>
                <w:sz w:val="18"/>
                <w:szCs w:val="18"/>
                <w:rtl w:val="0"/>
                <w:lang w:val="en-US"/>
              </w:rPr>
              <w:t>(</w:t>
            </w:r>
            <w:r>
              <w:rPr>
                <w:rFonts w:ascii="Times New Roman" w:hAnsi="Times New Roman" w:hint="default"/>
                <w:sz w:val="18"/>
                <w:szCs w:val="18"/>
                <w:rtl w:val="0"/>
                <w:lang w:val="en-US"/>
              </w:rPr>
              <w:t>τ</w:t>
            </w:r>
            <w:r>
              <w:rPr>
                <w:rFonts w:ascii="Times New Roman" w:hAnsi="Times New Roman"/>
                <w:sz w:val="18"/>
                <w:szCs w:val="18"/>
                <w:rtl w:val="0"/>
                <w:lang w:val="en-US"/>
              </w:rPr>
              <w:t xml:space="preserve">) = </w:t>
            </w:r>
            <w:r>
              <w:rPr>
                <w:rFonts w:ascii="Times New Roman" w:hAnsi="Times New Roman" w:hint="default"/>
                <w:sz w:val="18"/>
                <w:szCs w:val="18"/>
                <w:rtl w:val="0"/>
                <w:lang w:val="en-US"/>
              </w:rPr>
              <w:t>αʳ</w:t>
            </w:r>
            <w:r>
              <w:rPr>
                <w:rFonts w:ascii="Times New Roman" w:hAnsi="Times New Roman"/>
                <w:sz w:val="18"/>
                <w:szCs w:val="18"/>
                <w:rtl w:val="0"/>
                <w:lang w:val="en-US"/>
              </w:rPr>
              <w:t>Wᵣ(i,j)</w:t>
            </w:r>
            <w:r>
              <w:rPr>
                <w:rFonts w:ascii="Times New Roman" w:hAnsi="Times New Roman" w:hint="default"/>
                <w:sz w:val="18"/>
                <w:szCs w:val="18"/>
                <w:rtl w:val="0"/>
                <w:lang w:val="en-US"/>
              </w:rPr>
              <w:t>τ²ʳ</w:t>
            </w:r>
            <w:r>
              <w:rPr>
                <w:rFonts w:ascii="Arial Unicode MS" w:cs="Arial Unicode MS" w:hAnsi="Arial Unicode MS" w:eastAsia="Arial Unicode MS" w:hint="default"/>
                <w:b w:val="0"/>
                <w:bCs w:val="0"/>
                <w:i w:val="0"/>
                <w:iCs w:val="0"/>
                <w:sz w:val="18"/>
                <w:szCs w:val="18"/>
                <w:rtl w:val="0"/>
                <w:lang w:val="en-US"/>
              </w:rPr>
              <w:t>⁺</w:t>
            </w:r>
            <w:r>
              <w:rPr>
                <w:rFonts w:ascii="Times New Roman" w:hAnsi="Times New Roman" w:hint="default"/>
                <w:sz w:val="18"/>
                <w:szCs w:val="18"/>
                <w:rtl w:val="0"/>
                <w:lang w:val="en-US"/>
              </w:rPr>
              <w:t>¹</w:t>
            </w:r>
            <w:r>
              <w:rPr>
                <w:rFonts w:ascii="Times New Roman" w:hAnsi="Times New Roman"/>
                <w:sz w:val="18"/>
                <w:szCs w:val="18"/>
                <w:rtl w:val="0"/>
                <w:lang w:val="en-US"/>
              </w:rPr>
              <w:t>/(2r + 1)! + O(</w:t>
            </w:r>
            <w:r>
              <w:rPr>
                <w:rFonts w:ascii="Times New Roman" w:hAnsi="Times New Roman" w:hint="default"/>
                <w:sz w:val="18"/>
                <w:szCs w:val="18"/>
                <w:rtl w:val="0"/>
                <w:lang w:val="en-US"/>
              </w:rPr>
              <w:t>τ²ʳ</w:t>
            </w:r>
            <w:r>
              <w:rPr>
                <w:rFonts w:ascii="Arial Unicode MS" w:cs="Arial Unicode MS" w:hAnsi="Arial Unicode MS" w:eastAsia="Arial Unicode MS" w:hint="default"/>
                <w:b w:val="0"/>
                <w:bCs w:val="0"/>
                <w:i w:val="0"/>
                <w:iCs w:val="0"/>
                <w:sz w:val="18"/>
                <w:szCs w:val="18"/>
                <w:rtl w:val="0"/>
                <w:lang w:val="en-US"/>
              </w:rPr>
              <w:t>⁺</w:t>
            </w:r>
            <w:r>
              <w:rPr>
                <w:rFonts w:ascii="Times New Roman" w:hAnsi="Times New Roman" w:hint="default"/>
                <w:sz w:val="18"/>
                <w:szCs w:val="18"/>
                <w:rtl w:val="0"/>
                <w:lang w:val="en-US"/>
              </w:rPr>
              <w:t>³</w:t>
            </w:r>
            <w:r>
              <w:rPr>
                <w:rFonts w:ascii="Times New Roman" w:hAnsi="Times New Roman"/>
                <w:sz w:val="18"/>
                <w:szCs w:val="18"/>
                <w:rtl w:val="0"/>
                <w:lang w:val="en-US"/>
              </w:rPr>
              <w:t>),</w:t>
            </w:r>
          </w:p>
        </w:tc>
        <w:tc>
          <w:tcPr>
            <w:tcW w:type="dxa" w:w="565"/>
            <w:tcBorders>
              <w:top w:val="nil"/>
              <w:left w:val="nil"/>
              <w:bottom w:val="nil"/>
              <w:right w:val="nil"/>
            </w:tcBorders>
            <w:shd w:val="clear" w:color="auto" w:fill="auto"/>
            <w:tcMar>
              <w:top w:type="dxa" w:w="80"/>
              <w:left w:type="dxa" w:w="80"/>
              <w:bottom w:type="dxa" w:w="80"/>
              <w:right w:type="dxa" w:w="80"/>
            </w:tcMar>
            <w:vAlign w:val="top"/>
          </w:tcPr>
          <w:p>
            <w:pPr>
              <w:pStyle w:val="Normal.0"/>
              <w:keepLines w:val="1"/>
              <w:spacing w:after="40" w:line="240" w:lineRule="auto"/>
              <w:ind w:firstLine="0"/>
              <w:jc w:val="right"/>
            </w:pPr>
            <w:r>
              <w:rPr>
                <w:sz w:val="18"/>
                <w:szCs w:val="18"/>
                <w:rtl w:val="0"/>
                <w:lang w:val="en-US"/>
              </w:rPr>
              <w:t>(50)</w:t>
            </w:r>
          </w:p>
        </w:tc>
      </w:tr>
    </w:tbl>
    <w:p>
      <w:pPr>
        <w:pStyle w:val="Normal.0"/>
        <w:widowControl w:val="0"/>
        <w:spacing w:after="80" w:line="240" w:lineRule="atLeast"/>
        <w:ind w:firstLine="0"/>
        <w:jc w:val="center"/>
      </w:pPr>
    </w:p>
    <w:p>
      <w:pPr>
        <w:pStyle w:val="Normal.0"/>
        <w:spacing w:after="80" w:line="240" w:lineRule="atLeast"/>
      </w:pPr>
    </w:p>
    <w:p>
      <w:pPr>
        <w:pStyle w:val="Normal.0"/>
        <w:spacing w:after="80" w:line="240" w:lineRule="atLeast"/>
      </w:pPr>
      <w:r>
        <w:rPr>
          <w:sz w:val="22"/>
          <w:szCs w:val="22"/>
          <w:rtl w:val="0"/>
          <w:lang w:val="en-US"/>
        </w:rPr>
        <w:t>where Wᵣ(i,j) &gt; 0 is the sum of products of edge weights over all shortest r-edge paths from j to i.</w:t>
      </w:r>
    </w:p>
    <w:p>
      <w:pPr>
        <w:pStyle w:val="Normal.0"/>
        <w:spacing w:after="80" w:line="240" w:lineRule="atLeast"/>
        <w:ind w:firstLine="0"/>
      </w:pPr>
      <w:r>
        <w:rPr>
          <w:b w:val="1"/>
          <w:bCs w:val="1"/>
          <w:sz w:val="22"/>
          <w:szCs w:val="22"/>
          <w:rtl w:val="0"/>
          <w:lang w:val="en-US"/>
        </w:rPr>
        <w:t>Proof.</w:t>
      </w:r>
      <w:r>
        <w:rPr>
          <w:sz w:val="22"/>
          <w:szCs w:val="22"/>
          <w:rtl w:val="0"/>
          <w:lang w:val="en-US"/>
        </w:rPr>
        <w:t xml:space="preserve"> With fewer than r matrix multiplications, L</w:t>
      </w:r>
      <w:r>
        <w:rPr>
          <w:sz w:val="22"/>
          <w:szCs w:val="22"/>
          <w:rtl w:val="0"/>
          <w:lang w:val="en-US"/>
        </w:rPr>
        <w:t xml:space="preserve">ⁿ </w:t>
      </w:r>
      <w:r>
        <w:rPr>
          <w:sz w:val="22"/>
          <w:szCs w:val="22"/>
          <w:rtl w:val="0"/>
          <w:lang w:val="en-US"/>
        </w:rPr>
        <w:t xml:space="preserve">cannot connect two vertices at graph distance r; diagonal entries do not reduce the number of off-diagonal transitions required. For n = r every nonzero contribution corresponds to a shortest path and contains r off-diagonal factors </w:t>
      </w:r>
      <w:r>
        <w:rPr>
          <w:sz w:val="22"/>
          <w:szCs w:val="22"/>
          <w:rtl w:val="0"/>
          <w:lang w:val="en-US"/>
        </w:rPr>
        <w:t>−</w:t>
      </w:r>
      <w:r>
        <w:rPr>
          <w:sz w:val="22"/>
          <w:szCs w:val="22"/>
          <w:rtl w:val="0"/>
          <w:lang w:val="en-US"/>
        </w:rPr>
        <w:t>w. The sign (</w:t>
      </w:r>
      <w:r>
        <w:rPr>
          <w:sz w:val="22"/>
          <w:szCs w:val="22"/>
          <w:rtl w:val="0"/>
          <w:lang w:val="en-US"/>
        </w:rPr>
        <w:t>−</w:t>
      </w:r>
      <w:r>
        <w:rPr>
          <w:sz w:val="22"/>
          <w:szCs w:val="22"/>
          <w:rtl w:val="0"/>
          <w:lang w:val="en-US"/>
        </w:rPr>
        <w:t>1)</w:t>
      </w:r>
      <w:r>
        <w:rPr>
          <w:sz w:val="22"/>
          <w:szCs w:val="22"/>
          <w:rtl w:val="0"/>
          <w:lang w:val="en-US"/>
        </w:rPr>
        <w:t xml:space="preserve">ʳ </w:t>
      </w:r>
      <w:r>
        <w:rPr>
          <w:sz w:val="22"/>
          <w:szCs w:val="22"/>
          <w:rtl w:val="0"/>
          <w:lang w:val="en-US"/>
        </w:rPr>
        <w:t>from L</w:t>
      </w:r>
      <w:r>
        <w:rPr>
          <w:sz w:val="22"/>
          <w:szCs w:val="22"/>
          <w:rtl w:val="0"/>
          <w:lang w:val="en-US"/>
        </w:rPr>
        <w:t xml:space="preserve">ʳ </w:t>
      </w:r>
      <w:r>
        <w:rPr>
          <w:sz w:val="22"/>
          <w:szCs w:val="22"/>
          <w:rtl w:val="0"/>
          <w:lang w:val="en-US"/>
        </w:rPr>
        <w:t>cancels the factor (</w:t>
      </w:r>
      <w:r>
        <w:rPr>
          <w:sz w:val="22"/>
          <w:szCs w:val="22"/>
          <w:rtl w:val="0"/>
          <w:lang w:val="en-US"/>
        </w:rPr>
        <w:t>−</w:t>
      </w:r>
      <w:r>
        <w:rPr>
          <w:sz w:val="22"/>
          <w:szCs w:val="22"/>
          <w:rtl w:val="0"/>
          <w:lang w:val="en-US"/>
        </w:rPr>
        <w:t>1)</w:t>
      </w:r>
      <w:r>
        <w:rPr>
          <w:sz w:val="22"/>
          <w:szCs w:val="22"/>
          <w:rtl w:val="0"/>
          <w:lang w:val="en-US"/>
        </w:rPr>
        <w:t xml:space="preserve">ʳ </w:t>
      </w:r>
      <w:r>
        <w:rPr>
          <w:sz w:val="22"/>
          <w:szCs w:val="22"/>
          <w:rtl w:val="0"/>
          <w:lang w:val="en-US"/>
        </w:rPr>
        <w:t xml:space="preserve">in the series. All products of positive weights are positive. </w:t>
      </w:r>
      <w:r>
        <w:rPr>
          <w:sz w:val="22"/>
          <w:szCs w:val="22"/>
          <w:rtl w:val="0"/>
          <w:lang w:val="en-US"/>
        </w:rPr>
        <w:t>□</w:t>
      </w:r>
    </w:p>
    <w:p>
      <w:pPr>
        <w:pStyle w:val="Normal.0"/>
        <w:spacing w:after="80" w:line="240" w:lineRule="atLeast"/>
      </w:pPr>
      <w:r>
        <w:rPr>
          <w:sz w:val="22"/>
          <w:szCs w:val="22"/>
          <w:rtl w:val="0"/>
          <w:lang w:val="en-US"/>
        </w:rPr>
        <w:t xml:space="preserve">Thus, for every connected pair of vertices the response is nonzero for sufficiently small positive </w:t>
      </w:r>
      <w:r>
        <w:rPr>
          <w:sz w:val="22"/>
          <w:szCs w:val="22"/>
          <w:rtl w:val="0"/>
          <w:lang w:val="en-US"/>
        </w:rPr>
        <w:t>τ</w:t>
      </w:r>
      <w:r>
        <w:rPr>
          <w:sz w:val="22"/>
          <w:szCs w:val="22"/>
          <w:rtl w:val="0"/>
          <w:lang w:val="en-US"/>
        </w:rPr>
        <w:t>. At fixed graph distance this excludes an exact law Rᵢ</w:t>
      </w:r>
      <w:r>
        <w:rPr>
          <w:rFonts w:ascii="Arial Unicode MS" w:cs="Arial Unicode MS" w:hAnsi="Arial Unicode MS" w:eastAsia="Arial Unicode MS" w:hint="default"/>
          <w:b w:val="0"/>
          <w:bCs w:val="0"/>
          <w:i w:val="0"/>
          <w:iCs w:val="0"/>
          <w:sz w:val="22"/>
          <w:szCs w:val="22"/>
          <w:rtl w:val="0"/>
          <w:lang w:val="en-US"/>
        </w:rPr>
        <w:t>ⱼ</w:t>
      </w:r>
      <w:r>
        <w:rPr>
          <w:sz w:val="22"/>
          <w:szCs w:val="22"/>
          <w:rtl w:val="0"/>
          <w:lang w:val="en-US"/>
        </w:rPr>
        <w:t>(</w:t>
      </w:r>
      <w:r>
        <w:rPr>
          <w:sz w:val="22"/>
          <w:szCs w:val="22"/>
          <w:rtl w:val="0"/>
          <w:lang w:val="en-US"/>
        </w:rPr>
        <w:t>τ</w:t>
      </w:r>
      <w:r>
        <w:rPr>
          <w:sz w:val="22"/>
          <w:szCs w:val="22"/>
          <w:rtl w:val="0"/>
          <w:lang w:val="en-US"/>
        </w:rPr>
        <w:t xml:space="preserve">) = 0 for all 0 &lt; </w:t>
      </w:r>
      <w:r>
        <w:rPr>
          <w:sz w:val="22"/>
          <w:szCs w:val="22"/>
          <w:rtl w:val="0"/>
          <w:lang w:val="en-US"/>
        </w:rPr>
        <w:t xml:space="preserve">τ </w:t>
      </w:r>
      <w:r>
        <w:rPr>
          <w:sz w:val="22"/>
          <w:szCs w:val="22"/>
          <w:rtl w:val="0"/>
          <w:lang w:val="en-US"/>
        </w:rPr>
        <w:t>&lt; r/v with finite v. The model may possess a sharply defined region of rapid propagation and extremely small tails outside it, but that is not a strict light cone.</w:t>
      </w:r>
    </w:p>
    <w:p>
      <w:pPr>
        <w:pStyle w:val="Normal.0"/>
        <w:spacing w:after="80" w:line="240" w:lineRule="atLeast"/>
      </w:pPr>
      <w:r>
        <w:rPr>
          <w:sz w:val="22"/>
          <w:szCs w:val="22"/>
          <w:rtl w:val="0"/>
          <w:lang w:val="en-US"/>
        </w:rPr>
        <w:t xml:space="preserve">For example, on a nine-vertex path with unit weights and </w:t>
      </w:r>
      <w:r>
        <w:rPr>
          <w:sz w:val="22"/>
          <w:szCs w:val="22"/>
          <w:rtl w:val="0"/>
          <w:lang w:val="en-US"/>
        </w:rPr>
        <w:t xml:space="preserve">α </w:t>
      </w:r>
      <w:r>
        <w:rPr>
          <w:sz w:val="22"/>
          <w:szCs w:val="22"/>
          <w:rtl w:val="0"/>
          <w:lang w:val="en-US"/>
        </w:rPr>
        <w:t xml:space="preserve">= 1, the response at distance r = 4 and </w:t>
      </w:r>
      <w:r>
        <w:rPr>
          <w:sz w:val="22"/>
          <w:szCs w:val="22"/>
          <w:rtl w:val="0"/>
          <w:lang w:val="en-US"/>
        </w:rPr>
        <w:t xml:space="preserve">τ </w:t>
      </w:r>
      <w:r>
        <w:rPr>
          <w:sz w:val="22"/>
          <w:szCs w:val="22"/>
          <w:rtl w:val="0"/>
          <w:lang w:val="en-US"/>
        </w:rPr>
        <w:t xml:space="preserve">= 0.1 is approximately 2.75347 </w:t>
      </w:r>
      <w:r>
        <w:rPr>
          <w:sz w:val="22"/>
          <w:szCs w:val="22"/>
          <w:rtl w:val="0"/>
          <w:lang w:val="en-US"/>
        </w:rPr>
        <w:t xml:space="preserve">× </w:t>
      </w:r>
      <w:r>
        <w:rPr>
          <w:sz w:val="22"/>
          <w:szCs w:val="22"/>
          <w:rtl w:val="0"/>
          <w:lang w:val="en-US"/>
        </w:rPr>
        <w:t>10</w:t>
      </w:r>
      <w:r>
        <w:rPr>
          <w:rFonts w:ascii="Arial Unicode MS" w:cs="Arial Unicode MS" w:hAnsi="Arial Unicode MS" w:eastAsia="Arial Unicode MS" w:hint="default"/>
          <w:b w:val="0"/>
          <w:bCs w:val="0"/>
          <w:i w:val="0"/>
          <w:iCs w:val="0"/>
          <w:sz w:val="22"/>
          <w:szCs w:val="22"/>
          <w:rtl w:val="0"/>
          <w:lang w:val="en-US"/>
        </w:rPr>
        <w:t>⁻</w:t>
      </w:r>
      <w:r>
        <w:rPr>
          <w:sz w:val="22"/>
          <w:szCs w:val="22"/>
          <w:rtl w:val="0"/>
          <w:lang w:val="en-US"/>
        </w:rPr>
        <w:t>¹</w:t>
      </w:r>
      <w:r>
        <w:rPr>
          <w:rFonts w:ascii="Arial Unicode MS" w:cs="Arial Unicode MS" w:hAnsi="Arial Unicode MS" w:eastAsia="Arial Unicode MS" w:hint="default"/>
          <w:b w:val="0"/>
          <w:bCs w:val="0"/>
          <w:i w:val="0"/>
          <w:iCs w:val="0"/>
          <w:sz w:val="22"/>
          <w:szCs w:val="22"/>
          <w:rtl w:val="0"/>
          <w:lang w:val="en-US"/>
        </w:rPr>
        <w:t>⁵</w:t>
      </w:r>
      <w:r>
        <w:rPr>
          <w:sz w:val="22"/>
          <w:szCs w:val="22"/>
          <w:rtl w:val="0"/>
          <w:lang w:val="en-US"/>
        </w:rPr>
        <w:t xml:space="preserve">; the leading term in Eq. (50) gives 2.75573 </w:t>
      </w:r>
      <w:r>
        <w:rPr>
          <w:sz w:val="22"/>
          <w:szCs w:val="22"/>
          <w:rtl w:val="0"/>
          <w:lang w:val="en-US"/>
        </w:rPr>
        <w:t xml:space="preserve">× </w:t>
      </w:r>
      <w:r>
        <w:rPr>
          <w:sz w:val="22"/>
          <w:szCs w:val="22"/>
          <w:rtl w:val="0"/>
          <w:lang w:val="en-US"/>
        </w:rPr>
        <w:t>10</w:t>
      </w:r>
      <w:r>
        <w:rPr>
          <w:rFonts w:ascii="Arial Unicode MS" w:cs="Arial Unicode MS" w:hAnsi="Arial Unicode MS" w:eastAsia="Arial Unicode MS" w:hint="default"/>
          <w:b w:val="0"/>
          <w:bCs w:val="0"/>
          <w:i w:val="0"/>
          <w:iCs w:val="0"/>
          <w:sz w:val="22"/>
          <w:szCs w:val="22"/>
          <w:rtl w:val="0"/>
          <w:lang w:val="en-US"/>
        </w:rPr>
        <w:t>⁻</w:t>
      </w:r>
      <w:r>
        <w:rPr>
          <w:sz w:val="22"/>
          <w:szCs w:val="22"/>
          <w:rtl w:val="0"/>
          <w:lang w:val="en-US"/>
        </w:rPr>
        <w:t>¹</w:t>
      </w:r>
      <w:r>
        <w:rPr>
          <w:rFonts w:ascii="Arial Unicode MS" w:cs="Arial Unicode MS" w:hAnsi="Arial Unicode MS" w:eastAsia="Arial Unicode MS" w:hint="default"/>
          <w:b w:val="0"/>
          <w:bCs w:val="0"/>
          <w:i w:val="0"/>
          <w:iCs w:val="0"/>
          <w:sz w:val="22"/>
          <w:szCs w:val="22"/>
          <w:rtl w:val="0"/>
          <w:lang w:val="en-US"/>
        </w:rPr>
        <w:t>⁵</w:t>
      </w:r>
      <w:r>
        <w:rPr>
          <w:sz w:val="22"/>
          <w:szCs w:val="22"/>
          <w:rtl w:val="0"/>
          <w:lang w:val="en-US"/>
        </w:rPr>
        <w:t>. Smallness does not make the response identically zero. In the corresponding quantum harmonic model, the relevant coordinate commutator is proportional to the same response function.</w:t>
      </w:r>
    </w:p>
    <w:p>
      <w:pPr>
        <w:pStyle w:val="Normal.0"/>
        <w:spacing w:after="80" w:line="240" w:lineRule="atLeast"/>
      </w:pPr>
      <w:r>
        <w:rPr>
          <w:sz w:val="22"/>
          <w:szCs w:val="22"/>
          <w:rtl w:val="0"/>
          <w:lang w:val="en-US"/>
        </w:rPr>
        <w:t>Lieb</w:t>
      </w:r>
      <w:r>
        <w:rPr>
          <w:sz w:val="22"/>
          <w:szCs w:val="22"/>
          <w:rtl w:val="0"/>
          <w:lang w:val="en-US"/>
        </w:rPr>
        <w:t>–</w:t>
      </w:r>
      <w:r>
        <w:rPr>
          <w:sz w:val="22"/>
          <w:szCs w:val="22"/>
          <w:rtl w:val="0"/>
          <w:lang w:val="en-US"/>
        </w:rPr>
        <w:t>Robinson-type estimates [8] can bound such tails for suitable interactions and observables. They must not be replaced by an equality to zero. Strict causality may emerge in a continuum limit as a property of the limiting equation and its solutions, but that requires a precise limiting procedure, normalization of the couplings, and control of the convergence of response functions. No such theorem for dynamically emerging graphs is proved in the present work.</w:t>
      </w:r>
    </w:p>
    <w:p>
      <w:pPr>
        <w:pStyle w:val="Заголовок 3"/>
        <w:spacing w:line="240" w:lineRule="atLeast"/>
        <w:rPr>
          <w:u w:val="single"/>
        </w:rPr>
      </w:pPr>
      <w:r>
        <w:rPr>
          <w:u w:val="single"/>
          <w:rtl w:val="0"/>
          <w:lang w:val="en-US"/>
        </w:rPr>
        <w:t>9.2. Correlation Structure and Operational Signalling</w:t>
      </w:r>
    </w:p>
    <w:p>
      <w:pPr>
        <w:pStyle w:val="Normal.0"/>
        <w:spacing w:after="80" w:line="240" w:lineRule="atLeast"/>
        <w:ind w:firstLine="0"/>
      </w:pPr>
      <w:r>
        <w:rPr>
          <w:sz w:val="22"/>
          <w:szCs w:val="22"/>
          <w:rtl w:val="0"/>
          <w:lang w:val="en-US"/>
        </w:rPr>
        <w:t>For quantum subsystems A and B, the mutual information</w:t>
      </w:r>
    </w:p>
    <w:tbl>
      <w:tblPr>
        <w:tblW w:w="9411"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8846"/>
        <w:gridCol w:w="565"/>
      </w:tblGrid>
      <w:tr>
        <w:tblPrEx>
          <w:shd w:val="clear" w:color="auto" w:fill="ced7e7"/>
        </w:tblPrEx>
        <w:trPr>
          <w:trHeight w:val="212" w:hRule="atLeast"/>
        </w:trPr>
        <w:tc>
          <w:tcPr>
            <w:tcW w:type="dxa" w:w="8846"/>
            <w:tcBorders>
              <w:top w:val="nil"/>
              <w:left w:val="nil"/>
              <w:bottom w:val="nil"/>
              <w:right w:val="nil"/>
            </w:tcBorders>
            <w:shd w:val="clear" w:color="auto" w:fill="auto"/>
            <w:tcMar>
              <w:top w:type="dxa" w:w="80"/>
              <w:left w:type="dxa" w:w="80"/>
              <w:bottom w:type="dxa" w:w="80"/>
              <w:right w:type="dxa" w:w="80"/>
            </w:tcMar>
            <w:vAlign w:val="top"/>
          </w:tcPr>
          <w:p>
            <w:pPr>
              <w:pStyle w:val="Equation"/>
              <w:keepLines w:val="1"/>
              <w:spacing w:after="40"/>
              <w:ind w:firstLine="0"/>
            </w:pPr>
            <w:r>
              <w:rPr>
                <w:rFonts w:ascii="Times New Roman" w:hAnsi="Times New Roman"/>
                <w:sz w:val="18"/>
                <w:szCs w:val="18"/>
                <w:rtl w:val="0"/>
                <w:lang w:val="en-US"/>
              </w:rPr>
              <w:t>I(A:B) = S(</w:t>
            </w:r>
            <w:r>
              <w:rPr>
                <w:rFonts w:ascii="Times New Roman" w:hAnsi="Times New Roman" w:hint="default"/>
                <w:sz w:val="18"/>
                <w:szCs w:val="18"/>
                <w:rtl w:val="0"/>
                <w:lang w:val="en-US"/>
              </w:rPr>
              <w:t>ρ</w:t>
            </w:r>
            <w:r>
              <w:rPr>
                <w:rFonts w:ascii="Times New Roman" w:hAnsi="Times New Roman"/>
                <w:sz w:val="18"/>
                <w:szCs w:val="18"/>
                <w:rtl w:val="0"/>
                <w:lang w:val="en-US"/>
              </w:rPr>
              <w:t>A) + S(</w:t>
            </w:r>
            <w:r>
              <w:rPr>
                <w:rFonts w:ascii="Times New Roman" w:hAnsi="Times New Roman" w:hint="default"/>
                <w:sz w:val="18"/>
                <w:szCs w:val="18"/>
                <w:rtl w:val="0"/>
                <w:lang w:val="en-US"/>
              </w:rPr>
              <w:t>ρ</w:t>
            </w:r>
            <w:r>
              <w:rPr>
                <w:rFonts w:ascii="Times New Roman" w:hAnsi="Times New Roman"/>
                <w:sz w:val="18"/>
                <w:szCs w:val="18"/>
                <w:rtl w:val="0"/>
                <w:lang w:val="en-US"/>
              </w:rPr>
              <w:t xml:space="preserve">B) </w:t>
            </w:r>
            <w:r>
              <w:rPr>
                <w:rFonts w:ascii="Times New Roman" w:hAnsi="Times New Roman" w:hint="default"/>
                <w:sz w:val="18"/>
                <w:szCs w:val="18"/>
                <w:rtl w:val="0"/>
                <w:lang w:val="en-US"/>
              </w:rPr>
              <w:t xml:space="preserve">− </w:t>
            </w:r>
            <w:r>
              <w:rPr>
                <w:rFonts w:ascii="Times New Roman" w:hAnsi="Times New Roman"/>
                <w:sz w:val="18"/>
                <w:szCs w:val="18"/>
                <w:rtl w:val="0"/>
                <w:lang w:val="en-US"/>
              </w:rPr>
              <w:t>S(</w:t>
            </w:r>
            <w:r>
              <w:rPr>
                <w:rFonts w:ascii="Times New Roman" w:hAnsi="Times New Roman" w:hint="default"/>
                <w:sz w:val="18"/>
                <w:szCs w:val="18"/>
                <w:rtl w:val="0"/>
                <w:lang w:val="en-US"/>
              </w:rPr>
              <w:t>ρ</w:t>
            </w:r>
            <w:r>
              <w:rPr>
                <w:rFonts w:ascii="Times New Roman" w:hAnsi="Times New Roman"/>
                <w:sz w:val="18"/>
                <w:szCs w:val="18"/>
                <w:rtl w:val="0"/>
                <w:lang w:val="en-US"/>
              </w:rPr>
              <w:t>AB)</w:t>
            </w:r>
          </w:p>
        </w:tc>
        <w:tc>
          <w:tcPr>
            <w:tcW w:type="dxa" w:w="565"/>
            <w:tcBorders>
              <w:top w:val="nil"/>
              <w:left w:val="nil"/>
              <w:bottom w:val="nil"/>
              <w:right w:val="nil"/>
            </w:tcBorders>
            <w:shd w:val="clear" w:color="auto" w:fill="auto"/>
            <w:tcMar>
              <w:top w:type="dxa" w:w="80"/>
              <w:left w:type="dxa" w:w="80"/>
              <w:bottom w:type="dxa" w:w="80"/>
              <w:right w:type="dxa" w:w="80"/>
            </w:tcMar>
            <w:vAlign w:val="top"/>
          </w:tcPr>
          <w:p>
            <w:pPr>
              <w:pStyle w:val="Normal.0"/>
              <w:keepLines w:val="1"/>
              <w:spacing w:after="40" w:line="240" w:lineRule="auto"/>
              <w:ind w:firstLine="0"/>
              <w:jc w:val="right"/>
            </w:pPr>
            <w:r>
              <w:rPr>
                <w:sz w:val="18"/>
                <w:szCs w:val="18"/>
                <w:rtl w:val="0"/>
                <w:lang w:val="en-US"/>
              </w:rPr>
              <w:t>(51)</w:t>
            </w:r>
          </w:p>
        </w:tc>
      </w:tr>
    </w:tbl>
    <w:p>
      <w:pPr>
        <w:pStyle w:val="Normal.0"/>
        <w:widowControl w:val="0"/>
        <w:spacing w:after="80" w:line="240" w:lineRule="atLeast"/>
        <w:ind w:firstLine="0"/>
        <w:jc w:val="center"/>
      </w:pPr>
    </w:p>
    <w:p>
      <w:pPr>
        <w:pStyle w:val="Normal.0"/>
        <w:spacing w:after="80" w:line="240" w:lineRule="atLeast"/>
      </w:pPr>
      <w:r>
        <w:rPr>
          <w:sz w:val="22"/>
          <w:szCs w:val="22"/>
          <w:rtl w:val="0"/>
          <w:lang w:val="en-US"/>
        </w:rPr>
        <w:t xml:space="preserve">measures the failure of the joint state to factorize, but it does not specify a direction of controllable influence. Symmetric correlation data do not distinguish retarded from advanced response. </w:t>
      </w:r>
    </w:p>
    <w:p>
      <w:pPr>
        <w:pStyle w:val="Normal.0"/>
        <w:spacing w:after="80" w:line="240" w:lineRule="atLeast"/>
      </w:pPr>
      <w:r>
        <w:rPr>
          <w:sz w:val="22"/>
          <w:szCs w:val="22"/>
          <w:rtl w:val="0"/>
          <w:lang w:val="en-US"/>
        </w:rPr>
        <w:t>Moreover, the choice of subalgebras or a tensor-product factorization must be defined before mutual information is computed; using mutual information to derive the factorization itself therefore requires an additional self-consistent construction.</w:t>
      </w:r>
    </w:p>
    <w:p>
      <w:pPr>
        <w:pStyle w:val="Normal.0"/>
        <w:spacing w:after="80" w:line="240" w:lineRule="atLeast"/>
      </w:pPr>
      <w:r>
        <w:rPr>
          <w:sz w:val="22"/>
          <w:szCs w:val="22"/>
          <w:rtl w:val="0"/>
          <w:lang w:val="en-US"/>
        </w:rPr>
        <w:t xml:space="preserve">In standard quantum mechanics, a local trace-preserving operation </w:t>
      </w:r>
      <w:r>
        <w:rPr>
          <w:sz w:val="22"/>
          <w:szCs w:val="22"/>
          <w:rtl w:val="0"/>
          <w:lang w:val="en-US"/>
        </w:rPr>
        <w:t>Λ</w:t>
      </w:r>
      <w:r>
        <w:rPr>
          <w:sz w:val="22"/>
          <w:szCs w:val="22"/>
          <w:rtl w:val="0"/>
          <w:lang w:val="en-US"/>
        </w:rPr>
        <w:t xml:space="preserve">A with Kraus operators Kᵅ satisfying </w:t>
      </w:r>
      <w:r>
        <w:rPr>
          <w:sz w:val="22"/>
          <w:szCs w:val="22"/>
          <w:rtl w:val="0"/>
          <w:lang w:val="en-US"/>
        </w:rPr>
        <w:t>∑</w:t>
      </w:r>
      <w:r>
        <w:rPr>
          <w:sz w:val="22"/>
          <w:szCs w:val="22"/>
          <w:rtl w:val="0"/>
          <w:lang w:val="en-US"/>
        </w:rPr>
        <w:t>ᵅ Kᵅ</w:t>
      </w:r>
      <w:r>
        <w:rPr>
          <w:sz w:val="22"/>
          <w:szCs w:val="22"/>
          <w:rtl w:val="0"/>
          <w:lang w:val="en-US"/>
        </w:rPr>
        <w:t>†</w:t>
      </w:r>
      <w:r>
        <w:rPr>
          <w:sz w:val="22"/>
          <w:szCs w:val="22"/>
          <w:rtl w:val="0"/>
          <w:lang w:val="en-US"/>
        </w:rPr>
        <w:t>Kᵅ = I leaves the remote reduced state unchanged when averaged over the local outcome:</w:t>
      </w:r>
    </w:p>
    <w:tbl>
      <w:tblPr>
        <w:tblW w:w="9411"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8846"/>
        <w:gridCol w:w="565"/>
      </w:tblGrid>
      <w:tr>
        <w:tblPrEx>
          <w:shd w:val="clear" w:color="auto" w:fill="ced7e7"/>
        </w:tblPrEx>
        <w:trPr>
          <w:trHeight w:val="227" w:hRule="atLeast"/>
        </w:trPr>
        <w:tc>
          <w:tcPr>
            <w:tcW w:type="dxa" w:w="8846"/>
            <w:tcBorders>
              <w:top w:val="nil"/>
              <w:left w:val="nil"/>
              <w:bottom w:val="nil"/>
              <w:right w:val="nil"/>
            </w:tcBorders>
            <w:shd w:val="clear" w:color="auto" w:fill="auto"/>
            <w:tcMar>
              <w:top w:type="dxa" w:w="80"/>
              <w:left w:type="dxa" w:w="80"/>
              <w:bottom w:type="dxa" w:w="80"/>
              <w:right w:type="dxa" w:w="80"/>
            </w:tcMar>
            <w:vAlign w:val="top"/>
          </w:tcPr>
          <w:p>
            <w:pPr>
              <w:pStyle w:val="Equation"/>
              <w:keepLines w:val="1"/>
              <w:spacing w:after="40"/>
              <w:ind w:firstLine="0"/>
            </w:pPr>
            <w:r>
              <w:rPr>
                <w:rFonts w:ascii="Times New Roman" w:hAnsi="Times New Roman"/>
                <w:sz w:val="18"/>
                <w:szCs w:val="18"/>
                <w:rtl w:val="0"/>
                <w:lang w:val="en-US"/>
              </w:rPr>
              <w:t>TrA[(</w:t>
            </w:r>
            <w:r>
              <w:rPr>
                <w:rFonts w:ascii="Times New Roman" w:hAnsi="Times New Roman" w:hint="default"/>
                <w:sz w:val="18"/>
                <w:szCs w:val="18"/>
                <w:rtl w:val="0"/>
                <w:lang w:val="en-US"/>
              </w:rPr>
              <w:t>Λ</w:t>
            </w:r>
            <w:r>
              <w:rPr>
                <w:rFonts w:ascii="Times New Roman" w:hAnsi="Times New Roman"/>
                <w:sz w:val="18"/>
                <w:szCs w:val="18"/>
                <w:rtl w:val="0"/>
                <w:lang w:val="en-US"/>
              </w:rPr>
              <w:t xml:space="preserve">A </w:t>
            </w:r>
            <w:r>
              <w:rPr>
                <w:rFonts w:ascii="Arial Unicode MS" w:cs="Arial Unicode MS" w:hAnsi="Arial Unicode MS" w:eastAsia="Arial Unicode MS" w:hint="default"/>
                <w:b w:val="0"/>
                <w:bCs w:val="0"/>
                <w:i w:val="0"/>
                <w:iCs w:val="0"/>
                <w:sz w:val="18"/>
                <w:szCs w:val="18"/>
                <w:rtl w:val="0"/>
                <w:lang w:val="en-US"/>
              </w:rPr>
              <w:t>⊗</w:t>
            </w:r>
            <w:r>
              <w:rPr>
                <w:rFonts w:ascii="Times New Roman" w:hAnsi="Times New Roman"/>
                <w:sz w:val="18"/>
                <w:szCs w:val="18"/>
                <w:rtl w:val="0"/>
                <w:lang w:val="en-US"/>
              </w:rPr>
              <w:t xml:space="preserve"> </w:t>
            </w:r>
            <w:r>
              <w:rPr>
                <w:rFonts w:ascii="Times New Roman" w:hAnsi="Times New Roman"/>
                <w:sz w:val="18"/>
                <w:szCs w:val="18"/>
                <w:rtl w:val="0"/>
                <w:lang w:val="en-US"/>
              </w:rPr>
              <w:t>idB)(</w:t>
            </w:r>
            <w:r>
              <w:rPr>
                <w:rFonts w:ascii="Times New Roman" w:hAnsi="Times New Roman" w:hint="default"/>
                <w:sz w:val="18"/>
                <w:szCs w:val="18"/>
                <w:rtl w:val="0"/>
                <w:lang w:val="en-US"/>
              </w:rPr>
              <w:t>ρ</w:t>
            </w:r>
            <w:r>
              <w:rPr>
                <w:rFonts w:ascii="Times New Roman" w:hAnsi="Times New Roman"/>
                <w:sz w:val="18"/>
                <w:szCs w:val="18"/>
                <w:rtl w:val="0"/>
                <w:lang w:val="en-US"/>
              </w:rPr>
              <w:t xml:space="preserve">AB)] = TrA </w:t>
            </w:r>
            <w:r>
              <w:rPr>
                <w:rFonts w:ascii="Times New Roman" w:hAnsi="Times New Roman" w:hint="default"/>
                <w:sz w:val="18"/>
                <w:szCs w:val="18"/>
                <w:rtl w:val="0"/>
                <w:lang w:val="en-US"/>
              </w:rPr>
              <w:t>ρ</w:t>
            </w:r>
            <w:r>
              <w:rPr>
                <w:rFonts w:ascii="Times New Roman" w:hAnsi="Times New Roman"/>
                <w:sz w:val="18"/>
                <w:szCs w:val="18"/>
                <w:rtl w:val="0"/>
                <w:lang w:val="en-US"/>
              </w:rPr>
              <w:t>AB.</w:t>
            </w:r>
          </w:p>
        </w:tc>
        <w:tc>
          <w:tcPr>
            <w:tcW w:type="dxa" w:w="565"/>
            <w:tcBorders>
              <w:top w:val="nil"/>
              <w:left w:val="nil"/>
              <w:bottom w:val="nil"/>
              <w:right w:val="nil"/>
            </w:tcBorders>
            <w:shd w:val="clear" w:color="auto" w:fill="auto"/>
            <w:tcMar>
              <w:top w:type="dxa" w:w="80"/>
              <w:left w:type="dxa" w:w="80"/>
              <w:bottom w:type="dxa" w:w="80"/>
              <w:right w:type="dxa" w:w="80"/>
            </w:tcMar>
            <w:vAlign w:val="top"/>
          </w:tcPr>
          <w:p>
            <w:pPr>
              <w:pStyle w:val="Normal.0"/>
              <w:keepLines w:val="1"/>
              <w:spacing w:after="40" w:line="240" w:lineRule="auto"/>
              <w:ind w:firstLine="0"/>
              <w:jc w:val="right"/>
            </w:pPr>
            <w:r>
              <w:rPr>
                <w:sz w:val="18"/>
                <w:szCs w:val="18"/>
                <w:rtl w:val="0"/>
                <w:lang w:val="en-US"/>
              </w:rPr>
              <w:t>(52)</w:t>
            </w:r>
          </w:p>
        </w:tc>
      </w:tr>
    </w:tbl>
    <w:p>
      <w:pPr>
        <w:pStyle w:val="Normal.0"/>
        <w:widowControl w:val="0"/>
        <w:spacing w:after="80" w:line="240" w:lineRule="atLeast"/>
        <w:ind w:firstLine="0"/>
        <w:jc w:val="center"/>
      </w:pPr>
    </w:p>
    <w:p>
      <w:pPr>
        <w:pStyle w:val="Normal.0"/>
        <w:spacing w:after="80" w:line="240" w:lineRule="atLeast"/>
      </w:pPr>
      <w:r>
        <w:rPr>
          <w:sz w:val="22"/>
          <w:szCs w:val="22"/>
          <w:rtl w:val="0"/>
          <w:lang w:val="en-US"/>
        </w:rPr>
        <w:t>The equality follows from cyclicity of the partial trace over A and trace preservation. It is independent of the amount of entanglement. A conditional state selected by a particular outcome may differ, but use of that selection by the other party requires information about the outcome.</w:t>
      </w:r>
    </w:p>
    <w:p>
      <w:pPr>
        <w:pStyle w:val="Normal.0"/>
        <w:spacing w:after="80" w:line="240" w:lineRule="atLeast"/>
      </w:pPr>
      <w:r>
        <w:rPr>
          <w:sz w:val="22"/>
          <w:szCs w:val="22"/>
          <w:rtl w:val="0"/>
          <w:lang w:val="en-US"/>
        </w:rPr>
        <w:t>This kinematic no-signalling statement concerns a local operation with respect to an already specified decomposition. It does not prove the absence of later influence through an interaction Hamiltonian. If geometrically remote subsystems are directly connected by a weakly suppressed term in H, the dynamical response must be bounded separately. Equation (52) therefore neither eliminates the tails in Eq. (50) nor completes the reconstruction of causality.</w:t>
      </w:r>
    </w:p>
    <w:p>
      <w:pPr>
        <w:pStyle w:val="Normal.0"/>
        <w:spacing w:after="80" w:line="240" w:lineRule="atLeast"/>
      </w:pPr>
      <w:r>
        <w:rPr>
          <w:sz w:val="22"/>
          <w:szCs w:val="22"/>
          <w:rtl w:val="0"/>
          <w:lang w:val="en-US"/>
        </w:rPr>
        <w:t>The expression dᵢ</w:t>
      </w:r>
      <w:r>
        <w:rPr>
          <w:rFonts w:ascii="Arial Unicode MS" w:cs="Arial Unicode MS" w:hAnsi="Arial Unicode MS" w:eastAsia="Arial Unicode MS" w:hint="default"/>
          <w:b w:val="0"/>
          <w:bCs w:val="0"/>
          <w:i w:val="0"/>
          <w:iCs w:val="0"/>
          <w:sz w:val="22"/>
          <w:szCs w:val="22"/>
          <w:rtl w:val="0"/>
          <w:lang w:val="en-US"/>
        </w:rPr>
        <w:t>ⱼ</w:t>
      </w:r>
      <w:r>
        <w:rPr>
          <w:sz w:val="22"/>
          <w:szCs w:val="22"/>
          <w:rtl w:val="0"/>
          <w:lang w:val="en-US"/>
        </w:rPr>
        <w:t xml:space="preserve"> </w:t>
      </w:r>
      <w:r>
        <w:rPr>
          <w:sz w:val="22"/>
          <w:szCs w:val="22"/>
          <w:rtl w:val="0"/>
          <w:lang w:val="en-US"/>
        </w:rPr>
        <w:t xml:space="preserve">= </w:t>
      </w:r>
      <w:r>
        <w:rPr>
          <w:sz w:val="22"/>
          <w:szCs w:val="22"/>
          <w:rtl w:val="0"/>
          <w:lang w:val="en-US"/>
        </w:rPr>
        <w:t>−</w:t>
      </w:r>
      <w:r>
        <w:rPr>
          <w:sz w:val="22"/>
          <w:szCs w:val="22"/>
          <w:rtl w:val="0"/>
          <w:lang w:val="en-US"/>
        </w:rPr>
        <w:t>ln(Wᵢ</w:t>
      </w:r>
      <w:r>
        <w:rPr>
          <w:rFonts w:ascii="Arial Unicode MS" w:cs="Arial Unicode MS" w:hAnsi="Arial Unicode MS" w:eastAsia="Arial Unicode MS" w:hint="default"/>
          <w:b w:val="0"/>
          <w:bCs w:val="0"/>
          <w:i w:val="0"/>
          <w:iCs w:val="0"/>
          <w:sz w:val="22"/>
          <w:szCs w:val="22"/>
          <w:rtl w:val="0"/>
          <w:lang w:val="en-US"/>
        </w:rPr>
        <w:t>ⱼ</w:t>
      </w:r>
      <w:r>
        <w:rPr>
          <w:sz w:val="22"/>
          <w:szCs w:val="22"/>
          <w:rtl w:val="0"/>
          <w:lang w:val="en-US"/>
        </w:rPr>
        <w:t>/W</w:t>
      </w:r>
      <w:r>
        <w:rPr>
          <w:rFonts w:ascii="Arial Unicode MS" w:cs="Arial Unicode MS" w:hAnsi="Arial Unicode MS" w:eastAsia="Arial Unicode MS" w:hint="default"/>
          <w:b w:val="0"/>
          <w:bCs w:val="0"/>
          <w:i w:val="0"/>
          <w:iCs w:val="0"/>
          <w:sz w:val="22"/>
          <w:szCs w:val="22"/>
          <w:rtl w:val="0"/>
          <w:lang w:val="en-US"/>
        </w:rPr>
        <w:t>₀</w:t>
      </w:r>
      <w:r>
        <w:rPr>
          <w:sz w:val="22"/>
          <w:szCs w:val="22"/>
          <w:rtl w:val="0"/>
          <w:lang w:val="en-US"/>
        </w:rPr>
        <w:t>) is likewise only a possible diagnostic. Even for positive normalized weights it can violate the triangle inequality: with W</w:t>
      </w:r>
      <w:r>
        <w:rPr>
          <w:rFonts w:ascii="Arial Unicode MS" w:cs="Arial Unicode MS" w:hAnsi="Arial Unicode MS" w:eastAsia="Arial Unicode MS" w:hint="default"/>
          <w:b w:val="0"/>
          <w:bCs w:val="0"/>
          <w:i w:val="0"/>
          <w:iCs w:val="0"/>
          <w:sz w:val="22"/>
          <w:szCs w:val="22"/>
          <w:rtl w:val="0"/>
          <w:lang w:val="en-US"/>
        </w:rPr>
        <w:t>₁₂</w:t>
      </w:r>
      <w:r>
        <w:rPr>
          <w:sz w:val="22"/>
          <w:szCs w:val="22"/>
          <w:rtl w:val="0"/>
          <w:lang w:val="en-US"/>
        </w:rPr>
        <w:t xml:space="preserve"> </w:t>
      </w:r>
      <w:r>
        <w:rPr>
          <w:sz w:val="22"/>
          <w:szCs w:val="22"/>
          <w:rtl w:val="0"/>
          <w:lang w:val="en-US"/>
        </w:rPr>
        <w:t>= W</w:t>
      </w:r>
      <w:r>
        <w:rPr>
          <w:rFonts w:ascii="Arial Unicode MS" w:cs="Arial Unicode MS" w:hAnsi="Arial Unicode MS" w:eastAsia="Arial Unicode MS" w:hint="default"/>
          <w:b w:val="0"/>
          <w:bCs w:val="0"/>
          <w:i w:val="0"/>
          <w:iCs w:val="0"/>
          <w:sz w:val="22"/>
          <w:szCs w:val="22"/>
          <w:rtl w:val="0"/>
          <w:lang w:val="en-US"/>
        </w:rPr>
        <w:t>₂₃</w:t>
      </w:r>
      <w:r>
        <w:rPr>
          <w:sz w:val="22"/>
          <w:szCs w:val="22"/>
          <w:rtl w:val="0"/>
          <w:lang w:val="en-US"/>
        </w:rPr>
        <w:t xml:space="preserve"> </w:t>
      </w:r>
      <w:r>
        <w:rPr>
          <w:sz w:val="22"/>
          <w:szCs w:val="22"/>
          <w:rtl w:val="0"/>
          <w:lang w:val="en-US"/>
        </w:rPr>
        <w:t>= exp(</w:t>
      </w:r>
      <w:r>
        <w:rPr>
          <w:sz w:val="22"/>
          <w:szCs w:val="22"/>
          <w:rtl w:val="0"/>
          <w:lang w:val="en-US"/>
        </w:rPr>
        <w:t>−</w:t>
      </w:r>
      <w:r>
        <w:rPr>
          <w:sz w:val="22"/>
          <w:szCs w:val="22"/>
          <w:rtl w:val="0"/>
          <w:lang w:val="en-US"/>
        </w:rPr>
        <w:t>1) and W</w:t>
      </w:r>
      <w:r>
        <w:rPr>
          <w:rFonts w:ascii="Arial Unicode MS" w:cs="Arial Unicode MS" w:hAnsi="Arial Unicode MS" w:eastAsia="Arial Unicode MS" w:hint="default"/>
          <w:b w:val="0"/>
          <w:bCs w:val="0"/>
          <w:i w:val="0"/>
          <w:iCs w:val="0"/>
          <w:sz w:val="22"/>
          <w:szCs w:val="22"/>
          <w:rtl w:val="0"/>
          <w:lang w:val="en-US"/>
        </w:rPr>
        <w:t>₁₃</w:t>
      </w:r>
      <w:r>
        <w:rPr>
          <w:sz w:val="22"/>
          <w:szCs w:val="22"/>
          <w:rtl w:val="0"/>
          <w:lang w:val="en-US"/>
        </w:rPr>
        <w:t xml:space="preserve"> </w:t>
      </w:r>
      <w:r>
        <w:rPr>
          <w:sz w:val="22"/>
          <w:szCs w:val="22"/>
          <w:rtl w:val="0"/>
          <w:lang w:val="en-US"/>
        </w:rPr>
        <w:t>= exp(</w:t>
      </w:r>
      <w:r>
        <w:rPr>
          <w:sz w:val="22"/>
          <w:szCs w:val="22"/>
          <w:rtl w:val="0"/>
          <w:lang w:val="en-US"/>
        </w:rPr>
        <w:t>−</w:t>
      </w:r>
      <w:r>
        <w:rPr>
          <w:sz w:val="22"/>
          <w:szCs w:val="22"/>
          <w:rtl w:val="0"/>
          <w:lang w:val="en-US"/>
        </w:rPr>
        <w:t>3), one obtains d</w:t>
      </w:r>
      <w:r>
        <w:rPr>
          <w:rFonts w:ascii="Arial Unicode MS" w:cs="Arial Unicode MS" w:hAnsi="Arial Unicode MS" w:eastAsia="Arial Unicode MS" w:hint="default"/>
          <w:b w:val="0"/>
          <w:bCs w:val="0"/>
          <w:i w:val="0"/>
          <w:iCs w:val="0"/>
          <w:sz w:val="22"/>
          <w:szCs w:val="22"/>
          <w:rtl w:val="0"/>
          <w:lang w:val="en-US"/>
        </w:rPr>
        <w:t>₁₃</w:t>
      </w:r>
      <w:r>
        <w:rPr>
          <w:sz w:val="22"/>
          <w:szCs w:val="22"/>
          <w:rtl w:val="0"/>
          <w:lang w:val="en-US"/>
        </w:rPr>
        <w:t xml:space="preserve"> </w:t>
      </w:r>
      <w:r>
        <w:rPr>
          <w:sz w:val="22"/>
          <w:szCs w:val="22"/>
          <w:rtl w:val="0"/>
          <w:lang w:val="en-US"/>
        </w:rPr>
        <w:t>= 3 &gt; d</w:t>
      </w:r>
      <w:r>
        <w:rPr>
          <w:rFonts w:ascii="Arial Unicode MS" w:cs="Arial Unicode MS" w:hAnsi="Arial Unicode MS" w:eastAsia="Arial Unicode MS" w:hint="default"/>
          <w:b w:val="0"/>
          <w:bCs w:val="0"/>
          <w:i w:val="0"/>
          <w:iCs w:val="0"/>
          <w:sz w:val="22"/>
          <w:szCs w:val="22"/>
          <w:rtl w:val="0"/>
          <w:lang w:val="en-US"/>
        </w:rPr>
        <w:t>₁₂</w:t>
      </w:r>
      <w:r>
        <w:rPr>
          <w:sz w:val="22"/>
          <w:szCs w:val="22"/>
          <w:rtl w:val="0"/>
          <w:lang w:val="en-US"/>
        </w:rPr>
        <w:t xml:space="preserve"> </w:t>
      </w:r>
      <w:r>
        <w:rPr>
          <w:sz w:val="22"/>
          <w:szCs w:val="22"/>
          <w:rtl w:val="0"/>
          <w:lang w:val="en-US"/>
        </w:rPr>
        <w:t>+ d</w:t>
      </w:r>
      <w:r>
        <w:rPr>
          <w:rFonts w:ascii="Arial Unicode MS" w:cs="Arial Unicode MS" w:hAnsi="Arial Unicode MS" w:eastAsia="Arial Unicode MS" w:hint="default"/>
          <w:b w:val="0"/>
          <w:bCs w:val="0"/>
          <w:i w:val="0"/>
          <w:iCs w:val="0"/>
          <w:sz w:val="22"/>
          <w:szCs w:val="22"/>
          <w:rtl w:val="0"/>
          <w:lang w:val="en-US"/>
        </w:rPr>
        <w:t>₂₃</w:t>
      </w:r>
      <w:r>
        <w:rPr>
          <w:sz w:val="22"/>
          <w:szCs w:val="22"/>
          <w:rtl w:val="0"/>
          <w:lang w:val="en-US"/>
        </w:rPr>
        <w:t xml:space="preserve"> </w:t>
      </w:r>
      <w:r>
        <w:rPr>
          <w:sz w:val="22"/>
          <w:szCs w:val="22"/>
          <w:rtl w:val="0"/>
          <w:lang w:val="en-US"/>
        </w:rPr>
        <w:t>= 2. Constructing a shortest-path metric repairs this defect when edge lengths are positive, but it adds a chosen rule of geometrization. Its connection to physical propagation still has to be demonstrated.</w:t>
      </w:r>
    </w:p>
    <w:p>
      <w:pPr>
        <w:pStyle w:val="Normal.0"/>
        <w:spacing w:after="80" w:line="240" w:lineRule="atLeast"/>
      </w:pPr>
      <w:r>
        <w:rPr>
          <w:sz w:val="22"/>
          <w:szCs w:val="22"/>
          <w:rtl w:val="0"/>
          <w:lang w:val="en-US"/>
        </w:rPr>
        <w:t xml:space="preserve">In this paper C is not introduced as an independent classical field. In a possible quantum extension, correlations should be computed from the state, observables, and dynamics. The choice of state remains part of the model. For example, the free zero mode of a finite massless system has no normalizable oscillator ground state unless the collective coordinate is fixed or regulated. Even the calculation of </w:t>
      </w:r>
      <w:r>
        <w:rPr>
          <w:sz w:val="22"/>
          <w:szCs w:val="22"/>
          <w:rtl w:val="0"/>
          <w:lang w:val="en-US"/>
        </w:rPr>
        <w:t>“</w:t>
      </w:r>
      <w:r>
        <w:rPr>
          <w:sz w:val="22"/>
          <w:szCs w:val="22"/>
          <w:rtl w:val="0"/>
          <w:lang w:val="en-US"/>
        </w:rPr>
        <w:t>vacuum</w:t>
      </w:r>
      <w:r>
        <w:rPr>
          <w:sz w:val="22"/>
          <w:szCs w:val="22"/>
          <w:rtl w:val="0"/>
          <w:lang w:val="en-US"/>
        </w:rPr>
        <w:t xml:space="preserve">” </w:t>
      </w:r>
      <w:r>
        <w:rPr>
          <w:sz w:val="22"/>
          <w:szCs w:val="22"/>
          <w:rtl w:val="0"/>
          <w:lang w:val="en-US"/>
        </w:rPr>
        <w:t>mutual information therefore requires an explicitly stated prescription.</w:t>
      </w:r>
    </w:p>
    <w:p>
      <w:pPr>
        <w:pStyle w:val="Заголовок 2"/>
        <w:spacing w:line="240" w:lineRule="atLeast"/>
      </w:pPr>
      <w:r>
        <w:rPr>
          <w:rtl w:val="0"/>
          <w:lang w:val="en-US"/>
        </w:rPr>
        <w:t>10. Geometry, Conformal Class, and Domain of Applicability</w:t>
      </w:r>
    </w:p>
    <w:p>
      <w:pPr>
        <w:pStyle w:val="Normal.0"/>
        <w:spacing w:after="80" w:line="240" w:lineRule="atLeast"/>
        <w:ind w:firstLine="0"/>
        <w:rPr>
          <w:sz w:val="22"/>
          <w:szCs w:val="22"/>
        </w:rPr>
      </w:pPr>
      <w:r>
        <w:rPr>
          <w:sz w:val="22"/>
          <w:szCs w:val="22"/>
          <w:rtl w:val="0"/>
          <w:lang w:val="en-US"/>
        </w:rPr>
        <w:t xml:space="preserve">When the conditions of Theorem 4 are satisfied, the leading system has a hyperbolic symbol with one temporal and a positive spatial part. </w:t>
      </w:r>
    </w:p>
    <w:p>
      <w:pPr>
        <w:pStyle w:val="Normal.0"/>
        <w:spacing w:after="80" w:line="240" w:lineRule="atLeast"/>
        <w:ind w:firstLine="0"/>
      </w:pPr>
      <w:r>
        <w:rPr>
          <w:sz w:val="22"/>
          <w:szCs w:val="22"/>
          <w:rtl w:val="0"/>
          <w:lang w:val="en-US"/>
        </w:rPr>
        <w:t>In a local description one may choose a representative of the conformal class whose inverse form is G = diag(</w:t>
      </w:r>
      <w:r>
        <w:rPr>
          <w:sz w:val="22"/>
          <w:szCs w:val="22"/>
          <w:rtl w:val="0"/>
          <w:lang w:val="en-US"/>
        </w:rPr>
        <w:t>−</w:t>
      </w:r>
      <w:r>
        <w:rPr>
          <w:sz w:val="22"/>
          <w:szCs w:val="22"/>
          <w:rtl w:val="0"/>
          <w:lang w:val="en-US"/>
        </w:rPr>
        <w:t>1,c</w:t>
      </w:r>
      <w:r>
        <w:rPr>
          <w:sz w:val="22"/>
          <w:szCs w:val="22"/>
          <w:rtl w:val="0"/>
          <w:lang w:val="en-US"/>
        </w:rPr>
        <w:t>²</w:t>
      </w:r>
      <w:r>
        <w:rPr>
          <w:sz w:val="22"/>
          <w:szCs w:val="22"/>
          <w:rtl w:val="0"/>
          <w:lang w:val="en-US"/>
        </w:rPr>
        <w:t>h</w:t>
      </w:r>
      <w:r>
        <w:rPr>
          <w:rFonts w:ascii="Arial Unicode MS" w:cs="Arial Unicode MS" w:hAnsi="Arial Unicode MS" w:eastAsia="Arial Unicode MS" w:hint="default"/>
          <w:b w:val="0"/>
          <w:bCs w:val="0"/>
          <w:i w:val="0"/>
          <w:iCs w:val="0"/>
          <w:sz w:val="22"/>
          <w:szCs w:val="22"/>
          <w:rtl w:val="0"/>
          <w:lang w:val="en-US"/>
        </w:rPr>
        <w:t>ⁱ</w:t>
      </w:r>
      <w:r>
        <w:rPr>
          <w:sz w:val="22"/>
          <w:szCs w:val="22"/>
          <w:rtl w:val="0"/>
          <w:lang w:val="en-US"/>
        </w:rPr>
        <w:t>ʲ</w:t>
      </w:r>
      <w:r>
        <w:rPr>
          <w:sz w:val="22"/>
          <w:szCs w:val="22"/>
          <w:rtl w:val="0"/>
          <w:lang w:val="en-US"/>
        </w:rPr>
        <w:t>). The sign of the temporal part follows here from the assumed wave Hamiltonian and positivity of A and B. This is a conditional derivation of hyperbolicity for the effective equation, not an origin of time or Lorentzian signature from the positive matrix W alone.</w:t>
      </w:r>
    </w:p>
    <w:p>
      <w:pPr>
        <w:pStyle w:val="Normal.0"/>
        <w:spacing w:after="80" w:line="240" w:lineRule="atLeast"/>
      </w:pPr>
      <w:r>
        <w:rPr>
          <w:sz w:val="22"/>
          <w:szCs w:val="22"/>
          <w:rtl w:val="0"/>
          <w:lang w:val="en-US"/>
        </w:rPr>
        <w:t>A symmetric W does not select a time orientation. Retarded response is introduced only after an initial-value problem and a direction of the flow parameter have been chosen. A reversible Hamiltonian system does not by itself explain a thermodynamic arrow of time. Causal reconstruction requires additional data and assumptions; for example, known theorems for conformal reconstruction already require suitable spacetimes of dimension greater than two with past and future distinguishability [1, 2].</w:t>
      </w:r>
    </w:p>
    <w:p>
      <w:pPr>
        <w:pStyle w:val="Normal.0"/>
        <w:spacing w:after="80" w:line="240" w:lineRule="atLeast"/>
      </w:pPr>
      <w:r>
        <w:rPr>
          <w:sz w:val="22"/>
          <w:szCs w:val="22"/>
          <w:rtl w:val="0"/>
          <w:lang w:val="en-US"/>
        </w:rPr>
        <w:t>On a slowly varying background, a Lorentzian interpretation of characteristics is meaningful only when scales separate: the wavelength must be short relative to the background-variation scale but long relative to the network scale, and the frequency must be small relative to the gap of the eliminated modes. Formally one requires an intermediate regime</w:t>
      </w:r>
    </w:p>
    <w:tbl>
      <w:tblPr>
        <w:tblW w:w="9411"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8846"/>
        <w:gridCol w:w="565"/>
      </w:tblGrid>
      <w:tr>
        <w:tblPrEx>
          <w:shd w:val="clear" w:color="auto" w:fill="ced7e7"/>
        </w:tblPrEx>
        <w:trPr>
          <w:trHeight w:val="247" w:hRule="atLeast"/>
        </w:trPr>
        <w:tc>
          <w:tcPr>
            <w:tcW w:type="dxa" w:w="8846"/>
            <w:tcBorders>
              <w:top w:val="nil"/>
              <w:left w:val="nil"/>
              <w:bottom w:val="nil"/>
              <w:right w:val="nil"/>
            </w:tcBorders>
            <w:shd w:val="clear" w:color="auto" w:fill="auto"/>
            <w:tcMar>
              <w:top w:type="dxa" w:w="80"/>
              <w:left w:type="dxa" w:w="80"/>
              <w:bottom w:type="dxa" w:w="80"/>
              <w:right w:type="dxa" w:w="80"/>
            </w:tcMar>
            <w:vAlign w:val="top"/>
          </w:tcPr>
          <w:p>
            <w:pPr>
              <w:pStyle w:val="Equation"/>
              <w:keepLines w:val="1"/>
              <w:spacing w:after="40"/>
              <w:ind w:firstLine="0"/>
            </w:pPr>
            <w:r>
              <w:rPr>
                <w:rFonts w:ascii="Times New Roman" w:hAnsi="Times New Roman"/>
                <w:sz w:val="18"/>
                <w:szCs w:val="18"/>
                <w:rtl w:val="0"/>
                <w:lang w:val="en-US"/>
              </w:rPr>
              <w:t>Lbg</w:t>
            </w:r>
            <w:r>
              <w:rPr>
                <w:rFonts w:ascii="Arial Unicode MS" w:cs="Arial Unicode MS" w:hAnsi="Arial Unicode MS" w:eastAsia="Arial Unicode MS" w:hint="default"/>
                <w:b w:val="0"/>
                <w:bCs w:val="0"/>
                <w:i w:val="0"/>
                <w:iCs w:val="0"/>
                <w:sz w:val="18"/>
                <w:szCs w:val="18"/>
                <w:rtl w:val="0"/>
                <w:lang w:val="en-US"/>
              </w:rPr>
              <w:t>⁻</w:t>
            </w:r>
            <w:r>
              <w:rPr>
                <w:rFonts w:ascii="Times New Roman" w:hAnsi="Times New Roman" w:hint="default"/>
                <w:sz w:val="18"/>
                <w:szCs w:val="18"/>
                <w:rtl w:val="0"/>
                <w:lang w:val="en-US"/>
              </w:rPr>
              <w:t xml:space="preserve">¹ </w:t>
            </w:r>
            <w:r>
              <w:rPr>
                <w:rFonts w:ascii="Arial Unicode MS" w:cs="Arial Unicode MS" w:hAnsi="Arial Unicode MS" w:eastAsia="Arial Unicode MS" w:hint="default"/>
                <w:b w:val="0"/>
                <w:bCs w:val="0"/>
                <w:i w:val="0"/>
                <w:iCs w:val="0"/>
                <w:sz w:val="18"/>
                <w:szCs w:val="18"/>
                <w:rtl w:val="0"/>
                <w:lang w:val="en-US"/>
              </w:rPr>
              <w:t>≪</w:t>
            </w:r>
            <w:r>
              <w:rPr>
                <w:rFonts w:ascii="Times New Roman" w:hAnsi="Times New Roman"/>
                <w:sz w:val="18"/>
                <w:szCs w:val="18"/>
                <w:rtl w:val="0"/>
                <w:lang w:val="en-US"/>
              </w:rPr>
              <w:t xml:space="preserve"> </w:t>
            </w:r>
            <w:r>
              <w:rPr>
                <w:rFonts w:ascii="Times New Roman" w:hAnsi="Times New Roman"/>
                <w:sz w:val="18"/>
                <w:szCs w:val="18"/>
                <w:rtl w:val="0"/>
                <w:lang w:val="en-US"/>
              </w:rPr>
              <w:t xml:space="preserve">|k| </w:t>
            </w:r>
            <w:r>
              <w:rPr>
                <w:rFonts w:ascii="Arial Unicode MS" w:cs="Arial Unicode MS" w:hAnsi="Arial Unicode MS" w:eastAsia="Arial Unicode MS" w:hint="default"/>
                <w:b w:val="0"/>
                <w:bCs w:val="0"/>
                <w:i w:val="0"/>
                <w:iCs w:val="0"/>
                <w:sz w:val="18"/>
                <w:szCs w:val="18"/>
                <w:rtl w:val="0"/>
                <w:lang w:val="en-US"/>
              </w:rPr>
              <w:t>≪</w:t>
            </w:r>
            <w:r>
              <w:rPr>
                <w:rFonts w:ascii="Times New Roman" w:hAnsi="Times New Roman"/>
                <w:sz w:val="18"/>
                <w:szCs w:val="18"/>
                <w:rtl w:val="0"/>
                <w:lang w:val="en-US"/>
              </w:rPr>
              <w:t xml:space="preserve"> </w:t>
            </w:r>
            <w:r>
              <w:rPr>
                <w:rFonts w:ascii="Times New Roman" w:hAnsi="Times New Roman"/>
                <w:sz w:val="18"/>
                <w:szCs w:val="18"/>
                <w:rtl w:val="0"/>
                <w:lang w:val="en-US"/>
              </w:rPr>
              <w:t>anet</w:t>
            </w:r>
            <w:r>
              <w:rPr>
                <w:rFonts w:ascii="Arial Unicode MS" w:cs="Arial Unicode MS" w:hAnsi="Arial Unicode MS" w:eastAsia="Arial Unicode MS" w:hint="default"/>
                <w:b w:val="0"/>
                <w:bCs w:val="0"/>
                <w:i w:val="0"/>
                <w:iCs w:val="0"/>
                <w:sz w:val="18"/>
                <w:szCs w:val="18"/>
                <w:rtl w:val="0"/>
                <w:lang w:val="en-US"/>
              </w:rPr>
              <w:t>⁻</w:t>
            </w:r>
            <w:r>
              <w:rPr>
                <w:rFonts w:ascii="Times New Roman" w:hAnsi="Times New Roman" w:hint="default"/>
                <w:sz w:val="18"/>
                <w:szCs w:val="18"/>
                <w:rtl w:val="0"/>
                <w:lang w:val="en-US"/>
              </w:rPr>
              <w:t>¹</w:t>
            </w:r>
            <w:r>
              <w:rPr>
                <w:rFonts w:ascii="Times New Roman" w:hAnsi="Times New Roman"/>
                <w:sz w:val="18"/>
                <w:szCs w:val="18"/>
                <w:rtl w:val="0"/>
                <w:lang w:val="en-US"/>
              </w:rPr>
              <w:t xml:space="preserve">,     </w:t>
            </w:r>
            <w:r>
              <w:rPr>
                <w:rFonts w:ascii="Times New Roman" w:hAnsi="Times New Roman" w:hint="default"/>
                <w:sz w:val="18"/>
                <w:szCs w:val="18"/>
                <w:rtl w:val="0"/>
                <w:lang w:val="en-US"/>
              </w:rPr>
              <w:t xml:space="preserve">ω² </w:t>
            </w:r>
            <w:r>
              <w:rPr>
                <w:rFonts w:ascii="Arial Unicode MS" w:cs="Arial Unicode MS" w:hAnsi="Arial Unicode MS" w:eastAsia="Arial Unicode MS" w:hint="default"/>
                <w:b w:val="0"/>
                <w:bCs w:val="0"/>
                <w:i w:val="0"/>
                <w:iCs w:val="0"/>
                <w:sz w:val="18"/>
                <w:szCs w:val="18"/>
                <w:rtl w:val="0"/>
                <w:lang w:val="en-US"/>
              </w:rPr>
              <w:t>≪</w:t>
            </w:r>
            <w:r>
              <w:rPr>
                <w:rFonts w:ascii="Times New Roman" w:hAnsi="Times New Roman"/>
                <w:sz w:val="18"/>
                <w:szCs w:val="18"/>
                <w:rtl w:val="0"/>
                <w:lang w:val="en-US"/>
              </w:rPr>
              <w:t xml:space="preserve"> </w:t>
            </w:r>
            <w:r>
              <w:rPr>
                <w:rFonts w:ascii="Times New Roman" w:hAnsi="Times New Roman"/>
                <w:sz w:val="18"/>
                <w:szCs w:val="18"/>
                <w:rtl w:val="0"/>
                <w:lang w:val="en-US"/>
              </w:rPr>
              <w:t>g</w:t>
            </w:r>
            <w:r>
              <w:rPr>
                <w:rFonts w:ascii="Times New Roman" w:hAnsi="Times New Roman" w:hint="default"/>
                <w:sz w:val="18"/>
                <w:szCs w:val="18"/>
                <w:rtl w:val="0"/>
                <w:lang w:val="en-US"/>
              </w:rPr>
              <w:t>²</w:t>
            </w:r>
            <w:r>
              <w:rPr>
                <w:rFonts w:ascii="Times New Roman" w:hAnsi="Times New Roman"/>
                <w:sz w:val="18"/>
                <w:szCs w:val="18"/>
                <w:rtl w:val="0"/>
                <w:lang w:val="en-US"/>
              </w:rPr>
              <w:t>.</w:t>
            </w:r>
          </w:p>
        </w:tc>
        <w:tc>
          <w:tcPr>
            <w:tcW w:type="dxa" w:w="565"/>
            <w:tcBorders>
              <w:top w:val="nil"/>
              <w:left w:val="nil"/>
              <w:bottom w:val="nil"/>
              <w:right w:val="nil"/>
            </w:tcBorders>
            <w:shd w:val="clear" w:color="auto" w:fill="auto"/>
            <w:tcMar>
              <w:top w:type="dxa" w:w="80"/>
              <w:left w:type="dxa" w:w="80"/>
              <w:bottom w:type="dxa" w:w="80"/>
              <w:right w:type="dxa" w:w="80"/>
            </w:tcMar>
            <w:vAlign w:val="top"/>
          </w:tcPr>
          <w:p>
            <w:pPr>
              <w:pStyle w:val="Normal.0"/>
              <w:keepLines w:val="1"/>
              <w:spacing w:after="40" w:line="240" w:lineRule="auto"/>
              <w:ind w:firstLine="0"/>
              <w:jc w:val="right"/>
            </w:pPr>
            <w:r>
              <w:rPr>
                <w:sz w:val="18"/>
                <w:szCs w:val="18"/>
                <w:rtl w:val="0"/>
                <w:lang w:val="en-US"/>
              </w:rPr>
              <w:t>(53)</w:t>
            </w:r>
          </w:p>
        </w:tc>
      </w:tr>
    </w:tbl>
    <w:p>
      <w:pPr>
        <w:pStyle w:val="Normal.0"/>
        <w:widowControl w:val="0"/>
        <w:spacing w:after="80" w:line="240" w:lineRule="atLeast"/>
        <w:ind w:firstLine="0"/>
        <w:jc w:val="center"/>
      </w:pPr>
    </w:p>
    <w:p>
      <w:pPr>
        <w:pStyle w:val="Normal.0"/>
        <w:spacing w:after="80" w:line="240" w:lineRule="atLeast"/>
      </w:pPr>
      <w:r>
        <w:rPr>
          <w:sz w:val="22"/>
          <w:szCs w:val="22"/>
          <w:rtl w:val="0"/>
          <w:lang w:val="en-US"/>
        </w:rPr>
        <w:t>Here Lbg and anet are scales defined within the already adopted effective description. The coefficients must also vary slowly over a wave period. If no such interval exists, geometric optics, the continuum approximation, and elimination of gapped modes cannot be applied simultaneously.</w:t>
      </w:r>
    </w:p>
    <w:p>
      <w:pPr>
        <w:pStyle w:val="Normal.0"/>
        <w:spacing w:after="80" w:line="240" w:lineRule="atLeast"/>
      </w:pPr>
      <w:r>
        <w:rPr>
          <w:sz w:val="22"/>
          <w:szCs w:val="22"/>
          <w:rtl w:val="0"/>
          <w:lang w:val="en-US"/>
        </w:rPr>
        <w:t xml:space="preserve">A conformal transformation g </w:t>
      </w:r>
      <w:r>
        <w:rPr>
          <w:sz w:val="22"/>
          <w:szCs w:val="22"/>
          <w:rtl w:val="0"/>
          <w:lang w:val="en-US"/>
        </w:rPr>
        <w:t>→ Ω²</w:t>
      </w:r>
      <w:r>
        <w:rPr>
          <w:sz w:val="22"/>
          <w:szCs w:val="22"/>
          <w:rtl w:val="0"/>
          <w:lang w:val="en-US"/>
        </w:rPr>
        <w:t xml:space="preserve">g with </w:t>
      </w:r>
      <w:r>
        <w:rPr>
          <w:sz w:val="22"/>
          <w:szCs w:val="22"/>
          <w:rtl w:val="0"/>
          <w:lang w:val="en-US"/>
        </w:rPr>
        <w:t xml:space="preserve">Ω </w:t>
      </w:r>
      <w:r>
        <w:rPr>
          <w:sz w:val="22"/>
          <w:szCs w:val="22"/>
          <w:rtl w:val="0"/>
          <w:lang w:val="en-US"/>
        </w:rPr>
        <w:t xml:space="preserve">&gt; 0 preserves null directions. However, equality of cones among sectors, a conformal change of one metric, and constancy of a measured c in time are different statements. If only the spectral prefactor </w:t>
      </w:r>
      <w:r>
        <w:rPr>
          <w:sz w:val="22"/>
          <w:szCs w:val="22"/>
          <w:rtl w:val="0"/>
          <w:lang w:val="en-US"/>
        </w:rPr>
        <w:t>β</w:t>
      </w:r>
      <w:r>
        <w:rPr>
          <w:sz w:val="22"/>
          <w:szCs w:val="22"/>
          <w:rtl w:val="0"/>
          <w:lang w:val="en-US"/>
        </w:rPr>
        <w:t>(W) changes while A is fixed, then c</w:t>
      </w:r>
      <w:r>
        <w:rPr>
          <w:sz w:val="22"/>
          <w:szCs w:val="22"/>
          <w:rtl w:val="0"/>
          <w:lang w:val="en-US"/>
        </w:rPr>
        <w:t xml:space="preserve">² </w:t>
      </w:r>
      <w:r>
        <w:rPr>
          <w:sz w:val="22"/>
          <w:szCs w:val="22"/>
          <w:rtl w:val="0"/>
          <w:lang w:val="en-US"/>
        </w:rPr>
        <w:t xml:space="preserve">= </w:t>
      </w:r>
      <w:r>
        <w:rPr>
          <w:sz w:val="22"/>
          <w:szCs w:val="22"/>
          <w:rtl w:val="0"/>
          <w:lang w:val="en-US"/>
        </w:rPr>
        <w:t>β</w:t>
      </w:r>
      <w:r>
        <w:rPr>
          <w:sz w:val="22"/>
          <w:szCs w:val="22"/>
          <w:rtl w:val="0"/>
          <w:lang w:val="en-US"/>
        </w:rPr>
        <w:t>v</w:t>
      </w:r>
      <w:r>
        <w:rPr>
          <w:sz w:val="22"/>
          <w:szCs w:val="22"/>
          <w:rtl w:val="0"/>
          <w:lang w:val="en-US"/>
        </w:rPr>
        <w:t xml:space="preserve">² </w:t>
      </w:r>
      <w:r>
        <w:rPr>
          <w:sz w:val="22"/>
          <w:szCs w:val="22"/>
          <w:rtl w:val="0"/>
          <w:lang w:val="en-US"/>
        </w:rPr>
        <w:t xml:space="preserve">changes relative to the chosen </w:t>
      </w:r>
      <w:r>
        <w:rPr>
          <w:sz w:val="22"/>
          <w:szCs w:val="22"/>
          <w:rtl w:val="0"/>
          <w:lang w:val="en-US"/>
        </w:rPr>
        <w:t>τ</w:t>
      </w:r>
      <w:r>
        <w:rPr>
          <w:sz w:val="22"/>
          <w:szCs w:val="22"/>
          <w:rtl w:val="0"/>
          <w:lang w:val="en-US"/>
        </w:rPr>
        <w:t>. Constancy of an operationally measured c requires tracing how internal clocks and spatial calibration change as well. The present model does not yet establish the required compensation.</w:t>
      </w:r>
    </w:p>
    <w:p>
      <w:pPr>
        <w:pStyle w:val="Normal.0"/>
        <w:spacing w:after="80" w:line="240" w:lineRule="atLeast"/>
      </w:pPr>
      <w:r>
        <w:rPr>
          <w:sz w:val="22"/>
          <w:szCs w:val="22"/>
          <w:rtl w:val="0"/>
          <w:lang w:val="en-US"/>
        </w:rPr>
        <w:t>Likewise, the number of vertices is not automatically a physical volume. Mapping counting measure to volume depends on the limiting procedure and on the density with which degrees of freedom represent space. A causal order can determine conformal information only under suitable conditions, whereas an overall scale requires additional data. This preprint does not construct a unified spacetime measure, a global topology, or dynamics at cosmological scales.</w:t>
      </w:r>
    </w:p>
    <w:p>
      <w:pPr>
        <w:pStyle w:val="Normal.0"/>
        <w:spacing w:after="80" w:line="240" w:lineRule="atLeast"/>
      </w:pPr>
      <w:r>
        <w:rPr>
          <w:sz w:val="22"/>
          <w:szCs w:val="22"/>
          <w:rtl w:val="0"/>
          <w:lang w:val="en-US"/>
        </w:rPr>
        <w:t>Obtaining a common cone is also weaker than obtaining full special relativity. One must study nonlinear interactions, transformations of observables, states, conserved currents, and the possibility of a preferred frame. A gravitational limit further requires a dynamical metric, constraints, coupling to an energy</w:t>
      </w:r>
      <w:r>
        <w:rPr>
          <w:sz w:val="22"/>
          <w:szCs w:val="22"/>
          <w:rtl w:val="0"/>
          <w:lang w:val="en-US"/>
        </w:rPr>
        <w:t>–</w:t>
      </w:r>
      <w:r>
        <w:rPr>
          <w:sz w:val="22"/>
          <w:szCs w:val="22"/>
          <w:rtl w:val="0"/>
          <w:lang w:val="en-US"/>
        </w:rPr>
        <w:t>momentum tensor, and recovery of tested general-relativistic limits. These requirements cannot be replaced by a successful linear dispersion relation.</w:t>
      </w:r>
    </w:p>
    <w:p>
      <w:pPr>
        <w:pStyle w:val="Заголовок 2"/>
        <w:spacing w:line="240" w:lineRule="atLeast"/>
      </w:pPr>
      <w:r>
        <w:rPr>
          <w:rtl w:val="0"/>
          <w:lang w:val="en-US"/>
        </w:rPr>
        <w:t>11. Reproducible Computations and Phenomenological Benchmarks</w:t>
      </w:r>
    </w:p>
    <w:p>
      <w:pPr>
        <w:pStyle w:val="Заголовок 3"/>
        <w:spacing w:line="240" w:lineRule="atLeast"/>
        <w:rPr>
          <w:u w:val="single"/>
        </w:rPr>
      </w:pPr>
      <w:r>
        <w:rPr>
          <w:u w:val="single"/>
          <w:rtl w:val="0"/>
          <w:lang w:val="en-US"/>
        </w:rPr>
        <w:t>11.1. Protocol for Finite-System Checks</w:t>
      </w:r>
    </w:p>
    <w:p>
      <w:pPr>
        <w:pStyle w:val="Normal.0"/>
        <w:spacing w:after="80" w:line="240" w:lineRule="atLeast"/>
        <w:ind w:firstLine="0"/>
      </w:pPr>
      <w:r>
        <w:rPr>
          <w:sz w:val="22"/>
          <w:szCs w:val="22"/>
          <w:rtl w:val="0"/>
          <w:lang w:val="en-US"/>
        </w:rPr>
        <w:t>All numerical results reported here were computed directly for the models defined in this work. The script reproduce.py uses Python 3.12.13, NumPy 2.3.5, SciPy 1.17.0, and Matplotlib 3.10.8. The random seed is 20260905. Parameters, initial states, numerical outputs, and the trajectory of the dynamical network are stored in the accompanying computational supplement. No external observational data were used in these calculations.</w:t>
      </w:r>
    </w:p>
    <w:p>
      <w:pPr>
        <w:pStyle w:val="Normal.0"/>
        <w:spacing w:after="80" w:line="240" w:lineRule="atLeast"/>
      </w:pPr>
      <w:r>
        <w:rPr>
          <w:sz w:val="22"/>
          <w:szCs w:val="22"/>
          <w:rtl w:val="0"/>
          <w:lang w:val="en-US"/>
        </w:rPr>
        <w:t xml:space="preserve">For forty random connected weighted graphs with 24 vertices, the frequency ratio implied by Eq. (15) was checked for </w:t>
      </w:r>
      <w:r>
        <w:rPr>
          <w:sz w:val="22"/>
          <w:szCs w:val="22"/>
          <w:rtl w:val="0"/>
          <w:lang w:val="en-US"/>
        </w:rPr>
        <w:t>α</w:t>
      </w:r>
      <w:r>
        <w:rPr>
          <w:rFonts w:ascii="Arial Unicode MS" w:cs="Arial Unicode MS" w:hAnsi="Arial Unicode MS" w:eastAsia="Arial Unicode MS" w:hint="default"/>
          <w:b w:val="0"/>
          <w:bCs w:val="0"/>
          <w:i w:val="0"/>
          <w:iCs w:val="0"/>
          <w:sz w:val="22"/>
          <w:szCs w:val="22"/>
          <w:rtl w:val="0"/>
          <w:lang w:val="en-US"/>
        </w:rPr>
        <w:t>₁</w:t>
      </w:r>
      <w:r>
        <w:rPr>
          <w:sz w:val="22"/>
          <w:szCs w:val="22"/>
          <w:rtl w:val="0"/>
          <w:lang w:val="en-US"/>
        </w:rPr>
        <w:t xml:space="preserve"> </w:t>
      </w:r>
      <w:r>
        <w:rPr>
          <w:sz w:val="22"/>
          <w:szCs w:val="22"/>
          <w:rtl w:val="0"/>
          <w:lang w:val="en-US"/>
        </w:rPr>
        <w:t xml:space="preserve">= 1 and </w:t>
      </w:r>
      <w:r>
        <w:rPr>
          <w:sz w:val="22"/>
          <w:szCs w:val="22"/>
          <w:rtl w:val="0"/>
          <w:lang w:val="en-US"/>
        </w:rPr>
        <w:t>α</w:t>
      </w:r>
      <w:r>
        <w:rPr>
          <w:rFonts w:ascii="Arial Unicode MS" w:cs="Arial Unicode MS" w:hAnsi="Arial Unicode MS" w:eastAsia="Arial Unicode MS" w:hint="default"/>
          <w:b w:val="0"/>
          <w:bCs w:val="0"/>
          <w:i w:val="0"/>
          <w:iCs w:val="0"/>
          <w:sz w:val="22"/>
          <w:szCs w:val="22"/>
          <w:rtl w:val="0"/>
          <w:lang w:val="en-US"/>
        </w:rPr>
        <w:t>₂</w:t>
      </w:r>
      <w:r>
        <w:rPr>
          <w:sz w:val="22"/>
          <w:szCs w:val="22"/>
          <w:rtl w:val="0"/>
          <w:lang w:val="en-US"/>
        </w:rPr>
        <w:t xml:space="preserve"> </w:t>
      </w:r>
      <w:r>
        <w:rPr>
          <w:sz w:val="22"/>
          <w:szCs w:val="22"/>
          <w:rtl w:val="0"/>
          <w:lang w:val="en-US"/>
        </w:rPr>
        <w:t>= 4. It equals 2 for every nonzero mode to machine precision. This check validates the implementation of the algebraic identity; it is not an independent proof of the general no-go statement.</w:t>
      </w:r>
    </w:p>
    <w:p>
      <w:pPr>
        <w:pStyle w:val="Normal.0"/>
        <w:spacing w:after="80" w:line="240" w:lineRule="atLeast"/>
      </w:pPr>
      <w:r>
        <w:rPr>
          <w:sz w:val="22"/>
          <w:szCs w:val="22"/>
          <w:rtl w:val="0"/>
          <w:lang w:val="en-US"/>
        </w:rPr>
        <w:t xml:space="preserve">For the spectrum in Eq. (13), the maximum discrepancy between numerical diagonalization and the exact value was 1.42 </w:t>
      </w:r>
      <w:r>
        <w:rPr>
          <w:sz w:val="22"/>
          <w:szCs w:val="22"/>
          <w:rtl w:val="0"/>
          <w:lang w:val="en-US"/>
        </w:rPr>
        <w:t xml:space="preserve">× </w:t>
      </w:r>
      <w:r>
        <w:rPr>
          <w:sz w:val="22"/>
          <w:szCs w:val="22"/>
          <w:rtl w:val="0"/>
          <w:lang w:val="en-US"/>
        </w:rPr>
        <w:t>10</w:t>
      </w:r>
      <w:r>
        <w:rPr>
          <w:rFonts w:ascii="Arial Unicode MS" w:cs="Arial Unicode MS" w:hAnsi="Arial Unicode MS" w:eastAsia="Arial Unicode MS" w:hint="default"/>
          <w:b w:val="0"/>
          <w:bCs w:val="0"/>
          <w:i w:val="0"/>
          <w:iCs w:val="0"/>
          <w:sz w:val="22"/>
          <w:szCs w:val="22"/>
          <w:rtl w:val="0"/>
          <w:lang w:val="en-US"/>
        </w:rPr>
        <w:t>⁻</w:t>
      </w:r>
      <w:r>
        <w:rPr>
          <w:sz w:val="22"/>
          <w:szCs w:val="22"/>
          <w:rtl w:val="0"/>
          <w:lang w:val="en-US"/>
        </w:rPr>
        <w:t>¹</w:t>
      </w:r>
      <w:r>
        <w:rPr>
          <w:rFonts w:ascii="Arial Unicode MS" w:cs="Arial Unicode MS" w:hAnsi="Arial Unicode MS" w:eastAsia="Arial Unicode MS" w:hint="default"/>
          <w:b w:val="0"/>
          <w:bCs w:val="0"/>
          <w:i w:val="0"/>
          <w:iCs w:val="0"/>
          <w:sz w:val="22"/>
          <w:szCs w:val="22"/>
          <w:rtl w:val="0"/>
          <w:lang w:val="en-US"/>
        </w:rPr>
        <w:t>⁴</w:t>
      </w:r>
      <w:r>
        <w:rPr>
          <w:sz w:val="22"/>
          <w:szCs w:val="22"/>
          <w:rtl w:val="0"/>
          <w:lang w:val="en-US"/>
        </w:rPr>
        <w:t xml:space="preserve">. With an additional inhomogeneous interblock perturbation, </w:t>
      </w:r>
      <w:r>
        <w:rPr>
          <w:sz w:val="22"/>
          <w:szCs w:val="22"/>
          <w:rtl w:val="0"/>
          <w:lang w:val="en-US"/>
        </w:rPr>
        <w:t xml:space="preserve">ε </w:t>
      </w:r>
      <w:r>
        <w:rPr>
          <w:sz w:val="22"/>
          <w:szCs w:val="22"/>
          <w:rtl w:val="0"/>
          <w:lang w:val="en-US"/>
        </w:rPr>
        <w:t xml:space="preserve">= 0.104673 and </w:t>
      </w:r>
      <w:r>
        <w:rPr>
          <w:sz w:val="22"/>
          <w:szCs w:val="22"/>
          <w:rtl w:val="0"/>
          <w:lang w:val="en-US"/>
        </w:rPr>
        <w:t>‖</w:t>
      </w:r>
      <w:r>
        <w:rPr>
          <w:sz w:val="22"/>
          <w:szCs w:val="22"/>
          <w:rtl w:val="0"/>
          <w:lang w:val="en-US"/>
        </w:rPr>
        <w:t xml:space="preserve">P </w:t>
      </w:r>
      <w:r>
        <w:rPr>
          <w:sz w:val="22"/>
          <w:szCs w:val="22"/>
          <w:rtl w:val="0"/>
          <w:lang w:val="en-US"/>
        </w:rPr>
        <w:t xml:space="preserve">− </w:t>
      </w:r>
      <w:r>
        <w:rPr>
          <w:sz w:val="22"/>
          <w:szCs w:val="22"/>
          <w:rtl w:val="0"/>
          <w:lang w:val="en-US"/>
        </w:rPr>
        <w:t>P</w:t>
      </w:r>
      <w:r>
        <w:rPr>
          <w:rFonts w:ascii="Arial Unicode MS" w:cs="Arial Unicode MS" w:hAnsi="Arial Unicode MS" w:eastAsia="Arial Unicode MS" w:hint="default"/>
          <w:b w:val="0"/>
          <w:bCs w:val="0"/>
          <w:i w:val="0"/>
          <w:iCs w:val="0"/>
          <w:sz w:val="22"/>
          <w:szCs w:val="22"/>
          <w:rtl w:val="0"/>
          <w:lang w:val="en-US"/>
        </w:rPr>
        <w:t>₀</w:t>
      </w:r>
      <w:r>
        <w:rPr>
          <w:sz w:val="22"/>
          <w:szCs w:val="22"/>
          <w:rtl w:val="0"/>
          <w:lang w:val="en-US"/>
        </w:rPr>
        <w:t xml:space="preserve">‖ </w:t>
      </w:r>
      <w:r>
        <w:rPr>
          <w:sz w:val="22"/>
          <w:szCs w:val="22"/>
          <w:rtl w:val="0"/>
          <w:lang w:val="en-US"/>
        </w:rPr>
        <w:t xml:space="preserve">= 0.000442474 were obtained, below the bound </w:t>
      </w:r>
      <w:r>
        <w:rPr>
          <w:sz w:val="22"/>
          <w:szCs w:val="22"/>
          <w:rtl w:val="0"/>
          <w:lang w:val="en-US"/>
        </w:rPr>
        <w:t>ε</w:t>
      </w:r>
      <w:r>
        <w:rPr>
          <w:sz w:val="22"/>
          <w:szCs w:val="22"/>
          <w:rtl w:val="0"/>
          <w:lang w:val="en-US"/>
        </w:rPr>
        <w:t>/(</w:t>
      </w:r>
      <w:r>
        <w:rPr>
          <w:sz w:val="22"/>
          <w:szCs w:val="22"/>
          <w:rtl w:val="0"/>
          <w:lang w:val="en-US"/>
        </w:rPr>
        <w:t>γ − ε</w:t>
      </w:r>
      <w:r>
        <w:rPr>
          <w:sz w:val="22"/>
          <w:szCs w:val="22"/>
          <w:rtl w:val="0"/>
          <w:lang w:val="en-US"/>
        </w:rPr>
        <w:t>) = 0.0132576. This tests subspace stability for one selected perturbation; the general estimate follows from the proof, not from the example.</w:t>
      </w:r>
    </w:p>
    <w:p>
      <w:pPr>
        <w:pStyle w:val="Normal.0"/>
        <w:spacing w:after="80" w:line="240" w:lineRule="atLeast"/>
        <w:rPr>
          <w:sz w:val="22"/>
          <w:szCs w:val="22"/>
        </w:rPr>
      </w:pPr>
      <w:r>
        <w:rPr>
          <w:sz w:val="22"/>
          <w:szCs w:val="22"/>
          <w:rtl w:val="0"/>
          <w:lang w:val="en-US"/>
        </w:rPr>
        <w:t>Equation (23) was checked for one hundred independent choices of positive a</w:t>
      </w:r>
      <w:r>
        <w:rPr>
          <w:rFonts w:ascii="Arial Unicode MS" w:cs="Arial Unicode MS" w:hAnsi="Arial Unicode MS" w:eastAsia="Arial Unicode MS" w:hint="default"/>
          <w:b w:val="0"/>
          <w:bCs w:val="0"/>
          <w:i w:val="0"/>
          <w:iCs w:val="0"/>
          <w:sz w:val="22"/>
          <w:szCs w:val="22"/>
          <w:rtl w:val="0"/>
          <w:lang w:val="en-US"/>
        </w:rPr>
        <w:t>₁</w:t>
      </w:r>
      <w:r>
        <w:rPr>
          <w:sz w:val="22"/>
          <w:szCs w:val="22"/>
          <w:rtl w:val="0"/>
          <w:lang w:val="en-US"/>
        </w:rPr>
        <w:t>, a</w:t>
      </w:r>
      <w:r>
        <w:rPr>
          <w:rFonts w:ascii="Arial Unicode MS" w:cs="Arial Unicode MS" w:hAnsi="Arial Unicode MS" w:eastAsia="Arial Unicode MS" w:hint="default"/>
          <w:b w:val="0"/>
          <w:bCs w:val="0"/>
          <w:i w:val="0"/>
          <w:iCs w:val="0"/>
          <w:sz w:val="22"/>
          <w:szCs w:val="22"/>
          <w:rtl w:val="0"/>
          <w:lang w:val="en-US"/>
        </w:rPr>
        <w:t>₂</w:t>
      </w:r>
      <w:r>
        <w:rPr>
          <w:sz w:val="22"/>
          <w:szCs w:val="22"/>
          <w:rtl w:val="0"/>
          <w:lang w:val="en-US"/>
        </w:rPr>
        <w:t>, b</w:t>
      </w:r>
      <w:r>
        <w:rPr>
          <w:rFonts w:ascii="Arial Unicode MS" w:cs="Arial Unicode MS" w:hAnsi="Arial Unicode MS" w:eastAsia="Arial Unicode MS" w:hint="default"/>
          <w:b w:val="0"/>
          <w:bCs w:val="0"/>
          <w:i w:val="0"/>
          <w:iCs w:val="0"/>
          <w:sz w:val="22"/>
          <w:szCs w:val="22"/>
          <w:rtl w:val="0"/>
          <w:lang w:val="en-US"/>
        </w:rPr>
        <w:t>₁</w:t>
      </w:r>
      <w:r>
        <w:rPr>
          <w:sz w:val="22"/>
          <w:szCs w:val="22"/>
          <w:rtl w:val="0"/>
          <w:lang w:val="en-US"/>
        </w:rPr>
        <w:t>, b</w:t>
      </w:r>
      <w:r>
        <w:rPr>
          <w:rFonts w:ascii="Arial Unicode MS" w:cs="Arial Unicode MS" w:hAnsi="Arial Unicode MS" w:eastAsia="Arial Unicode MS" w:hint="default"/>
          <w:b w:val="0"/>
          <w:bCs w:val="0"/>
          <w:i w:val="0"/>
          <w:iCs w:val="0"/>
          <w:sz w:val="22"/>
          <w:szCs w:val="22"/>
          <w:rtl w:val="0"/>
          <w:lang w:val="en-US"/>
        </w:rPr>
        <w:t>₂</w:t>
      </w:r>
      <w:r>
        <w:rPr>
          <w:sz w:val="22"/>
          <w:szCs w:val="22"/>
          <w:rtl w:val="0"/>
          <w:lang w:val="en-US"/>
        </w:rPr>
        <w:t xml:space="preserve">, </w:t>
      </w:r>
      <w:r>
        <w:rPr>
          <w:sz w:val="22"/>
          <w:szCs w:val="22"/>
          <w:rtl w:val="0"/>
          <w:lang w:val="en-US"/>
        </w:rPr>
        <w:t xml:space="preserve">η </w:t>
      </w:r>
      <w:r>
        <w:rPr>
          <w:sz w:val="22"/>
          <w:szCs w:val="22"/>
          <w:rtl w:val="0"/>
          <w:lang w:val="en-US"/>
        </w:rPr>
        <w:t xml:space="preserve">and four values of </w:t>
      </w:r>
      <w:r>
        <w:rPr>
          <w:sz w:val="22"/>
          <w:szCs w:val="22"/>
          <w:rtl w:val="0"/>
          <w:lang w:val="en-US"/>
        </w:rPr>
        <w:t>ν</w:t>
      </w:r>
      <w:r>
        <w:rPr>
          <w:sz w:val="22"/>
          <w:szCs w:val="22"/>
          <w:rtl w:val="0"/>
          <w:lang w:val="en-US"/>
        </w:rPr>
        <w:t xml:space="preserve">. The maximum normalized error relative to generalized diagonalization of Eq. (20) was 8.43 </w:t>
      </w:r>
      <w:r>
        <w:rPr>
          <w:sz w:val="22"/>
          <w:szCs w:val="22"/>
          <w:rtl w:val="0"/>
          <w:lang w:val="en-US"/>
        </w:rPr>
        <w:t xml:space="preserve">× </w:t>
      </w:r>
      <w:r>
        <w:rPr>
          <w:sz w:val="22"/>
          <w:szCs w:val="22"/>
          <w:rtl w:val="0"/>
          <w:lang w:val="en-US"/>
        </w:rPr>
        <w:t>10</w:t>
      </w:r>
      <w:r>
        <w:rPr>
          <w:rFonts w:ascii="Arial Unicode MS" w:cs="Arial Unicode MS" w:hAnsi="Arial Unicode MS" w:eastAsia="Arial Unicode MS" w:hint="default"/>
          <w:b w:val="0"/>
          <w:bCs w:val="0"/>
          <w:i w:val="0"/>
          <w:iCs w:val="0"/>
          <w:sz w:val="22"/>
          <w:szCs w:val="22"/>
          <w:rtl w:val="0"/>
          <w:lang w:val="en-US"/>
        </w:rPr>
        <w:t>⁻</w:t>
      </w:r>
      <w:r>
        <w:rPr>
          <w:sz w:val="22"/>
          <w:szCs w:val="22"/>
          <w:rtl w:val="0"/>
          <w:lang w:val="en-US"/>
        </w:rPr>
        <w:t>¹</w:t>
      </w:r>
      <w:r>
        <w:rPr>
          <w:rFonts w:ascii="Arial Unicode MS" w:cs="Arial Unicode MS" w:hAnsi="Arial Unicode MS" w:eastAsia="Arial Unicode MS" w:hint="default"/>
          <w:b w:val="0"/>
          <w:bCs w:val="0"/>
          <w:i w:val="0"/>
          <w:iCs w:val="0"/>
          <w:sz w:val="22"/>
          <w:szCs w:val="22"/>
          <w:rtl w:val="0"/>
          <w:lang w:val="en-US"/>
        </w:rPr>
        <w:t>⁶</w:t>
      </w:r>
      <w:r>
        <w:rPr>
          <w:sz w:val="22"/>
          <w:szCs w:val="22"/>
          <w:rtl w:val="0"/>
          <w:lang w:val="en-US"/>
        </w:rPr>
        <w:t>, with the error divided by 1 + |</w:t>
      </w:r>
      <w:r>
        <w:rPr>
          <w:sz w:val="22"/>
          <w:szCs w:val="22"/>
          <w:rtl w:val="0"/>
          <w:lang w:val="en-US"/>
        </w:rPr>
        <w:t>ω²</w:t>
      </w:r>
      <w:r>
        <w:rPr>
          <w:sz w:val="22"/>
          <w:szCs w:val="22"/>
          <w:rtl w:val="0"/>
          <w:lang w:val="en-US"/>
        </w:rPr>
        <w:t xml:space="preserve">|. </w:t>
      </w:r>
    </w:p>
    <w:p>
      <w:pPr>
        <w:pStyle w:val="Normal.0"/>
        <w:spacing w:after="80" w:line="240" w:lineRule="atLeast"/>
        <w:rPr>
          <w:sz w:val="22"/>
          <w:szCs w:val="22"/>
        </w:rPr>
      </w:pPr>
    </w:p>
    <w:p>
      <w:pPr>
        <w:pStyle w:val="Normal.0"/>
        <w:spacing w:after="80" w:line="240" w:lineRule="atLeast"/>
      </w:pPr>
      <w:r>
        <w:rPr>
          <w:sz w:val="22"/>
          <w:szCs w:val="22"/>
          <w:rtl w:val="0"/>
          <w:lang w:val="en-US"/>
        </w:rPr>
        <w:t>Results for the lower branch on the cycle C</w:t>
      </w:r>
      <w:r>
        <w:rPr>
          <w:rFonts w:ascii="Arial Unicode MS" w:cs="Arial Unicode MS" w:hAnsi="Arial Unicode MS" w:eastAsia="Arial Unicode MS" w:hint="default"/>
          <w:b w:val="0"/>
          <w:bCs w:val="0"/>
          <w:i w:val="0"/>
          <w:iCs w:val="0"/>
          <w:sz w:val="22"/>
          <w:szCs w:val="22"/>
          <w:rtl w:val="0"/>
          <w:lang w:val="en-US"/>
        </w:rPr>
        <w:t>₂₅₆</w:t>
      </w:r>
      <w:r>
        <w:rPr>
          <w:sz w:val="22"/>
          <w:szCs w:val="22"/>
          <w:rtl w:val="0"/>
          <w:lang w:val="en-US"/>
        </w:rPr>
        <w:t xml:space="preserve"> </w:t>
      </w:r>
      <w:r>
        <w:rPr>
          <w:sz w:val="22"/>
          <w:szCs w:val="22"/>
          <w:rtl w:val="0"/>
          <w:lang w:val="en-US"/>
        </w:rPr>
        <w:t>are listed in Table 2.</w:t>
      </w:r>
    </w:p>
    <w:tbl>
      <w:tblPr>
        <w:tblW w:w="9411"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600"/>
        <w:gridCol w:w="2823"/>
        <w:gridCol w:w="2165"/>
        <w:gridCol w:w="2823"/>
      </w:tblGrid>
      <w:tr>
        <w:tblPrEx>
          <w:shd w:val="clear" w:color="auto" w:fill="4f81bd"/>
        </w:tblPrEx>
        <w:trPr>
          <w:trHeight w:val="235" w:hRule="atLeast"/>
          <w:tblHeader/>
        </w:trPr>
        <w:tc>
          <w:tcPr>
            <w:tcW w:type="dxa" w:w="1600"/>
            <w:tcBorders>
              <w:top w:val="single" w:color="777777" w:sz="8" w:space="0" w:shadow="0" w:frame="0"/>
              <w:left w:val="nil"/>
              <w:bottom w:val="single" w:color="d0d0d0" w:sz="3" w:space="0" w:shadow="0" w:frame="0"/>
              <w:right w:val="nil"/>
            </w:tcBorders>
            <w:shd w:val="clear" w:color="auto" w:fill="f2f2f2"/>
            <w:tcMar>
              <w:top w:type="dxa" w:w="80"/>
              <w:left w:type="dxa" w:w="80"/>
              <w:bottom w:type="dxa" w:w="80"/>
              <w:right w:type="dxa" w:w="80"/>
            </w:tcMar>
            <w:vAlign w:val="top"/>
          </w:tcPr>
          <w:p>
            <w:pPr>
              <w:pStyle w:val="Normal.0"/>
              <w:spacing w:after="40" w:line="240" w:lineRule="auto"/>
              <w:ind w:firstLine="0"/>
              <w:jc w:val="left"/>
            </w:pPr>
            <w:r>
              <w:rPr>
                <w:b w:val="1"/>
                <w:bCs w:val="1"/>
                <w:sz w:val="18"/>
                <w:szCs w:val="18"/>
                <w:rtl w:val="0"/>
                <w:lang w:val="en-US"/>
              </w:rPr>
              <w:t>Mode n</w:t>
            </w:r>
          </w:p>
        </w:tc>
        <w:tc>
          <w:tcPr>
            <w:tcW w:type="dxa" w:w="2823"/>
            <w:tcBorders>
              <w:top w:val="single" w:color="777777" w:sz="8" w:space="0" w:shadow="0" w:frame="0"/>
              <w:left w:val="nil"/>
              <w:bottom w:val="single" w:color="d0d0d0" w:sz="3" w:space="0" w:shadow="0" w:frame="0"/>
              <w:right w:val="nil"/>
            </w:tcBorders>
            <w:shd w:val="clear" w:color="auto" w:fill="f2f2f2"/>
            <w:tcMar>
              <w:top w:type="dxa" w:w="80"/>
              <w:left w:type="dxa" w:w="80"/>
              <w:bottom w:type="dxa" w:w="80"/>
              <w:right w:type="dxa" w:w="80"/>
            </w:tcMar>
            <w:vAlign w:val="top"/>
          </w:tcPr>
          <w:p>
            <w:pPr>
              <w:pStyle w:val="Normal.0"/>
              <w:spacing w:after="40" w:line="240" w:lineRule="auto"/>
              <w:ind w:firstLine="0"/>
              <w:jc w:val="left"/>
            </w:pPr>
            <w:r>
              <w:rPr>
                <w:b w:val="1"/>
                <w:bCs w:val="1"/>
                <w:sz w:val="18"/>
                <w:szCs w:val="18"/>
                <w:rtl w:val="0"/>
                <w:lang w:val="en-US"/>
              </w:rPr>
              <w:t>k = 2</w:t>
            </w:r>
            <w:r>
              <w:rPr>
                <w:b w:val="1"/>
                <w:bCs w:val="1"/>
                <w:sz w:val="18"/>
                <w:szCs w:val="18"/>
                <w:rtl w:val="0"/>
                <w:lang w:val="en-US"/>
              </w:rPr>
              <w:t>π</w:t>
            </w:r>
            <w:r>
              <w:rPr>
                <w:b w:val="1"/>
                <w:bCs w:val="1"/>
                <w:sz w:val="18"/>
                <w:szCs w:val="18"/>
                <w:rtl w:val="0"/>
                <w:lang w:val="en-US"/>
              </w:rPr>
              <w:t>n/256</w:t>
            </w:r>
          </w:p>
        </w:tc>
        <w:tc>
          <w:tcPr>
            <w:tcW w:type="dxa" w:w="2165"/>
            <w:tcBorders>
              <w:top w:val="single" w:color="777777" w:sz="8" w:space="0" w:shadow="0" w:frame="0"/>
              <w:left w:val="nil"/>
              <w:bottom w:val="single" w:color="d0d0d0" w:sz="3" w:space="0" w:shadow="0" w:frame="0"/>
              <w:right w:val="nil"/>
            </w:tcBorders>
            <w:shd w:val="clear" w:color="auto" w:fill="f2f2f2"/>
            <w:tcMar>
              <w:top w:type="dxa" w:w="80"/>
              <w:left w:type="dxa" w:w="80"/>
              <w:bottom w:type="dxa" w:w="80"/>
              <w:right w:type="dxa" w:w="80"/>
            </w:tcMar>
            <w:vAlign w:val="top"/>
          </w:tcPr>
          <w:p>
            <w:pPr>
              <w:pStyle w:val="Normal.0"/>
              <w:spacing w:after="40" w:line="240" w:lineRule="auto"/>
              <w:ind w:firstLine="0"/>
              <w:jc w:val="left"/>
            </w:pPr>
            <w:r>
              <w:rPr>
                <w:b w:val="1"/>
                <w:bCs w:val="1"/>
                <w:sz w:val="18"/>
                <w:szCs w:val="18"/>
                <w:rtl w:val="0"/>
                <w:lang w:val="en-US"/>
              </w:rPr>
              <w:t>ω</w:t>
            </w:r>
            <w:r>
              <w:rPr>
                <w:rFonts w:ascii="Arial Unicode MS" w:cs="Arial Unicode MS" w:hAnsi="Arial Unicode MS" w:eastAsia="Arial Unicode MS" w:hint="default"/>
                <w:b w:val="0"/>
                <w:bCs w:val="0"/>
                <w:i w:val="0"/>
                <w:iCs w:val="0"/>
                <w:sz w:val="18"/>
                <w:szCs w:val="18"/>
                <w:rtl w:val="0"/>
                <w:lang w:val="en-US"/>
              </w:rPr>
              <w:t>₋</w:t>
            </w:r>
            <w:r>
              <w:rPr>
                <w:b w:val="1"/>
                <w:bCs w:val="1"/>
                <w:sz w:val="18"/>
                <w:szCs w:val="18"/>
                <w:rtl w:val="0"/>
                <w:lang w:val="en-US"/>
              </w:rPr>
              <w:t>/k</w:t>
            </w:r>
          </w:p>
        </w:tc>
        <w:tc>
          <w:tcPr>
            <w:tcW w:type="dxa" w:w="2823"/>
            <w:tcBorders>
              <w:top w:val="single" w:color="777777" w:sz="8" w:space="0" w:shadow="0" w:frame="0"/>
              <w:left w:val="nil"/>
              <w:bottom w:val="single" w:color="d0d0d0" w:sz="3" w:space="0" w:shadow="0" w:frame="0"/>
              <w:right w:val="nil"/>
            </w:tcBorders>
            <w:shd w:val="clear" w:color="auto" w:fill="f2f2f2"/>
            <w:tcMar>
              <w:top w:type="dxa" w:w="80"/>
              <w:left w:type="dxa" w:w="80"/>
              <w:bottom w:type="dxa" w:w="80"/>
              <w:right w:type="dxa" w:w="80"/>
            </w:tcMar>
            <w:vAlign w:val="top"/>
          </w:tcPr>
          <w:p>
            <w:pPr>
              <w:pStyle w:val="Normal.0"/>
              <w:spacing w:after="40" w:line="240" w:lineRule="auto"/>
              <w:ind w:firstLine="0"/>
              <w:jc w:val="left"/>
            </w:pPr>
            <w:r>
              <w:rPr>
                <w:b w:val="1"/>
                <w:bCs w:val="1"/>
                <w:sz w:val="18"/>
                <w:szCs w:val="18"/>
                <w:rtl w:val="0"/>
                <w:lang w:val="en-US"/>
              </w:rPr>
              <w:t>(</w:t>
            </w:r>
            <w:r>
              <w:rPr>
                <w:b w:val="1"/>
                <w:bCs w:val="1"/>
                <w:sz w:val="18"/>
                <w:szCs w:val="18"/>
                <w:rtl w:val="0"/>
                <w:lang w:val="en-US"/>
              </w:rPr>
              <w:t>ω</w:t>
            </w:r>
            <w:r>
              <w:rPr>
                <w:rFonts w:ascii="Arial Unicode MS" w:cs="Arial Unicode MS" w:hAnsi="Arial Unicode MS" w:eastAsia="Arial Unicode MS" w:hint="default"/>
                <w:b w:val="0"/>
                <w:bCs w:val="0"/>
                <w:i w:val="0"/>
                <w:iCs w:val="0"/>
                <w:sz w:val="18"/>
                <w:szCs w:val="18"/>
                <w:rtl w:val="0"/>
                <w:lang w:val="en-US"/>
              </w:rPr>
              <w:t>₋</w:t>
            </w:r>
            <w:r>
              <w:rPr>
                <w:b w:val="1"/>
                <w:bCs w:val="1"/>
                <w:sz w:val="18"/>
                <w:szCs w:val="18"/>
                <w:rtl w:val="0"/>
                <w:lang w:val="en-US"/>
              </w:rPr>
              <w:t>/k)/</w:t>
            </w:r>
            <w:r>
              <w:rPr>
                <w:b w:val="1"/>
                <w:bCs w:val="1"/>
                <w:sz w:val="18"/>
                <w:szCs w:val="18"/>
                <w:rtl w:val="0"/>
                <w:lang w:val="en-US"/>
              </w:rPr>
              <w:t>√</w:t>
            </w:r>
            <w:r>
              <w:rPr>
                <w:b w:val="1"/>
                <w:bCs w:val="1"/>
                <w:sz w:val="18"/>
                <w:szCs w:val="18"/>
                <w:rtl w:val="0"/>
                <w:lang w:val="en-US"/>
              </w:rPr>
              <w:t xml:space="preserve">3 </w:t>
            </w:r>
            <w:r>
              <w:rPr>
                <w:b w:val="1"/>
                <w:bCs w:val="1"/>
                <w:sz w:val="18"/>
                <w:szCs w:val="18"/>
                <w:rtl w:val="0"/>
                <w:lang w:val="en-US"/>
              </w:rPr>
              <w:t xml:space="preserve">− </w:t>
            </w:r>
            <w:r>
              <w:rPr>
                <w:b w:val="1"/>
                <w:bCs w:val="1"/>
                <w:sz w:val="18"/>
                <w:szCs w:val="18"/>
                <w:rtl w:val="0"/>
                <w:lang w:val="en-US"/>
              </w:rPr>
              <w:t>1</w:t>
            </w:r>
          </w:p>
        </w:tc>
      </w:tr>
      <w:tr>
        <w:tblPrEx>
          <w:shd w:val="clear" w:color="auto" w:fill="ced7e7"/>
        </w:tblPrEx>
        <w:trPr>
          <w:trHeight w:val="200" w:hRule="atLeast"/>
        </w:trPr>
        <w:tc>
          <w:tcPr>
            <w:tcW w:type="dxa" w:w="1600"/>
            <w:tcBorders>
              <w:top w:val="single" w:color="d0d0d0" w:sz="3" w:space="0" w:shadow="0" w:frame="0"/>
              <w:left w:val="nil"/>
              <w:bottom w:val="single" w:color="d0d0d0" w:sz="3" w:space="0" w:shadow="0" w:frame="0"/>
              <w:right w:val="nil"/>
            </w:tcBorders>
            <w:shd w:val="clear" w:color="auto" w:fill="auto"/>
            <w:tcMar>
              <w:top w:type="dxa" w:w="80"/>
              <w:left w:type="dxa" w:w="80"/>
              <w:bottom w:type="dxa" w:w="80"/>
              <w:right w:type="dxa" w:w="80"/>
            </w:tcMar>
            <w:vAlign w:val="top"/>
          </w:tcPr>
          <w:p>
            <w:pPr>
              <w:pStyle w:val="Normal.0"/>
              <w:spacing w:after="40" w:line="240" w:lineRule="auto"/>
              <w:ind w:firstLine="0"/>
              <w:jc w:val="left"/>
            </w:pPr>
            <w:r>
              <w:rPr>
                <w:sz w:val="18"/>
                <w:szCs w:val="18"/>
                <w:rtl w:val="0"/>
                <w:lang w:val="en-US"/>
              </w:rPr>
              <w:t>1</w:t>
            </w:r>
          </w:p>
        </w:tc>
        <w:tc>
          <w:tcPr>
            <w:tcW w:type="dxa" w:w="2823"/>
            <w:tcBorders>
              <w:top w:val="single" w:color="d0d0d0" w:sz="3" w:space="0" w:shadow="0" w:frame="0"/>
              <w:left w:val="nil"/>
              <w:bottom w:val="single" w:color="d0d0d0" w:sz="3" w:space="0" w:shadow="0" w:frame="0"/>
              <w:right w:val="nil"/>
            </w:tcBorders>
            <w:shd w:val="clear" w:color="auto" w:fill="auto"/>
            <w:tcMar>
              <w:top w:type="dxa" w:w="80"/>
              <w:left w:type="dxa" w:w="80"/>
              <w:bottom w:type="dxa" w:w="80"/>
              <w:right w:type="dxa" w:w="80"/>
            </w:tcMar>
            <w:vAlign w:val="top"/>
          </w:tcPr>
          <w:p>
            <w:pPr>
              <w:pStyle w:val="Normal.0"/>
              <w:spacing w:after="40" w:line="240" w:lineRule="auto"/>
              <w:ind w:firstLine="0"/>
              <w:jc w:val="left"/>
            </w:pPr>
            <w:r>
              <w:rPr>
                <w:sz w:val="18"/>
                <w:szCs w:val="18"/>
                <w:rtl w:val="0"/>
                <w:lang w:val="en-US"/>
              </w:rPr>
              <w:t>0.0245437</w:t>
            </w:r>
          </w:p>
        </w:tc>
        <w:tc>
          <w:tcPr>
            <w:tcW w:type="dxa" w:w="2165"/>
            <w:tcBorders>
              <w:top w:val="single" w:color="d0d0d0" w:sz="3" w:space="0" w:shadow="0" w:frame="0"/>
              <w:left w:val="nil"/>
              <w:bottom w:val="single" w:color="d0d0d0" w:sz="3" w:space="0" w:shadow="0" w:frame="0"/>
              <w:right w:val="nil"/>
            </w:tcBorders>
            <w:shd w:val="clear" w:color="auto" w:fill="auto"/>
            <w:tcMar>
              <w:top w:type="dxa" w:w="80"/>
              <w:left w:type="dxa" w:w="80"/>
              <w:bottom w:type="dxa" w:w="80"/>
              <w:right w:type="dxa" w:w="80"/>
            </w:tcMar>
            <w:vAlign w:val="top"/>
          </w:tcPr>
          <w:p>
            <w:pPr>
              <w:pStyle w:val="Normal.0"/>
              <w:spacing w:after="40" w:line="240" w:lineRule="auto"/>
              <w:ind w:firstLine="0"/>
              <w:jc w:val="left"/>
            </w:pPr>
            <w:r>
              <w:rPr>
                <w:sz w:val="18"/>
                <w:szCs w:val="18"/>
                <w:rtl w:val="0"/>
                <w:lang w:val="en-US"/>
              </w:rPr>
              <w:t>1.7319300</w:t>
            </w:r>
          </w:p>
        </w:tc>
        <w:tc>
          <w:tcPr>
            <w:tcW w:type="dxa" w:w="2823"/>
            <w:tcBorders>
              <w:top w:val="single" w:color="d0d0d0" w:sz="3" w:space="0" w:shadow="0" w:frame="0"/>
              <w:left w:val="nil"/>
              <w:bottom w:val="single" w:color="d0d0d0" w:sz="3" w:space="0" w:shadow="0" w:frame="0"/>
              <w:right w:val="nil"/>
            </w:tcBorders>
            <w:shd w:val="clear" w:color="auto" w:fill="auto"/>
            <w:tcMar>
              <w:top w:type="dxa" w:w="80"/>
              <w:left w:type="dxa" w:w="80"/>
              <w:bottom w:type="dxa" w:w="80"/>
              <w:right w:type="dxa" w:w="80"/>
            </w:tcMar>
            <w:vAlign w:val="top"/>
          </w:tcPr>
          <w:p>
            <w:pPr>
              <w:pStyle w:val="Normal.0"/>
              <w:spacing w:after="40" w:line="240" w:lineRule="auto"/>
              <w:ind w:firstLine="0"/>
              <w:jc w:val="left"/>
            </w:pPr>
            <w:r>
              <w:rPr>
                <w:sz w:val="18"/>
                <w:szCs w:val="18"/>
                <w:rtl w:val="0"/>
                <w:lang w:val="en-US"/>
              </w:rPr>
              <w:t>−</w:t>
            </w:r>
            <w:r>
              <w:rPr>
                <w:sz w:val="18"/>
                <w:szCs w:val="18"/>
                <w:rtl w:val="0"/>
                <w:lang w:val="en-US"/>
              </w:rPr>
              <w:t>0.00006972</w:t>
            </w:r>
          </w:p>
        </w:tc>
      </w:tr>
      <w:tr>
        <w:tblPrEx>
          <w:shd w:val="clear" w:color="auto" w:fill="ced7e7"/>
        </w:tblPrEx>
        <w:trPr>
          <w:trHeight w:val="200" w:hRule="atLeast"/>
        </w:trPr>
        <w:tc>
          <w:tcPr>
            <w:tcW w:type="dxa" w:w="1600"/>
            <w:tcBorders>
              <w:top w:val="single" w:color="d0d0d0" w:sz="3" w:space="0" w:shadow="0" w:frame="0"/>
              <w:left w:val="nil"/>
              <w:bottom w:val="single" w:color="d0d0d0" w:sz="3" w:space="0" w:shadow="0" w:frame="0"/>
              <w:right w:val="nil"/>
            </w:tcBorders>
            <w:shd w:val="clear" w:color="auto" w:fill="auto"/>
            <w:tcMar>
              <w:top w:type="dxa" w:w="80"/>
              <w:left w:type="dxa" w:w="80"/>
              <w:bottom w:type="dxa" w:w="80"/>
              <w:right w:type="dxa" w:w="80"/>
            </w:tcMar>
            <w:vAlign w:val="top"/>
          </w:tcPr>
          <w:p>
            <w:pPr>
              <w:pStyle w:val="Normal.0"/>
              <w:spacing w:after="40" w:line="240" w:lineRule="auto"/>
              <w:ind w:firstLine="0"/>
              <w:jc w:val="left"/>
            </w:pPr>
            <w:r>
              <w:rPr>
                <w:sz w:val="18"/>
                <w:szCs w:val="18"/>
                <w:rtl w:val="0"/>
                <w:lang w:val="en-US"/>
              </w:rPr>
              <w:t>2</w:t>
            </w:r>
          </w:p>
        </w:tc>
        <w:tc>
          <w:tcPr>
            <w:tcW w:type="dxa" w:w="2823"/>
            <w:tcBorders>
              <w:top w:val="single" w:color="d0d0d0" w:sz="3" w:space="0" w:shadow="0" w:frame="0"/>
              <w:left w:val="nil"/>
              <w:bottom w:val="single" w:color="d0d0d0" w:sz="3" w:space="0" w:shadow="0" w:frame="0"/>
              <w:right w:val="nil"/>
            </w:tcBorders>
            <w:shd w:val="clear" w:color="auto" w:fill="auto"/>
            <w:tcMar>
              <w:top w:type="dxa" w:w="80"/>
              <w:left w:type="dxa" w:w="80"/>
              <w:bottom w:type="dxa" w:w="80"/>
              <w:right w:type="dxa" w:w="80"/>
            </w:tcMar>
            <w:vAlign w:val="top"/>
          </w:tcPr>
          <w:p>
            <w:pPr>
              <w:pStyle w:val="Normal.0"/>
              <w:spacing w:after="40" w:line="240" w:lineRule="auto"/>
              <w:ind w:firstLine="0"/>
              <w:jc w:val="left"/>
            </w:pPr>
            <w:r>
              <w:rPr>
                <w:sz w:val="18"/>
                <w:szCs w:val="18"/>
                <w:rtl w:val="0"/>
                <w:lang w:val="en-US"/>
              </w:rPr>
              <w:t>0.0490874</w:t>
            </w:r>
          </w:p>
        </w:tc>
        <w:tc>
          <w:tcPr>
            <w:tcW w:type="dxa" w:w="2165"/>
            <w:tcBorders>
              <w:top w:val="single" w:color="d0d0d0" w:sz="3" w:space="0" w:shadow="0" w:frame="0"/>
              <w:left w:val="nil"/>
              <w:bottom w:val="single" w:color="d0d0d0" w:sz="3" w:space="0" w:shadow="0" w:frame="0"/>
              <w:right w:val="nil"/>
            </w:tcBorders>
            <w:shd w:val="clear" w:color="auto" w:fill="auto"/>
            <w:tcMar>
              <w:top w:type="dxa" w:w="80"/>
              <w:left w:type="dxa" w:w="80"/>
              <w:bottom w:type="dxa" w:w="80"/>
              <w:right w:type="dxa" w:w="80"/>
            </w:tcMar>
            <w:vAlign w:val="top"/>
          </w:tcPr>
          <w:p>
            <w:pPr>
              <w:pStyle w:val="Normal.0"/>
              <w:spacing w:after="40" w:line="240" w:lineRule="auto"/>
              <w:ind w:firstLine="0"/>
              <w:jc w:val="left"/>
            </w:pPr>
            <w:r>
              <w:rPr>
                <w:sz w:val="18"/>
                <w:szCs w:val="18"/>
                <w:rtl w:val="0"/>
                <w:lang w:val="en-US"/>
              </w:rPr>
              <w:t>1.7315677</w:t>
            </w:r>
          </w:p>
        </w:tc>
        <w:tc>
          <w:tcPr>
            <w:tcW w:type="dxa" w:w="2823"/>
            <w:tcBorders>
              <w:top w:val="single" w:color="d0d0d0" w:sz="3" w:space="0" w:shadow="0" w:frame="0"/>
              <w:left w:val="nil"/>
              <w:bottom w:val="single" w:color="d0d0d0" w:sz="3" w:space="0" w:shadow="0" w:frame="0"/>
              <w:right w:val="nil"/>
            </w:tcBorders>
            <w:shd w:val="clear" w:color="auto" w:fill="auto"/>
            <w:tcMar>
              <w:top w:type="dxa" w:w="80"/>
              <w:left w:type="dxa" w:w="80"/>
              <w:bottom w:type="dxa" w:w="80"/>
              <w:right w:type="dxa" w:w="80"/>
            </w:tcMar>
            <w:vAlign w:val="top"/>
          </w:tcPr>
          <w:p>
            <w:pPr>
              <w:pStyle w:val="Normal.0"/>
              <w:spacing w:after="40" w:line="240" w:lineRule="auto"/>
              <w:ind w:firstLine="0"/>
              <w:jc w:val="left"/>
            </w:pPr>
            <w:r>
              <w:rPr>
                <w:sz w:val="18"/>
                <w:szCs w:val="18"/>
                <w:rtl w:val="0"/>
                <w:lang w:val="en-US"/>
              </w:rPr>
              <w:t>−</w:t>
            </w:r>
            <w:r>
              <w:rPr>
                <w:sz w:val="18"/>
                <w:szCs w:val="18"/>
                <w:rtl w:val="0"/>
                <w:lang w:val="en-US"/>
              </w:rPr>
              <w:t>0.00027894</w:t>
            </w:r>
          </w:p>
        </w:tc>
      </w:tr>
      <w:tr>
        <w:tblPrEx>
          <w:shd w:val="clear" w:color="auto" w:fill="ced7e7"/>
        </w:tblPrEx>
        <w:trPr>
          <w:trHeight w:val="200" w:hRule="atLeast"/>
        </w:trPr>
        <w:tc>
          <w:tcPr>
            <w:tcW w:type="dxa" w:w="1600"/>
            <w:tcBorders>
              <w:top w:val="single" w:color="d0d0d0" w:sz="3" w:space="0" w:shadow="0" w:frame="0"/>
              <w:left w:val="nil"/>
              <w:bottom w:val="single" w:color="d0d0d0" w:sz="3" w:space="0" w:shadow="0" w:frame="0"/>
              <w:right w:val="nil"/>
            </w:tcBorders>
            <w:shd w:val="clear" w:color="auto" w:fill="auto"/>
            <w:tcMar>
              <w:top w:type="dxa" w:w="80"/>
              <w:left w:type="dxa" w:w="80"/>
              <w:bottom w:type="dxa" w:w="80"/>
              <w:right w:type="dxa" w:w="80"/>
            </w:tcMar>
            <w:vAlign w:val="top"/>
          </w:tcPr>
          <w:p>
            <w:pPr>
              <w:pStyle w:val="Normal.0"/>
              <w:spacing w:after="40" w:line="240" w:lineRule="auto"/>
              <w:ind w:firstLine="0"/>
              <w:jc w:val="left"/>
            </w:pPr>
            <w:r>
              <w:rPr>
                <w:sz w:val="18"/>
                <w:szCs w:val="18"/>
                <w:rtl w:val="0"/>
                <w:lang w:val="en-US"/>
              </w:rPr>
              <w:t>4</w:t>
            </w:r>
          </w:p>
        </w:tc>
        <w:tc>
          <w:tcPr>
            <w:tcW w:type="dxa" w:w="2823"/>
            <w:tcBorders>
              <w:top w:val="single" w:color="d0d0d0" w:sz="3" w:space="0" w:shadow="0" w:frame="0"/>
              <w:left w:val="nil"/>
              <w:bottom w:val="single" w:color="d0d0d0" w:sz="3" w:space="0" w:shadow="0" w:frame="0"/>
              <w:right w:val="nil"/>
            </w:tcBorders>
            <w:shd w:val="clear" w:color="auto" w:fill="auto"/>
            <w:tcMar>
              <w:top w:type="dxa" w:w="80"/>
              <w:left w:type="dxa" w:w="80"/>
              <w:bottom w:type="dxa" w:w="80"/>
              <w:right w:type="dxa" w:w="80"/>
            </w:tcMar>
            <w:vAlign w:val="top"/>
          </w:tcPr>
          <w:p>
            <w:pPr>
              <w:pStyle w:val="Normal.0"/>
              <w:spacing w:after="40" w:line="240" w:lineRule="auto"/>
              <w:ind w:firstLine="0"/>
              <w:jc w:val="left"/>
            </w:pPr>
            <w:r>
              <w:rPr>
                <w:sz w:val="18"/>
                <w:szCs w:val="18"/>
                <w:rtl w:val="0"/>
                <w:lang w:val="en-US"/>
              </w:rPr>
              <w:t>0.0981748</w:t>
            </w:r>
          </w:p>
        </w:tc>
        <w:tc>
          <w:tcPr>
            <w:tcW w:type="dxa" w:w="2165"/>
            <w:tcBorders>
              <w:top w:val="single" w:color="d0d0d0" w:sz="3" w:space="0" w:shadow="0" w:frame="0"/>
              <w:left w:val="nil"/>
              <w:bottom w:val="single" w:color="d0d0d0" w:sz="3" w:space="0" w:shadow="0" w:frame="0"/>
              <w:right w:val="nil"/>
            </w:tcBorders>
            <w:shd w:val="clear" w:color="auto" w:fill="auto"/>
            <w:tcMar>
              <w:top w:type="dxa" w:w="80"/>
              <w:left w:type="dxa" w:w="80"/>
              <w:bottom w:type="dxa" w:w="80"/>
              <w:right w:type="dxa" w:w="80"/>
            </w:tcMar>
            <w:vAlign w:val="top"/>
          </w:tcPr>
          <w:p>
            <w:pPr>
              <w:pStyle w:val="Normal.0"/>
              <w:spacing w:after="40" w:line="240" w:lineRule="auto"/>
              <w:ind w:firstLine="0"/>
              <w:jc w:val="left"/>
            </w:pPr>
            <w:r>
              <w:rPr>
                <w:sz w:val="18"/>
                <w:szCs w:val="18"/>
                <w:rtl w:val="0"/>
                <w:lang w:val="en-US"/>
              </w:rPr>
              <w:t>1.7301171</w:t>
            </w:r>
          </w:p>
        </w:tc>
        <w:tc>
          <w:tcPr>
            <w:tcW w:type="dxa" w:w="2823"/>
            <w:tcBorders>
              <w:top w:val="single" w:color="d0d0d0" w:sz="3" w:space="0" w:shadow="0" w:frame="0"/>
              <w:left w:val="nil"/>
              <w:bottom w:val="single" w:color="d0d0d0" w:sz="3" w:space="0" w:shadow="0" w:frame="0"/>
              <w:right w:val="nil"/>
            </w:tcBorders>
            <w:shd w:val="clear" w:color="auto" w:fill="auto"/>
            <w:tcMar>
              <w:top w:type="dxa" w:w="80"/>
              <w:left w:type="dxa" w:w="80"/>
              <w:bottom w:type="dxa" w:w="80"/>
              <w:right w:type="dxa" w:w="80"/>
            </w:tcMar>
            <w:vAlign w:val="top"/>
          </w:tcPr>
          <w:p>
            <w:pPr>
              <w:pStyle w:val="Normal.0"/>
              <w:spacing w:after="40" w:line="240" w:lineRule="auto"/>
              <w:ind w:firstLine="0"/>
              <w:jc w:val="left"/>
            </w:pPr>
            <w:r>
              <w:rPr>
                <w:sz w:val="18"/>
                <w:szCs w:val="18"/>
                <w:rtl w:val="0"/>
                <w:lang w:val="en-US"/>
              </w:rPr>
              <w:t>−</w:t>
            </w:r>
            <w:r>
              <w:rPr>
                <w:sz w:val="18"/>
                <w:szCs w:val="18"/>
                <w:rtl w:val="0"/>
                <w:lang w:val="en-US"/>
              </w:rPr>
              <w:t>0.00111641</w:t>
            </w:r>
          </w:p>
        </w:tc>
      </w:tr>
      <w:tr>
        <w:tblPrEx>
          <w:shd w:val="clear" w:color="auto" w:fill="ced7e7"/>
        </w:tblPrEx>
        <w:trPr>
          <w:trHeight w:val="200" w:hRule="atLeast"/>
        </w:trPr>
        <w:tc>
          <w:tcPr>
            <w:tcW w:type="dxa" w:w="1600"/>
            <w:tcBorders>
              <w:top w:val="single" w:color="d0d0d0" w:sz="3" w:space="0" w:shadow="0" w:frame="0"/>
              <w:left w:val="nil"/>
              <w:bottom w:val="single" w:color="d0d0d0" w:sz="3" w:space="0" w:shadow="0" w:frame="0"/>
              <w:right w:val="nil"/>
            </w:tcBorders>
            <w:shd w:val="clear" w:color="auto" w:fill="auto"/>
            <w:tcMar>
              <w:top w:type="dxa" w:w="80"/>
              <w:left w:type="dxa" w:w="80"/>
              <w:bottom w:type="dxa" w:w="80"/>
              <w:right w:type="dxa" w:w="80"/>
            </w:tcMar>
            <w:vAlign w:val="top"/>
          </w:tcPr>
          <w:p>
            <w:pPr>
              <w:pStyle w:val="Normal.0"/>
              <w:spacing w:after="40" w:line="240" w:lineRule="auto"/>
              <w:ind w:firstLine="0"/>
              <w:jc w:val="left"/>
            </w:pPr>
            <w:r>
              <w:rPr>
                <w:sz w:val="18"/>
                <w:szCs w:val="18"/>
                <w:rtl w:val="0"/>
                <w:lang w:val="en-US"/>
              </w:rPr>
              <w:t>8</w:t>
            </w:r>
          </w:p>
        </w:tc>
        <w:tc>
          <w:tcPr>
            <w:tcW w:type="dxa" w:w="2823"/>
            <w:tcBorders>
              <w:top w:val="single" w:color="d0d0d0" w:sz="3" w:space="0" w:shadow="0" w:frame="0"/>
              <w:left w:val="nil"/>
              <w:bottom w:val="single" w:color="d0d0d0" w:sz="3" w:space="0" w:shadow="0" w:frame="0"/>
              <w:right w:val="nil"/>
            </w:tcBorders>
            <w:shd w:val="clear" w:color="auto" w:fill="auto"/>
            <w:tcMar>
              <w:top w:type="dxa" w:w="80"/>
              <w:left w:type="dxa" w:w="80"/>
              <w:bottom w:type="dxa" w:w="80"/>
              <w:right w:type="dxa" w:w="80"/>
            </w:tcMar>
            <w:vAlign w:val="top"/>
          </w:tcPr>
          <w:p>
            <w:pPr>
              <w:pStyle w:val="Normal.0"/>
              <w:spacing w:after="40" w:line="240" w:lineRule="auto"/>
              <w:ind w:firstLine="0"/>
              <w:jc w:val="left"/>
            </w:pPr>
            <w:r>
              <w:rPr>
                <w:sz w:val="18"/>
                <w:szCs w:val="18"/>
                <w:rtl w:val="0"/>
                <w:lang w:val="en-US"/>
              </w:rPr>
              <w:t>0.1963495</w:t>
            </w:r>
          </w:p>
        </w:tc>
        <w:tc>
          <w:tcPr>
            <w:tcW w:type="dxa" w:w="2165"/>
            <w:tcBorders>
              <w:top w:val="single" w:color="d0d0d0" w:sz="3" w:space="0" w:shadow="0" w:frame="0"/>
              <w:left w:val="nil"/>
              <w:bottom w:val="single" w:color="d0d0d0" w:sz="3" w:space="0" w:shadow="0" w:frame="0"/>
              <w:right w:val="nil"/>
            </w:tcBorders>
            <w:shd w:val="clear" w:color="auto" w:fill="auto"/>
            <w:tcMar>
              <w:top w:type="dxa" w:w="80"/>
              <w:left w:type="dxa" w:w="80"/>
              <w:bottom w:type="dxa" w:w="80"/>
              <w:right w:type="dxa" w:w="80"/>
            </w:tcMar>
            <w:vAlign w:val="top"/>
          </w:tcPr>
          <w:p>
            <w:pPr>
              <w:pStyle w:val="Normal.0"/>
              <w:spacing w:after="40" w:line="240" w:lineRule="auto"/>
              <w:ind w:firstLine="0"/>
              <w:jc w:val="left"/>
            </w:pPr>
            <w:r>
              <w:rPr>
                <w:sz w:val="18"/>
                <w:szCs w:val="18"/>
                <w:rtl w:val="0"/>
                <w:lang w:val="en-US"/>
              </w:rPr>
              <w:t>1.7242984</w:t>
            </w:r>
          </w:p>
        </w:tc>
        <w:tc>
          <w:tcPr>
            <w:tcW w:type="dxa" w:w="2823"/>
            <w:tcBorders>
              <w:top w:val="single" w:color="d0d0d0" w:sz="3" w:space="0" w:shadow="0" w:frame="0"/>
              <w:left w:val="nil"/>
              <w:bottom w:val="single" w:color="d0d0d0" w:sz="3" w:space="0" w:shadow="0" w:frame="0"/>
              <w:right w:val="nil"/>
            </w:tcBorders>
            <w:shd w:val="clear" w:color="auto" w:fill="auto"/>
            <w:tcMar>
              <w:top w:type="dxa" w:w="80"/>
              <w:left w:type="dxa" w:w="80"/>
              <w:bottom w:type="dxa" w:w="80"/>
              <w:right w:type="dxa" w:w="80"/>
            </w:tcMar>
            <w:vAlign w:val="top"/>
          </w:tcPr>
          <w:p>
            <w:pPr>
              <w:pStyle w:val="Normal.0"/>
              <w:spacing w:after="40" w:line="240" w:lineRule="auto"/>
              <w:ind w:firstLine="0"/>
              <w:jc w:val="left"/>
            </w:pPr>
            <w:r>
              <w:rPr>
                <w:sz w:val="18"/>
                <w:szCs w:val="18"/>
                <w:rtl w:val="0"/>
                <w:lang w:val="en-US"/>
              </w:rPr>
              <w:t>−</w:t>
            </w:r>
            <w:r>
              <w:rPr>
                <w:sz w:val="18"/>
                <w:szCs w:val="18"/>
                <w:rtl w:val="0"/>
                <w:lang w:val="en-US"/>
              </w:rPr>
              <w:t>0.00447584</w:t>
            </w:r>
          </w:p>
        </w:tc>
      </w:tr>
      <w:tr>
        <w:tblPrEx>
          <w:shd w:val="clear" w:color="auto" w:fill="ced7e7"/>
        </w:tblPrEx>
        <w:trPr>
          <w:trHeight w:val="206" w:hRule="atLeast"/>
        </w:trPr>
        <w:tc>
          <w:tcPr>
            <w:tcW w:type="dxa" w:w="1600"/>
            <w:tcBorders>
              <w:top w:val="single" w:color="d0d0d0" w:sz="3" w:space="0" w:shadow="0" w:frame="0"/>
              <w:left w:val="nil"/>
              <w:bottom w:val="single" w:color="777777" w:sz="8" w:space="0" w:shadow="0" w:frame="0"/>
              <w:right w:val="nil"/>
            </w:tcBorders>
            <w:shd w:val="clear" w:color="auto" w:fill="auto"/>
            <w:tcMar>
              <w:top w:type="dxa" w:w="80"/>
              <w:left w:type="dxa" w:w="80"/>
              <w:bottom w:type="dxa" w:w="80"/>
              <w:right w:type="dxa" w:w="80"/>
            </w:tcMar>
            <w:vAlign w:val="top"/>
          </w:tcPr>
          <w:p>
            <w:pPr>
              <w:pStyle w:val="Normal.0"/>
              <w:spacing w:after="40" w:line="240" w:lineRule="auto"/>
              <w:ind w:firstLine="0"/>
              <w:jc w:val="left"/>
            </w:pPr>
            <w:r>
              <w:rPr>
                <w:sz w:val="18"/>
                <w:szCs w:val="18"/>
                <w:rtl w:val="0"/>
                <w:lang w:val="en-US"/>
              </w:rPr>
              <w:t>16</w:t>
            </w:r>
          </w:p>
        </w:tc>
        <w:tc>
          <w:tcPr>
            <w:tcW w:type="dxa" w:w="2823"/>
            <w:tcBorders>
              <w:top w:val="single" w:color="d0d0d0" w:sz="3" w:space="0" w:shadow="0" w:frame="0"/>
              <w:left w:val="nil"/>
              <w:bottom w:val="single" w:color="777777" w:sz="8" w:space="0" w:shadow="0" w:frame="0"/>
              <w:right w:val="nil"/>
            </w:tcBorders>
            <w:shd w:val="clear" w:color="auto" w:fill="auto"/>
            <w:tcMar>
              <w:top w:type="dxa" w:w="80"/>
              <w:left w:type="dxa" w:w="80"/>
              <w:bottom w:type="dxa" w:w="80"/>
              <w:right w:type="dxa" w:w="80"/>
            </w:tcMar>
            <w:vAlign w:val="top"/>
          </w:tcPr>
          <w:p>
            <w:pPr>
              <w:pStyle w:val="Normal.0"/>
              <w:spacing w:after="40" w:line="240" w:lineRule="auto"/>
              <w:ind w:firstLine="0"/>
              <w:jc w:val="left"/>
            </w:pPr>
            <w:r>
              <w:rPr>
                <w:sz w:val="18"/>
                <w:szCs w:val="18"/>
                <w:rtl w:val="0"/>
                <w:lang w:val="en-US"/>
              </w:rPr>
              <w:t>0.3926991</w:t>
            </w:r>
          </w:p>
        </w:tc>
        <w:tc>
          <w:tcPr>
            <w:tcW w:type="dxa" w:w="2165"/>
            <w:tcBorders>
              <w:top w:val="single" w:color="d0d0d0" w:sz="3" w:space="0" w:shadow="0" w:frame="0"/>
              <w:left w:val="nil"/>
              <w:bottom w:val="single" w:color="777777" w:sz="8" w:space="0" w:shadow="0" w:frame="0"/>
              <w:right w:val="nil"/>
            </w:tcBorders>
            <w:shd w:val="clear" w:color="auto" w:fill="auto"/>
            <w:tcMar>
              <w:top w:type="dxa" w:w="80"/>
              <w:left w:type="dxa" w:w="80"/>
              <w:bottom w:type="dxa" w:w="80"/>
              <w:right w:type="dxa" w:w="80"/>
            </w:tcMar>
            <w:vAlign w:val="top"/>
          </w:tcPr>
          <w:p>
            <w:pPr>
              <w:pStyle w:val="Normal.0"/>
              <w:spacing w:after="40" w:line="240" w:lineRule="auto"/>
              <w:ind w:firstLine="0"/>
              <w:jc w:val="left"/>
            </w:pPr>
            <w:r>
              <w:rPr>
                <w:sz w:val="18"/>
                <w:szCs w:val="18"/>
                <w:rtl w:val="0"/>
                <w:lang w:val="en-US"/>
              </w:rPr>
              <w:t>1.7007871</w:t>
            </w:r>
          </w:p>
        </w:tc>
        <w:tc>
          <w:tcPr>
            <w:tcW w:type="dxa" w:w="2823"/>
            <w:tcBorders>
              <w:top w:val="single" w:color="d0d0d0" w:sz="3" w:space="0" w:shadow="0" w:frame="0"/>
              <w:left w:val="nil"/>
              <w:bottom w:val="single" w:color="777777" w:sz="8" w:space="0" w:shadow="0" w:frame="0"/>
              <w:right w:val="nil"/>
            </w:tcBorders>
            <w:shd w:val="clear" w:color="auto" w:fill="auto"/>
            <w:tcMar>
              <w:top w:type="dxa" w:w="80"/>
              <w:left w:type="dxa" w:w="80"/>
              <w:bottom w:type="dxa" w:w="80"/>
              <w:right w:type="dxa" w:w="80"/>
            </w:tcMar>
            <w:vAlign w:val="top"/>
          </w:tcPr>
          <w:p>
            <w:pPr>
              <w:pStyle w:val="Normal.0"/>
              <w:spacing w:after="40" w:line="240" w:lineRule="auto"/>
              <w:ind w:firstLine="0"/>
              <w:jc w:val="left"/>
            </w:pPr>
            <w:r>
              <w:rPr>
                <w:sz w:val="18"/>
                <w:szCs w:val="18"/>
                <w:rtl w:val="0"/>
                <w:lang w:val="en-US"/>
              </w:rPr>
              <w:t>−</w:t>
            </w:r>
            <w:r>
              <w:rPr>
                <w:sz w:val="18"/>
                <w:szCs w:val="18"/>
                <w:rtl w:val="0"/>
                <w:lang w:val="en-US"/>
              </w:rPr>
              <w:t>0.01805013</w:t>
            </w:r>
          </w:p>
        </w:tc>
      </w:tr>
    </w:tbl>
    <w:p>
      <w:pPr>
        <w:pStyle w:val="Normal.0"/>
        <w:widowControl w:val="0"/>
        <w:spacing w:after="80" w:line="240" w:lineRule="atLeast"/>
        <w:ind w:firstLine="0"/>
        <w:jc w:val="center"/>
      </w:pPr>
    </w:p>
    <w:p>
      <w:pPr>
        <w:pStyle w:val="caption"/>
        <w:spacing w:before="60" w:after="120" w:line="240" w:lineRule="atLeast"/>
      </w:pPr>
      <w:r>
        <w:rPr>
          <w:b w:val="1"/>
          <w:bCs w:val="1"/>
          <w:rtl w:val="0"/>
          <w:lang w:val="en-US"/>
        </w:rPr>
        <w:t xml:space="preserve">Table 2. </w:t>
      </w:r>
      <w:r>
        <w:rPr>
          <w:rtl w:val="0"/>
          <w:lang w:val="en-US"/>
        </w:rPr>
        <w:t xml:space="preserve">Exact two-component spectrum on the cycle. The limit </w:t>
      </w:r>
      <w:r>
        <w:rPr>
          <w:rtl w:val="0"/>
          <w:lang w:val="en-US"/>
        </w:rPr>
        <w:t>√</w:t>
      </w:r>
      <w:r>
        <w:rPr>
          <w:rtl w:val="0"/>
          <w:lang w:val="en-US"/>
        </w:rPr>
        <w:t>3 is compared with the phase velocity; the table does not determine group velocities or signal-front velocity.</w:t>
      </w:r>
    </w:p>
    <w:p>
      <w:pPr>
        <w:pStyle w:val="Normal.0"/>
        <w:spacing w:after="80" w:line="240" w:lineRule="atLeast"/>
      </w:pPr>
      <w:r>
        <w:rPr>
          <w:sz w:val="22"/>
          <w:szCs w:val="22"/>
          <w:rtl w:val="0"/>
          <w:lang w:val="en-US"/>
        </w:rPr>
        <w:t>An additional check uses T = diag(0,0,2,3,4,5) and a positive D with D</w:t>
      </w:r>
      <w:r>
        <w:rPr>
          <w:rFonts w:ascii="Arial Unicode MS" w:cs="Arial Unicode MS" w:hAnsi="Arial Unicode MS" w:eastAsia="Arial Unicode MS" w:hint="default"/>
          <w:b w:val="0"/>
          <w:bCs w:val="0"/>
          <w:i w:val="0"/>
          <w:iCs w:val="0"/>
          <w:sz w:val="22"/>
          <w:szCs w:val="22"/>
          <w:rtl w:val="0"/>
          <w:lang w:val="en-US"/>
        </w:rPr>
        <w:t>₀₀</w:t>
      </w:r>
      <w:r>
        <w:rPr>
          <w:sz w:val="22"/>
          <w:szCs w:val="22"/>
          <w:rtl w:val="0"/>
          <w:lang w:val="en-US"/>
        </w:rPr>
        <w:t xml:space="preserve"> </w:t>
      </w:r>
      <w:r>
        <w:rPr>
          <w:sz w:val="22"/>
          <w:szCs w:val="22"/>
          <w:rtl w:val="0"/>
          <w:lang w:val="en-US"/>
        </w:rPr>
        <w:t>= 3I</w:t>
      </w:r>
      <w:r>
        <w:rPr>
          <w:rFonts w:ascii="Arial Unicode MS" w:cs="Arial Unicode MS" w:hAnsi="Arial Unicode MS" w:eastAsia="Arial Unicode MS" w:hint="default"/>
          <w:b w:val="0"/>
          <w:bCs w:val="0"/>
          <w:i w:val="0"/>
          <w:iCs w:val="0"/>
          <w:sz w:val="22"/>
          <w:szCs w:val="22"/>
          <w:rtl w:val="0"/>
          <w:lang w:val="en-US"/>
        </w:rPr>
        <w:t>₂</w:t>
      </w:r>
      <w:r>
        <w:rPr>
          <w:sz w:val="22"/>
          <w:szCs w:val="22"/>
          <w:rtl w:val="0"/>
          <w:lang w:val="en-US"/>
        </w:rPr>
        <w:t xml:space="preserve"> </w:t>
      </w:r>
      <w:r>
        <w:rPr>
          <w:sz w:val="22"/>
          <w:szCs w:val="22"/>
          <w:rtl w:val="0"/>
          <w:lang w:val="en-US"/>
        </w:rPr>
        <w:t>and nonzero D</w:t>
      </w:r>
      <w:r>
        <w:rPr>
          <w:rFonts w:ascii="Arial Unicode MS" w:cs="Arial Unicode MS" w:hAnsi="Arial Unicode MS" w:eastAsia="Arial Unicode MS" w:hint="default"/>
          <w:b w:val="0"/>
          <w:bCs w:val="0"/>
          <w:i w:val="0"/>
          <w:iCs w:val="0"/>
          <w:sz w:val="22"/>
          <w:szCs w:val="22"/>
          <w:rtl w:val="0"/>
          <w:lang w:val="en-US"/>
        </w:rPr>
        <w:t>₀₁</w:t>
      </w:r>
      <w:r>
        <w:rPr>
          <w:sz w:val="22"/>
          <w:szCs w:val="22"/>
          <w:rtl w:val="0"/>
          <w:lang w:val="en-US"/>
        </w:rPr>
        <w:t xml:space="preserve">. The exact two low branches share the leading slope 3 but differ at order </w:t>
      </w:r>
      <w:r>
        <w:rPr>
          <w:sz w:val="22"/>
          <w:szCs w:val="22"/>
          <w:rtl w:val="0"/>
          <w:lang w:val="en-US"/>
        </w:rPr>
        <w:t>ν²</w:t>
      </w:r>
      <w:r>
        <w:rPr>
          <w:sz w:val="22"/>
          <w:szCs w:val="22"/>
          <w:rtl w:val="0"/>
          <w:lang w:val="en-US"/>
        </w:rPr>
        <w:t>. The script compares them with the correction matrix in Eq. (37). This independently confirms that a common leading cone does not imply identical complete dispersion relations.</w:t>
      </w:r>
    </w:p>
    <w:p>
      <w:pPr>
        <w:pStyle w:val="Normal.0"/>
        <w:spacing w:after="80" w:line="240" w:lineRule="atLeast"/>
      </w:pPr>
      <w:r>
        <w:rPr>
          <w:sz w:val="22"/>
          <w:szCs w:val="22"/>
          <w:rtl w:val="0"/>
          <w:lang w:val="en-US"/>
        </w:rPr>
        <w:t>For the dynamical network we choose five vertices, all ten possible edges, the matrices in Eq. (18) with the parameters of Section 6.4, I</w:t>
      </w:r>
      <w:r>
        <w:rPr>
          <w:sz w:val="22"/>
          <w:szCs w:val="22"/>
          <w:rtl w:val="0"/>
          <w:lang w:val="en-US"/>
        </w:rPr>
        <w:t xml:space="preserve">ₑ </w:t>
      </w:r>
      <w:r>
        <w:rPr>
          <w:sz w:val="22"/>
          <w:szCs w:val="22"/>
          <w:rtl w:val="0"/>
          <w:lang w:val="en-US"/>
        </w:rPr>
        <w:t xml:space="preserve">= 4, and Vᵣ = </w:t>
      </w:r>
      <w:r>
        <w:rPr>
          <w:sz w:val="22"/>
          <w:szCs w:val="22"/>
          <w:rtl w:val="0"/>
          <w:lang w:val="en-US"/>
        </w:rPr>
        <w:t>∑ₑ</w:t>
      </w:r>
      <w:r>
        <w:rPr>
          <w:sz w:val="22"/>
          <w:szCs w:val="22"/>
          <w:rtl w:val="0"/>
          <w:lang w:val="en-US"/>
        </w:rPr>
        <w:t>(y</w:t>
      </w:r>
      <w:r>
        <w:rPr>
          <w:sz w:val="22"/>
          <w:szCs w:val="22"/>
          <w:rtl w:val="0"/>
          <w:lang w:val="en-US"/>
        </w:rPr>
        <w:t xml:space="preserve">ₑ </w:t>
      </w:r>
      <w:r>
        <w:rPr>
          <w:sz w:val="22"/>
          <w:szCs w:val="22"/>
          <w:rtl w:val="0"/>
          <w:lang w:val="en-US"/>
        </w:rPr>
        <w:t>+ 0.8)</w:t>
      </w:r>
      <w:r>
        <w:rPr>
          <w:sz w:val="22"/>
          <w:szCs w:val="22"/>
          <w:rtl w:val="0"/>
          <w:lang w:val="en-US"/>
        </w:rPr>
        <w:t>²</w:t>
      </w:r>
      <w:r>
        <w:rPr>
          <w:sz w:val="22"/>
          <w:szCs w:val="22"/>
          <w:rtl w:val="0"/>
          <w:lang w:val="en-US"/>
        </w:rPr>
        <w:t xml:space="preserve">. DOP853 integration is performed on </w:t>
      </w:r>
      <w:r>
        <w:rPr>
          <w:sz w:val="22"/>
          <w:szCs w:val="22"/>
          <w:rtl w:val="0"/>
          <w:lang w:val="en-US"/>
        </w:rPr>
        <w:t xml:space="preserve">τ </w:t>
      </w:r>
      <w:r>
        <w:rPr>
          <w:rFonts w:ascii="Arial Unicode MS" w:cs="Arial Unicode MS" w:hAnsi="Arial Unicode MS" w:eastAsia="Arial Unicode MS" w:hint="default"/>
          <w:b w:val="0"/>
          <w:bCs w:val="0"/>
          <w:i w:val="0"/>
          <w:iCs w:val="0"/>
          <w:sz w:val="22"/>
          <w:szCs w:val="22"/>
          <w:rtl w:val="0"/>
          <w:lang w:val="en-US"/>
        </w:rPr>
        <w:t>∈</w:t>
      </w:r>
      <w:r>
        <w:rPr>
          <w:sz w:val="22"/>
          <w:szCs w:val="22"/>
          <w:rtl w:val="0"/>
          <w:lang w:val="en-US"/>
        </w:rPr>
        <w:t xml:space="preserve"> </w:t>
      </w:r>
      <w:r>
        <w:rPr>
          <w:sz w:val="22"/>
          <w:szCs w:val="22"/>
          <w:rtl w:val="0"/>
          <w:lang w:val="en-US"/>
        </w:rPr>
        <w:t>[0,20] with rtol = 10</w:t>
      </w:r>
      <w:r>
        <w:rPr>
          <w:rFonts w:ascii="Arial Unicode MS" w:cs="Arial Unicode MS" w:hAnsi="Arial Unicode MS" w:eastAsia="Arial Unicode MS" w:hint="default"/>
          <w:b w:val="0"/>
          <w:bCs w:val="0"/>
          <w:i w:val="0"/>
          <w:iCs w:val="0"/>
          <w:sz w:val="22"/>
          <w:szCs w:val="22"/>
          <w:rtl w:val="0"/>
          <w:lang w:val="en-US"/>
        </w:rPr>
        <w:t>⁻</w:t>
      </w:r>
      <w:r>
        <w:rPr>
          <w:sz w:val="22"/>
          <w:szCs w:val="22"/>
          <w:rtl w:val="0"/>
          <w:lang w:val="en-US"/>
        </w:rPr>
        <w:t>¹</w:t>
      </w:r>
      <w:r>
        <w:rPr>
          <w:rFonts w:ascii="Arial Unicode MS" w:cs="Arial Unicode MS" w:hAnsi="Arial Unicode MS" w:eastAsia="Arial Unicode MS" w:hint="default"/>
          <w:b w:val="0"/>
          <w:bCs w:val="0"/>
          <w:i w:val="0"/>
          <w:iCs w:val="0"/>
          <w:sz w:val="22"/>
          <w:szCs w:val="22"/>
          <w:rtl w:val="0"/>
          <w:lang w:val="en-US"/>
        </w:rPr>
        <w:t>⁰</w:t>
      </w:r>
      <w:r>
        <w:rPr>
          <w:sz w:val="22"/>
          <w:szCs w:val="22"/>
          <w:rtl w:val="0"/>
          <w:lang w:val="en-US"/>
        </w:rPr>
        <w:t>, atol = 10</w:t>
      </w:r>
      <w:r>
        <w:rPr>
          <w:rFonts w:ascii="Arial Unicode MS" w:cs="Arial Unicode MS" w:hAnsi="Arial Unicode MS" w:eastAsia="Arial Unicode MS" w:hint="default"/>
          <w:b w:val="0"/>
          <w:bCs w:val="0"/>
          <w:i w:val="0"/>
          <w:iCs w:val="0"/>
          <w:sz w:val="22"/>
          <w:szCs w:val="22"/>
          <w:rtl w:val="0"/>
          <w:lang w:val="en-US"/>
        </w:rPr>
        <w:t>⁻</w:t>
      </w:r>
      <w:r>
        <w:rPr>
          <w:sz w:val="22"/>
          <w:szCs w:val="22"/>
          <w:rtl w:val="0"/>
          <w:lang w:val="en-US"/>
        </w:rPr>
        <w:t>¹²</w:t>
      </w:r>
      <w:r>
        <w:rPr>
          <w:sz w:val="22"/>
          <w:szCs w:val="22"/>
          <w:rtl w:val="0"/>
          <w:lang w:val="en-US"/>
        </w:rPr>
        <w:t xml:space="preserve">, and 2001 output points. The initial total energy is 0.60739633; the maximum relative energy drift is 1.08 </w:t>
      </w:r>
      <w:r>
        <w:rPr>
          <w:sz w:val="22"/>
          <w:szCs w:val="22"/>
          <w:rtl w:val="0"/>
          <w:lang w:val="en-US"/>
        </w:rPr>
        <w:t xml:space="preserve">× </w:t>
      </w:r>
      <w:r>
        <w:rPr>
          <w:sz w:val="22"/>
          <w:szCs w:val="22"/>
          <w:rtl w:val="0"/>
          <w:lang w:val="en-US"/>
        </w:rPr>
        <w:t>10</w:t>
      </w:r>
      <w:r>
        <w:rPr>
          <w:rFonts w:ascii="Arial Unicode MS" w:cs="Arial Unicode MS" w:hAnsi="Arial Unicode MS" w:eastAsia="Arial Unicode MS" w:hint="default"/>
          <w:b w:val="0"/>
          <w:bCs w:val="0"/>
          <w:i w:val="0"/>
          <w:iCs w:val="0"/>
          <w:sz w:val="22"/>
          <w:szCs w:val="22"/>
          <w:rtl w:val="0"/>
          <w:lang w:val="en-US"/>
        </w:rPr>
        <w:t>⁻⁹</w:t>
      </w:r>
      <w:r>
        <w:rPr>
          <w:sz w:val="22"/>
          <w:szCs w:val="22"/>
          <w:rtl w:val="0"/>
          <w:lang w:val="en-US"/>
        </w:rPr>
        <w:t xml:space="preserve">. The field energy varies approximately from 0.53744 to 0.54953. The residual of the local analytic balance in Eq. (44), evaluated in two equivalent ways at the initial state, is 1.04 </w:t>
      </w:r>
      <w:r>
        <w:rPr>
          <w:sz w:val="22"/>
          <w:szCs w:val="22"/>
          <w:rtl w:val="0"/>
          <w:lang w:val="en-US"/>
        </w:rPr>
        <w:t xml:space="preserve">× </w:t>
      </w:r>
      <w:r>
        <w:rPr>
          <w:sz w:val="22"/>
          <w:szCs w:val="22"/>
          <w:rtl w:val="0"/>
          <w:lang w:val="en-US"/>
        </w:rPr>
        <w:t>10</w:t>
      </w:r>
      <w:r>
        <w:rPr>
          <w:rFonts w:ascii="Arial Unicode MS" w:cs="Arial Unicode MS" w:hAnsi="Arial Unicode MS" w:eastAsia="Arial Unicode MS" w:hint="default"/>
          <w:b w:val="0"/>
          <w:bCs w:val="0"/>
          <w:i w:val="0"/>
          <w:iCs w:val="0"/>
          <w:sz w:val="22"/>
          <w:szCs w:val="22"/>
          <w:rtl w:val="0"/>
          <w:lang w:val="en-US"/>
        </w:rPr>
        <w:t>⁻</w:t>
      </w:r>
      <w:r>
        <w:rPr>
          <w:sz w:val="22"/>
          <w:szCs w:val="22"/>
          <w:rtl w:val="0"/>
          <w:lang w:val="en-US"/>
        </w:rPr>
        <w:t>¹</w:t>
      </w:r>
      <w:r>
        <w:rPr>
          <w:rFonts w:ascii="Arial Unicode MS" w:cs="Arial Unicode MS" w:hAnsi="Arial Unicode MS" w:eastAsia="Arial Unicode MS" w:hint="default"/>
          <w:b w:val="0"/>
          <w:bCs w:val="0"/>
          <w:i w:val="0"/>
          <w:iCs w:val="0"/>
          <w:sz w:val="22"/>
          <w:szCs w:val="22"/>
          <w:rtl w:val="0"/>
          <w:lang w:val="en-US"/>
        </w:rPr>
        <w:t>⁷</w:t>
      </w:r>
      <w:r>
        <w:rPr>
          <w:sz w:val="22"/>
          <w:szCs w:val="22"/>
          <w:rtl w:val="0"/>
          <w:lang w:val="en-US"/>
        </w:rPr>
        <w:t>. The calculation tests closure of these particular equations, not a gravitational conservation law.</w:t>
      </w:r>
    </w:p>
    <w:p>
      <w:pPr>
        <w:pStyle w:val="Заголовок 3"/>
        <w:spacing w:line="240" w:lineRule="atLeast"/>
        <w:rPr>
          <w:u w:val="single"/>
        </w:rPr>
      </w:pPr>
      <w:r>
        <w:rPr>
          <w:u w:val="single"/>
          <w:rtl w:val="0"/>
          <w:lang w:val="en-US"/>
        </w:rPr>
        <w:t>11.2. What Is Required for Comparison with Experiment</w:t>
      </w:r>
    </w:p>
    <w:p>
      <w:pPr>
        <w:pStyle w:val="Normal.0"/>
        <w:spacing w:after="80" w:line="240" w:lineRule="atLeast"/>
        <w:ind w:firstLine="0"/>
      </w:pPr>
      <w:r>
        <w:rPr>
          <w:sz w:val="22"/>
          <w:szCs w:val="22"/>
          <w:rtl w:val="0"/>
          <w:lang w:val="en-US"/>
        </w:rPr>
        <w:t xml:space="preserve">The parameters of the demonstration calculations have not yet been mapped to physical energies and lengths. Consequently, the coefficient </w:t>
      </w:r>
      <w:r>
        <w:rPr>
          <w:sz w:val="22"/>
          <w:szCs w:val="22"/>
          <w:rtl w:val="0"/>
          <w:lang w:val="en-US"/>
        </w:rPr>
        <w:t>−</w:t>
      </w:r>
      <w:r>
        <w:rPr>
          <w:sz w:val="22"/>
          <w:szCs w:val="22"/>
          <w:rtl w:val="0"/>
          <w:lang w:val="en-US"/>
        </w:rPr>
        <w:t xml:space="preserve">25/36 in Eq. (31) cannot be converted into a bound on a quantum-gravity scale in electronvolts. One must first identify which observables correspond to the field branches, how clocks are defined, what dimensional relation connects k and </w:t>
      </w:r>
      <w:r>
        <w:rPr>
          <w:sz w:val="22"/>
          <w:szCs w:val="22"/>
          <w:rtl w:val="0"/>
          <w:lang w:val="en-US"/>
        </w:rPr>
        <w:t>ν</w:t>
      </w:r>
      <w:r>
        <w:rPr>
          <w:sz w:val="22"/>
          <w:szCs w:val="22"/>
          <w:rtl w:val="0"/>
          <w:lang w:val="en-US"/>
        </w:rPr>
        <w:t>, and which operators arise after quantum corrections.</w:t>
      </w:r>
    </w:p>
    <w:p>
      <w:pPr>
        <w:pStyle w:val="Normal.0"/>
        <w:spacing w:after="80" w:line="240" w:lineRule="atLeast"/>
      </w:pPr>
      <w:r>
        <w:rPr>
          <w:sz w:val="22"/>
          <w:szCs w:val="22"/>
          <w:rtl w:val="0"/>
          <w:lang w:val="en-US"/>
        </w:rPr>
        <w:t>Experimental constraints depend on the sector, operator dimension, anisotropy, dispersion, and conventions used. The 2026 update of the Kosteleck</w:t>
      </w:r>
      <w:r>
        <w:rPr>
          <w:sz w:val="22"/>
          <w:szCs w:val="22"/>
          <w:rtl w:val="0"/>
          <w:lang w:val="en-US"/>
        </w:rPr>
        <w:t>ý–</w:t>
      </w:r>
      <w:r>
        <w:rPr>
          <w:sz w:val="22"/>
          <w:szCs w:val="22"/>
          <w:rtl w:val="0"/>
          <w:lang w:val="en-US"/>
        </w:rPr>
        <w:t xml:space="preserve">Russell data tables [13] systematizes limits for matter, photons, neutrinos, and gravity. It would therefore be incorrect to summarize all such cases by a single number called </w:t>
      </w:r>
      <w:r>
        <w:rPr>
          <w:sz w:val="22"/>
          <w:szCs w:val="22"/>
          <w:rtl w:val="0"/>
          <w:lang w:val="en-US"/>
        </w:rPr>
        <w:t>“</w:t>
      </w:r>
      <w:r>
        <w:rPr>
          <w:sz w:val="22"/>
          <w:szCs w:val="22"/>
          <w:rtl w:val="0"/>
          <w:lang w:val="en-US"/>
        </w:rPr>
        <w:t>the precision of Lorentz invariance.</w:t>
      </w:r>
      <w:r>
        <w:rPr>
          <w:sz w:val="22"/>
          <w:szCs w:val="22"/>
          <w:rtl w:val="0"/>
          <w:lang w:val="en-US"/>
        </w:rPr>
        <w:t>”</w:t>
      </w:r>
    </w:p>
    <w:p>
      <w:pPr>
        <w:pStyle w:val="Normal.0"/>
        <w:spacing w:after="80" w:line="240" w:lineRule="atLeast"/>
      </w:pPr>
      <w:r>
        <w:rPr>
          <w:sz w:val="22"/>
          <w:szCs w:val="22"/>
          <w:rtl w:val="0"/>
          <w:lang w:val="en-US"/>
        </w:rPr>
        <w:t xml:space="preserve">A useful benchmark is provided by the joint observation of GW170817 and GRB 170817A [14]. Under the source-emission-delay assumptions of that analysis, the relative difference between gravitational-wave and electromagnetic-wave speeds is constrained approximately to the interval </w:t>
      </w:r>
      <w:r>
        <w:rPr>
          <w:sz w:val="22"/>
          <w:szCs w:val="22"/>
          <w:rtl w:val="0"/>
          <w:lang w:val="en-US"/>
        </w:rPr>
        <w:t>−</w:t>
      </w:r>
      <w:r>
        <w:rPr>
          <w:sz w:val="22"/>
          <w:szCs w:val="22"/>
          <w:rtl w:val="0"/>
          <w:lang w:val="en-US"/>
        </w:rPr>
        <w:t xml:space="preserve">3 </w:t>
      </w:r>
      <w:r>
        <w:rPr>
          <w:sz w:val="22"/>
          <w:szCs w:val="22"/>
          <w:rtl w:val="0"/>
          <w:lang w:val="en-US"/>
        </w:rPr>
        <w:t xml:space="preserve">× </w:t>
      </w:r>
      <w:r>
        <w:rPr>
          <w:sz w:val="22"/>
          <w:szCs w:val="22"/>
          <w:rtl w:val="0"/>
          <w:lang w:val="en-US"/>
        </w:rPr>
        <w:t>10</w:t>
      </w:r>
      <w:r>
        <w:rPr>
          <w:rFonts w:ascii="Arial Unicode MS" w:cs="Arial Unicode MS" w:hAnsi="Arial Unicode MS" w:eastAsia="Arial Unicode MS" w:hint="default"/>
          <w:b w:val="0"/>
          <w:bCs w:val="0"/>
          <w:i w:val="0"/>
          <w:iCs w:val="0"/>
          <w:sz w:val="22"/>
          <w:szCs w:val="22"/>
          <w:rtl w:val="0"/>
          <w:lang w:val="en-US"/>
        </w:rPr>
        <w:t>⁻</w:t>
      </w:r>
      <w:r>
        <w:rPr>
          <w:sz w:val="22"/>
          <w:szCs w:val="22"/>
          <w:rtl w:val="0"/>
          <w:lang w:val="en-US"/>
        </w:rPr>
        <w:t>¹</w:t>
      </w:r>
      <w:r>
        <w:rPr>
          <w:rFonts w:ascii="Arial Unicode MS" w:cs="Arial Unicode MS" w:hAnsi="Arial Unicode MS" w:eastAsia="Arial Unicode MS" w:hint="default"/>
          <w:b w:val="0"/>
          <w:bCs w:val="0"/>
          <w:i w:val="0"/>
          <w:iCs w:val="0"/>
          <w:sz w:val="22"/>
          <w:szCs w:val="22"/>
          <w:rtl w:val="0"/>
          <w:lang w:val="en-US"/>
        </w:rPr>
        <w:t>⁵</w:t>
      </w:r>
      <w:r>
        <w:rPr>
          <w:sz w:val="22"/>
          <w:szCs w:val="22"/>
          <w:rtl w:val="0"/>
          <w:lang w:val="en-US"/>
        </w:rPr>
        <w:t xml:space="preserve"> </w:t>
      </w:r>
      <w:r>
        <w:rPr>
          <w:sz w:val="22"/>
          <w:szCs w:val="22"/>
          <w:rtl w:val="0"/>
          <w:lang w:val="en-US"/>
        </w:rPr>
        <w:t xml:space="preserve">to +7 </w:t>
      </w:r>
      <w:r>
        <w:rPr>
          <w:sz w:val="22"/>
          <w:szCs w:val="22"/>
          <w:rtl w:val="0"/>
          <w:lang w:val="en-US"/>
        </w:rPr>
        <w:t xml:space="preserve">× </w:t>
      </w:r>
      <w:r>
        <w:rPr>
          <w:sz w:val="22"/>
          <w:szCs w:val="22"/>
          <w:rtl w:val="0"/>
          <w:lang w:val="en-US"/>
        </w:rPr>
        <w:t>10</w:t>
      </w:r>
      <w:r>
        <w:rPr>
          <w:rFonts w:ascii="Arial Unicode MS" w:cs="Arial Unicode MS" w:hAnsi="Arial Unicode MS" w:eastAsia="Arial Unicode MS" w:hint="default"/>
          <w:b w:val="0"/>
          <w:bCs w:val="0"/>
          <w:i w:val="0"/>
          <w:iCs w:val="0"/>
          <w:sz w:val="22"/>
          <w:szCs w:val="22"/>
          <w:rtl w:val="0"/>
          <w:lang w:val="en-US"/>
        </w:rPr>
        <w:t>⁻</w:t>
      </w:r>
      <w:r>
        <w:rPr>
          <w:sz w:val="22"/>
          <w:szCs w:val="22"/>
          <w:rtl w:val="0"/>
          <w:lang w:val="en-US"/>
        </w:rPr>
        <w:t>¹</w:t>
      </w:r>
      <w:r>
        <w:rPr>
          <w:rFonts w:ascii="Arial Unicode MS" w:cs="Arial Unicode MS" w:hAnsi="Arial Unicode MS" w:eastAsia="Arial Unicode MS" w:hint="default"/>
          <w:b w:val="0"/>
          <w:bCs w:val="0"/>
          <w:i w:val="0"/>
          <w:iCs w:val="0"/>
          <w:sz w:val="22"/>
          <w:szCs w:val="22"/>
          <w:rtl w:val="0"/>
          <w:lang w:val="en-US"/>
        </w:rPr>
        <w:t>⁶</w:t>
      </w:r>
      <w:r>
        <w:rPr>
          <w:sz w:val="22"/>
          <w:szCs w:val="22"/>
          <w:rtl w:val="0"/>
          <w:lang w:val="en-US"/>
        </w:rPr>
        <w:t>. This constrains those two propagation channels; it is not a demonstration that all particles have identical limiting speeds. In our scalar demonstration model neither a photon sector nor a gravitational sector has yet been identified, so the interval is not applied directly.</w:t>
      </w:r>
    </w:p>
    <w:p>
      <w:pPr>
        <w:pStyle w:val="Normal.0"/>
        <w:spacing w:after="80" w:line="240" w:lineRule="atLeast"/>
      </w:pPr>
      <w:r>
        <w:rPr>
          <w:sz w:val="22"/>
          <w:szCs w:val="22"/>
          <w:rtl w:val="0"/>
          <w:lang w:val="en-US"/>
        </w:rPr>
        <w:t>A physical implementation would require calculation of dimensionless intersector differences and dispersive coefficients in a common calibration, a test of their radiative stability, and only then selection of the relevant observations. Reference [12] explains why microscopically small Lorentz-violating effects need not remain equally small in effective kinetic coefficients. The finite quadratic model presented here does not calculate such quantum corrections.</w:t>
      </w:r>
    </w:p>
    <w:p>
      <w:pPr>
        <w:pStyle w:val="Заголовок 2"/>
        <w:spacing w:line="240" w:lineRule="atLeast"/>
      </w:pPr>
      <w:r>
        <w:rPr>
          <w:rtl w:val="0"/>
          <w:lang w:val="en-US"/>
        </w:rPr>
        <w:t>12. Results Achieved and the Open Part of the Program</w:t>
      </w:r>
    </w:p>
    <w:p>
      <w:pPr>
        <w:pStyle w:val="Normal.0"/>
        <w:spacing w:after="80" w:line="240" w:lineRule="atLeast"/>
        <w:ind w:firstLine="0"/>
      </w:pPr>
      <w:r>
        <w:rPr>
          <w:sz w:val="22"/>
          <w:szCs w:val="22"/>
          <w:rtl w:val="0"/>
          <w:lang w:val="en-US"/>
        </w:rPr>
        <w:t>The first technical stage separates several problems that are often conflated. Rearrangement of a common network, emergence of a collective massless branch, coincidence of the cones of several branches, and strict microcausality are mathematically distinct requirements. They cannot be tested by a single plot or by one number c.</w:t>
      </w:r>
    </w:p>
    <w:tbl>
      <w:tblPr>
        <w:tblW w:w="9411"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165"/>
        <w:gridCol w:w="3670"/>
        <w:gridCol w:w="3576"/>
      </w:tblGrid>
      <w:tr>
        <w:tblPrEx>
          <w:shd w:val="clear" w:color="auto" w:fill="4f81bd"/>
        </w:tblPrEx>
        <w:trPr>
          <w:trHeight w:val="206" w:hRule="atLeast"/>
          <w:tblHeader/>
        </w:trPr>
        <w:tc>
          <w:tcPr>
            <w:tcW w:type="dxa" w:w="2165"/>
            <w:tcBorders>
              <w:top w:val="single" w:color="777777" w:sz="8" w:space="0" w:shadow="0" w:frame="0"/>
              <w:left w:val="nil"/>
              <w:bottom w:val="single" w:color="d0d0d0" w:sz="3" w:space="0" w:shadow="0" w:frame="0"/>
              <w:right w:val="nil"/>
            </w:tcBorders>
            <w:shd w:val="clear" w:color="auto" w:fill="f2f2f2"/>
            <w:tcMar>
              <w:top w:type="dxa" w:w="80"/>
              <w:left w:type="dxa" w:w="80"/>
              <w:bottom w:type="dxa" w:w="80"/>
              <w:right w:type="dxa" w:w="80"/>
            </w:tcMar>
            <w:vAlign w:val="top"/>
          </w:tcPr>
          <w:p>
            <w:pPr>
              <w:pStyle w:val="Normal.0"/>
              <w:spacing w:after="40" w:line="240" w:lineRule="auto"/>
              <w:ind w:firstLine="0"/>
              <w:jc w:val="left"/>
            </w:pPr>
            <w:r>
              <w:rPr>
                <w:b w:val="1"/>
                <w:bCs w:val="1"/>
                <w:sz w:val="18"/>
                <w:szCs w:val="18"/>
                <w:rtl w:val="0"/>
                <w:lang w:val="en-US"/>
              </w:rPr>
              <w:t>Problem</w:t>
            </w:r>
          </w:p>
        </w:tc>
        <w:tc>
          <w:tcPr>
            <w:tcW w:type="dxa" w:w="3670"/>
            <w:tcBorders>
              <w:top w:val="single" w:color="777777" w:sz="8" w:space="0" w:shadow="0" w:frame="0"/>
              <w:left w:val="nil"/>
              <w:bottom w:val="single" w:color="d0d0d0" w:sz="3" w:space="0" w:shadow="0" w:frame="0"/>
              <w:right w:val="nil"/>
            </w:tcBorders>
            <w:shd w:val="clear" w:color="auto" w:fill="f2f2f2"/>
            <w:tcMar>
              <w:top w:type="dxa" w:w="80"/>
              <w:left w:type="dxa" w:w="80"/>
              <w:bottom w:type="dxa" w:w="80"/>
              <w:right w:type="dxa" w:w="80"/>
            </w:tcMar>
            <w:vAlign w:val="top"/>
          </w:tcPr>
          <w:p>
            <w:pPr>
              <w:pStyle w:val="Normal.0"/>
              <w:spacing w:after="40" w:line="240" w:lineRule="auto"/>
              <w:ind w:firstLine="0"/>
              <w:jc w:val="left"/>
            </w:pPr>
            <w:r>
              <w:rPr>
                <w:b w:val="1"/>
                <w:bCs w:val="1"/>
                <w:sz w:val="18"/>
                <w:szCs w:val="18"/>
                <w:rtl w:val="0"/>
                <w:lang w:val="en-US"/>
              </w:rPr>
              <w:t>Result of this work</w:t>
            </w:r>
          </w:p>
        </w:tc>
        <w:tc>
          <w:tcPr>
            <w:tcW w:type="dxa" w:w="3576"/>
            <w:tcBorders>
              <w:top w:val="single" w:color="777777" w:sz="8" w:space="0" w:shadow="0" w:frame="0"/>
              <w:left w:val="nil"/>
              <w:bottom w:val="single" w:color="d0d0d0" w:sz="3" w:space="0" w:shadow="0" w:frame="0"/>
              <w:right w:val="nil"/>
            </w:tcBorders>
            <w:shd w:val="clear" w:color="auto" w:fill="f2f2f2"/>
            <w:tcMar>
              <w:top w:type="dxa" w:w="80"/>
              <w:left w:type="dxa" w:w="80"/>
              <w:bottom w:type="dxa" w:w="80"/>
              <w:right w:type="dxa" w:w="80"/>
            </w:tcMar>
            <w:vAlign w:val="top"/>
          </w:tcPr>
          <w:p>
            <w:pPr>
              <w:pStyle w:val="Normal.0"/>
              <w:spacing w:after="40" w:line="240" w:lineRule="auto"/>
              <w:ind w:firstLine="0"/>
              <w:jc w:val="left"/>
            </w:pPr>
            <w:r>
              <w:rPr>
                <w:b w:val="1"/>
                <w:bCs w:val="1"/>
                <w:sz w:val="18"/>
                <w:szCs w:val="18"/>
                <w:rtl w:val="0"/>
                <w:lang w:val="en-US"/>
              </w:rPr>
              <w:t>What remains necessary</w:t>
            </w:r>
          </w:p>
        </w:tc>
      </w:tr>
      <w:tr>
        <w:tblPrEx>
          <w:shd w:val="clear" w:color="auto" w:fill="ced7e7"/>
        </w:tblPrEx>
        <w:trPr>
          <w:trHeight w:val="400" w:hRule="atLeast"/>
        </w:trPr>
        <w:tc>
          <w:tcPr>
            <w:tcW w:type="dxa" w:w="2165"/>
            <w:tcBorders>
              <w:top w:val="single" w:color="d0d0d0" w:sz="3" w:space="0" w:shadow="0" w:frame="0"/>
              <w:left w:val="nil"/>
              <w:bottom w:val="single" w:color="d0d0d0" w:sz="3" w:space="0" w:shadow="0" w:frame="0"/>
              <w:right w:val="nil"/>
            </w:tcBorders>
            <w:shd w:val="clear" w:color="auto" w:fill="auto"/>
            <w:tcMar>
              <w:top w:type="dxa" w:w="80"/>
              <w:left w:type="dxa" w:w="80"/>
              <w:bottom w:type="dxa" w:w="80"/>
              <w:right w:type="dxa" w:w="80"/>
            </w:tcMar>
            <w:vAlign w:val="top"/>
          </w:tcPr>
          <w:p>
            <w:pPr>
              <w:pStyle w:val="Normal.0"/>
              <w:spacing w:after="40" w:line="240" w:lineRule="auto"/>
              <w:ind w:firstLine="0"/>
              <w:jc w:val="left"/>
            </w:pPr>
            <w:r>
              <w:rPr>
                <w:sz w:val="18"/>
                <w:szCs w:val="18"/>
                <w:rtl w:val="0"/>
                <w:lang w:val="en-US"/>
              </w:rPr>
              <w:t>Relational redistribution</w:t>
            </w:r>
          </w:p>
        </w:tc>
        <w:tc>
          <w:tcPr>
            <w:tcW w:type="dxa" w:w="3670"/>
            <w:tcBorders>
              <w:top w:val="single" w:color="d0d0d0" w:sz="3" w:space="0" w:shadow="0" w:frame="0"/>
              <w:left w:val="nil"/>
              <w:bottom w:val="single" w:color="d0d0d0" w:sz="3" w:space="0" w:shadow="0" w:frame="0"/>
              <w:right w:val="nil"/>
            </w:tcBorders>
            <w:shd w:val="clear" w:color="auto" w:fill="auto"/>
            <w:tcMar>
              <w:top w:type="dxa" w:w="80"/>
              <w:left w:type="dxa" w:w="80"/>
              <w:bottom w:type="dxa" w:w="80"/>
              <w:right w:type="dxa" w:w="80"/>
            </w:tcMar>
            <w:vAlign w:val="top"/>
          </w:tcPr>
          <w:p>
            <w:pPr>
              <w:pStyle w:val="Normal.0"/>
              <w:spacing w:after="40" w:line="240" w:lineRule="auto"/>
              <w:ind w:firstLine="0"/>
              <w:jc w:val="left"/>
            </w:pPr>
            <w:r>
              <w:rPr>
                <w:sz w:val="18"/>
                <w:szCs w:val="18"/>
                <w:rtl w:val="0"/>
                <w:lang w:val="en-US"/>
              </w:rPr>
              <w:t>Closed H and local balance, Eqs. (44)</w:t>
            </w:r>
            <w:r>
              <w:rPr>
                <w:sz w:val="18"/>
                <w:szCs w:val="18"/>
                <w:rtl w:val="0"/>
                <w:lang w:val="en-US"/>
              </w:rPr>
              <w:t>–</w:t>
            </w:r>
            <w:r>
              <w:rPr>
                <w:sz w:val="18"/>
                <w:szCs w:val="18"/>
                <w:rtl w:val="0"/>
                <w:lang w:val="en-US"/>
              </w:rPr>
              <w:t>(48)</w:t>
            </w:r>
          </w:p>
        </w:tc>
        <w:tc>
          <w:tcPr>
            <w:tcW w:type="dxa" w:w="3576"/>
            <w:tcBorders>
              <w:top w:val="single" w:color="d0d0d0" w:sz="3" w:space="0" w:shadow="0" w:frame="0"/>
              <w:left w:val="nil"/>
              <w:bottom w:val="single" w:color="d0d0d0" w:sz="3" w:space="0" w:shadow="0" w:frame="0"/>
              <w:right w:val="nil"/>
            </w:tcBorders>
            <w:shd w:val="clear" w:color="auto" w:fill="auto"/>
            <w:tcMar>
              <w:top w:type="dxa" w:w="80"/>
              <w:left w:type="dxa" w:w="80"/>
              <w:bottom w:type="dxa" w:w="80"/>
              <w:right w:type="dxa" w:w="80"/>
            </w:tcMar>
            <w:vAlign w:val="top"/>
          </w:tcPr>
          <w:p>
            <w:pPr>
              <w:pStyle w:val="Normal.0"/>
              <w:spacing w:after="40" w:line="240" w:lineRule="auto"/>
              <w:ind w:firstLine="0"/>
              <w:jc w:val="left"/>
            </w:pPr>
            <w:r>
              <w:rPr>
                <w:sz w:val="18"/>
                <w:szCs w:val="18"/>
                <w:rtl w:val="0"/>
                <w:lang w:val="en-US"/>
              </w:rPr>
              <w:t>Physical interpretation of the conserved quantity</w:t>
            </w:r>
          </w:p>
        </w:tc>
      </w:tr>
      <w:tr>
        <w:tblPrEx>
          <w:shd w:val="clear" w:color="auto" w:fill="ced7e7"/>
        </w:tblPrEx>
        <w:trPr>
          <w:trHeight w:val="400" w:hRule="atLeast"/>
        </w:trPr>
        <w:tc>
          <w:tcPr>
            <w:tcW w:type="dxa" w:w="2165"/>
            <w:tcBorders>
              <w:top w:val="single" w:color="d0d0d0" w:sz="3" w:space="0" w:shadow="0" w:frame="0"/>
              <w:left w:val="nil"/>
              <w:bottom w:val="single" w:color="d0d0d0" w:sz="3" w:space="0" w:shadow="0" w:frame="0"/>
              <w:right w:val="nil"/>
            </w:tcBorders>
            <w:shd w:val="clear" w:color="auto" w:fill="auto"/>
            <w:tcMar>
              <w:top w:type="dxa" w:w="80"/>
              <w:left w:type="dxa" w:w="80"/>
              <w:bottom w:type="dxa" w:w="80"/>
              <w:right w:type="dxa" w:w="80"/>
            </w:tcMar>
            <w:vAlign w:val="top"/>
          </w:tcPr>
          <w:p>
            <w:pPr>
              <w:pStyle w:val="Normal.0"/>
              <w:spacing w:after="40" w:line="240" w:lineRule="auto"/>
              <w:ind w:firstLine="0"/>
              <w:jc w:val="left"/>
            </w:pPr>
            <w:r>
              <w:rPr>
                <w:sz w:val="18"/>
                <w:szCs w:val="18"/>
                <w:rtl w:val="0"/>
                <w:lang w:val="en-US"/>
              </w:rPr>
              <w:t>Quasilocal distinguishability</w:t>
            </w:r>
          </w:p>
        </w:tc>
        <w:tc>
          <w:tcPr>
            <w:tcW w:type="dxa" w:w="3670"/>
            <w:tcBorders>
              <w:top w:val="single" w:color="d0d0d0" w:sz="3" w:space="0" w:shadow="0" w:frame="0"/>
              <w:left w:val="nil"/>
              <w:bottom w:val="single" w:color="d0d0d0" w:sz="3" w:space="0" w:shadow="0" w:frame="0"/>
              <w:right w:val="nil"/>
            </w:tcBorders>
            <w:shd w:val="clear" w:color="auto" w:fill="auto"/>
            <w:tcMar>
              <w:top w:type="dxa" w:w="80"/>
              <w:left w:type="dxa" w:w="80"/>
              <w:bottom w:type="dxa" w:w="80"/>
              <w:right w:type="dxa" w:w="80"/>
            </w:tcMar>
            <w:vAlign w:val="top"/>
          </w:tcPr>
          <w:p>
            <w:pPr>
              <w:pStyle w:val="Normal.0"/>
              <w:spacing w:after="40" w:line="240" w:lineRule="auto"/>
              <w:ind w:firstLine="0"/>
              <w:jc w:val="left"/>
            </w:pPr>
            <w:r>
              <w:rPr>
                <w:sz w:val="18"/>
                <w:szCs w:val="18"/>
                <w:rtl w:val="0"/>
                <w:lang w:val="en-US"/>
              </w:rPr>
              <w:t>Spectral criterion and bound, Eq. (12)</w:t>
            </w:r>
          </w:p>
        </w:tc>
        <w:tc>
          <w:tcPr>
            <w:tcW w:type="dxa" w:w="3576"/>
            <w:tcBorders>
              <w:top w:val="single" w:color="d0d0d0" w:sz="3" w:space="0" w:shadow="0" w:frame="0"/>
              <w:left w:val="nil"/>
              <w:bottom w:val="single" w:color="d0d0d0" w:sz="3" w:space="0" w:shadow="0" w:frame="0"/>
              <w:right w:val="nil"/>
            </w:tcBorders>
            <w:shd w:val="clear" w:color="auto" w:fill="auto"/>
            <w:tcMar>
              <w:top w:type="dxa" w:w="80"/>
              <w:left w:type="dxa" w:w="80"/>
              <w:bottom w:type="dxa" w:w="80"/>
              <w:right w:type="dxa" w:w="80"/>
            </w:tcMar>
            <w:vAlign w:val="top"/>
          </w:tcPr>
          <w:p>
            <w:pPr>
              <w:pStyle w:val="Normal.0"/>
              <w:spacing w:after="40" w:line="240" w:lineRule="auto"/>
              <w:ind w:firstLine="0"/>
              <w:jc w:val="left"/>
            </w:pPr>
            <w:r>
              <w:rPr>
                <w:sz w:val="18"/>
                <w:szCs w:val="18"/>
                <w:rtl w:val="0"/>
                <w:lang w:val="en-US"/>
              </w:rPr>
              <w:t>Dynamical selection of a block/local regime</w:t>
            </w:r>
          </w:p>
        </w:tc>
      </w:tr>
      <w:tr>
        <w:tblPrEx>
          <w:shd w:val="clear" w:color="auto" w:fill="ced7e7"/>
        </w:tblPrEx>
        <w:trPr>
          <w:trHeight w:val="400" w:hRule="atLeast"/>
        </w:trPr>
        <w:tc>
          <w:tcPr>
            <w:tcW w:type="dxa" w:w="2165"/>
            <w:tcBorders>
              <w:top w:val="single" w:color="d0d0d0" w:sz="3" w:space="0" w:shadow="0" w:frame="0"/>
              <w:left w:val="nil"/>
              <w:bottom w:val="single" w:color="d0d0d0" w:sz="3" w:space="0" w:shadow="0" w:frame="0"/>
              <w:right w:val="nil"/>
            </w:tcBorders>
            <w:shd w:val="clear" w:color="auto" w:fill="auto"/>
            <w:tcMar>
              <w:top w:type="dxa" w:w="80"/>
              <w:left w:type="dxa" w:w="80"/>
              <w:bottom w:type="dxa" w:w="80"/>
              <w:right w:type="dxa" w:w="80"/>
            </w:tcMar>
            <w:vAlign w:val="top"/>
          </w:tcPr>
          <w:p>
            <w:pPr>
              <w:pStyle w:val="Normal.0"/>
              <w:spacing w:after="40" w:line="240" w:lineRule="auto"/>
              <w:ind w:firstLine="0"/>
              <w:jc w:val="left"/>
            </w:pPr>
            <w:r>
              <w:rPr>
                <w:sz w:val="18"/>
                <w:szCs w:val="18"/>
                <w:rtl w:val="0"/>
                <w:lang w:val="en-US"/>
              </w:rPr>
              <w:t>Common speed of independent fields</w:t>
            </w:r>
          </w:p>
        </w:tc>
        <w:tc>
          <w:tcPr>
            <w:tcW w:type="dxa" w:w="3670"/>
            <w:tcBorders>
              <w:top w:val="single" w:color="d0d0d0" w:sz="3" w:space="0" w:shadow="0" w:frame="0"/>
              <w:left w:val="nil"/>
              <w:bottom w:val="single" w:color="d0d0d0" w:sz="3" w:space="0" w:shadow="0" w:frame="0"/>
              <w:right w:val="nil"/>
            </w:tcBorders>
            <w:shd w:val="clear" w:color="auto" w:fill="auto"/>
            <w:tcMar>
              <w:top w:type="dxa" w:w="80"/>
              <w:left w:type="dxa" w:w="80"/>
              <w:bottom w:type="dxa" w:w="80"/>
              <w:right w:type="dxa" w:w="80"/>
            </w:tcMar>
            <w:vAlign w:val="top"/>
          </w:tcPr>
          <w:p>
            <w:pPr>
              <w:pStyle w:val="Normal.0"/>
              <w:spacing w:after="40" w:line="240" w:lineRule="auto"/>
              <w:ind w:firstLine="0"/>
              <w:jc w:val="left"/>
            </w:pPr>
            <w:r>
              <w:rPr>
                <w:sz w:val="18"/>
                <w:szCs w:val="18"/>
                <w:rtl w:val="0"/>
                <w:lang w:val="en-US"/>
              </w:rPr>
              <w:t>No-go result for the class in Eq. (15)</w:t>
            </w:r>
          </w:p>
        </w:tc>
        <w:tc>
          <w:tcPr>
            <w:tcW w:type="dxa" w:w="3576"/>
            <w:tcBorders>
              <w:top w:val="single" w:color="d0d0d0" w:sz="3" w:space="0" w:shadow="0" w:frame="0"/>
              <w:left w:val="nil"/>
              <w:bottom w:val="single" w:color="d0d0d0" w:sz="3" w:space="0" w:shadow="0" w:frame="0"/>
              <w:right w:val="nil"/>
            </w:tcBorders>
            <w:shd w:val="clear" w:color="auto" w:fill="auto"/>
            <w:tcMar>
              <w:top w:type="dxa" w:w="80"/>
              <w:left w:type="dxa" w:w="80"/>
              <w:bottom w:type="dxa" w:w="80"/>
              <w:right w:type="dxa" w:w="80"/>
            </w:tcMar>
            <w:vAlign w:val="top"/>
          </w:tcPr>
          <w:p>
            <w:pPr>
              <w:pStyle w:val="Normal.0"/>
              <w:spacing w:after="40" w:line="240" w:lineRule="auto"/>
              <w:ind w:firstLine="0"/>
              <w:jc w:val="left"/>
            </w:pPr>
            <w:r>
              <w:rPr>
                <w:sz w:val="18"/>
                <w:szCs w:val="18"/>
                <w:rtl w:val="0"/>
                <w:lang w:val="en-US"/>
              </w:rPr>
              <w:t>Interaction, symmetry, or a calculated RG flow</w:t>
            </w:r>
          </w:p>
        </w:tc>
      </w:tr>
      <w:tr>
        <w:tblPrEx>
          <w:shd w:val="clear" w:color="auto" w:fill="ced7e7"/>
        </w:tblPrEx>
        <w:trPr>
          <w:trHeight w:val="200" w:hRule="atLeast"/>
        </w:trPr>
        <w:tc>
          <w:tcPr>
            <w:tcW w:type="dxa" w:w="2165"/>
            <w:tcBorders>
              <w:top w:val="single" w:color="d0d0d0" w:sz="3" w:space="0" w:shadow="0" w:frame="0"/>
              <w:left w:val="nil"/>
              <w:bottom w:val="single" w:color="d0d0d0" w:sz="3" w:space="0" w:shadow="0" w:frame="0"/>
              <w:right w:val="nil"/>
            </w:tcBorders>
            <w:shd w:val="clear" w:color="auto" w:fill="auto"/>
            <w:tcMar>
              <w:top w:type="dxa" w:w="80"/>
              <w:left w:type="dxa" w:w="80"/>
              <w:bottom w:type="dxa" w:w="80"/>
              <w:right w:type="dxa" w:w="80"/>
            </w:tcMar>
            <w:vAlign w:val="top"/>
          </w:tcPr>
          <w:p>
            <w:pPr>
              <w:pStyle w:val="Normal.0"/>
              <w:spacing w:after="40" w:line="240" w:lineRule="auto"/>
              <w:ind w:firstLine="0"/>
              <w:jc w:val="left"/>
            </w:pPr>
            <w:r>
              <w:rPr>
                <w:sz w:val="18"/>
                <w:szCs w:val="18"/>
                <w:rtl w:val="0"/>
                <w:lang w:val="en-US"/>
              </w:rPr>
              <w:t>Collective massless mode</w:t>
            </w:r>
          </w:p>
        </w:tc>
        <w:tc>
          <w:tcPr>
            <w:tcW w:type="dxa" w:w="3670"/>
            <w:tcBorders>
              <w:top w:val="single" w:color="d0d0d0" w:sz="3" w:space="0" w:shadow="0" w:frame="0"/>
              <w:left w:val="nil"/>
              <w:bottom w:val="single" w:color="d0d0d0" w:sz="3" w:space="0" w:shadow="0" w:frame="0"/>
              <w:right w:val="nil"/>
            </w:tcBorders>
            <w:shd w:val="clear" w:color="auto" w:fill="auto"/>
            <w:tcMar>
              <w:top w:type="dxa" w:w="80"/>
              <w:left w:type="dxa" w:w="80"/>
              <w:bottom w:type="dxa" w:w="80"/>
              <w:right w:type="dxa" w:w="80"/>
            </w:tcMar>
            <w:vAlign w:val="top"/>
          </w:tcPr>
          <w:p>
            <w:pPr>
              <w:pStyle w:val="Normal.0"/>
              <w:spacing w:after="40" w:line="240" w:lineRule="auto"/>
              <w:ind w:firstLine="0"/>
              <w:jc w:val="left"/>
            </w:pPr>
            <w:r>
              <w:rPr>
                <w:sz w:val="18"/>
                <w:szCs w:val="18"/>
                <w:rtl w:val="0"/>
                <w:lang w:val="en-US"/>
              </w:rPr>
              <w:t>Exact model, Eqs. (18)</w:t>
            </w:r>
            <w:r>
              <w:rPr>
                <w:sz w:val="18"/>
                <w:szCs w:val="18"/>
                <w:rtl w:val="0"/>
                <w:lang w:val="en-US"/>
              </w:rPr>
              <w:t>–</w:t>
            </w:r>
            <w:r>
              <w:rPr>
                <w:sz w:val="18"/>
                <w:szCs w:val="18"/>
                <w:rtl w:val="0"/>
                <w:lang w:val="en-US"/>
              </w:rPr>
              <w:t>(31)</w:t>
            </w:r>
          </w:p>
        </w:tc>
        <w:tc>
          <w:tcPr>
            <w:tcW w:type="dxa" w:w="3576"/>
            <w:tcBorders>
              <w:top w:val="single" w:color="d0d0d0" w:sz="3" w:space="0" w:shadow="0" w:frame="0"/>
              <w:left w:val="nil"/>
              <w:bottom w:val="single" w:color="d0d0d0" w:sz="3" w:space="0" w:shadow="0" w:frame="0"/>
              <w:right w:val="nil"/>
            </w:tcBorders>
            <w:shd w:val="clear" w:color="auto" w:fill="auto"/>
            <w:tcMar>
              <w:top w:type="dxa" w:w="80"/>
              <w:left w:type="dxa" w:w="80"/>
              <w:bottom w:type="dxa" w:w="80"/>
              <w:right w:type="dxa" w:w="80"/>
            </w:tcMar>
            <w:vAlign w:val="top"/>
          </w:tcPr>
          <w:p>
            <w:pPr>
              <w:pStyle w:val="Normal.0"/>
              <w:spacing w:after="40" w:line="240" w:lineRule="auto"/>
              <w:ind w:firstLine="0"/>
              <w:jc w:val="left"/>
            </w:pPr>
            <w:r>
              <w:rPr>
                <w:sz w:val="18"/>
                <w:szCs w:val="18"/>
                <w:rtl w:val="0"/>
                <w:lang w:val="en-US"/>
              </w:rPr>
              <w:t>Connection to observable physical sectors</w:t>
            </w:r>
          </w:p>
        </w:tc>
      </w:tr>
      <w:tr>
        <w:tblPrEx>
          <w:shd w:val="clear" w:color="auto" w:fill="ced7e7"/>
        </w:tblPrEx>
        <w:trPr>
          <w:trHeight w:val="400" w:hRule="atLeast"/>
        </w:trPr>
        <w:tc>
          <w:tcPr>
            <w:tcW w:type="dxa" w:w="2165"/>
            <w:tcBorders>
              <w:top w:val="single" w:color="d0d0d0" w:sz="3" w:space="0" w:shadow="0" w:frame="0"/>
              <w:left w:val="nil"/>
              <w:bottom w:val="single" w:color="d0d0d0" w:sz="3" w:space="0" w:shadow="0" w:frame="0"/>
              <w:right w:val="nil"/>
            </w:tcBorders>
            <w:shd w:val="clear" w:color="auto" w:fill="auto"/>
            <w:tcMar>
              <w:top w:type="dxa" w:w="80"/>
              <w:left w:type="dxa" w:w="80"/>
              <w:bottom w:type="dxa" w:w="80"/>
              <w:right w:type="dxa" w:w="80"/>
            </w:tcMar>
            <w:vAlign w:val="top"/>
          </w:tcPr>
          <w:p>
            <w:pPr>
              <w:pStyle w:val="Normal.0"/>
              <w:spacing w:after="40" w:line="240" w:lineRule="auto"/>
              <w:ind w:firstLine="0"/>
              <w:jc w:val="left"/>
            </w:pPr>
            <w:r>
              <w:rPr>
                <w:sz w:val="18"/>
                <w:szCs w:val="18"/>
                <w:rtl w:val="0"/>
                <w:lang w:val="en-US"/>
              </w:rPr>
              <w:t>Several common infrared cones</w:t>
            </w:r>
          </w:p>
        </w:tc>
        <w:tc>
          <w:tcPr>
            <w:tcW w:type="dxa" w:w="3670"/>
            <w:tcBorders>
              <w:top w:val="single" w:color="d0d0d0" w:sz="3" w:space="0" w:shadow="0" w:frame="0"/>
              <w:left w:val="nil"/>
              <w:bottom w:val="single" w:color="d0d0d0" w:sz="3" w:space="0" w:shadow="0" w:frame="0"/>
              <w:right w:val="nil"/>
            </w:tcBorders>
            <w:shd w:val="clear" w:color="auto" w:fill="auto"/>
            <w:tcMar>
              <w:top w:type="dxa" w:w="80"/>
              <w:left w:type="dxa" w:w="80"/>
              <w:bottom w:type="dxa" w:w="80"/>
              <w:right w:type="dxa" w:w="80"/>
            </w:tcMar>
            <w:vAlign w:val="top"/>
          </w:tcPr>
          <w:p>
            <w:pPr>
              <w:pStyle w:val="Normal.0"/>
              <w:spacing w:after="40" w:line="240" w:lineRule="auto"/>
              <w:ind w:firstLine="0"/>
              <w:jc w:val="left"/>
            </w:pPr>
            <w:r>
              <w:rPr>
                <w:sz w:val="18"/>
                <w:szCs w:val="18"/>
                <w:rtl w:val="0"/>
                <w:lang w:val="en-US"/>
              </w:rPr>
              <w:t>Criterion, Eq. (40), and conditional symmetry protection</w:t>
            </w:r>
          </w:p>
        </w:tc>
        <w:tc>
          <w:tcPr>
            <w:tcW w:type="dxa" w:w="3576"/>
            <w:tcBorders>
              <w:top w:val="single" w:color="d0d0d0" w:sz="3" w:space="0" w:shadow="0" w:frame="0"/>
              <w:left w:val="nil"/>
              <w:bottom w:val="single" w:color="d0d0d0" w:sz="3" w:space="0" w:shadow="0" w:frame="0"/>
              <w:right w:val="nil"/>
            </w:tcBorders>
            <w:shd w:val="clear" w:color="auto" w:fill="auto"/>
            <w:tcMar>
              <w:top w:type="dxa" w:w="80"/>
              <w:left w:type="dxa" w:w="80"/>
              <w:bottom w:type="dxa" w:w="80"/>
              <w:right w:type="dxa" w:w="80"/>
            </w:tcMar>
            <w:vAlign w:val="top"/>
          </w:tcPr>
          <w:p>
            <w:pPr>
              <w:pStyle w:val="Normal.0"/>
              <w:spacing w:after="40" w:line="240" w:lineRule="auto"/>
              <w:ind w:firstLine="0"/>
              <w:jc w:val="left"/>
            </w:pPr>
            <w:r>
              <w:rPr>
                <w:sz w:val="18"/>
                <w:szCs w:val="18"/>
                <w:rtl w:val="0"/>
                <w:lang w:val="en-US"/>
              </w:rPr>
              <w:t>Origin of the symmetry and intersector matching</w:t>
            </w:r>
          </w:p>
        </w:tc>
      </w:tr>
      <w:tr>
        <w:tblPrEx>
          <w:shd w:val="clear" w:color="auto" w:fill="ced7e7"/>
        </w:tblPrEx>
        <w:trPr>
          <w:trHeight w:val="400" w:hRule="atLeast"/>
        </w:trPr>
        <w:tc>
          <w:tcPr>
            <w:tcW w:type="dxa" w:w="2165"/>
            <w:tcBorders>
              <w:top w:val="single" w:color="d0d0d0" w:sz="3" w:space="0" w:shadow="0" w:frame="0"/>
              <w:left w:val="nil"/>
              <w:bottom w:val="single" w:color="d0d0d0" w:sz="3" w:space="0" w:shadow="0" w:frame="0"/>
              <w:right w:val="nil"/>
            </w:tcBorders>
            <w:shd w:val="clear" w:color="auto" w:fill="auto"/>
            <w:tcMar>
              <w:top w:type="dxa" w:w="80"/>
              <w:left w:type="dxa" w:w="80"/>
              <w:bottom w:type="dxa" w:w="80"/>
              <w:right w:type="dxa" w:w="80"/>
            </w:tcMar>
            <w:vAlign w:val="top"/>
          </w:tcPr>
          <w:p>
            <w:pPr>
              <w:pStyle w:val="Normal.0"/>
              <w:spacing w:after="40" w:line="240" w:lineRule="auto"/>
              <w:ind w:firstLine="0"/>
              <w:jc w:val="left"/>
            </w:pPr>
            <w:r>
              <w:rPr>
                <w:sz w:val="18"/>
                <w:szCs w:val="18"/>
                <w:rtl w:val="0"/>
                <w:lang w:val="en-US"/>
              </w:rPr>
              <w:t>Strict causality</w:t>
            </w:r>
          </w:p>
        </w:tc>
        <w:tc>
          <w:tcPr>
            <w:tcW w:type="dxa" w:w="3670"/>
            <w:tcBorders>
              <w:top w:val="single" w:color="d0d0d0" w:sz="3" w:space="0" w:shadow="0" w:frame="0"/>
              <w:left w:val="nil"/>
              <w:bottom w:val="single" w:color="d0d0d0" w:sz="3" w:space="0" w:shadow="0" w:frame="0"/>
              <w:right w:val="nil"/>
            </w:tcBorders>
            <w:shd w:val="clear" w:color="auto" w:fill="auto"/>
            <w:tcMar>
              <w:top w:type="dxa" w:w="80"/>
              <w:left w:type="dxa" w:w="80"/>
              <w:bottom w:type="dxa" w:w="80"/>
              <w:right w:type="dxa" w:w="80"/>
            </w:tcMar>
            <w:vAlign w:val="top"/>
          </w:tcPr>
          <w:p>
            <w:pPr>
              <w:pStyle w:val="Normal.0"/>
              <w:spacing w:after="40" w:line="240" w:lineRule="auto"/>
              <w:ind w:firstLine="0"/>
              <w:jc w:val="left"/>
            </w:pPr>
            <w:r>
              <w:rPr>
                <w:sz w:val="18"/>
                <w:szCs w:val="18"/>
                <w:rtl w:val="0"/>
                <w:lang w:val="en-US"/>
              </w:rPr>
              <w:t>Finite-network tails, Eq. (50)</w:t>
            </w:r>
          </w:p>
        </w:tc>
        <w:tc>
          <w:tcPr>
            <w:tcW w:type="dxa" w:w="3576"/>
            <w:tcBorders>
              <w:top w:val="single" w:color="d0d0d0" w:sz="3" w:space="0" w:shadow="0" w:frame="0"/>
              <w:left w:val="nil"/>
              <w:bottom w:val="single" w:color="d0d0d0" w:sz="3" w:space="0" w:shadow="0" w:frame="0"/>
              <w:right w:val="nil"/>
            </w:tcBorders>
            <w:shd w:val="clear" w:color="auto" w:fill="auto"/>
            <w:tcMar>
              <w:top w:type="dxa" w:w="80"/>
              <w:left w:type="dxa" w:w="80"/>
              <w:bottom w:type="dxa" w:w="80"/>
              <w:right w:type="dxa" w:w="80"/>
            </w:tcMar>
            <w:vAlign w:val="top"/>
          </w:tcPr>
          <w:p>
            <w:pPr>
              <w:pStyle w:val="Normal.0"/>
              <w:spacing w:after="40" w:line="240" w:lineRule="auto"/>
              <w:ind w:firstLine="0"/>
              <w:jc w:val="left"/>
            </w:pPr>
            <w:r>
              <w:rPr>
                <w:sz w:val="18"/>
                <w:szCs w:val="18"/>
                <w:rtl w:val="0"/>
                <w:lang w:val="en-US"/>
              </w:rPr>
              <w:t>Controlled response limit or a different microscopic law</w:t>
            </w:r>
          </w:p>
        </w:tc>
      </w:tr>
      <w:tr>
        <w:tblPrEx>
          <w:shd w:val="clear" w:color="auto" w:fill="ced7e7"/>
        </w:tblPrEx>
        <w:trPr>
          <w:trHeight w:val="406" w:hRule="atLeast"/>
        </w:trPr>
        <w:tc>
          <w:tcPr>
            <w:tcW w:type="dxa" w:w="2165"/>
            <w:tcBorders>
              <w:top w:val="single" w:color="d0d0d0" w:sz="3" w:space="0" w:shadow="0" w:frame="0"/>
              <w:left w:val="nil"/>
              <w:bottom w:val="single" w:color="777777" w:sz="8" w:space="0" w:shadow="0" w:frame="0"/>
              <w:right w:val="nil"/>
            </w:tcBorders>
            <w:shd w:val="clear" w:color="auto" w:fill="auto"/>
            <w:tcMar>
              <w:top w:type="dxa" w:w="80"/>
              <w:left w:type="dxa" w:w="80"/>
              <w:bottom w:type="dxa" w:w="80"/>
              <w:right w:type="dxa" w:w="80"/>
            </w:tcMar>
            <w:vAlign w:val="top"/>
          </w:tcPr>
          <w:p>
            <w:pPr>
              <w:pStyle w:val="Normal.0"/>
              <w:spacing w:after="40" w:line="240" w:lineRule="auto"/>
              <w:ind w:firstLine="0"/>
              <w:jc w:val="left"/>
            </w:pPr>
            <w:r>
              <w:rPr>
                <w:sz w:val="18"/>
                <w:szCs w:val="18"/>
                <w:rtl w:val="0"/>
                <w:lang w:val="en-US"/>
              </w:rPr>
              <w:t>Dimension, time, and gravity</w:t>
            </w:r>
          </w:p>
        </w:tc>
        <w:tc>
          <w:tcPr>
            <w:tcW w:type="dxa" w:w="3670"/>
            <w:tcBorders>
              <w:top w:val="single" w:color="d0d0d0" w:sz="3" w:space="0" w:shadow="0" w:frame="0"/>
              <w:left w:val="nil"/>
              <w:bottom w:val="single" w:color="777777" w:sz="8" w:space="0" w:shadow="0" w:frame="0"/>
              <w:right w:val="nil"/>
            </w:tcBorders>
            <w:shd w:val="clear" w:color="auto" w:fill="auto"/>
            <w:tcMar>
              <w:top w:type="dxa" w:w="80"/>
              <w:left w:type="dxa" w:w="80"/>
              <w:bottom w:type="dxa" w:w="80"/>
              <w:right w:type="dxa" w:w="80"/>
            </w:tcMar>
            <w:vAlign w:val="top"/>
          </w:tcPr>
          <w:p>
            <w:pPr>
              <w:pStyle w:val="Normal.0"/>
              <w:spacing w:after="40" w:line="240" w:lineRule="auto"/>
              <w:ind w:firstLine="0"/>
              <w:jc w:val="left"/>
            </w:pPr>
            <w:r>
              <w:rPr>
                <w:sz w:val="18"/>
                <w:szCs w:val="18"/>
                <w:rtl w:val="0"/>
                <w:lang w:val="en-US"/>
              </w:rPr>
              <w:t>Explicitly stated conditions</w:t>
            </w:r>
          </w:p>
        </w:tc>
        <w:tc>
          <w:tcPr>
            <w:tcW w:type="dxa" w:w="3576"/>
            <w:tcBorders>
              <w:top w:val="single" w:color="d0d0d0" w:sz="3" w:space="0" w:shadow="0" w:frame="0"/>
              <w:left w:val="nil"/>
              <w:bottom w:val="single" w:color="777777" w:sz="8" w:space="0" w:shadow="0" w:frame="0"/>
              <w:right w:val="nil"/>
            </w:tcBorders>
            <w:shd w:val="clear" w:color="auto" w:fill="auto"/>
            <w:tcMar>
              <w:top w:type="dxa" w:w="80"/>
              <w:left w:type="dxa" w:w="80"/>
              <w:bottom w:type="dxa" w:w="80"/>
              <w:right w:type="dxa" w:w="80"/>
            </w:tcMar>
            <w:vAlign w:val="top"/>
          </w:tcPr>
          <w:p>
            <w:pPr>
              <w:pStyle w:val="Normal.0"/>
              <w:spacing w:after="40" w:line="240" w:lineRule="auto"/>
              <w:ind w:firstLine="0"/>
              <w:jc w:val="left"/>
            </w:pPr>
            <w:r>
              <w:rPr>
                <w:sz w:val="18"/>
                <w:szCs w:val="18"/>
                <w:rtl w:val="0"/>
                <w:lang w:val="en-US"/>
              </w:rPr>
              <w:t>Independent dynamical derivations</w:t>
            </w:r>
          </w:p>
        </w:tc>
      </w:tr>
    </w:tbl>
    <w:p>
      <w:pPr>
        <w:pStyle w:val="Normal.0"/>
        <w:widowControl w:val="0"/>
        <w:spacing w:after="80" w:line="240" w:lineRule="atLeast"/>
        <w:ind w:firstLine="0"/>
        <w:jc w:val="center"/>
      </w:pPr>
    </w:p>
    <w:p>
      <w:pPr>
        <w:pStyle w:val="caption"/>
        <w:spacing w:before="60" w:after="120" w:line="240" w:lineRule="atLeast"/>
      </w:pPr>
      <w:r>
        <w:rPr>
          <w:b w:val="1"/>
          <w:bCs w:val="1"/>
          <w:rtl w:val="0"/>
          <w:lang w:val="en-US"/>
        </w:rPr>
        <w:t xml:space="preserve">Table 3. </w:t>
      </w:r>
      <w:r>
        <w:rPr>
          <w:rtl w:val="0"/>
          <w:lang w:val="en-US"/>
        </w:rPr>
        <w:t>Summary of results obtained in the present work and the principal open requirements.</w:t>
      </w:r>
    </w:p>
    <w:p>
      <w:pPr>
        <w:pStyle w:val="Normal.0"/>
        <w:spacing w:after="80" w:line="240" w:lineRule="atLeast"/>
      </w:pPr>
      <w:r>
        <w:rPr>
          <w:sz w:val="22"/>
          <w:szCs w:val="22"/>
          <w:rtl w:val="0"/>
          <w:lang w:val="en-US"/>
        </w:rPr>
        <w:t>The next stage should preserve computability while reducing the number of independent assumptions. This requires a concrete permutation-invariant potential, or a quantum law for the relations, that produces a local geometric regime from a broad class of initial data. Several diagnostics should be tested simultaneously: spectral gaps, growth of accessible volume, stability of partitions, and locality of the effective operator. Manually preparing a cycle or lattice is useful as a control but does not complete this step.</w:t>
      </w:r>
    </w:p>
    <w:p>
      <w:pPr>
        <w:pStyle w:val="Normal.0"/>
        <w:spacing w:after="80" w:line="240" w:lineRule="atLeast"/>
      </w:pPr>
      <w:r>
        <w:rPr>
          <w:sz w:val="22"/>
          <w:szCs w:val="22"/>
          <w:rtl w:val="0"/>
          <w:lang w:val="en-US"/>
        </w:rPr>
        <w:t>Once such a regime is obtained, the field matrix must be studied on the entire massless subspace. Criterion (42) tests for a common cone without assigning a common speed in advance. If the condition is reached dynamically, an attraction mechanism and the suppression rate of deviations must be demonstrated. If it is protected by symmetry, the origin of that symmetry and its preservation under background evolution must be explained. Closing of a gap requires the low-energy modes to be recounted.</w:t>
      </w:r>
    </w:p>
    <w:p>
      <w:pPr>
        <w:pStyle w:val="Normal.0"/>
        <w:spacing w:after="80" w:line="240" w:lineRule="atLeast"/>
      </w:pPr>
      <w:r>
        <w:rPr>
          <w:sz w:val="22"/>
          <w:szCs w:val="22"/>
          <w:rtl w:val="0"/>
          <w:lang w:val="en-US"/>
        </w:rPr>
        <w:t>A separate line of work concerns the origin of oriented causality and internal clocks. The reparametrization in Eq. (7) does not solve that problem. Information-theoretic, thermodynamic, and algebraic mechanisms should be compared with concrete observer operations and with the limiting behavior of the dynamical response. Within the original process-based picture, an observer must itself be a stable subsystem rather than an external absolute measuring device.</w:t>
      </w:r>
    </w:p>
    <w:p>
      <w:pPr>
        <w:pStyle w:val="Normal.0"/>
        <w:spacing w:after="80" w:line="240" w:lineRule="atLeast"/>
      </w:pPr>
      <w:r>
        <w:rPr>
          <w:sz w:val="22"/>
          <w:szCs w:val="22"/>
          <w:rtl w:val="0"/>
          <w:lang w:val="en-US"/>
        </w:rPr>
        <w:t>Finally, a gravitational stage requires deriving dynamics for the effective metric and matching them to field constraints, quasilocal charges, cosmological expansion, and tested limits of general relativity. Hypotheses of boundarylessness, simple connectivity, technical compactness, or a single dimensionless invariant remain possible directions, but none is used in the proofs of this preprint. The absence of an external reservoir does not by itself select topology, dimensionality, or signature.</w:t>
      </w:r>
    </w:p>
    <w:p>
      <w:pPr>
        <w:pStyle w:val="Заголовок 2"/>
        <w:spacing w:line="240" w:lineRule="atLeast"/>
      </w:pPr>
      <w:r>
        <w:rPr>
          <w:rtl w:val="0"/>
          <w:lang w:val="it-IT"/>
        </w:rPr>
        <w:t>13. Conclusion</w:t>
      </w:r>
    </w:p>
    <w:p>
      <w:pPr>
        <w:pStyle w:val="Normal.0"/>
        <w:spacing w:after="80" w:line="240" w:lineRule="atLeast"/>
        <w:ind w:firstLine="0"/>
      </w:pPr>
      <w:r>
        <w:rPr>
          <w:sz w:val="22"/>
          <w:szCs w:val="22"/>
          <w:rtl w:val="0"/>
          <w:lang w:val="en-US"/>
        </w:rPr>
        <w:t>The program of a universal causal structure has been given a concrete spectral core. For a common network with distinct fixed coefficients of independent fields, equalization of propagation speeds is impossible. Introducing a coupling changes the low-energy content of the system and produces a collective massless branch, but this does not suffice for universality across several independent physical sectors. Within the quadratic class considered here, universality of their leading cones is equivalent to scalarity of the normalized stiffness operator on the massless subspace.</w:t>
      </w:r>
    </w:p>
    <w:p>
      <w:pPr>
        <w:pStyle w:val="Normal.0"/>
        <w:spacing w:after="80" w:line="240" w:lineRule="atLeast"/>
      </w:pPr>
      <w:r>
        <w:rPr>
          <w:sz w:val="22"/>
          <w:szCs w:val="22"/>
          <w:rtl w:val="0"/>
          <w:lang w:val="en-US"/>
        </w:rPr>
        <w:t>The closed dynamics constructed here ties energy exchange to restructuring of relations, while a spectral gap provides a quantitative criterion for stable quasilocal distinguishability. At the same time, analytic response tails on a finite network establish a limit to the causal interpretation: a common low-energy wave kinematics is not the same as strict microcausality of the underlying system. These results narrow the space of admissible models and provide testable conditions for further derivations of geometry, time, and observable universality.</w:t>
      </w:r>
    </w:p>
    <w:p>
      <w:pPr>
        <w:pStyle w:val="Заголовок"/>
        <w:spacing w:line="240" w:lineRule="atLeast"/>
      </w:pPr>
      <w:r>
        <w:rPr>
          <w:rtl w:val="0"/>
          <w:lang w:val="en-US"/>
        </w:rPr>
        <w:t>Part II. Response limits and coarse-graining</w:t>
      </w:r>
    </w:p>
    <w:p>
      <w:pPr>
        <w:pStyle w:val="Заголовок 2"/>
        <w:spacing w:line="240" w:lineRule="atLeast"/>
      </w:pPr>
      <w:r>
        <w:rPr>
          <w:rtl w:val="0"/>
          <w:lang w:val="en-US"/>
        </w:rPr>
        <w:t>1. The question after the first spectral criterion</w:t>
      </w:r>
    </w:p>
    <w:p>
      <w:pPr>
        <w:pStyle w:val="Normal.0"/>
        <w:spacing w:after="80" w:line="240" w:lineRule="atLeast"/>
      </w:pPr>
      <w:r>
        <w:rPr>
          <w:sz w:val="22"/>
          <w:szCs w:val="22"/>
          <w:rtl w:val="0"/>
          <w:lang w:val="en-US"/>
        </w:rPr>
        <w:t>The first version of this programme [15] made several necessary distinctions precise. Rearranging one common graph Laplacian cannot equalise independent fields with unequal fixed kinetic ratios. Coupling two components can leave one collective massless mode without making two independent massless species universal. For a positive quadratic model with kinetic matrix A, spatial matrix B and nonnegative coupling U, the leading cones of all surviving massless modes coincide precisely when the normalised spatial operator is scalar on the massless subspace. Finally, a finite continuous-time network generally has analytic propagation tails, even when its long-wavelength dispersion resembles a wave equation.</w:t>
      </w:r>
    </w:p>
    <w:p>
      <w:pPr>
        <w:pStyle w:val="Normal.0"/>
        <w:spacing w:after="80" w:line="240" w:lineRule="atLeast"/>
      </w:pPr>
      <w:r>
        <w:rPr>
          <w:sz w:val="22"/>
          <w:szCs w:val="22"/>
          <w:rtl w:val="0"/>
          <w:lang w:val="en-US"/>
        </w:rPr>
        <w:t>The next question is therefore not the numerical value of c. It is how a relation, an effective response, a propagation cone and an oriented causal order can be connected by controlled changes of description. Each transition requires both an identification of observables and a topology of convergence. Eigenvalues alone do not supply either locality or an operational meaning for distance.</w:t>
      </w:r>
    </w:p>
    <w:p>
      <w:pPr>
        <w:pStyle w:val="Normal.0"/>
        <w:spacing w:after="80" w:line="240" w:lineRule="atLeast"/>
      </w:pPr>
      <w:r>
        <w:rPr>
          <w:sz w:val="22"/>
          <w:szCs w:val="22"/>
          <w:rtl w:val="0"/>
          <w:lang w:val="en-US"/>
        </w:rPr>
        <w:t>This version concentrates on three tasks. First, we establish a concrete response limit in which microscopic tails disappear outside an enlarged limiting cone. Second, we ask whether the set of common-cone configurations is invariant or attracting under a specified dynamics. Third, we compare explicit coarse-graining maps and identify the assumptions under which their limiting predictions agree. Internal observers, gauge sectors and gravity remain a short research programme, rather than additional purported derivations.</w:t>
      </w:r>
    </w:p>
    <w:p>
      <w:pPr>
        <w:pStyle w:val="Normal.0"/>
        <w:spacing w:after="80" w:line="240" w:lineRule="atLeast"/>
      </w:pPr>
      <w:r>
        <w:rPr>
          <w:sz w:val="22"/>
          <w:szCs w:val="22"/>
          <w:rtl w:val="0"/>
          <w:lang w:val="en-US"/>
        </w:rPr>
        <w:t>The positive results use periodic chains whose continuum geometry is prescribed. This is a control problem: it establishes what a successful response limit must contain and gives quantitative estimates that can later be tested on dynamically selected networks. It does not establish that a generic relational Hamiltonian selects those chains. The contribution lies in the stated estimates, their compatibility conditions and the obstructions separating the stages. The Fourier, projection and recurrence methods themselves are standard mathematical tools.</w:t>
      </w:r>
    </w:p>
    <w:p>
      <w:pPr>
        <w:pStyle w:val="Normal.0"/>
        <w:spacing w:after="80" w:line="240" w:lineRule="atLeast"/>
      </w:pPr>
      <w:r>
        <w:rPr>
          <w:sz w:val="22"/>
          <w:szCs w:val="22"/>
          <w:rtl w:val="0"/>
          <w:lang w:val="en-US"/>
        </w:rPr>
        <w:t>Work on convergence of spectral structures [16] provides a general framework for comparing operators on varying Hilbert spaces. Lieb</w:t>
      </w:r>
      <w:r>
        <w:rPr>
          <w:sz w:val="22"/>
          <w:szCs w:val="22"/>
          <w:rtl w:val="0"/>
          <w:lang w:val="en-US"/>
        </w:rPr>
        <w:t>–</w:t>
      </w:r>
      <w:r>
        <w:rPr>
          <w:sz w:val="22"/>
          <w:szCs w:val="22"/>
          <w:rtl w:val="0"/>
          <w:lang w:val="en-US"/>
        </w:rPr>
        <w:t>Robinson estimates [8] distinguish controlled propagation from exact vanishing at finite lattice spacing. Interaction-driven approaches to Lorentz universality [4, 5] concern scale evolution in particular theories. These three subjects address different parts of the present problem; none is used as an automatic implication from an undirected graph to an oriented spacetime.</w:t>
      </w:r>
    </w:p>
    <w:p>
      <w:pPr>
        <w:pStyle w:val="Заголовок 2"/>
        <w:spacing w:line="240" w:lineRule="atLeast"/>
      </w:pPr>
      <w:r>
        <w:rPr>
          <w:rtl w:val="0"/>
          <w:lang w:val="en-US"/>
        </w:rPr>
        <w:t>2. Structures and three topologies of convergence</w:t>
      </w:r>
    </w:p>
    <w:p>
      <w:pPr>
        <w:pStyle w:val="Normal.0"/>
        <w:spacing w:after="80" w:line="240" w:lineRule="atLeast"/>
      </w:pPr>
      <w:r>
        <w:rPr>
          <w:sz w:val="22"/>
          <w:szCs w:val="22"/>
          <w:rtl w:val="0"/>
          <w:lang w:val="en-US"/>
        </w:rPr>
        <w:t>Let H</w:t>
      </w:r>
      <w:r>
        <w:rPr>
          <w:sz w:val="22"/>
          <w:szCs w:val="22"/>
          <w:vertAlign w:val="subscript"/>
          <w:rtl w:val="0"/>
          <w:lang w:val="en-US"/>
        </w:rPr>
        <w:t>n</w:t>
      </w:r>
      <w:r>
        <w:rPr>
          <w:sz w:val="22"/>
          <w:szCs w:val="22"/>
          <w:rtl w:val="0"/>
          <w:lang w:val="en-US"/>
        </w:rPr>
        <w:t xml:space="preserve"> be the Hilbert space of microscopic linear perturbations, with its physically specified measure, and let H be a proposed effective space. An extraction requires maps J</w:t>
      </w:r>
      <w:r>
        <w:rPr>
          <w:sz w:val="22"/>
          <w:szCs w:val="22"/>
          <w:vertAlign w:val="subscript"/>
          <w:rtl w:val="0"/>
          <w:lang w:val="en-US"/>
        </w:rPr>
        <w:t>n</w:t>
      </w:r>
      <w:r>
        <w:rPr>
          <w:sz w:val="22"/>
          <w:szCs w:val="22"/>
          <w:rtl w:val="0"/>
          <w:lang w:val="en-US"/>
        </w:rPr>
        <w:t xml:space="preserve"> : H</w:t>
      </w:r>
      <w:r>
        <w:rPr>
          <w:sz w:val="22"/>
          <w:szCs w:val="22"/>
          <w:vertAlign w:val="subscript"/>
          <w:rtl w:val="0"/>
          <w:lang w:val="en-US"/>
        </w:rPr>
        <w:t>n</w:t>
      </w:r>
      <w:r>
        <w:rPr>
          <w:sz w:val="22"/>
          <w:szCs w:val="22"/>
          <w:rtl w:val="0"/>
          <w:lang w:val="en-US"/>
        </w:rPr>
        <w:t xml:space="preserve"> → </w:t>
      </w:r>
      <w:r>
        <w:rPr>
          <w:sz w:val="22"/>
          <w:szCs w:val="22"/>
          <w:rtl w:val="0"/>
          <w:lang w:val="en-US"/>
        </w:rPr>
        <w:t>H and Q</w:t>
      </w:r>
      <w:r>
        <w:rPr>
          <w:sz w:val="22"/>
          <w:szCs w:val="22"/>
          <w:vertAlign w:val="subscript"/>
          <w:rtl w:val="0"/>
          <w:lang w:val="en-US"/>
        </w:rPr>
        <w:t>n</w:t>
      </w:r>
      <w:r>
        <w:rPr>
          <w:sz w:val="22"/>
          <w:szCs w:val="22"/>
          <w:rtl w:val="0"/>
          <w:lang w:val="en-US"/>
        </w:rPr>
        <w:t xml:space="preserve"> : H </w:t>
      </w:r>
      <w:r>
        <w:rPr>
          <w:sz w:val="22"/>
          <w:szCs w:val="22"/>
          <w:rtl w:val="0"/>
          <w:lang w:val="en-US"/>
        </w:rPr>
        <w:t xml:space="preserve">→ </w:t>
      </w:r>
      <w:r>
        <w:rPr>
          <w:sz w:val="22"/>
          <w:szCs w:val="22"/>
          <w:rtl w:val="0"/>
          <w:lang w:val="en-US"/>
        </w:rPr>
        <w:t>H</w:t>
      </w:r>
      <w:r>
        <w:rPr>
          <w:sz w:val="22"/>
          <w:szCs w:val="22"/>
          <w:vertAlign w:val="subscript"/>
          <w:rtl w:val="0"/>
          <w:lang w:val="en-US"/>
        </w:rPr>
        <w:t>n</w:t>
      </w:r>
      <w:r>
        <w:rPr>
          <w:sz w:val="22"/>
          <w:szCs w:val="22"/>
          <w:rtl w:val="0"/>
          <w:lang w:val="en-US"/>
        </w:rPr>
        <w:t>, as well as an operator and a class of states. In the examples below J</w:t>
      </w:r>
      <w:r>
        <w:rPr>
          <w:sz w:val="22"/>
          <w:szCs w:val="22"/>
          <w:vertAlign w:val="subscript"/>
          <w:rtl w:val="0"/>
          <w:lang w:val="en-US"/>
        </w:rPr>
        <w:t>n</w:t>
      </w:r>
      <w:r>
        <w:rPr>
          <w:sz w:val="22"/>
          <w:szCs w:val="22"/>
          <w:rtl w:val="0"/>
          <w:lang w:val="en-US"/>
        </w:rPr>
        <w:t xml:space="preserve"> is an isometry and Q</w:t>
      </w:r>
      <w:r>
        <w:rPr>
          <w:sz w:val="22"/>
          <w:szCs w:val="22"/>
          <w:vertAlign w:val="subscript"/>
          <w:rtl w:val="0"/>
          <w:lang w:val="en-US"/>
        </w:rPr>
        <w:t>n</w:t>
      </w:r>
      <w:r>
        <w:rPr>
          <w:sz w:val="22"/>
          <w:szCs w:val="22"/>
          <w:rtl w:val="0"/>
          <w:lang w:val="en-US"/>
        </w:rPr>
        <w:t xml:space="preserve"> = J</w:t>
      </w:r>
      <w:r>
        <w:rPr>
          <w:sz w:val="22"/>
          <w:szCs w:val="22"/>
          <w:vertAlign w:val="subscript"/>
          <w:rtl w:val="0"/>
          <w:lang w:val="en-US"/>
        </w:rPr>
        <w:t>n</w:t>
      </w:r>
      <w:r>
        <w:rPr>
          <w:sz w:val="22"/>
          <w:szCs w:val="22"/>
          <w:rtl w:val="0"/>
          <w:lang w:val="en-US"/>
        </w:rPr>
        <w:t>*, so Q</w:t>
      </w:r>
      <w:r>
        <w:rPr>
          <w:sz w:val="22"/>
          <w:szCs w:val="22"/>
          <w:vertAlign w:val="subscript"/>
          <w:rtl w:val="0"/>
          <w:lang w:val="en-US"/>
        </w:rPr>
        <w:t>n</w:t>
      </w:r>
      <w:r>
        <w:rPr>
          <w:sz w:val="22"/>
          <w:szCs w:val="22"/>
          <w:rtl w:val="0"/>
          <w:lang w:val="en-US"/>
        </w:rPr>
        <w:t>J</w:t>
      </w:r>
      <w:r>
        <w:rPr>
          <w:sz w:val="22"/>
          <w:szCs w:val="22"/>
          <w:vertAlign w:val="subscript"/>
          <w:rtl w:val="0"/>
          <w:lang w:val="en-US"/>
        </w:rPr>
        <w:t>n</w:t>
      </w:r>
      <w:r>
        <w:rPr>
          <w:sz w:val="22"/>
          <w:szCs w:val="22"/>
          <w:rtl w:val="0"/>
          <w:lang w:val="en-US"/>
        </w:rPr>
        <w:t xml:space="preserve"> = I while J</w:t>
      </w:r>
      <w:r>
        <w:rPr>
          <w:sz w:val="22"/>
          <w:szCs w:val="22"/>
          <w:vertAlign w:val="subscript"/>
          <w:rtl w:val="0"/>
          <w:lang w:val="en-US"/>
        </w:rPr>
        <w:t>n</w:t>
      </w:r>
      <w:r>
        <w:rPr>
          <w:sz w:val="22"/>
          <w:szCs w:val="22"/>
          <w:rtl w:val="0"/>
          <w:lang w:val="en-US"/>
        </w:rPr>
        <w:t>Q</w:t>
      </w:r>
      <w:r>
        <w:rPr>
          <w:sz w:val="22"/>
          <w:szCs w:val="22"/>
          <w:vertAlign w:val="subscript"/>
          <w:rtl w:val="0"/>
          <w:lang w:val="en-US"/>
        </w:rPr>
        <w:t>n</w:t>
      </w:r>
      <w:r>
        <w:rPr>
          <w:sz w:val="22"/>
          <w:szCs w:val="22"/>
          <w:rtl w:val="0"/>
          <w:lang w:val="en-US"/>
        </w:rPr>
        <w:t xml:space="preserve"> is a projection converging strongly to I.</w:t>
      </w:r>
    </w:p>
    <w:p>
      <w:pPr>
        <w:pStyle w:val="Normal.0"/>
        <w:keepNext w:val="1"/>
        <w:spacing w:after="80" w:line="240" w:lineRule="atLeast"/>
      </w:pPr>
      <w:r>
        <w:rPr>
          <w:sz w:val="22"/>
          <w:szCs w:val="22"/>
          <w:rtl w:val="0"/>
          <w:lang w:val="en-US"/>
        </w:rPr>
        <w:t>For a nonnegative self-adjoint operator L</w:t>
      </w:r>
      <w:r>
        <w:rPr>
          <w:sz w:val="22"/>
          <w:szCs w:val="22"/>
          <w:vertAlign w:val="subscript"/>
          <w:rtl w:val="0"/>
          <w:lang w:val="en-US"/>
        </w:rPr>
        <w:t>n</w:t>
      </w:r>
      <w:r>
        <w:rPr>
          <w:sz w:val="22"/>
          <w:szCs w:val="22"/>
          <w:rtl w:val="0"/>
          <w:lang w:val="en-US"/>
        </w:rPr>
        <w:t xml:space="preserve"> define the velocity response</w:t>
      </w:r>
    </w:p>
    <w:p>
      <w:pPr>
        <w:pStyle w:val="Equation"/>
        <w:spacing w:after="80" w:line="240" w:lineRule="atLeast"/>
      </w:pPr>
      <w:r>
        <w:rPr>
          <w:rFonts w:ascii="Times New Roman" w:hAnsi="Times New Roman"/>
          <w:sz w:val="22"/>
          <w:szCs w:val="22"/>
          <w:rtl w:val="0"/>
          <w:lang w:val="en-US"/>
        </w:rPr>
        <w:t>S</w:t>
      </w:r>
      <w:r>
        <w:rPr>
          <w:rFonts w:ascii="Times New Roman" w:hAnsi="Times New Roman"/>
          <w:sz w:val="22"/>
          <w:szCs w:val="22"/>
          <w:vertAlign w:val="subscript"/>
          <w:rtl w:val="0"/>
          <w:lang w:val="en-US"/>
        </w:rPr>
        <w:t>n</w:t>
      </w:r>
      <w:r>
        <w:rPr>
          <w:rFonts w:ascii="Times New Roman" w:hAnsi="Times New Roman"/>
          <w:sz w:val="22"/>
          <w:szCs w:val="22"/>
          <w:rtl w:val="0"/>
          <w:lang w:val="en-US"/>
        </w:rPr>
        <w:t>(t) = sin(t</w:t>
      </w:r>
      <w:r>
        <w:rPr>
          <w:rFonts w:ascii="Times New Roman" w:hAnsi="Times New Roman" w:hint="default"/>
          <w:sz w:val="22"/>
          <w:szCs w:val="22"/>
          <w:rtl w:val="0"/>
          <w:lang w:val="en-US"/>
        </w:rPr>
        <w:t>√</w:t>
      </w:r>
      <w:r>
        <w:rPr>
          <w:rFonts w:ascii="Times New Roman" w:hAnsi="Times New Roman"/>
          <w:sz w:val="22"/>
          <w:szCs w:val="22"/>
          <w:rtl w:val="0"/>
          <w:lang w:val="en-US"/>
        </w:rPr>
        <w:t>L</w:t>
      </w:r>
      <w:r>
        <w:rPr>
          <w:rFonts w:ascii="Times New Roman" w:hAnsi="Times New Roman"/>
          <w:sz w:val="22"/>
          <w:szCs w:val="22"/>
          <w:vertAlign w:val="subscript"/>
          <w:rtl w:val="0"/>
          <w:lang w:val="en-US"/>
        </w:rPr>
        <w:t>n</w:t>
      </w:r>
      <w:r>
        <w:rPr>
          <w:rFonts w:ascii="Times New Roman" w:hAnsi="Times New Roman"/>
          <w:sz w:val="22"/>
          <w:szCs w:val="22"/>
          <w:rtl w:val="0"/>
          <w:lang w:val="en-US"/>
        </w:rPr>
        <w:t>)/</w:t>
      </w:r>
      <w:r>
        <w:rPr>
          <w:rFonts w:ascii="Times New Roman" w:hAnsi="Times New Roman" w:hint="default"/>
          <w:sz w:val="22"/>
          <w:szCs w:val="22"/>
          <w:rtl w:val="0"/>
          <w:lang w:val="en-US"/>
        </w:rPr>
        <w:t>√</w:t>
      </w:r>
      <w:r>
        <w:rPr>
          <w:rFonts w:ascii="Times New Roman" w:hAnsi="Times New Roman"/>
          <w:sz w:val="22"/>
          <w:szCs w:val="22"/>
          <w:rtl w:val="0"/>
          <w:lang w:val="en-US"/>
        </w:rPr>
        <w:t>L</w:t>
      </w:r>
      <w:r>
        <w:rPr>
          <w:rFonts w:ascii="Times New Roman" w:hAnsi="Times New Roman"/>
          <w:sz w:val="22"/>
          <w:szCs w:val="22"/>
          <w:vertAlign w:val="subscript"/>
          <w:rtl w:val="0"/>
          <w:lang w:val="en-US"/>
        </w:rPr>
        <w:t>n</w:t>
      </w:r>
      <w:r>
        <w:rPr>
          <w:rFonts w:ascii="Times New Roman" w:hAnsi="Times New Roman"/>
          <w:sz w:val="22"/>
          <w:szCs w:val="22"/>
          <w:rtl w:val="0"/>
          <w:lang w:val="en-US"/>
        </w:rPr>
        <w:t>,     S</w:t>
      </w:r>
      <w:r>
        <w:rPr>
          <w:rFonts w:ascii="Times New Roman" w:hAnsi="Times New Roman"/>
          <w:sz w:val="22"/>
          <w:szCs w:val="22"/>
          <w:vertAlign w:val="subscript"/>
          <w:rtl w:val="0"/>
          <w:lang w:val="en-US"/>
        </w:rPr>
        <w:t>n</w:t>
      </w:r>
      <w:r>
        <w:rPr>
          <w:rFonts w:ascii="Times New Roman" w:hAnsi="Times New Roman"/>
          <w:sz w:val="22"/>
          <w:szCs w:val="22"/>
          <w:rtl w:val="0"/>
          <w:lang w:val="en-US"/>
        </w:rPr>
        <w:t>(t)|ker L</w:t>
      </w:r>
      <w:r>
        <w:rPr>
          <w:rFonts w:ascii="Times New Roman" w:hAnsi="Times New Roman"/>
          <w:sz w:val="22"/>
          <w:szCs w:val="22"/>
          <w:vertAlign w:val="subscript"/>
          <w:rtl w:val="0"/>
          <w:lang w:val="en-US"/>
        </w:rPr>
        <w:t>n</w:t>
      </w:r>
      <w:r>
        <w:rPr>
          <w:rFonts w:ascii="Times New Roman" w:hAnsi="Times New Roman"/>
          <w:sz w:val="22"/>
          <w:szCs w:val="22"/>
          <w:rtl w:val="0"/>
          <w:lang w:val="en-US"/>
        </w:rPr>
        <w:t xml:space="preserve"> = tI.</w:t>
        <w:tab/>
        <w:t>(1)</w:t>
      </w:r>
    </w:p>
    <w:p>
      <w:pPr>
        <w:pStyle w:val="Normal.0"/>
        <w:spacing w:after="80" w:line="240" w:lineRule="atLeast"/>
      </w:pPr>
      <w:r>
        <w:rPr>
          <w:sz w:val="22"/>
          <w:szCs w:val="22"/>
          <w:rtl w:val="0"/>
          <w:lang w:val="en-US"/>
        </w:rPr>
        <w:t>It solves q</w:t>
      </w:r>
      <w:r>
        <w:rPr>
          <w:sz w:val="22"/>
          <w:szCs w:val="22"/>
          <w:rtl w:val="0"/>
          <w:lang w:val="en-US"/>
        </w:rPr>
        <w:t xml:space="preserve">̈ </w:t>
      </w:r>
      <w:r>
        <w:rPr>
          <w:sz w:val="22"/>
          <w:szCs w:val="22"/>
          <w:rtl w:val="0"/>
          <w:lang w:val="en-US"/>
        </w:rPr>
        <w:t>+ L</w:t>
      </w:r>
      <w:r>
        <w:rPr>
          <w:sz w:val="22"/>
          <w:szCs w:val="22"/>
          <w:vertAlign w:val="subscript"/>
          <w:rtl w:val="0"/>
          <w:lang w:val="en-US"/>
        </w:rPr>
        <w:t>n</w:t>
      </w:r>
      <w:r>
        <w:rPr>
          <w:sz w:val="22"/>
          <w:szCs w:val="22"/>
          <w:rtl w:val="0"/>
          <w:lang w:val="en-US"/>
        </w:rPr>
        <w:t>q = 0 with q(0) = 0 and q</w:t>
      </w:r>
      <w:r>
        <w:rPr>
          <w:sz w:val="22"/>
          <w:szCs w:val="22"/>
          <w:rtl w:val="0"/>
          <w:lang w:val="en-US"/>
        </w:rPr>
        <w:t>̇</w:t>
      </w:r>
      <w:r>
        <w:rPr>
          <w:sz w:val="22"/>
          <w:szCs w:val="22"/>
          <w:rtl w:val="0"/>
          <w:lang w:val="en-US"/>
        </w:rPr>
        <w:t>(0) = f</w:t>
      </w:r>
      <w:r>
        <w:rPr>
          <w:sz w:val="22"/>
          <w:szCs w:val="22"/>
          <w:vertAlign w:val="subscript"/>
          <w:rtl w:val="0"/>
          <w:lang w:val="en-US"/>
        </w:rPr>
        <w:t>n</w:t>
      </w:r>
      <w:r>
        <w:rPr>
          <w:sz w:val="22"/>
          <w:szCs w:val="22"/>
          <w:rtl w:val="0"/>
          <w:lang w:val="en-US"/>
        </w:rPr>
        <w:t>. The retarded response is zero for t &lt; 0 and equals S</w:t>
      </w:r>
      <w:r>
        <w:rPr>
          <w:sz w:val="22"/>
          <w:szCs w:val="22"/>
          <w:vertAlign w:val="subscript"/>
          <w:rtl w:val="0"/>
          <w:lang w:val="en-US"/>
        </w:rPr>
        <w:t>n</w:t>
      </w:r>
      <w:r>
        <w:rPr>
          <w:sz w:val="22"/>
          <w:szCs w:val="22"/>
          <w:rtl w:val="0"/>
          <w:lang w:val="en-US"/>
        </w:rPr>
        <w:t xml:space="preserve">(t) for t </w:t>
      </w:r>
      <w:r>
        <w:rPr>
          <w:sz w:val="22"/>
          <w:szCs w:val="22"/>
          <w:rtl w:val="0"/>
          <w:lang w:val="en-US"/>
        </w:rPr>
        <w:t xml:space="preserve">≥ </w:t>
      </w:r>
      <w:r>
        <w:rPr>
          <w:sz w:val="22"/>
          <w:szCs w:val="22"/>
          <w:rtl w:val="0"/>
          <w:lang w:val="en-US"/>
        </w:rPr>
        <w:t xml:space="preserve">0. This use of </w:t>
      </w:r>
      <w:r>
        <w:rPr>
          <w:sz w:val="22"/>
          <w:szCs w:val="22"/>
          <w:rtl w:val="0"/>
          <w:lang w:val="en-US"/>
        </w:rPr>
        <w:t>“</w:t>
      </w:r>
      <w:r>
        <w:rPr>
          <w:sz w:val="22"/>
          <w:szCs w:val="22"/>
          <w:rtl w:val="0"/>
          <w:lang w:val="en-US"/>
        </w:rPr>
        <w:t>retarded</w:t>
      </w:r>
      <w:r>
        <w:rPr>
          <w:sz w:val="22"/>
          <w:szCs w:val="22"/>
          <w:rtl w:val="0"/>
          <w:lang w:val="en-US"/>
        </w:rPr>
        <w:t xml:space="preserve">” </w:t>
      </w:r>
      <w:r>
        <w:rPr>
          <w:sz w:val="22"/>
          <w:szCs w:val="22"/>
          <w:rtl w:val="0"/>
          <w:lang w:val="en-US"/>
        </w:rPr>
        <w:t>already makes a choice of temporal orientation and preparation; the undirected operator does not select that choice.</w:t>
      </w:r>
    </w:p>
    <w:p>
      <w:pPr>
        <w:pStyle w:val="Normal.0"/>
        <w:spacing w:after="80" w:line="240" w:lineRule="atLeast"/>
      </w:pPr>
      <w:r>
        <w:rPr>
          <w:sz w:val="22"/>
          <w:szCs w:val="22"/>
          <w:rtl w:val="0"/>
          <w:lang w:val="en-US"/>
        </w:rPr>
        <w:t>We distinguish three levels. Spectral convergence concerns eigenvalues or spectral projections after specified identifications. Operator and locality convergence concerns actions on identified states, resolvents, quadratic forms and localisation operators. Response convergence concerns the dynamical functions of those operators. Our principal response topology is</w:t>
      </w:r>
    </w:p>
    <w:p>
      <w:pPr>
        <w:pStyle w:val="Equation"/>
        <w:spacing w:after="80" w:line="240" w:lineRule="atLeast"/>
      </w:pPr>
      <w:r>
        <w:rPr>
          <w:rFonts w:ascii="Times New Roman" w:hAnsi="Times New Roman"/>
          <w:sz w:val="22"/>
          <w:szCs w:val="22"/>
          <w:rtl w:val="0"/>
          <w:lang w:val="en-US"/>
        </w:rPr>
        <w:t xml:space="preserve">sup(0 </w:t>
      </w:r>
      <w:r>
        <w:rPr>
          <w:rFonts w:ascii="Times New Roman" w:hAnsi="Times New Roman" w:hint="default"/>
          <w:sz w:val="22"/>
          <w:szCs w:val="22"/>
          <w:rtl w:val="0"/>
          <w:lang w:val="en-US"/>
        </w:rPr>
        <w:t xml:space="preserve">≤ </w:t>
      </w:r>
      <w:r>
        <w:rPr>
          <w:rFonts w:ascii="Times New Roman" w:hAnsi="Times New Roman"/>
          <w:sz w:val="22"/>
          <w:szCs w:val="22"/>
          <w:rtl w:val="0"/>
          <w:lang w:val="en-US"/>
        </w:rPr>
        <w:t xml:space="preserve">t </w:t>
      </w:r>
      <w:r>
        <w:rPr>
          <w:rFonts w:ascii="Times New Roman" w:hAnsi="Times New Roman" w:hint="default"/>
          <w:sz w:val="22"/>
          <w:szCs w:val="22"/>
          <w:rtl w:val="0"/>
          <w:lang w:val="en-US"/>
        </w:rPr>
        <w:t xml:space="preserve">≤ </w:t>
      </w:r>
      <w:r>
        <w:rPr>
          <w:rFonts w:ascii="Times New Roman" w:hAnsi="Times New Roman"/>
          <w:sz w:val="22"/>
          <w:szCs w:val="22"/>
          <w:rtl w:val="0"/>
          <w:lang w:val="en-US"/>
        </w:rPr>
        <w:t xml:space="preserve">T) </w:t>
      </w:r>
      <w:r>
        <w:rPr>
          <w:rFonts w:ascii="Times New Roman" w:hAnsi="Times New Roman" w:hint="default"/>
          <w:sz w:val="22"/>
          <w:szCs w:val="22"/>
          <w:rtl w:val="0"/>
          <w:lang w:val="en-US"/>
        </w:rPr>
        <w:t>‖</w:t>
      </w:r>
      <w:r>
        <w:rPr>
          <w:rFonts w:ascii="Times New Roman" w:hAnsi="Times New Roman"/>
          <w:sz w:val="22"/>
          <w:szCs w:val="22"/>
          <w:rtl w:val="0"/>
          <w:lang w:val="en-US"/>
        </w:rPr>
        <w:t>J</w:t>
      </w:r>
      <w:r>
        <w:rPr>
          <w:rFonts w:ascii="Times New Roman" w:hAnsi="Times New Roman"/>
          <w:sz w:val="22"/>
          <w:szCs w:val="22"/>
          <w:vertAlign w:val="subscript"/>
          <w:rtl w:val="0"/>
          <w:lang w:val="en-US"/>
        </w:rPr>
        <w:t>n</w:t>
      </w:r>
      <w:r>
        <w:rPr>
          <w:rFonts w:ascii="Times New Roman" w:hAnsi="Times New Roman"/>
          <w:sz w:val="22"/>
          <w:szCs w:val="22"/>
          <w:rtl w:val="0"/>
          <w:lang w:val="en-US"/>
        </w:rPr>
        <w:t>S</w:t>
      </w:r>
      <w:r>
        <w:rPr>
          <w:rFonts w:ascii="Times New Roman" w:hAnsi="Times New Roman"/>
          <w:sz w:val="22"/>
          <w:szCs w:val="22"/>
          <w:vertAlign w:val="subscript"/>
          <w:rtl w:val="0"/>
          <w:lang w:val="en-US"/>
        </w:rPr>
        <w:t>n</w:t>
      </w:r>
      <w:r>
        <w:rPr>
          <w:rFonts w:ascii="Times New Roman" w:hAnsi="Times New Roman"/>
          <w:sz w:val="22"/>
          <w:szCs w:val="22"/>
          <w:rtl w:val="0"/>
          <w:lang w:val="en-US"/>
        </w:rPr>
        <w:t>(t)Q</w:t>
      </w:r>
      <w:r>
        <w:rPr>
          <w:rFonts w:ascii="Times New Roman" w:hAnsi="Times New Roman"/>
          <w:sz w:val="22"/>
          <w:szCs w:val="22"/>
          <w:vertAlign w:val="subscript"/>
          <w:rtl w:val="0"/>
          <w:lang w:val="en-US"/>
        </w:rPr>
        <w:t>n</w:t>
      </w:r>
      <w:r>
        <w:rPr>
          <w:rFonts w:ascii="Times New Roman" w:hAnsi="Times New Roman"/>
          <w:sz w:val="22"/>
          <w:szCs w:val="22"/>
          <w:rtl w:val="0"/>
          <w:lang w:val="en-US"/>
        </w:rPr>
        <w:t xml:space="preserve">f </w:t>
      </w:r>
      <w:r>
        <w:rPr>
          <w:rFonts w:ascii="Times New Roman" w:hAnsi="Times New Roman" w:hint="default"/>
          <w:sz w:val="22"/>
          <w:szCs w:val="22"/>
          <w:rtl w:val="0"/>
          <w:lang w:val="en-US"/>
        </w:rPr>
        <w:t xml:space="preserve">− </w:t>
      </w:r>
      <w:r>
        <w:rPr>
          <w:rFonts w:ascii="Times New Roman" w:hAnsi="Times New Roman"/>
          <w:sz w:val="22"/>
          <w:szCs w:val="22"/>
          <w:rtl w:val="0"/>
          <w:lang w:val="en-US"/>
        </w:rPr>
        <w:t>S(t)f</w:t>
      </w:r>
      <w:r>
        <w:rPr>
          <w:rFonts w:ascii="Times New Roman" w:hAnsi="Times New Roman" w:hint="default"/>
          <w:sz w:val="22"/>
          <w:szCs w:val="22"/>
          <w:rtl w:val="0"/>
          <w:lang w:val="en-US"/>
        </w:rPr>
        <w:t>‖</w:t>
      </w:r>
      <w:r>
        <w:rPr>
          <w:rFonts w:ascii="Times New Roman" w:hAnsi="Times New Roman"/>
          <w:sz w:val="22"/>
          <w:szCs w:val="22"/>
          <w:rtl w:val="0"/>
          <w:lang w:val="en-US"/>
        </w:rPr>
        <w:t xml:space="preserve">H </w:t>
      </w:r>
      <w:r>
        <w:rPr>
          <w:rFonts w:ascii="Times New Roman" w:hAnsi="Times New Roman" w:hint="default"/>
          <w:sz w:val="22"/>
          <w:szCs w:val="22"/>
          <w:rtl w:val="0"/>
          <w:lang w:val="en-US"/>
        </w:rPr>
        <w:t xml:space="preserve">→ </w:t>
      </w:r>
      <w:r>
        <w:rPr>
          <w:rFonts w:ascii="Times New Roman" w:hAnsi="Times New Roman"/>
          <w:sz w:val="22"/>
          <w:szCs w:val="22"/>
          <w:rtl w:val="0"/>
          <w:lang w:val="en-US"/>
        </w:rPr>
        <w:t xml:space="preserve">0     for every f </w:t>
      </w:r>
      <w:r>
        <w:rPr>
          <w:rFonts w:ascii="Arial Unicode MS" w:cs="Arial Unicode MS" w:hAnsi="Arial Unicode MS" w:eastAsia="Arial Unicode MS" w:hint="default"/>
          <w:b w:val="0"/>
          <w:bCs w:val="0"/>
          <w:i w:val="0"/>
          <w:iCs w:val="0"/>
          <w:sz w:val="22"/>
          <w:szCs w:val="22"/>
          <w:rtl w:val="0"/>
          <w:lang w:val="en-US"/>
        </w:rPr>
        <w:t>∈</w:t>
      </w:r>
      <w:r>
        <w:rPr>
          <w:rFonts w:ascii="Times New Roman" w:hAnsi="Times New Roman"/>
          <w:sz w:val="22"/>
          <w:szCs w:val="22"/>
          <w:rtl w:val="0"/>
          <w:lang w:val="en-US"/>
        </w:rPr>
        <w:t xml:space="preserve"> </w:t>
      </w:r>
      <w:r>
        <w:rPr>
          <w:rFonts w:ascii="Times New Roman" w:hAnsi="Times New Roman"/>
          <w:sz w:val="22"/>
          <w:szCs w:val="22"/>
          <w:rtl w:val="0"/>
          <w:lang w:val="en-US"/>
        </w:rPr>
        <w:t xml:space="preserve">H and T &lt; </w:t>
      </w:r>
      <w:r>
        <w:rPr>
          <w:rFonts w:ascii="Times New Roman" w:hAnsi="Times New Roman" w:hint="default"/>
          <w:sz w:val="22"/>
          <w:szCs w:val="22"/>
          <w:rtl w:val="0"/>
          <w:lang w:val="en-US"/>
        </w:rPr>
        <w:t>∞</w:t>
      </w:r>
      <w:r>
        <w:rPr>
          <w:rFonts w:ascii="Times New Roman" w:hAnsi="Times New Roman"/>
          <w:sz w:val="22"/>
          <w:szCs w:val="22"/>
          <w:rtl w:val="0"/>
          <w:lang w:val="en-US"/>
        </w:rPr>
        <w:t>.</w:t>
        <w:tab/>
        <w:t>(2)</w:t>
      </w:r>
    </w:p>
    <w:p>
      <w:pPr>
        <w:pStyle w:val="Normal.0"/>
        <w:spacing w:after="80" w:line="240" w:lineRule="atLeast"/>
      </w:pPr>
      <w:r>
        <w:rPr>
          <w:sz w:val="22"/>
          <w:szCs w:val="22"/>
          <w:rtl w:val="0"/>
          <w:lang w:val="en-US"/>
        </w:rPr>
        <w:t>Equation (2) is uniform strong convergence on compact time intervals. It is not operator-norm convergence over all unit vectors, and it is not pointwise convergence of a singular Green kernel. A separate kernel estimate will be proved for a specific model. The distinction matters because microscopic states with wavelength tending to zero need not be covered uniformly by convergence for a fixed f.</w:t>
      </w:r>
    </w:p>
    <w:p>
      <w:pPr>
        <w:pStyle w:val="Normal.0"/>
        <w:keepNext w:val="1"/>
        <w:spacing w:after="80" w:line="240" w:lineRule="atLeast"/>
      </w:pPr>
      <w:r>
        <w:rPr>
          <w:sz w:val="22"/>
          <w:szCs w:val="22"/>
          <w:rtl w:val="0"/>
          <w:lang w:val="en-US"/>
        </w:rPr>
        <w:t>Locality also requires a comparison of spatial operations. If M</w:t>
      </w:r>
      <w:r>
        <w:rPr>
          <w:sz w:val="22"/>
          <w:szCs w:val="22"/>
          <w:rtl w:val="0"/>
          <w:lang w:val="en-US"/>
        </w:rPr>
        <w:t xml:space="preserve">χ </w:t>
      </w:r>
      <w:r>
        <w:rPr>
          <w:sz w:val="22"/>
          <w:szCs w:val="22"/>
          <w:rtl w:val="0"/>
          <w:lang w:val="en-US"/>
        </w:rPr>
        <w:t xml:space="preserve">multiplies an effective field by a bounded local test function </w:t>
      </w:r>
      <w:r>
        <w:rPr>
          <w:sz w:val="22"/>
          <w:szCs w:val="22"/>
          <w:rtl w:val="0"/>
          <w:lang w:val="en-US"/>
        </w:rPr>
        <w:t>χ</w:t>
      </w:r>
      <w:r>
        <w:rPr>
          <w:sz w:val="22"/>
          <w:szCs w:val="22"/>
          <w:rtl w:val="0"/>
          <w:lang w:val="en-US"/>
        </w:rPr>
        <w:t>, compatible microscopic localisation operators should satisfy, on the relevant states,</w:t>
      </w:r>
    </w:p>
    <w:p>
      <w:pPr>
        <w:pStyle w:val="Equation"/>
        <w:spacing w:after="80" w:line="240" w:lineRule="atLeast"/>
      </w:pPr>
      <w:r>
        <w:rPr>
          <w:rFonts w:ascii="Times New Roman" w:hAnsi="Times New Roman"/>
          <w:sz w:val="22"/>
          <w:szCs w:val="22"/>
          <w:rtl w:val="0"/>
          <w:lang w:val="en-US"/>
        </w:rPr>
        <w:t>J</w:t>
      </w:r>
      <w:r>
        <w:rPr>
          <w:rFonts w:ascii="Times New Roman" w:hAnsi="Times New Roman"/>
          <w:sz w:val="22"/>
          <w:szCs w:val="22"/>
          <w:vertAlign w:val="subscript"/>
          <w:rtl w:val="0"/>
          <w:lang w:val="en-US"/>
        </w:rPr>
        <w:t>n</w:t>
      </w:r>
      <w:r>
        <w:rPr>
          <w:rFonts w:ascii="Times New Roman" w:hAnsi="Times New Roman"/>
          <w:sz w:val="22"/>
          <w:szCs w:val="22"/>
          <w:rtl w:val="0"/>
          <w:lang w:val="en-US"/>
        </w:rPr>
        <w:t>M</w:t>
      </w:r>
      <w:r>
        <w:rPr>
          <w:rFonts w:ascii="Times New Roman" w:hAnsi="Times New Roman" w:hint="default"/>
          <w:sz w:val="22"/>
          <w:szCs w:val="22"/>
          <w:rtl w:val="0"/>
          <w:lang w:val="en-US"/>
        </w:rPr>
        <w:t>χ</w:t>
      </w:r>
      <w:r>
        <w:rPr>
          <w:rFonts w:ascii="Times New Roman" w:hAnsi="Times New Roman"/>
          <w:sz w:val="22"/>
          <w:szCs w:val="22"/>
          <w:rtl w:val="0"/>
          <w:lang w:val="en-US"/>
        </w:rPr>
        <w:t>,</w:t>
      </w:r>
      <w:r>
        <w:rPr>
          <w:rFonts w:ascii="Times New Roman" w:hAnsi="Times New Roman"/>
          <w:sz w:val="22"/>
          <w:szCs w:val="22"/>
          <w:vertAlign w:val="subscript"/>
          <w:rtl w:val="0"/>
          <w:lang w:val="en-US"/>
        </w:rPr>
        <w:t>n</w:t>
      </w:r>
      <w:r>
        <w:rPr>
          <w:rFonts w:ascii="Times New Roman" w:hAnsi="Times New Roman"/>
          <w:sz w:val="22"/>
          <w:szCs w:val="22"/>
          <w:rtl w:val="0"/>
          <w:lang w:val="en-US"/>
        </w:rPr>
        <w:t>Q</w:t>
      </w:r>
      <w:r>
        <w:rPr>
          <w:rFonts w:ascii="Times New Roman" w:hAnsi="Times New Roman"/>
          <w:sz w:val="22"/>
          <w:szCs w:val="22"/>
          <w:vertAlign w:val="subscript"/>
          <w:rtl w:val="0"/>
          <w:lang w:val="en-US"/>
        </w:rPr>
        <w:t>n</w:t>
      </w:r>
      <w:r>
        <w:rPr>
          <w:rFonts w:ascii="Times New Roman" w:hAnsi="Times New Roman"/>
          <w:sz w:val="22"/>
          <w:szCs w:val="22"/>
          <w:rtl w:val="0"/>
          <w:lang w:val="en-US"/>
        </w:rPr>
        <w:t xml:space="preserve">f </w:t>
      </w:r>
      <w:r>
        <w:rPr>
          <w:rFonts w:ascii="Times New Roman" w:hAnsi="Times New Roman" w:hint="default"/>
          <w:sz w:val="22"/>
          <w:szCs w:val="22"/>
          <w:rtl w:val="0"/>
          <w:lang w:val="en-US"/>
        </w:rPr>
        <w:t xml:space="preserve">→ </w:t>
      </w:r>
      <w:r>
        <w:rPr>
          <w:rFonts w:ascii="Times New Roman" w:hAnsi="Times New Roman"/>
          <w:sz w:val="22"/>
          <w:szCs w:val="22"/>
          <w:rtl w:val="0"/>
          <w:lang w:val="en-US"/>
        </w:rPr>
        <w:t>M</w:t>
      </w:r>
      <w:r>
        <w:rPr>
          <w:rFonts w:ascii="Times New Roman" w:hAnsi="Times New Roman" w:hint="default"/>
          <w:sz w:val="22"/>
          <w:szCs w:val="22"/>
          <w:rtl w:val="0"/>
          <w:lang w:val="en-US"/>
        </w:rPr>
        <w:t>χ</w:t>
      </w:r>
      <w:r>
        <w:rPr>
          <w:rFonts w:ascii="Times New Roman" w:hAnsi="Times New Roman"/>
          <w:sz w:val="22"/>
          <w:szCs w:val="22"/>
          <w:rtl w:val="0"/>
          <w:lang w:val="en-US"/>
        </w:rPr>
        <w:t>f.</w:t>
        <w:tab/>
        <w:t>(3)</w:t>
      </w:r>
    </w:p>
    <w:p>
      <w:pPr>
        <w:pStyle w:val="Normal.0"/>
        <w:spacing w:after="80" w:line="240" w:lineRule="atLeast"/>
      </w:pPr>
      <w:r>
        <w:rPr>
          <w:sz w:val="22"/>
          <w:szCs w:val="22"/>
          <w:rtl w:val="0"/>
          <w:lang w:val="en-US"/>
        </w:rPr>
        <w:t>Conjugating an operator by an arbitrary nonlocal unitary preserves its spectrum while changing these localisation operations. Thus matching eigenvalues without matching observables cannot establish local geometry. In Section 4 we give two explicit reconstructions and compare their responses directly.</w:t>
      </w:r>
    </w:p>
    <w:p>
      <w:pPr>
        <w:pStyle w:val="Normal.0"/>
        <w:spacing w:after="80" w:line="240" w:lineRule="atLeast"/>
      </w:pPr>
      <w:r>
        <w:rPr>
          <w:sz w:val="22"/>
          <w:szCs w:val="22"/>
          <w:rtl w:val="0"/>
          <w:lang w:val="en-US"/>
        </w:rPr>
        <w:t>The logical hierarchy is relation, response, propagation cone, then causal order. A wave symbol defines a pair of cone components. Time orientation selects one component as future. A global order additionally depends on the manifold, admissible causal curves and global causal conditions. A local Lorentzian cone field does not require a separate Frobenius integrability condition to define causal curves, but it does not by itself exclude closed causal curves.</w:t>
      </w:r>
    </w:p>
    <w:p>
      <w:pPr>
        <w:pStyle w:val="Заголовок 2"/>
        <w:spacing w:line="240" w:lineRule="atLeast"/>
      </w:pPr>
      <w:r>
        <w:rPr>
          <w:rtl w:val="0"/>
          <w:lang w:val="en-US"/>
        </w:rPr>
        <w:t>3. A controlled response limit and disappearance of tails</w:t>
      </w:r>
    </w:p>
    <w:p>
      <w:pPr>
        <w:pStyle w:val="Заголовок 3"/>
        <w:spacing w:line="240" w:lineRule="atLeast"/>
      </w:pPr>
      <w:r>
        <w:rPr>
          <w:rtl w:val="0"/>
          <w:lang w:val="en-US"/>
        </w:rPr>
        <w:t>3.1. The finite systems and their measure</w:t>
      </w:r>
    </w:p>
    <w:p>
      <w:pPr>
        <w:pStyle w:val="Normal.0"/>
        <w:keepNext w:val="1"/>
        <w:spacing w:after="80" w:line="240" w:lineRule="atLeast"/>
      </w:pPr>
      <w:r>
        <w:rPr>
          <w:sz w:val="22"/>
          <w:szCs w:val="22"/>
          <w:rtl w:val="0"/>
          <w:lang w:val="en-US"/>
        </w:rPr>
        <w:t xml:space="preserve">Fix a circle of circumference </w:t>
      </w:r>
      <w:r>
        <w:rPr>
          <w:sz w:val="22"/>
          <w:szCs w:val="22"/>
          <w:rtl w:val="0"/>
          <w:lang w:val="en-US"/>
        </w:rPr>
        <w:t>ℓ</w:t>
      </w:r>
      <w:r>
        <w:rPr>
          <w:sz w:val="22"/>
          <w:szCs w:val="22"/>
          <w:rtl w:val="0"/>
          <w:lang w:val="en-US"/>
        </w:rPr>
        <w:t xml:space="preserve">. Take odd N, spacing a = </w:t>
      </w:r>
      <w:r>
        <w:rPr>
          <w:sz w:val="22"/>
          <w:szCs w:val="22"/>
          <w:rtl w:val="0"/>
          <w:lang w:val="en-US"/>
        </w:rPr>
        <w:t>ℓ</w:t>
      </w:r>
      <w:r>
        <w:rPr>
          <w:sz w:val="22"/>
          <w:szCs w:val="22"/>
          <w:rtl w:val="0"/>
          <w:lang w:val="en-US"/>
        </w:rPr>
        <w:t>/N and sites x</w:t>
      </w:r>
      <w:r>
        <w:rPr>
          <w:sz w:val="22"/>
          <w:szCs w:val="22"/>
          <w:vertAlign w:val="subscript"/>
          <w:rtl w:val="0"/>
          <w:lang w:val="en-US"/>
        </w:rPr>
        <w:t>j</w:t>
      </w:r>
      <w:r>
        <w:rPr>
          <w:sz w:val="22"/>
          <w:szCs w:val="22"/>
          <w:rtl w:val="0"/>
          <w:lang w:val="en-US"/>
        </w:rPr>
        <w:t xml:space="preserve"> = ja modulo </w:t>
      </w:r>
      <w:r>
        <w:rPr>
          <w:sz w:val="22"/>
          <w:szCs w:val="22"/>
          <w:rtl w:val="0"/>
          <w:lang w:val="en-US"/>
        </w:rPr>
        <w:t>ℓ</w:t>
      </w:r>
      <w:r>
        <w:rPr>
          <w:sz w:val="22"/>
          <w:szCs w:val="22"/>
          <w:rtl w:val="0"/>
          <w:lang w:val="en-US"/>
        </w:rPr>
        <w:t>. The microscopic inner product is</w:t>
      </w:r>
    </w:p>
    <w:p>
      <w:pPr>
        <w:pStyle w:val="Equation"/>
        <w:spacing w:after="80" w:line="240" w:lineRule="atLeast"/>
      </w:pPr>
      <w:r>
        <w:rPr>
          <w:rFonts w:ascii="Arial Unicode MS" w:cs="Arial Unicode MS" w:hAnsi="Arial Unicode MS" w:eastAsia="Arial Unicode MS" w:hint="default"/>
          <w:b w:val="0"/>
          <w:bCs w:val="0"/>
          <w:i w:val="0"/>
          <w:iCs w:val="0"/>
          <w:sz w:val="22"/>
          <w:szCs w:val="22"/>
          <w:rtl w:val="0"/>
          <w:lang w:val="en-US"/>
        </w:rPr>
        <w:t>⟨</w:t>
      </w:r>
      <w:r>
        <w:rPr>
          <w:rFonts w:ascii="Times New Roman" w:hAnsi="Times New Roman"/>
          <w:sz w:val="22"/>
          <w:szCs w:val="22"/>
          <w:rtl w:val="0"/>
          <w:lang w:val="en-US"/>
        </w:rPr>
        <w:t>q,u</w:t>
      </w:r>
      <w:r>
        <w:rPr>
          <w:rFonts w:ascii="Arial Unicode MS" w:cs="Arial Unicode MS" w:hAnsi="Arial Unicode MS" w:eastAsia="Arial Unicode MS" w:hint="default"/>
          <w:b w:val="0"/>
          <w:bCs w:val="0"/>
          <w:i w:val="0"/>
          <w:iCs w:val="0"/>
          <w:sz w:val="22"/>
          <w:szCs w:val="22"/>
          <w:rtl w:val="0"/>
          <w:lang w:val="en-US"/>
        </w:rPr>
        <w:t>⟩</w:t>
      </w:r>
      <w:r>
        <w:rPr>
          <w:rFonts w:ascii="Times New Roman" w:hAnsi="Times New Roman"/>
          <w:sz w:val="22"/>
          <w:szCs w:val="22"/>
          <w:vertAlign w:val="subscript"/>
          <w:rtl w:val="0"/>
          <w:lang w:val="en-US"/>
        </w:rPr>
        <w:t>a</w:t>
      </w:r>
      <w:r>
        <w:rPr>
          <w:rFonts w:ascii="Times New Roman" w:hAnsi="Times New Roman"/>
          <w:sz w:val="22"/>
          <w:szCs w:val="22"/>
          <w:rtl w:val="0"/>
          <w:lang w:val="en-US"/>
        </w:rPr>
        <w:t xml:space="preserve"> = a</w:t>
      </w:r>
      <w:r>
        <w:rPr>
          <w:rFonts w:ascii="Times New Roman" w:hAnsi="Times New Roman" w:hint="default"/>
          <w:sz w:val="22"/>
          <w:szCs w:val="22"/>
          <w:rtl w:val="0"/>
          <w:lang w:val="en-US"/>
        </w:rPr>
        <w:t>∑</w:t>
      </w:r>
      <w:r>
        <w:rPr>
          <w:rFonts w:ascii="Times New Roman" w:hAnsi="Times New Roman"/>
          <w:sz w:val="22"/>
          <w:szCs w:val="22"/>
          <w:vertAlign w:val="subscript"/>
          <w:rtl w:val="0"/>
          <w:lang w:val="en-US"/>
        </w:rPr>
        <w:t>j</w:t>
      </w:r>
      <w:r>
        <w:rPr>
          <w:rFonts w:ascii="Times New Roman" w:hAnsi="Times New Roman"/>
          <w:sz w:val="22"/>
          <w:szCs w:val="22"/>
          <w:rtl w:val="0"/>
          <w:lang w:val="en-US"/>
        </w:rPr>
        <w:t xml:space="preserve"> q</w:t>
      </w:r>
      <w:r>
        <w:rPr>
          <w:rFonts w:ascii="Times New Roman" w:hAnsi="Times New Roman" w:hint="default"/>
          <w:sz w:val="22"/>
          <w:szCs w:val="22"/>
          <w:rtl w:val="0"/>
          <w:lang w:val="en-US"/>
        </w:rPr>
        <w:t>̄</w:t>
      </w:r>
      <w:r>
        <w:rPr>
          <w:rFonts w:ascii="Times New Roman" w:hAnsi="Times New Roman"/>
          <w:sz w:val="22"/>
          <w:szCs w:val="22"/>
          <w:vertAlign w:val="subscript"/>
          <w:rtl w:val="0"/>
          <w:lang w:val="en-US"/>
        </w:rPr>
        <w:t>j</w:t>
      </w:r>
      <w:r>
        <w:rPr>
          <w:rFonts w:ascii="Times New Roman" w:hAnsi="Times New Roman"/>
          <w:sz w:val="22"/>
          <w:szCs w:val="22"/>
          <w:rtl w:val="0"/>
          <w:lang w:val="en-US"/>
        </w:rPr>
        <w:t>u</w:t>
      </w:r>
      <w:r>
        <w:rPr>
          <w:rFonts w:ascii="Times New Roman" w:hAnsi="Times New Roman"/>
          <w:sz w:val="22"/>
          <w:szCs w:val="22"/>
          <w:vertAlign w:val="subscript"/>
          <w:rtl w:val="0"/>
          <w:lang w:val="en-US"/>
        </w:rPr>
        <w:t>j</w:t>
      </w:r>
      <w:r>
        <w:rPr>
          <w:rFonts w:ascii="Times New Roman" w:hAnsi="Times New Roman"/>
          <w:sz w:val="22"/>
          <w:szCs w:val="22"/>
          <w:rtl w:val="0"/>
          <w:lang w:val="en-US"/>
        </w:rPr>
        <w:t xml:space="preserve">,     </w:t>
      </w:r>
      <w:r>
        <w:rPr>
          <w:rFonts w:ascii="Times New Roman" w:hAnsi="Times New Roman" w:hint="default"/>
          <w:sz w:val="22"/>
          <w:szCs w:val="22"/>
          <w:rtl w:val="0"/>
          <w:lang w:val="en-US"/>
        </w:rPr>
        <w:t>‖</w:t>
      </w:r>
      <w:r>
        <w:rPr>
          <w:rFonts w:ascii="Times New Roman" w:hAnsi="Times New Roman"/>
          <w:sz w:val="22"/>
          <w:szCs w:val="22"/>
          <w:rtl w:val="0"/>
          <w:lang w:val="en-US"/>
        </w:rPr>
        <w:t>q</w:t>
      </w:r>
      <w:r>
        <w:rPr>
          <w:rFonts w:ascii="Times New Roman" w:hAnsi="Times New Roman" w:hint="default"/>
          <w:sz w:val="22"/>
          <w:szCs w:val="22"/>
          <w:rtl w:val="0"/>
          <w:lang w:val="en-US"/>
        </w:rPr>
        <w:t>‖</w:t>
      </w:r>
      <w:r>
        <w:rPr>
          <w:rFonts w:ascii="Times New Roman" w:hAnsi="Times New Roman"/>
          <w:sz w:val="22"/>
          <w:szCs w:val="22"/>
          <w:vertAlign w:val="subscript"/>
          <w:rtl w:val="0"/>
          <w:lang w:val="en-US"/>
        </w:rPr>
        <w:t>a</w:t>
      </w:r>
      <w:r>
        <w:rPr>
          <w:rFonts w:ascii="Times New Roman" w:hAnsi="Times New Roman"/>
          <w:sz w:val="22"/>
          <w:szCs w:val="22"/>
          <w:vertAlign w:val="superscript"/>
          <w:rtl w:val="0"/>
          <w:lang w:val="en-US"/>
        </w:rPr>
        <w:t>2</w:t>
      </w:r>
      <w:r>
        <w:rPr>
          <w:rFonts w:ascii="Times New Roman" w:hAnsi="Times New Roman"/>
          <w:sz w:val="22"/>
          <w:szCs w:val="22"/>
          <w:rtl w:val="0"/>
          <w:lang w:val="en-US"/>
        </w:rPr>
        <w:t xml:space="preserve"> = a</w:t>
      </w:r>
      <w:r>
        <w:rPr>
          <w:rFonts w:ascii="Times New Roman" w:hAnsi="Times New Roman" w:hint="default"/>
          <w:sz w:val="22"/>
          <w:szCs w:val="22"/>
          <w:rtl w:val="0"/>
          <w:lang w:val="en-US"/>
        </w:rPr>
        <w:t>∑</w:t>
      </w:r>
      <w:r>
        <w:rPr>
          <w:rFonts w:ascii="Times New Roman" w:hAnsi="Times New Roman"/>
          <w:sz w:val="22"/>
          <w:szCs w:val="22"/>
          <w:vertAlign w:val="subscript"/>
          <w:rtl w:val="0"/>
          <w:lang w:val="en-US"/>
        </w:rPr>
        <w:t>j</w:t>
      </w:r>
      <w:r>
        <w:rPr>
          <w:rFonts w:ascii="Times New Roman" w:hAnsi="Times New Roman"/>
          <w:sz w:val="22"/>
          <w:szCs w:val="22"/>
          <w:rtl w:val="0"/>
          <w:lang w:val="en-US"/>
        </w:rPr>
        <w:t>|q</w:t>
      </w:r>
      <w:r>
        <w:rPr>
          <w:rFonts w:ascii="Times New Roman" w:hAnsi="Times New Roman"/>
          <w:sz w:val="22"/>
          <w:szCs w:val="22"/>
          <w:vertAlign w:val="subscript"/>
          <w:rtl w:val="0"/>
          <w:lang w:val="en-US"/>
        </w:rPr>
        <w:t>j</w:t>
      </w:r>
      <w:r>
        <w:rPr>
          <w:rFonts w:ascii="Times New Roman" w:hAnsi="Times New Roman"/>
          <w:sz w:val="22"/>
          <w:szCs w:val="22"/>
          <w:rtl w:val="0"/>
          <w:lang w:val="en-US"/>
        </w:rPr>
        <w:t>|</w:t>
      </w:r>
      <w:r>
        <w:rPr>
          <w:rFonts w:ascii="Times New Roman" w:hAnsi="Times New Roman"/>
          <w:sz w:val="22"/>
          <w:szCs w:val="22"/>
          <w:vertAlign w:val="superscript"/>
          <w:rtl w:val="0"/>
          <w:lang w:val="en-US"/>
        </w:rPr>
        <w:t>2</w:t>
      </w:r>
      <w:r>
        <w:rPr>
          <w:rFonts w:ascii="Times New Roman" w:hAnsi="Times New Roman"/>
          <w:sz w:val="22"/>
          <w:szCs w:val="22"/>
          <w:rtl w:val="0"/>
          <w:lang w:val="en-US"/>
        </w:rPr>
        <w:t>.</w:t>
        <w:tab/>
        <w:t>(4)</w:t>
      </w:r>
    </w:p>
    <w:p>
      <w:pPr>
        <w:pStyle w:val="Normal.0"/>
        <w:keepNext w:val="1"/>
        <w:spacing w:after="80" w:line="240" w:lineRule="atLeast"/>
      </w:pPr>
      <w:r>
        <w:rPr>
          <w:sz w:val="22"/>
          <w:szCs w:val="22"/>
          <w:rtl w:val="0"/>
          <w:lang w:val="en-US"/>
        </w:rPr>
        <w:t xml:space="preserve">For a fixed finite hopping range M, choose </w:t>
      </w:r>
      <w:r>
        <w:rPr>
          <w:sz w:val="22"/>
          <w:szCs w:val="22"/>
          <w:rtl w:val="0"/>
          <w:lang w:val="en-US"/>
        </w:rPr>
        <w:t>κ</w:t>
      </w:r>
      <w:r>
        <w:rPr>
          <w:sz w:val="22"/>
          <w:szCs w:val="22"/>
          <w:vertAlign w:val="subscript"/>
          <w:rtl w:val="0"/>
          <w:lang w:val="en-US"/>
        </w:rPr>
        <w:t>m</w:t>
      </w:r>
      <w:r>
        <w:rPr>
          <w:sz w:val="22"/>
          <w:szCs w:val="22"/>
          <w:rtl w:val="0"/>
          <w:lang w:val="en-US"/>
        </w:rPr>
        <w:t xml:space="preserve"> ≥ </w:t>
      </w:r>
      <w:r>
        <w:rPr>
          <w:sz w:val="22"/>
          <w:szCs w:val="22"/>
          <w:rtl w:val="0"/>
          <w:lang w:val="en-US"/>
        </w:rPr>
        <w:t xml:space="preserve">0, </w:t>
      </w:r>
      <w:r>
        <w:rPr>
          <w:sz w:val="22"/>
          <w:szCs w:val="22"/>
          <w:rtl w:val="0"/>
          <w:lang w:val="en-US"/>
        </w:rPr>
        <w:t>κ</w:t>
      </w:r>
      <w:r>
        <w:rPr>
          <w:sz w:val="22"/>
          <w:szCs w:val="22"/>
          <w:vertAlign w:val="subscript"/>
          <w:rtl w:val="0"/>
          <w:lang w:val="en-US"/>
        </w:rPr>
        <w:t>1</w:t>
      </w:r>
      <w:r>
        <w:rPr>
          <w:sz w:val="22"/>
          <w:szCs w:val="22"/>
          <w:rtl w:val="0"/>
          <w:lang w:val="en-US"/>
        </w:rPr>
        <w:t xml:space="preserve"> &gt; 0 and</w:t>
      </w:r>
    </w:p>
    <w:p>
      <w:pPr>
        <w:pStyle w:val="Equation"/>
        <w:spacing w:after="80" w:line="240" w:lineRule="atLeast"/>
      </w:pPr>
      <w:r>
        <w:rPr>
          <w:rFonts w:ascii="Times New Roman" w:hAnsi="Times New Roman"/>
          <w:sz w:val="22"/>
          <w:szCs w:val="22"/>
          <w:rtl w:val="0"/>
          <w:lang w:val="en-US"/>
        </w:rPr>
        <w:t>c</w:t>
      </w:r>
      <w:r>
        <w:rPr>
          <w:rFonts w:ascii="Times New Roman" w:hAnsi="Times New Roman"/>
          <w:sz w:val="22"/>
          <w:szCs w:val="22"/>
          <w:vertAlign w:val="superscript"/>
          <w:rtl w:val="0"/>
          <w:lang w:val="en-US"/>
        </w:rPr>
        <w:t>2</w:t>
      </w:r>
      <w:r>
        <w:rPr>
          <w:rFonts w:ascii="Times New Roman" w:hAnsi="Times New Roman"/>
          <w:sz w:val="22"/>
          <w:szCs w:val="22"/>
          <w:rtl w:val="0"/>
          <w:lang w:val="en-US"/>
        </w:rPr>
        <w:t xml:space="preserve"> = </w:t>
      </w:r>
      <w:r>
        <w:rPr>
          <w:rFonts w:ascii="Times New Roman" w:hAnsi="Times New Roman" w:hint="default"/>
          <w:sz w:val="22"/>
          <w:szCs w:val="22"/>
          <w:rtl w:val="0"/>
          <w:lang w:val="en-US"/>
        </w:rPr>
        <w:t>∑</w:t>
      </w:r>
      <w:r>
        <w:rPr>
          <w:rFonts w:ascii="Times New Roman" w:hAnsi="Times New Roman"/>
          <w:sz w:val="22"/>
          <w:szCs w:val="22"/>
          <w:vertAlign w:val="subscript"/>
          <w:rtl w:val="0"/>
          <w:lang w:val="en-US"/>
        </w:rPr>
        <w:t>m</w:t>
      </w:r>
      <w:r>
        <w:rPr>
          <w:rFonts w:ascii="Times New Roman" w:hAnsi="Times New Roman" w:hint="default"/>
          <w:sz w:val="22"/>
          <w:szCs w:val="22"/>
          <w:rtl w:val="0"/>
          <w:lang w:val="en-US"/>
        </w:rPr>
        <w:t xml:space="preserve"> κ</w:t>
      </w:r>
      <w:r>
        <w:rPr>
          <w:rFonts w:ascii="Times New Roman" w:hAnsi="Times New Roman"/>
          <w:sz w:val="22"/>
          <w:szCs w:val="22"/>
          <w:vertAlign w:val="subscript"/>
          <w:rtl w:val="0"/>
          <w:lang w:val="en-US"/>
        </w:rPr>
        <w:t>m</w:t>
      </w:r>
      <w:r>
        <w:rPr>
          <w:rFonts w:ascii="Times New Roman" w:hAnsi="Times New Roman"/>
          <w:sz w:val="22"/>
          <w:szCs w:val="22"/>
          <w:rtl w:val="0"/>
          <w:lang w:val="en-US"/>
        </w:rPr>
        <w:t>m</w:t>
      </w:r>
      <w:r>
        <w:rPr>
          <w:rFonts w:ascii="Times New Roman" w:hAnsi="Times New Roman"/>
          <w:sz w:val="22"/>
          <w:szCs w:val="22"/>
          <w:vertAlign w:val="superscript"/>
          <w:rtl w:val="0"/>
          <w:lang w:val="en-US"/>
        </w:rPr>
        <w:t>2</w:t>
      </w:r>
      <w:r>
        <w:rPr>
          <w:rFonts w:ascii="Times New Roman" w:hAnsi="Times New Roman"/>
          <w:sz w:val="22"/>
          <w:szCs w:val="22"/>
          <w:rtl w:val="0"/>
          <w:lang w:val="en-US"/>
        </w:rPr>
        <w:t xml:space="preserve"> &gt; 0,     </w:t>
      </w:r>
      <w:r>
        <w:rPr>
          <w:rFonts w:ascii="Times New Roman" w:hAnsi="Times New Roman" w:hint="default"/>
          <w:sz w:val="22"/>
          <w:szCs w:val="22"/>
          <w:rtl w:val="0"/>
          <w:lang w:val="en-US"/>
        </w:rPr>
        <w:t>μ</w:t>
      </w:r>
      <w:r>
        <w:rPr>
          <w:rFonts w:ascii="Times New Roman" w:hAnsi="Times New Roman"/>
          <w:sz w:val="22"/>
          <w:szCs w:val="22"/>
          <w:vertAlign w:val="subscript"/>
          <w:rtl w:val="0"/>
          <w:lang w:val="en-US"/>
        </w:rPr>
        <w:t>4</w:t>
      </w:r>
      <w:r>
        <w:rPr>
          <w:rFonts w:ascii="Times New Roman" w:hAnsi="Times New Roman"/>
          <w:sz w:val="22"/>
          <w:szCs w:val="22"/>
          <w:rtl w:val="0"/>
          <w:lang w:val="en-US"/>
        </w:rPr>
        <w:t xml:space="preserve"> = </w:t>
      </w:r>
      <w:r>
        <w:rPr>
          <w:rFonts w:ascii="Times New Roman" w:hAnsi="Times New Roman" w:hint="default"/>
          <w:sz w:val="22"/>
          <w:szCs w:val="22"/>
          <w:rtl w:val="0"/>
          <w:lang w:val="en-US"/>
        </w:rPr>
        <w:t>∑</w:t>
      </w:r>
      <w:r>
        <w:rPr>
          <w:rFonts w:ascii="Times New Roman" w:hAnsi="Times New Roman"/>
          <w:sz w:val="22"/>
          <w:szCs w:val="22"/>
          <w:vertAlign w:val="subscript"/>
          <w:rtl w:val="0"/>
          <w:lang w:val="en-US"/>
        </w:rPr>
        <w:t>m</w:t>
      </w:r>
      <w:r>
        <w:rPr>
          <w:rFonts w:ascii="Times New Roman" w:hAnsi="Times New Roman" w:hint="default"/>
          <w:sz w:val="22"/>
          <w:szCs w:val="22"/>
          <w:rtl w:val="0"/>
          <w:lang w:val="en-US"/>
        </w:rPr>
        <w:t xml:space="preserve"> κ</w:t>
      </w:r>
      <w:r>
        <w:rPr>
          <w:rFonts w:ascii="Times New Roman" w:hAnsi="Times New Roman"/>
          <w:sz w:val="22"/>
          <w:szCs w:val="22"/>
          <w:vertAlign w:val="subscript"/>
          <w:rtl w:val="0"/>
          <w:lang w:val="en-US"/>
        </w:rPr>
        <w:t>m</w:t>
      </w:r>
      <w:r>
        <w:rPr>
          <w:rFonts w:ascii="Times New Roman" w:hAnsi="Times New Roman"/>
          <w:sz w:val="22"/>
          <w:szCs w:val="22"/>
          <w:rtl w:val="0"/>
          <w:lang w:val="en-US"/>
        </w:rPr>
        <w:t>m</w:t>
      </w:r>
      <w:r>
        <w:rPr>
          <w:rFonts w:ascii="Times New Roman" w:hAnsi="Times New Roman"/>
          <w:sz w:val="22"/>
          <w:szCs w:val="22"/>
          <w:vertAlign w:val="superscript"/>
          <w:rtl w:val="0"/>
          <w:lang w:val="en-US"/>
        </w:rPr>
        <w:t>4</w:t>
      </w:r>
      <w:r>
        <w:rPr>
          <w:rFonts w:ascii="Times New Roman" w:hAnsi="Times New Roman"/>
          <w:sz w:val="22"/>
          <w:szCs w:val="22"/>
          <w:rtl w:val="0"/>
          <w:lang w:val="en-US"/>
        </w:rPr>
        <w:t xml:space="preserve">,     1 </w:t>
      </w:r>
      <w:r>
        <w:rPr>
          <w:rFonts w:ascii="Times New Roman" w:hAnsi="Times New Roman" w:hint="default"/>
          <w:sz w:val="22"/>
          <w:szCs w:val="22"/>
          <w:rtl w:val="0"/>
          <w:lang w:val="en-US"/>
        </w:rPr>
        <w:t xml:space="preserve">≤ </w:t>
      </w:r>
      <w:r>
        <w:rPr>
          <w:rFonts w:ascii="Times New Roman" w:hAnsi="Times New Roman"/>
          <w:sz w:val="22"/>
          <w:szCs w:val="22"/>
          <w:rtl w:val="0"/>
          <w:lang w:val="en-US"/>
        </w:rPr>
        <w:t xml:space="preserve">m </w:t>
      </w:r>
      <w:r>
        <w:rPr>
          <w:rFonts w:ascii="Times New Roman" w:hAnsi="Times New Roman" w:hint="default"/>
          <w:sz w:val="22"/>
          <w:szCs w:val="22"/>
          <w:rtl w:val="0"/>
          <w:lang w:val="en-US"/>
        </w:rPr>
        <w:t xml:space="preserve">≤ </w:t>
      </w:r>
      <w:r>
        <w:rPr>
          <w:rFonts w:ascii="Times New Roman" w:hAnsi="Times New Roman"/>
          <w:sz w:val="22"/>
          <w:szCs w:val="22"/>
          <w:rtl w:val="0"/>
          <w:lang w:val="en-US"/>
        </w:rPr>
        <w:t>M.</w:t>
        <w:tab/>
        <w:t>(5)</w:t>
      </w:r>
    </w:p>
    <w:p>
      <w:pPr>
        <w:pStyle w:val="Normal.0"/>
        <w:keepNext w:val="1"/>
        <w:spacing w:after="80" w:line="240" w:lineRule="atLeast"/>
      </w:pPr>
      <w:r>
        <w:rPr>
          <w:sz w:val="22"/>
          <w:szCs w:val="22"/>
          <w:rtl w:val="0"/>
          <w:lang w:val="en-US"/>
        </w:rPr>
        <w:t>Define the operator and canonical Hamiltonian</w:t>
      </w:r>
    </w:p>
    <w:p>
      <w:pPr>
        <w:pStyle w:val="Equation"/>
        <w:spacing w:after="80" w:line="240" w:lineRule="atLeast"/>
      </w:pPr>
      <w:r>
        <w:rPr>
          <w:rFonts w:ascii="Times New Roman" w:hAnsi="Times New Roman"/>
          <w:sz w:val="22"/>
          <w:szCs w:val="22"/>
          <w:rtl w:val="0"/>
          <w:lang w:val="en-US"/>
        </w:rPr>
        <w:t>(L</w:t>
      </w:r>
      <w:r>
        <w:rPr>
          <w:rFonts w:ascii="Times New Roman" w:hAnsi="Times New Roman"/>
          <w:sz w:val="22"/>
          <w:szCs w:val="22"/>
          <w:vertAlign w:val="subscript"/>
          <w:rtl w:val="0"/>
          <w:lang w:val="en-US"/>
        </w:rPr>
        <w:t>a</w:t>
      </w:r>
      <w:r>
        <w:rPr>
          <w:rFonts w:ascii="Times New Roman" w:hAnsi="Times New Roman"/>
          <w:sz w:val="22"/>
          <w:szCs w:val="22"/>
          <w:rtl w:val="0"/>
          <w:lang w:val="en-US"/>
        </w:rPr>
        <w:t>q)</w:t>
      </w:r>
      <w:r>
        <w:rPr>
          <w:rFonts w:ascii="Times New Roman" w:hAnsi="Times New Roman"/>
          <w:sz w:val="22"/>
          <w:szCs w:val="22"/>
          <w:vertAlign w:val="subscript"/>
          <w:rtl w:val="0"/>
          <w:lang w:val="en-US"/>
        </w:rPr>
        <w:t>j</w:t>
      </w:r>
      <w:r>
        <w:rPr>
          <w:rFonts w:ascii="Times New Roman" w:hAnsi="Times New Roman"/>
          <w:sz w:val="22"/>
          <w:szCs w:val="22"/>
          <w:rtl w:val="0"/>
          <w:lang w:val="en-US"/>
        </w:rPr>
        <w:t xml:space="preserve"> = a</w:t>
      </w:r>
      <w:r>
        <w:rPr>
          <w:rFonts w:ascii="Times New Roman" w:hAnsi="Times New Roman"/>
          <w:sz w:val="22"/>
          <w:szCs w:val="22"/>
          <w:vertAlign w:val="superscript"/>
          <w:rtl w:val="0"/>
          <w:lang w:val="en-US"/>
        </w:rPr>
        <w:t>-2</w:t>
      </w:r>
      <w:r>
        <w:rPr>
          <w:rFonts w:ascii="Times New Roman" w:hAnsi="Times New Roman" w:hint="default"/>
          <w:sz w:val="22"/>
          <w:szCs w:val="22"/>
          <w:rtl w:val="0"/>
          <w:lang w:val="en-US"/>
        </w:rPr>
        <w:t>∑</w:t>
      </w:r>
      <w:r>
        <w:rPr>
          <w:rFonts w:ascii="Times New Roman" w:hAnsi="Times New Roman"/>
          <w:sz w:val="22"/>
          <w:szCs w:val="22"/>
          <w:vertAlign w:val="subscript"/>
          <w:rtl w:val="0"/>
          <w:lang w:val="en-US"/>
        </w:rPr>
        <w:t>m</w:t>
      </w:r>
      <w:r>
        <w:rPr>
          <w:rFonts w:ascii="Times New Roman" w:hAnsi="Times New Roman" w:hint="default"/>
          <w:sz w:val="22"/>
          <w:szCs w:val="22"/>
          <w:rtl w:val="0"/>
          <w:lang w:val="en-US"/>
        </w:rPr>
        <w:t xml:space="preserve"> κ</w:t>
      </w:r>
      <w:r>
        <w:rPr>
          <w:rFonts w:ascii="Times New Roman" w:hAnsi="Times New Roman"/>
          <w:sz w:val="22"/>
          <w:szCs w:val="22"/>
          <w:vertAlign w:val="subscript"/>
          <w:rtl w:val="0"/>
          <w:lang w:val="en-US"/>
        </w:rPr>
        <w:t>m</w:t>
      </w:r>
      <w:r>
        <w:rPr>
          <w:rFonts w:ascii="Times New Roman" w:hAnsi="Times New Roman"/>
          <w:sz w:val="22"/>
          <w:szCs w:val="22"/>
          <w:rtl w:val="0"/>
          <w:lang w:val="en-US"/>
        </w:rPr>
        <w:t>(2q</w:t>
      </w:r>
      <w:r>
        <w:rPr>
          <w:rFonts w:ascii="Times New Roman" w:hAnsi="Times New Roman"/>
          <w:sz w:val="22"/>
          <w:szCs w:val="22"/>
          <w:vertAlign w:val="subscript"/>
          <w:rtl w:val="0"/>
          <w:lang w:val="en-US"/>
        </w:rPr>
        <w:t>j</w:t>
      </w:r>
      <w:r>
        <w:rPr>
          <w:rFonts w:ascii="Times New Roman" w:hAnsi="Times New Roman" w:hint="default"/>
          <w:sz w:val="22"/>
          <w:szCs w:val="22"/>
          <w:rtl w:val="0"/>
          <w:lang w:val="en-US"/>
        </w:rPr>
        <w:t xml:space="preserve"> − </w:t>
      </w:r>
      <w:r>
        <w:rPr>
          <w:rFonts w:ascii="Times New Roman" w:hAnsi="Times New Roman"/>
          <w:sz w:val="22"/>
          <w:szCs w:val="22"/>
          <w:rtl w:val="0"/>
          <w:lang w:val="en-US"/>
        </w:rPr>
        <w:t>q</w:t>
      </w:r>
      <w:r>
        <w:rPr>
          <w:rFonts w:ascii="Times New Roman" w:hAnsi="Times New Roman"/>
          <w:sz w:val="22"/>
          <w:szCs w:val="22"/>
          <w:vertAlign w:val="subscript"/>
          <w:rtl w:val="0"/>
          <w:lang w:val="en-US"/>
        </w:rPr>
        <w:t>j+m</w:t>
      </w:r>
      <w:r>
        <w:rPr>
          <w:rFonts w:ascii="Times New Roman" w:hAnsi="Times New Roman" w:hint="default"/>
          <w:sz w:val="22"/>
          <w:szCs w:val="22"/>
          <w:rtl w:val="0"/>
          <w:lang w:val="en-US"/>
        </w:rPr>
        <w:t xml:space="preserve"> − </w:t>
      </w:r>
      <w:r>
        <w:rPr>
          <w:rFonts w:ascii="Times New Roman" w:hAnsi="Times New Roman"/>
          <w:sz w:val="22"/>
          <w:szCs w:val="22"/>
          <w:rtl w:val="0"/>
          <w:lang w:val="en-US"/>
        </w:rPr>
        <w:t>q</w:t>
      </w:r>
      <w:r>
        <w:rPr>
          <w:rFonts w:ascii="Times New Roman" w:hAnsi="Times New Roman"/>
          <w:sz w:val="22"/>
          <w:szCs w:val="22"/>
          <w:vertAlign w:val="subscript"/>
          <w:rtl w:val="0"/>
          <w:lang w:val="en-US"/>
        </w:rPr>
        <w:t>j-m</w:t>
      </w:r>
      <w:r>
        <w:rPr>
          <w:rFonts w:ascii="Times New Roman" w:hAnsi="Times New Roman"/>
          <w:sz w:val="22"/>
          <w:szCs w:val="22"/>
          <w:rtl w:val="0"/>
          <w:lang w:val="en-US"/>
        </w:rPr>
        <w:t>),</w:t>
        <w:tab/>
        <w:t>(6)</w:t>
      </w:r>
    </w:p>
    <w:p>
      <w:pPr>
        <w:pStyle w:val="Equation"/>
        <w:spacing w:after="80" w:line="240" w:lineRule="atLeast"/>
      </w:pPr>
      <w:r>
        <w:rPr>
          <w:rFonts w:ascii="Times New Roman" w:hAnsi="Times New Roman"/>
          <w:sz w:val="22"/>
          <w:szCs w:val="22"/>
          <w:rtl w:val="0"/>
          <w:lang w:val="en-US"/>
        </w:rPr>
        <w:t>H</w:t>
      </w:r>
      <w:r>
        <w:rPr>
          <w:rFonts w:ascii="Times New Roman" w:hAnsi="Times New Roman"/>
          <w:sz w:val="22"/>
          <w:szCs w:val="22"/>
          <w:vertAlign w:val="subscript"/>
          <w:rtl w:val="0"/>
          <w:lang w:val="en-US"/>
        </w:rPr>
        <w:t>a</w:t>
      </w:r>
      <w:r>
        <w:rPr>
          <w:rFonts w:ascii="Times New Roman" w:hAnsi="Times New Roman"/>
          <w:sz w:val="22"/>
          <w:szCs w:val="22"/>
          <w:rtl w:val="0"/>
          <w:lang w:val="en-US"/>
        </w:rPr>
        <w:t xml:space="preserve"> = </w:t>
      </w:r>
      <w:r>
        <w:rPr>
          <w:rFonts w:ascii="Times New Roman" w:hAnsi="Times New Roman" w:hint="default"/>
          <w:sz w:val="22"/>
          <w:szCs w:val="22"/>
          <w:rtl w:val="0"/>
          <w:lang w:val="en-US"/>
        </w:rPr>
        <w:t>∑</w:t>
      </w:r>
      <w:r>
        <w:rPr>
          <w:rFonts w:ascii="Times New Roman" w:hAnsi="Times New Roman"/>
          <w:sz w:val="22"/>
          <w:szCs w:val="22"/>
          <w:vertAlign w:val="subscript"/>
          <w:rtl w:val="0"/>
          <w:lang w:val="en-US"/>
        </w:rPr>
        <w:t>j</w:t>
      </w:r>
      <w:r>
        <w:rPr>
          <w:rFonts w:ascii="Times New Roman" w:hAnsi="Times New Roman" w:hint="default"/>
          <w:sz w:val="22"/>
          <w:szCs w:val="22"/>
          <w:rtl w:val="0"/>
          <w:lang w:val="en-US"/>
        </w:rPr>
        <w:t xml:space="preserve"> π</w:t>
      </w:r>
      <w:r>
        <w:rPr>
          <w:rFonts w:ascii="Times New Roman" w:hAnsi="Times New Roman"/>
          <w:sz w:val="22"/>
          <w:szCs w:val="22"/>
          <w:vertAlign w:val="subscript"/>
          <w:rtl w:val="0"/>
          <w:lang w:val="en-US"/>
        </w:rPr>
        <w:t>j</w:t>
      </w:r>
      <w:r>
        <w:rPr>
          <w:rFonts w:ascii="Times New Roman" w:hAnsi="Times New Roman"/>
          <w:sz w:val="22"/>
          <w:szCs w:val="22"/>
          <w:vertAlign w:val="superscript"/>
          <w:rtl w:val="0"/>
          <w:lang w:val="en-US"/>
        </w:rPr>
        <w:t>2</w:t>
      </w:r>
      <w:r>
        <w:rPr>
          <w:rFonts w:ascii="Times New Roman" w:hAnsi="Times New Roman"/>
          <w:sz w:val="22"/>
          <w:szCs w:val="22"/>
          <w:rtl w:val="0"/>
          <w:lang w:val="en-US"/>
        </w:rPr>
        <w:t>/(2a) + (2a)</w:t>
      </w:r>
      <w:r>
        <w:rPr>
          <w:rFonts w:ascii="Times New Roman" w:hAnsi="Times New Roman"/>
          <w:sz w:val="22"/>
          <w:szCs w:val="22"/>
          <w:vertAlign w:val="superscript"/>
          <w:rtl w:val="0"/>
          <w:lang w:val="en-US"/>
        </w:rPr>
        <w:t>-1</w:t>
      </w:r>
      <w:r>
        <w:rPr>
          <w:rFonts w:ascii="Times New Roman" w:hAnsi="Times New Roman" w:hint="default"/>
          <w:sz w:val="22"/>
          <w:szCs w:val="22"/>
          <w:rtl w:val="0"/>
          <w:lang w:val="en-US"/>
        </w:rPr>
        <w:t>∑</w:t>
      </w:r>
      <w:r>
        <w:rPr>
          <w:rFonts w:ascii="Times New Roman" w:hAnsi="Times New Roman"/>
          <w:sz w:val="22"/>
          <w:szCs w:val="22"/>
          <w:vertAlign w:val="subscript"/>
          <w:rtl w:val="0"/>
          <w:lang w:val="en-US"/>
        </w:rPr>
        <w:t>j</w:t>
      </w:r>
      <w:r>
        <w:rPr>
          <w:rFonts w:ascii="Times New Roman" w:hAnsi="Times New Roman"/>
          <w:sz w:val="22"/>
          <w:szCs w:val="22"/>
          <w:rtl w:val="0"/>
          <w:lang w:val="en-US"/>
        </w:rPr>
        <w:t>,</w:t>
      </w:r>
      <w:r>
        <w:rPr>
          <w:rFonts w:ascii="Times New Roman" w:hAnsi="Times New Roman"/>
          <w:sz w:val="22"/>
          <w:szCs w:val="22"/>
          <w:vertAlign w:val="subscript"/>
          <w:rtl w:val="0"/>
          <w:lang w:val="en-US"/>
        </w:rPr>
        <w:t>m</w:t>
      </w:r>
      <w:r>
        <w:rPr>
          <w:rFonts w:ascii="Times New Roman" w:hAnsi="Times New Roman" w:hint="default"/>
          <w:sz w:val="22"/>
          <w:szCs w:val="22"/>
          <w:rtl w:val="0"/>
          <w:lang w:val="en-US"/>
        </w:rPr>
        <w:t xml:space="preserve"> κ</w:t>
      </w:r>
      <w:r>
        <w:rPr>
          <w:rFonts w:ascii="Times New Roman" w:hAnsi="Times New Roman"/>
          <w:sz w:val="22"/>
          <w:szCs w:val="22"/>
          <w:vertAlign w:val="subscript"/>
          <w:rtl w:val="0"/>
          <w:lang w:val="en-US"/>
        </w:rPr>
        <w:t>m</w:t>
      </w:r>
      <w:r>
        <w:rPr>
          <w:rFonts w:ascii="Times New Roman" w:hAnsi="Times New Roman"/>
          <w:sz w:val="22"/>
          <w:szCs w:val="22"/>
          <w:rtl w:val="0"/>
          <w:lang w:val="en-US"/>
        </w:rPr>
        <w:t>(q</w:t>
      </w:r>
      <w:r>
        <w:rPr>
          <w:rFonts w:ascii="Times New Roman" w:hAnsi="Times New Roman"/>
          <w:sz w:val="22"/>
          <w:szCs w:val="22"/>
          <w:vertAlign w:val="subscript"/>
          <w:rtl w:val="0"/>
          <w:lang w:val="en-US"/>
        </w:rPr>
        <w:t>j+m</w:t>
      </w:r>
      <w:r>
        <w:rPr>
          <w:rFonts w:ascii="Times New Roman" w:hAnsi="Times New Roman" w:hint="default"/>
          <w:sz w:val="22"/>
          <w:szCs w:val="22"/>
          <w:rtl w:val="0"/>
          <w:lang w:val="en-US"/>
        </w:rPr>
        <w:t xml:space="preserve"> − </w:t>
      </w:r>
      <w:r>
        <w:rPr>
          <w:rFonts w:ascii="Times New Roman" w:hAnsi="Times New Roman"/>
          <w:sz w:val="22"/>
          <w:szCs w:val="22"/>
          <w:rtl w:val="0"/>
          <w:lang w:val="en-US"/>
        </w:rPr>
        <w:t>q</w:t>
      </w:r>
      <w:r>
        <w:rPr>
          <w:rFonts w:ascii="Times New Roman" w:hAnsi="Times New Roman"/>
          <w:sz w:val="22"/>
          <w:szCs w:val="22"/>
          <w:vertAlign w:val="subscript"/>
          <w:rtl w:val="0"/>
          <w:lang w:val="en-US"/>
        </w:rPr>
        <w:t>j</w:t>
      </w:r>
      <w:r>
        <w:rPr>
          <w:rFonts w:ascii="Times New Roman" w:hAnsi="Times New Roman"/>
          <w:sz w:val="22"/>
          <w:szCs w:val="22"/>
          <w:rtl w:val="0"/>
          <w:lang w:val="en-US"/>
        </w:rPr>
        <w:t>)</w:t>
      </w:r>
      <w:r>
        <w:rPr>
          <w:rFonts w:ascii="Times New Roman" w:hAnsi="Times New Roman"/>
          <w:sz w:val="22"/>
          <w:szCs w:val="22"/>
          <w:vertAlign w:val="superscript"/>
          <w:rtl w:val="0"/>
          <w:lang w:val="en-US"/>
        </w:rPr>
        <w:t>2</w:t>
      </w:r>
      <w:r>
        <w:rPr>
          <w:rFonts w:ascii="Times New Roman" w:hAnsi="Times New Roman"/>
          <w:sz w:val="22"/>
          <w:szCs w:val="22"/>
          <w:rtl w:val="0"/>
          <w:lang w:val="en-US"/>
        </w:rPr>
        <w:t>.</w:t>
        <w:tab/>
        <w:t>(7)</w:t>
      </w:r>
    </w:p>
    <w:p>
      <w:pPr>
        <w:pStyle w:val="Normal.0"/>
        <w:spacing w:after="80" w:line="240" w:lineRule="atLeast"/>
      </w:pPr>
      <w:r>
        <w:rPr>
          <w:sz w:val="22"/>
          <w:szCs w:val="22"/>
          <w:rtl w:val="0"/>
          <w:lang w:val="en-US"/>
        </w:rPr>
        <w:t xml:space="preserve">Here </w:t>
      </w:r>
      <w:r>
        <w:rPr>
          <w:sz w:val="22"/>
          <w:szCs w:val="22"/>
          <w:rtl w:val="0"/>
          <w:lang w:val="en-US"/>
        </w:rPr>
        <w:t>π</w:t>
      </w:r>
      <w:r>
        <w:rPr>
          <w:sz w:val="22"/>
          <w:szCs w:val="22"/>
          <w:vertAlign w:val="subscript"/>
          <w:rtl w:val="0"/>
          <w:lang w:val="en-US"/>
        </w:rPr>
        <w:t>j</w:t>
      </w:r>
      <w:r>
        <w:rPr>
          <w:sz w:val="22"/>
          <w:szCs w:val="22"/>
          <w:rtl w:val="0"/>
          <w:lang w:val="en-US"/>
        </w:rPr>
        <w:t xml:space="preserve"> = aq</w:t>
      </w:r>
      <w:r>
        <w:rPr>
          <w:sz w:val="22"/>
          <w:szCs w:val="22"/>
          <w:rtl w:val="0"/>
          <w:lang w:val="en-US"/>
        </w:rPr>
        <w:t>̇</w:t>
      </w:r>
      <w:r>
        <w:rPr>
          <w:sz w:val="22"/>
          <w:szCs w:val="22"/>
          <w:vertAlign w:val="subscript"/>
          <w:rtl w:val="0"/>
          <w:lang w:val="en-US"/>
        </w:rPr>
        <w:t>j</w:t>
      </w:r>
      <w:r>
        <w:rPr>
          <w:sz w:val="22"/>
          <w:szCs w:val="22"/>
          <w:rtl w:val="0"/>
          <w:lang w:val="en-US"/>
        </w:rPr>
        <w:t xml:space="preserve"> and {q</w:t>
      </w:r>
      <w:r>
        <w:rPr>
          <w:sz w:val="22"/>
          <w:szCs w:val="22"/>
          <w:vertAlign w:val="subscript"/>
          <w:rtl w:val="0"/>
          <w:lang w:val="en-US"/>
        </w:rPr>
        <w:t>i</w:t>
      </w:r>
      <w:r>
        <w:rPr>
          <w:sz w:val="22"/>
          <w:szCs w:val="22"/>
          <w:rtl w:val="0"/>
          <w:lang w:val="en-US"/>
        </w:rPr>
        <w:t>,</w:t>
      </w:r>
      <w:r>
        <w:rPr>
          <w:sz w:val="22"/>
          <w:szCs w:val="22"/>
          <w:rtl w:val="0"/>
          <w:lang w:val="en-US"/>
        </w:rPr>
        <w:t>π</w:t>
      </w:r>
      <w:r>
        <w:rPr>
          <w:sz w:val="22"/>
          <w:szCs w:val="22"/>
          <w:vertAlign w:val="subscript"/>
          <w:rtl w:val="0"/>
          <w:lang w:val="en-US"/>
        </w:rPr>
        <w:t>j</w:t>
      </w:r>
      <w:r>
        <w:rPr>
          <w:sz w:val="22"/>
          <w:szCs w:val="22"/>
          <w:rtl w:val="0"/>
          <w:lang w:val="en-US"/>
        </w:rPr>
        <w:t xml:space="preserve">} = </w:t>
      </w:r>
      <w:r>
        <w:rPr>
          <w:sz w:val="22"/>
          <w:szCs w:val="22"/>
          <w:rtl w:val="0"/>
          <w:lang w:val="en-US"/>
        </w:rPr>
        <w:t>δ</w:t>
      </w:r>
      <w:r>
        <w:rPr>
          <w:sz w:val="22"/>
          <w:szCs w:val="22"/>
          <w:vertAlign w:val="subscript"/>
          <w:rtl w:val="0"/>
          <w:lang w:val="en-US"/>
        </w:rPr>
        <w:t>ij</w:t>
      </w:r>
      <w:r>
        <w:rPr>
          <w:sz w:val="22"/>
          <w:szCs w:val="22"/>
          <w:rtl w:val="0"/>
          <w:lang w:val="en-US"/>
        </w:rPr>
        <w:t>. Hence q</w:t>
      </w:r>
      <w:r>
        <w:rPr>
          <w:sz w:val="22"/>
          <w:szCs w:val="22"/>
          <w:rtl w:val="0"/>
          <w:lang w:val="en-US"/>
        </w:rPr>
        <w:t xml:space="preserve">̈ </w:t>
      </w:r>
      <w:r>
        <w:rPr>
          <w:sz w:val="22"/>
          <w:szCs w:val="22"/>
          <w:rtl w:val="0"/>
          <w:lang w:val="en-US"/>
        </w:rPr>
        <w:t>+ L</w:t>
      </w:r>
      <w:r>
        <w:rPr>
          <w:sz w:val="22"/>
          <w:szCs w:val="22"/>
          <w:vertAlign w:val="subscript"/>
          <w:rtl w:val="0"/>
          <w:lang w:val="en-US"/>
        </w:rPr>
        <w:t>a</w:t>
      </w:r>
      <w:r>
        <w:rPr>
          <w:sz w:val="22"/>
          <w:szCs w:val="22"/>
          <w:rtl w:val="0"/>
          <w:lang w:val="en-US"/>
        </w:rPr>
        <w:t>q = 0 is a finite, autonomous, closed Hamiltonian system. Positivity excludes unstable linear modes. Its constant mode is free; compactness of an energy surface is not automatic unless that mode is fixed or reduced.</w:t>
      </w:r>
    </w:p>
    <w:p>
      <w:pPr>
        <w:pStyle w:val="Normal.0"/>
        <w:spacing w:after="80" w:line="240" w:lineRule="atLeast"/>
      </w:pPr>
      <w:r>
        <w:rPr>
          <w:sz w:val="22"/>
          <w:szCs w:val="22"/>
          <w:rtl w:val="0"/>
          <w:lang w:val="en-US"/>
        </w:rPr>
        <w:t>Let K(N) = {2</w:t>
      </w:r>
      <w:r>
        <w:rPr>
          <w:sz w:val="22"/>
          <w:szCs w:val="22"/>
          <w:rtl w:val="0"/>
          <w:lang w:val="en-US"/>
        </w:rPr>
        <w:t>π</w:t>
      </w:r>
      <w:r>
        <w:rPr>
          <w:sz w:val="22"/>
          <w:szCs w:val="22"/>
          <w:rtl w:val="0"/>
          <w:lang w:val="en-US"/>
        </w:rPr>
        <w:t>n/</w:t>
      </w:r>
      <w:r>
        <w:rPr>
          <w:sz w:val="22"/>
          <w:szCs w:val="22"/>
          <w:rtl w:val="0"/>
          <w:lang w:val="en-US"/>
        </w:rPr>
        <w:t xml:space="preserve">ℓ </w:t>
      </w:r>
      <w:r>
        <w:rPr>
          <w:sz w:val="22"/>
          <w:szCs w:val="22"/>
          <w:rtl w:val="0"/>
          <w:lang w:val="en-US"/>
        </w:rPr>
        <w:t xml:space="preserve">: |n| </w:t>
      </w:r>
      <w:r>
        <w:rPr>
          <w:sz w:val="22"/>
          <w:szCs w:val="22"/>
          <w:rtl w:val="0"/>
          <w:lang w:val="en-US"/>
        </w:rPr>
        <w:t xml:space="preserve">≤ </w:t>
      </w:r>
      <w:r>
        <w:rPr>
          <w:sz w:val="22"/>
          <w:szCs w:val="22"/>
          <w:rtl w:val="0"/>
          <w:lang w:val="en-US"/>
        </w:rPr>
        <w:t xml:space="preserve">(N </w:t>
      </w:r>
      <w:r>
        <w:rPr>
          <w:sz w:val="22"/>
          <w:szCs w:val="22"/>
          <w:rtl w:val="0"/>
          <w:lang w:val="en-US"/>
        </w:rPr>
        <w:t xml:space="preserve">− </w:t>
      </w:r>
      <w:r>
        <w:rPr>
          <w:sz w:val="22"/>
          <w:szCs w:val="22"/>
          <w:rtl w:val="0"/>
          <w:lang w:val="en-US"/>
        </w:rPr>
        <w:t>1)/2}. The map J</w:t>
      </w:r>
      <w:r>
        <w:rPr>
          <w:sz w:val="22"/>
          <w:szCs w:val="22"/>
          <w:vertAlign w:val="subscript"/>
          <w:rtl w:val="0"/>
          <w:lang w:val="en-US"/>
        </w:rPr>
        <w:t>a</w:t>
      </w:r>
      <w:r>
        <w:rPr>
          <w:sz w:val="22"/>
          <w:szCs w:val="22"/>
          <w:rtl w:val="0"/>
          <w:lang w:val="en-US"/>
        </w:rPr>
        <w:t xml:space="preserve"> sends grid values to the unique trigonometric polynomial with these modes and these values at the sites. Discrete Fourier orthogonality makes J</w:t>
      </w:r>
      <w:r>
        <w:rPr>
          <w:sz w:val="22"/>
          <w:szCs w:val="22"/>
          <w:vertAlign w:val="subscript"/>
          <w:rtl w:val="0"/>
          <w:lang w:val="en-US"/>
        </w:rPr>
        <w:t>a</w:t>
      </w:r>
      <w:r>
        <w:rPr>
          <w:sz w:val="22"/>
          <w:szCs w:val="22"/>
          <w:rtl w:val="0"/>
          <w:lang w:val="en-US"/>
        </w:rPr>
        <w:t xml:space="preserve"> an isometry into L</w:t>
      </w:r>
      <w:r>
        <w:rPr>
          <w:sz w:val="22"/>
          <w:szCs w:val="22"/>
          <w:vertAlign w:val="superscript"/>
          <w:rtl w:val="0"/>
          <w:lang w:val="en-US"/>
        </w:rPr>
        <w:t>2</w:t>
      </w:r>
      <w:r>
        <w:rPr>
          <w:sz w:val="22"/>
          <w:szCs w:val="22"/>
          <w:rtl w:val="0"/>
          <w:lang w:val="en-US"/>
        </w:rPr>
        <w:t>(S</w:t>
      </w:r>
      <w:r>
        <w:rPr>
          <w:sz w:val="22"/>
          <w:szCs w:val="22"/>
          <w:vertAlign w:val="superscript"/>
          <w:rtl w:val="0"/>
          <w:lang w:val="en-US"/>
        </w:rPr>
        <w:t>1</w:t>
      </w:r>
      <w:r>
        <w:rPr>
          <w:sz w:val="22"/>
          <w:szCs w:val="22"/>
          <w:rtl w:val="0"/>
          <w:lang w:val="en-US"/>
        </w:rPr>
        <w:t>,dx). Set Q</w:t>
      </w:r>
      <w:r>
        <w:rPr>
          <w:sz w:val="22"/>
          <w:szCs w:val="22"/>
          <w:vertAlign w:val="subscript"/>
          <w:rtl w:val="0"/>
          <w:lang w:val="en-US"/>
        </w:rPr>
        <w:t>a</w:t>
      </w:r>
      <w:r>
        <w:rPr>
          <w:sz w:val="22"/>
          <w:szCs w:val="22"/>
          <w:rtl w:val="0"/>
          <w:lang w:val="en-US"/>
        </w:rPr>
        <w:t xml:space="preserve"> = J</w:t>
      </w:r>
      <w:r>
        <w:rPr>
          <w:sz w:val="22"/>
          <w:szCs w:val="22"/>
          <w:vertAlign w:val="subscript"/>
          <w:rtl w:val="0"/>
          <w:lang w:val="en-US"/>
        </w:rPr>
        <w:t>a</w:t>
      </w:r>
      <w:r>
        <w:rPr>
          <w:sz w:val="22"/>
          <w:szCs w:val="22"/>
          <w:rtl w:val="0"/>
          <w:lang w:val="en-US"/>
        </w:rPr>
        <w:t>* and P</w:t>
      </w:r>
      <w:r>
        <w:rPr>
          <w:sz w:val="22"/>
          <w:szCs w:val="22"/>
          <w:vertAlign w:val="subscript"/>
          <w:rtl w:val="0"/>
          <w:lang w:val="en-US"/>
        </w:rPr>
        <w:t>a</w:t>
      </w:r>
      <w:r>
        <w:rPr>
          <w:sz w:val="22"/>
          <w:szCs w:val="22"/>
          <w:rtl w:val="0"/>
          <w:lang w:val="en-US"/>
        </w:rPr>
        <w:t xml:space="preserve"> = J</w:t>
      </w:r>
      <w:r>
        <w:rPr>
          <w:sz w:val="22"/>
          <w:szCs w:val="22"/>
          <w:vertAlign w:val="subscript"/>
          <w:rtl w:val="0"/>
          <w:lang w:val="en-US"/>
        </w:rPr>
        <w:t>a</w:t>
      </w:r>
      <w:r>
        <w:rPr>
          <w:sz w:val="22"/>
          <w:szCs w:val="22"/>
          <w:rtl w:val="0"/>
          <w:lang w:val="en-US"/>
        </w:rPr>
        <w:t>Q</w:t>
      </w:r>
      <w:r>
        <w:rPr>
          <w:sz w:val="22"/>
          <w:szCs w:val="22"/>
          <w:vertAlign w:val="subscript"/>
          <w:rtl w:val="0"/>
          <w:lang w:val="en-US"/>
        </w:rPr>
        <w:t>a</w:t>
      </w:r>
      <w:r>
        <w:rPr>
          <w:sz w:val="22"/>
          <w:szCs w:val="22"/>
          <w:rtl w:val="0"/>
          <w:lang w:val="en-US"/>
        </w:rPr>
        <w:t>. Thus Q</w:t>
      </w:r>
      <w:r>
        <w:rPr>
          <w:sz w:val="22"/>
          <w:szCs w:val="22"/>
          <w:vertAlign w:val="subscript"/>
          <w:rtl w:val="0"/>
          <w:lang w:val="en-US"/>
        </w:rPr>
        <w:t>a</w:t>
      </w:r>
      <w:r>
        <w:rPr>
          <w:sz w:val="22"/>
          <w:szCs w:val="22"/>
          <w:rtl w:val="0"/>
          <w:lang w:val="en-US"/>
        </w:rPr>
        <w:t>f consists of samples of P</w:t>
      </w:r>
      <w:r>
        <w:rPr>
          <w:sz w:val="22"/>
          <w:szCs w:val="22"/>
          <w:vertAlign w:val="subscript"/>
          <w:rtl w:val="0"/>
          <w:lang w:val="en-US"/>
        </w:rPr>
        <w:t>a</w:t>
      </w:r>
      <w:r>
        <w:rPr>
          <w:sz w:val="22"/>
          <w:szCs w:val="22"/>
          <w:rtl w:val="0"/>
          <w:lang w:val="en-US"/>
        </w:rPr>
        <w:t>f, not generally samples of an arbitrary unsmoothed f. This distinction avoids an unmentioned aliasing assumption.</w:t>
      </w:r>
    </w:p>
    <w:p>
      <w:pPr>
        <w:pStyle w:val="Normal.0"/>
        <w:keepNext w:val="1"/>
        <w:spacing w:after="80" w:line="240" w:lineRule="atLeast"/>
      </w:pPr>
      <w:r>
        <w:rPr>
          <w:sz w:val="22"/>
          <w:szCs w:val="22"/>
          <w:rtl w:val="0"/>
          <w:lang w:val="en-US"/>
        </w:rPr>
        <w:t xml:space="preserve">On a mode k </w:t>
      </w:r>
      <w:r>
        <w:rPr>
          <w:rFonts w:ascii="Arial Unicode MS" w:cs="Arial Unicode MS" w:hAnsi="Arial Unicode MS" w:eastAsia="Arial Unicode MS" w:hint="default"/>
          <w:b w:val="0"/>
          <w:bCs w:val="0"/>
          <w:i w:val="0"/>
          <w:iCs w:val="0"/>
          <w:sz w:val="22"/>
          <w:szCs w:val="22"/>
          <w:rtl w:val="0"/>
          <w:lang w:val="en-US"/>
        </w:rPr>
        <w:t>∈</w:t>
      </w:r>
      <w:r>
        <w:rPr>
          <w:sz w:val="22"/>
          <w:szCs w:val="22"/>
          <w:rtl w:val="0"/>
          <w:lang w:val="en-US"/>
        </w:rPr>
        <w:t xml:space="preserve"> </w:t>
      </w:r>
      <w:r>
        <w:rPr>
          <w:sz w:val="22"/>
          <w:szCs w:val="22"/>
          <w:rtl w:val="0"/>
          <w:lang w:val="en-US"/>
        </w:rPr>
        <w:t>K(N), the discrete eigenvalue is</w:t>
      </w:r>
    </w:p>
    <w:p>
      <w:pPr>
        <w:pStyle w:val="Equation"/>
        <w:spacing w:after="80" w:line="240" w:lineRule="atLeast"/>
      </w:pPr>
      <w:r>
        <w:rPr>
          <w:rFonts w:ascii="Times New Roman" w:hAnsi="Times New Roman" w:hint="default"/>
          <w:sz w:val="22"/>
          <w:szCs w:val="22"/>
          <w:rtl w:val="0"/>
          <w:lang w:val="en-US"/>
        </w:rPr>
        <w:t>λ</w:t>
      </w:r>
      <w:r>
        <w:rPr>
          <w:rFonts w:ascii="Times New Roman" w:hAnsi="Times New Roman"/>
          <w:sz w:val="22"/>
          <w:szCs w:val="22"/>
          <w:vertAlign w:val="subscript"/>
          <w:rtl w:val="0"/>
          <w:lang w:val="en-US"/>
        </w:rPr>
        <w:t>a</w:t>
      </w:r>
      <w:r>
        <w:rPr>
          <w:rFonts w:ascii="Times New Roman" w:hAnsi="Times New Roman"/>
          <w:sz w:val="22"/>
          <w:szCs w:val="22"/>
          <w:rtl w:val="0"/>
          <w:lang w:val="en-US"/>
        </w:rPr>
        <w:t>(k) = (4/a</w:t>
      </w:r>
      <w:r>
        <w:rPr>
          <w:rFonts w:ascii="Times New Roman" w:hAnsi="Times New Roman"/>
          <w:sz w:val="22"/>
          <w:szCs w:val="22"/>
          <w:vertAlign w:val="superscript"/>
          <w:rtl w:val="0"/>
          <w:lang w:val="en-US"/>
        </w:rPr>
        <w:t>2</w:t>
      </w:r>
      <w:r>
        <w:rPr>
          <w:rFonts w:ascii="Times New Roman" w:hAnsi="Times New Roman"/>
          <w:sz w:val="22"/>
          <w:szCs w:val="22"/>
          <w:rtl w:val="0"/>
          <w:lang w:val="en-US"/>
        </w:rPr>
        <w:t>)</w:t>
      </w:r>
      <w:r>
        <w:rPr>
          <w:rFonts w:ascii="Times New Roman" w:hAnsi="Times New Roman" w:hint="default"/>
          <w:sz w:val="22"/>
          <w:szCs w:val="22"/>
          <w:rtl w:val="0"/>
          <w:lang w:val="en-US"/>
        </w:rPr>
        <w:t>∑</w:t>
      </w:r>
      <w:r>
        <w:rPr>
          <w:rFonts w:ascii="Times New Roman" w:hAnsi="Times New Roman"/>
          <w:sz w:val="22"/>
          <w:szCs w:val="22"/>
          <w:vertAlign w:val="subscript"/>
          <w:rtl w:val="0"/>
          <w:lang w:val="en-US"/>
        </w:rPr>
        <w:t>m</w:t>
      </w:r>
      <w:r>
        <w:rPr>
          <w:rFonts w:ascii="Times New Roman" w:hAnsi="Times New Roman" w:hint="default"/>
          <w:sz w:val="22"/>
          <w:szCs w:val="22"/>
          <w:rtl w:val="0"/>
          <w:lang w:val="en-US"/>
        </w:rPr>
        <w:t xml:space="preserve"> κ</w:t>
      </w:r>
      <w:r>
        <w:rPr>
          <w:rFonts w:ascii="Times New Roman" w:hAnsi="Times New Roman"/>
          <w:sz w:val="22"/>
          <w:szCs w:val="22"/>
          <w:vertAlign w:val="subscript"/>
          <w:rtl w:val="0"/>
          <w:lang w:val="en-US"/>
        </w:rPr>
        <w:t>m</w:t>
      </w:r>
      <w:r>
        <w:rPr>
          <w:rFonts w:ascii="Times New Roman" w:hAnsi="Times New Roman"/>
          <w:sz w:val="22"/>
          <w:szCs w:val="22"/>
          <w:rtl w:val="0"/>
          <w:lang w:val="en-US"/>
        </w:rPr>
        <w:t xml:space="preserve"> sin</w:t>
      </w:r>
      <w:r>
        <w:rPr>
          <w:rFonts w:ascii="Times New Roman" w:hAnsi="Times New Roman"/>
          <w:sz w:val="22"/>
          <w:szCs w:val="22"/>
          <w:vertAlign w:val="superscript"/>
          <w:rtl w:val="0"/>
          <w:lang w:val="en-US"/>
        </w:rPr>
        <w:t>2</w:t>
      </w:r>
      <w:r>
        <w:rPr>
          <w:rFonts w:ascii="Times New Roman" w:hAnsi="Times New Roman"/>
          <w:sz w:val="22"/>
          <w:szCs w:val="22"/>
          <w:rtl w:val="0"/>
          <w:lang w:val="en-US"/>
        </w:rPr>
        <w:t>(mak/2).</w:t>
        <w:tab/>
        <w:t>(8)</w:t>
      </w:r>
    </w:p>
    <w:p>
      <w:pPr>
        <w:pStyle w:val="Normal.0"/>
        <w:spacing w:after="80" w:line="240" w:lineRule="atLeast"/>
      </w:pPr>
      <w:r>
        <w:rPr>
          <w:sz w:val="22"/>
          <w:szCs w:val="22"/>
          <w:rtl w:val="0"/>
          <w:lang w:val="en-US"/>
        </w:rPr>
        <w:t xml:space="preserve">The candidate limit is L = </w:t>
      </w:r>
      <w:r>
        <w:rPr>
          <w:sz w:val="22"/>
          <w:szCs w:val="22"/>
          <w:rtl w:val="0"/>
          <w:lang w:val="en-US"/>
        </w:rPr>
        <w:t>−</w:t>
      </w:r>
      <w:r>
        <w:rPr>
          <w:sz w:val="22"/>
          <w:szCs w:val="22"/>
          <w:rtl w:val="0"/>
          <w:lang w:val="en-US"/>
        </w:rPr>
        <w:t>c</w:t>
      </w:r>
      <w:r>
        <w:rPr>
          <w:sz w:val="22"/>
          <w:szCs w:val="22"/>
          <w:vertAlign w:val="superscript"/>
          <w:rtl w:val="0"/>
          <w:lang w:val="en-US"/>
        </w:rPr>
        <w:t>2</w:t>
      </w:r>
      <w:r>
        <w:rPr>
          <w:sz w:val="22"/>
          <w:szCs w:val="22"/>
          <w:rtl w:val="0"/>
          <w:lang w:val="en-US"/>
        </w:rPr>
        <w:t>∂</w:t>
      </w:r>
      <w:r>
        <w:rPr>
          <w:sz w:val="22"/>
          <w:szCs w:val="22"/>
          <w:vertAlign w:val="subscript"/>
          <w:rtl w:val="0"/>
          <w:lang w:val="en-US"/>
        </w:rPr>
        <w:t>x</w:t>
      </w:r>
      <w:r>
        <w:rPr>
          <w:sz w:val="22"/>
          <w:szCs w:val="22"/>
          <w:vertAlign w:val="superscript"/>
          <w:rtl w:val="0"/>
          <w:lang w:val="en-US"/>
        </w:rPr>
        <w:t>2</w:t>
      </w:r>
      <w:r>
        <w:rPr>
          <w:sz w:val="22"/>
          <w:szCs w:val="22"/>
          <w:rtl w:val="0"/>
          <w:lang w:val="en-US"/>
        </w:rPr>
        <w:t xml:space="preserve"> with periodic domain. Both the circle and its measure have been introduced explicitly. They have not been inferred from a spectrum.</w:t>
      </w:r>
    </w:p>
    <w:p>
      <w:pPr>
        <w:pStyle w:val="Заголовок 3"/>
        <w:spacing w:line="240" w:lineRule="atLeast"/>
      </w:pPr>
      <w:r>
        <w:rPr>
          <w:rtl w:val="0"/>
          <w:lang w:val="en-US"/>
        </w:rPr>
        <w:t>3.2. Uniform strong convergence and a microscopic universality class</w:t>
      </w:r>
    </w:p>
    <w:p>
      <w:pPr>
        <w:pStyle w:val="Normal.0"/>
        <w:keepNext w:val="1"/>
        <w:spacing w:after="80" w:line="240" w:lineRule="atLeast"/>
      </w:pPr>
      <w:r>
        <w:rPr>
          <w:b w:val="1"/>
          <w:bCs w:val="1"/>
          <w:sz w:val="22"/>
          <w:szCs w:val="22"/>
          <w:rtl w:val="0"/>
          <w:lang w:val="en-US"/>
        </w:rPr>
        <w:t>Theorem 1.</w:t>
      </w:r>
      <w:r>
        <w:rPr>
          <w:sz w:val="22"/>
          <w:szCs w:val="22"/>
          <w:rtl w:val="0"/>
          <w:lang w:val="en-US"/>
        </w:rPr>
        <w:t xml:space="preserve"> For the family (4)</w:t>
      </w:r>
      <w:r>
        <w:rPr>
          <w:sz w:val="22"/>
          <w:szCs w:val="22"/>
          <w:rtl w:val="0"/>
          <w:lang w:val="en-US"/>
        </w:rPr>
        <w:t>–</w:t>
      </w:r>
      <w:r>
        <w:rPr>
          <w:sz w:val="22"/>
          <w:szCs w:val="22"/>
          <w:rtl w:val="0"/>
          <w:lang w:val="en-US"/>
        </w:rPr>
        <w:t xml:space="preserve">(8), every f </w:t>
      </w:r>
      <w:r>
        <w:rPr>
          <w:rFonts w:ascii="Arial Unicode MS" w:cs="Arial Unicode MS" w:hAnsi="Arial Unicode MS" w:eastAsia="Arial Unicode MS" w:hint="default"/>
          <w:b w:val="0"/>
          <w:bCs w:val="0"/>
          <w:i w:val="0"/>
          <w:iCs w:val="0"/>
          <w:sz w:val="22"/>
          <w:szCs w:val="22"/>
          <w:rtl w:val="0"/>
          <w:lang w:val="en-US"/>
        </w:rPr>
        <w:t>∈</w:t>
      </w:r>
      <w:r>
        <w:rPr>
          <w:sz w:val="22"/>
          <w:szCs w:val="22"/>
          <w:rtl w:val="0"/>
          <w:lang w:val="en-US"/>
        </w:rPr>
        <w:t xml:space="preserve"> </w:t>
      </w:r>
      <w:r>
        <w:rPr>
          <w:sz w:val="22"/>
          <w:szCs w:val="22"/>
          <w:rtl w:val="0"/>
          <w:lang w:val="en-US"/>
        </w:rPr>
        <w:t>H</w:t>
      </w:r>
      <w:r>
        <w:rPr>
          <w:sz w:val="22"/>
          <w:szCs w:val="22"/>
          <w:vertAlign w:val="superscript"/>
          <w:rtl w:val="0"/>
          <w:lang w:val="en-US"/>
        </w:rPr>
        <w:t>3</w:t>
      </w:r>
      <w:r>
        <w:rPr>
          <w:sz w:val="22"/>
          <w:szCs w:val="22"/>
          <w:rtl w:val="0"/>
          <w:lang w:val="en-US"/>
        </w:rPr>
        <w:t>(S</w:t>
      </w:r>
      <w:r>
        <w:rPr>
          <w:sz w:val="22"/>
          <w:szCs w:val="22"/>
          <w:vertAlign w:val="superscript"/>
          <w:rtl w:val="0"/>
          <w:lang w:val="en-US"/>
        </w:rPr>
        <w:t>1</w:t>
      </w:r>
      <w:r>
        <w:rPr>
          <w:sz w:val="22"/>
          <w:szCs w:val="22"/>
          <w:rtl w:val="0"/>
          <w:lang w:val="en-US"/>
        </w:rPr>
        <w:t xml:space="preserve">) and T &lt; </w:t>
      </w:r>
      <w:r>
        <w:rPr>
          <w:sz w:val="22"/>
          <w:szCs w:val="22"/>
          <w:rtl w:val="0"/>
          <w:lang w:val="en-US"/>
        </w:rPr>
        <w:t xml:space="preserve">∞ </w:t>
      </w:r>
      <w:r>
        <w:rPr>
          <w:sz w:val="22"/>
          <w:szCs w:val="22"/>
          <w:rtl w:val="0"/>
          <w:lang w:val="en-US"/>
        </w:rPr>
        <w:t>satisfy</w:t>
      </w:r>
    </w:p>
    <w:p>
      <w:pPr>
        <w:pStyle w:val="Equation"/>
        <w:spacing w:after="80" w:line="240" w:lineRule="atLeast"/>
      </w:pPr>
      <w:r>
        <w:rPr>
          <w:rFonts w:ascii="Times New Roman" w:hAnsi="Times New Roman"/>
          <w:sz w:val="22"/>
          <w:szCs w:val="22"/>
          <w:rtl w:val="0"/>
          <w:lang w:val="en-US"/>
        </w:rPr>
        <w:t>E</w:t>
      </w:r>
      <w:r>
        <w:rPr>
          <w:rFonts w:ascii="Times New Roman" w:hAnsi="Times New Roman"/>
          <w:sz w:val="22"/>
          <w:szCs w:val="22"/>
          <w:vertAlign w:val="subscript"/>
          <w:rtl w:val="0"/>
          <w:lang w:val="en-US"/>
        </w:rPr>
        <w:t>a</w:t>
      </w:r>
      <w:r>
        <w:rPr>
          <w:rFonts w:ascii="Times New Roman" w:hAnsi="Times New Roman"/>
          <w:sz w:val="22"/>
          <w:szCs w:val="22"/>
          <w:rtl w:val="0"/>
          <w:lang w:val="en-US"/>
        </w:rPr>
        <w:t xml:space="preserve">,T(f) = sup(0 </w:t>
      </w:r>
      <w:r>
        <w:rPr>
          <w:rFonts w:ascii="Times New Roman" w:hAnsi="Times New Roman" w:hint="default"/>
          <w:sz w:val="22"/>
          <w:szCs w:val="22"/>
          <w:rtl w:val="0"/>
          <w:lang w:val="en-US"/>
        </w:rPr>
        <w:t xml:space="preserve">≤ </w:t>
      </w:r>
      <w:r>
        <w:rPr>
          <w:rFonts w:ascii="Times New Roman" w:hAnsi="Times New Roman"/>
          <w:sz w:val="22"/>
          <w:szCs w:val="22"/>
          <w:rtl w:val="0"/>
          <w:lang w:val="en-US"/>
        </w:rPr>
        <w:t xml:space="preserve">t </w:t>
      </w:r>
      <w:r>
        <w:rPr>
          <w:rFonts w:ascii="Times New Roman" w:hAnsi="Times New Roman" w:hint="default"/>
          <w:sz w:val="22"/>
          <w:szCs w:val="22"/>
          <w:rtl w:val="0"/>
          <w:lang w:val="en-US"/>
        </w:rPr>
        <w:t xml:space="preserve">≤ </w:t>
      </w:r>
      <w:r>
        <w:rPr>
          <w:rFonts w:ascii="Times New Roman" w:hAnsi="Times New Roman"/>
          <w:sz w:val="22"/>
          <w:szCs w:val="22"/>
          <w:rtl w:val="0"/>
          <w:lang w:val="en-US"/>
        </w:rPr>
        <w:t xml:space="preserve">T) </w:t>
      </w:r>
      <w:r>
        <w:rPr>
          <w:rFonts w:ascii="Times New Roman" w:hAnsi="Times New Roman" w:hint="default"/>
          <w:sz w:val="22"/>
          <w:szCs w:val="22"/>
          <w:rtl w:val="0"/>
          <w:lang w:val="en-US"/>
        </w:rPr>
        <w:t>‖</w:t>
      </w:r>
      <w:r>
        <w:rPr>
          <w:rFonts w:ascii="Times New Roman" w:hAnsi="Times New Roman"/>
          <w:sz w:val="22"/>
          <w:szCs w:val="22"/>
          <w:rtl w:val="0"/>
          <w:lang w:val="en-US"/>
        </w:rPr>
        <w:t>J</w:t>
      </w:r>
      <w:r>
        <w:rPr>
          <w:rFonts w:ascii="Times New Roman" w:hAnsi="Times New Roman"/>
          <w:sz w:val="22"/>
          <w:szCs w:val="22"/>
          <w:vertAlign w:val="subscript"/>
          <w:rtl w:val="0"/>
          <w:lang w:val="en-US"/>
        </w:rPr>
        <w:t>a</w:t>
      </w:r>
      <w:r>
        <w:rPr>
          <w:rFonts w:ascii="Times New Roman" w:hAnsi="Times New Roman"/>
          <w:sz w:val="22"/>
          <w:szCs w:val="22"/>
          <w:rtl w:val="0"/>
          <w:lang w:val="en-US"/>
        </w:rPr>
        <w:t>S</w:t>
      </w:r>
      <w:r>
        <w:rPr>
          <w:rFonts w:ascii="Times New Roman" w:hAnsi="Times New Roman"/>
          <w:sz w:val="22"/>
          <w:szCs w:val="22"/>
          <w:vertAlign w:val="subscript"/>
          <w:rtl w:val="0"/>
          <w:lang w:val="en-US"/>
        </w:rPr>
        <w:t>a</w:t>
      </w:r>
      <w:r>
        <w:rPr>
          <w:rFonts w:ascii="Times New Roman" w:hAnsi="Times New Roman"/>
          <w:sz w:val="22"/>
          <w:szCs w:val="22"/>
          <w:rtl w:val="0"/>
          <w:lang w:val="en-US"/>
        </w:rPr>
        <w:t>(t)Q</w:t>
      </w:r>
      <w:r>
        <w:rPr>
          <w:rFonts w:ascii="Times New Roman" w:hAnsi="Times New Roman"/>
          <w:sz w:val="22"/>
          <w:szCs w:val="22"/>
          <w:vertAlign w:val="subscript"/>
          <w:rtl w:val="0"/>
          <w:lang w:val="en-US"/>
        </w:rPr>
        <w:t>a</w:t>
      </w:r>
      <w:r>
        <w:rPr>
          <w:rFonts w:ascii="Times New Roman" w:hAnsi="Times New Roman"/>
          <w:sz w:val="22"/>
          <w:szCs w:val="22"/>
          <w:rtl w:val="0"/>
          <w:lang w:val="en-US"/>
        </w:rPr>
        <w:t xml:space="preserve">f </w:t>
      </w:r>
      <w:r>
        <w:rPr>
          <w:rFonts w:ascii="Times New Roman" w:hAnsi="Times New Roman" w:hint="default"/>
          <w:sz w:val="22"/>
          <w:szCs w:val="22"/>
          <w:rtl w:val="0"/>
          <w:lang w:val="en-US"/>
        </w:rPr>
        <w:t xml:space="preserve">− </w:t>
      </w:r>
      <w:r>
        <w:rPr>
          <w:rFonts w:ascii="Times New Roman" w:hAnsi="Times New Roman"/>
          <w:sz w:val="22"/>
          <w:szCs w:val="22"/>
          <w:rtl w:val="0"/>
          <w:lang w:val="en-US"/>
        </w:rPr>
        <w:t>S(t)f</w:t>
      </w:r>
      <w:r>
        <w:rPr>
          <w:rFonts w:ascii="Times New Roman" w:hAnsi="Times New Roman" w:hint="default"/>
          <w:sz w:val="22"/>
          <w:szCs w:val="22"/>
          <w:rtl w:val="0"/>
          <w:lang w:val="en-US"/>
        </w:rPr>
        <w:t>‖</w:t>
      </w:r>
      <w:r>
        <w:rPr>
          <w:rFonts w:ascii="Times New Roman" w:hAnsi="Times New Roman"/>
          <w:sz w:val="22"/>
          <w:szCs w:val="22"/>
          <w:vertAlign w:val="subscript"/>
          <w:rtl w:val="0"/>
          <w:lang w:val="en-US"/>
        </w:rPr>
        <w:t>2</w:t>
      </w:r>
      <w:r>
        <w:rPr>
          <w:rFonts w:ascii="Times New Roman" w:hAnsi="Times New Roman"/>
          <w:sz w:val="22"/>
          <w:szCs w:val="22"/>
          <w:rtl w:val="0"/>
          <w:lang w:val="en-US"/>
        </w:rPr>
        <w:t>,</w:t>
        <w:tab/>
        <w:t>(9)</w:t>
      </w:r>
    </w:p>
    <w:p>
      <w:pPr>
        <w:pStyle w:val="Equation"/>
        <w:spacing w:after="80" w:line="240" w:lineRule="atLeast"/>
      </w:pPr>
      <w:r>
        <w:rPr>
          <w:rFonts w:ascii="Times New Roman" w:hAnsi="Times New Roman"/>
          <w:sz w:val="22"/>
          <w:szCs w:val="22"/>
          <w:rtl w:val="0"/>
          <w:lang w:val="en-US"/>
        </w:rPr>
        <w:t>E</w:t>
      </w:r>
      <w:r>
        <w:rPr>
          <w:rFonts w:ascii="Times New Roman" w:hAnsi="Times New Roman"/>
          <w:sz w:val="22"/>
          <w:szCs w:val="22"/>
          <w:vertAlign w:val="subscript"/>
          <w:rtl w:val="0"/>
          <w:lang w:val="en-US"/>
        </w:rPr>
        <w:t>a</w:t>
      </w:r>
      <w:r>
        <w:rPr>
          <w:rFonts w:ascii="Times New Roman" w:hAnsi="Times New Roman"/>
          <w:sz w:val="22"/>
          <w:szCs w:val="22"/>
          <w:rtl w:val="0"/>
          <w:lang w:val="en-US"/>
        </w:rPr>
        <w:t xml:space="preserve">,T(f) </w:t>
      </w:r>
      <w:r>
        <w:rPr>
          <w:rFonts w:ascii="Times New Roman" w:hAnsi="Times New Roman" w:hint="default"/>
          <w:sz w:val="22"/>
          <w:szCs w:val="22"/>
          <w:rtl w:val="0"/>
          <w:lang w:val="en-US"/>
        </w:rPr>
        <w:t xml:space="preserve">≤ </w:t>
      </w:r>
      <w:r>
        <w:rPr>
          <w:rFonts w:ascii="Times New Roman" w:hAnsi="Times New Roman"/>
          <w:sz w:val="22"/>
          <w:szCs w:val="22"/>
          <w:rtl w:val="0"/>
          <w:lang w:val="en-US"/>
        </w:rPr>
        <w:t>[T</w:t>
      </w:r>
      <w:r>
        <w:rPr>
          <w:rFonts w:ascii="Times New Roman" w:hAnsi="Times New Roman"/>
          <w:sz w:val="22"/>
          <w:szCs w:val="22"/>
          <w:vertAlign w:val="superscript"/>
          <w:rtl w:val="0"/>
          <w:lang w:val="en-US"/>
        </w:rPr>
        <w:t>2</w:t>
      </w:r>
      <w:r>
        <w:rPr>
          <w:rFonts w:ascii="Times New Roman" w:hAnsi="Times New Roman" w:hint="default"/>
          <w:sz w:val="22"/>
          <w:szCs w:val="22"/>
          <w:rtl w:val="0"/>
          <w:lang w:val="en-US"/>
        </w:rPr>
        <w:t>μ</w:t>
      </w:r>
      <w:r>
        <w:rPr>
          <w:rFonts w:ascii="Times New Roman" w:hAnsi="Times New Roman"/>
          <w:sz w:val="22"/>
          <w:szCs w:val="22"/>
          <w:vertAlign w:val="subscript"/>
          <w:rtl w:val="0"/>
          <w:lang w:val="en-US"/>
        </w:rPr>
        <w:t>4</w:t>
      </w:r>
      <w:r>
        <w:rPr>
          <w:rFonts w:ascii="Times New Roman" w:hAnsi="Times New Roman"/>
          <w:sz w:val="22"/>
          <w:szCs w:val="22"/>
          <w:rtl w:val="0"/>
          <w:lang w:val="en-US"/>
        </w:rPr>
        <w:t>a</w:t>
      </w:r>
      <w:r>
        <w:rPr>
          <w:rFonts w:ascii="Times New Roman" w:hAnsi="Times New Roman"/>
          <w:sz w:val="22"/>
          <w:szCs w:val="22"/>
          <w:vertAlign w:val="superscript"/>
          <w:rtl w:val="0"/>
          <w:lang w:val="en-US"/>
        </w:rPr>
        <w:t>2</w:t>
      </w:r>
      <w:r>
        <w:rPr>
          <w:rFonts w:ascii="Times New Roman" w:hAnsi="Times New Roman"/>
          <w:sz w:val="22"/>
          <w:szCs w:val="22"/>
          <w:rtl w:val="0"/>
          <w:lang w:val="en-US"/>
        </w:rPr>
        <w:t>/(24c) + T(a/</w:t>
      </w:r>
      <w:r>
        <w:rPr>
          <w:rFonts w:ascii="Times New Roman" w:hAnsi="Times New Roman" w:hint="default"/>
          <w:sz w:val="22"/>
          <w:szCs w:val="22"/>
          <w:rtl w:val="0"/>
          <w:lang w:val="en-US"/>
        </w:rPr>
        <w:t>π</w:t>
      </w:r>
      <w:r>
        <w:rPr>
          <w:rFonts w:ascii="Times New Roman" w:hAnsi="Times New Roman"/>
          <w:sz w:val="22"/>
          <w:szCs w:val="22"/>
          <w:rtl w:val="0"/>
          <w:lang w:val="en-US"/>
        </w:rPr>
        <w:t>)</w:t>
      </w:r>
      <w:r>
        <w:rPr>
          <w:rFonts w:ascii="Times New Roman" w:hAnsi="Times New Roman"/>
          <w:sz w:val="22"/>
          <w:szCs w:val="22"/>
          <w:vertAlign w:val="superscript"/>
          <w:rtl w:val="0"/>
          <w:lang w:val="en-US"/>
        </w:rPr>
        <w:t>3</w:t>
      </w:r>
      <w:r>
        <w:rPr>
          <w:rFonts w:ascii="Times New Roman" w:hAnsi="Times New Roman"/>
          <w:sz w:val="22"/>
          <w:szCs w:val="22"/>
          <w:rtl w:val="0"/>
          <w:lang w:val="en-US"/>
        </w:rPr>
        <w:t xml:space="preserve">] </w:t>
      </w:r>
      <w:r>
        <w:rPr>
          <w:rFonts w:ascii="Times New Roman" w:hAnsi="Times New Roman" w:hint="default"/>
          <w:sz w:val="22"/>
          <w:szCs w:val="22"/>
          <w:rtl w:val="0"/>
          <w:lang w:val="en-US"/>
        </w:rPr>
        <w:t>‖∂</w:t>
      </w:r>
      <w:r>
        <w:rPr>
          <w:rFonts w:ascii="Times New Roman" w:hAnsi="Times New Roman"/>
          <w:sz w:val="22"/>
          <w:szCs w:val="22"/>
          <w:vertAlign w:val="subscript"/>
          <w:rtl w:val="0"/>
          <w:lang w:val="en-US"/>
        </w:rPr>
        <w:t>x</w:t>
      </w:r>
      <w:r>
        <w:rPr>
          <w:rFonts w:ascii="Times New Roman" w:hAnsi="Times New Roman"/>
          <w:sz w:val="22"/>
          <w:szCs w:val="22"/>
          <w:vertAlign w:val="superscript"/>
          <w:rtl w:val="0"/>
          <w:lang w:val="en-US"/>
        </w:rPr>
        <w:t>3</w:t>
      </w:r>
      <w:r>
        <w:rPr>
          <w:rFonts w:ascii="Times New Roman" w:hAnsi="Times New Roman"/>
          <w:sz w:val="22"/>
          <w:szCs w:val="22"/>
          <w:rtl w:val="0"/>
          <w:lang w:val="en-US"/>
        </w:rPr>
        <w:t>f</w:t>
      </w:r>
      <w:r>
        <w:rPr>
          <w:rFonts w:ascii="Times New Roman" w:hAnsi="Times New Roman" w:hint="default"/>
          <w:sz w:val="22"/>
          <w:szCs w:val="22"/>
          <w:rtl w:val="0"/>
          <w:lang w:val="en-US"/>
        </w:rPr>
        <w:t>‖</w:t>
      </w:r>
      <w:r>
        <w:rPr>
          <w:rFonts w:ascii="Times New Roman" w:hAnsi="Times New Roman"/>
          <w:sz w:val="22"/>
          <w:szCs w:val="22"/>
          <w:vertAlign w:val="subscript"/>
          <w:rtl w:val="0"/>
          <w:lang w:val="en-US"/>
        </w:rPr>
        <w:t>2</w:t>
      </w:r>
      <w:r>
        <w:rPr>
          <w:rFonts w:ascii="Times New Roman" w:hAnsi="Times New Roman"/>
          <w:sz w:val="22"/>
          <w:szCs w:val="22"/>
          <w:rtl w:val="0"/>
          <w:lang w:val="en-US"/>
        </w:rPr>
        <w:t>.</w:t>
        <w:tab/>
        <w:t>(10)</w:t>
      </w:r>
    </w:p>
    <w:p>
      <w:pPr>
        <w:pStyle w:val="Normal.0"/>
        <w:spacing w:after="80" w:line="240" w:lineRule="atLeast"/>
      </w:pPr>
      <w:r>
        <w:rPr>
          <w:sz w:val="22"/>
          <w:szCs w:val="22"/>
          <w:rtl w:val="0"/>
          <w:lang w:val="en-US"/>
        </w:rPr>
        <w:t xml:space="preserve">For every f </w:t>
      </w:r>
      <w:r>
        <w:rPr>
          <w:rFonts w:ascii="Arial Unicode MS" w:cs="Arial Unicode MS" w:hAnsi="Arial Unicode MS" w:eastAsia="Arial Unicode MS" w:hint="default"/>
          <w:b w:val="0"/>
          <w:bCs w:val="0"/>
          <w:i w:val="0"/>
          <w:iCs w:val="0"/>
          <w:sz w:val="22"/>
          <w:szCs w:val="22"/>
          <w:rtl w:val="0"/>
          <w:lang w:val="en-US"/>
        </w:rPr>
        <w:t>∈</w:t>
      </w:r>
      <w:r>
        <w:rPr>
          <w:sz w:val="22"/>
          <w:szCs w:val="22"/>
          <w:rtl w:val="0"/>
          <w:lang w:val="en-US"/>
        </w:rPr>
        <w:t xml:space="preserve"> </w:t>
      </w:r>
      <w:r>
        <w:rPr>
          <w:sz w:val="22"/>
          <w:szCs w:val="22"/>
          <w:rtl w:val="0"/>
          <w:lang w:val="en-US"/>
        </w:rPr>
        <w:t>L</w:t>
      </w:r>
      <w:r>
        <w:rPr>
          <w:sz w:val="22"/>
          <w:szCs w:val="22"/>
          <w:vertAlign w:val="superscript"/>
          <w:rtl w:val="0"/>
          <w:lang w:val="en-US"/>
        </w:rPr>
        <w:t>2</w:t>
      </w:r>
      <w:r>
        <w:rPr>
          <w:sz w:val="22"/>
          <w:szCs w:val="22"/>
          <w:rtl w:val="0"/>
          <w:lang w:val="en-US"/>
        </w:rPr>
        <w:t>(S</w:t>
      </w:r>
      <w:r>
        <w:rPr>
          <w:sz w:val="22"/>
          <w:szCs w:val="22"/>
          <w:vertAlign w:val="superscript"/>
          <w:rtl w:val="0"/>
          <w:lang w:val="en-US"/>
        </w:rPr>
        <w:t>1</w:t>
      </w:r>
      <w:r>
        <w:rPr>
          <w:sz w:val="22"/>
          <w:szCs w:val="22"/>
          <w:rtl w:val="0"/>
          <w:lang w:val="en-US"/>
        </w:rPr>
        <w:t>), the response difference (9) tends to zero uniformly on [0,T], without an asserted rate. Different fixed finite-range coefficient sets with the same c</w:t>
      </w:r>
      <w:r>
        <w:rPr>
          <w:sz w:val="22"/>
          <w:szCs w:val="22"/>
          <w:vertAlign w:val="superscript"/>
          <w:rtl w:val="0"/>
          <w:lang w:val="en-US"/>
        </w:rPr>
        <w:t>2</w:t>
      </w:r>
      <w:r>
        <w:rPr>
          <w:sz w:val="22"/>
          <w:szCs w:val="22"/>
          <w:rtl w:val="0"/>
          <w:lang w:val="en-US"/>
        </w:rPr>
        <w:t xml:space="preserve"> therefore have the same identified continuum response.</w:t>
      </w:r>
    </w:p>
    <w:p>
      <w:pPr>
        <w:pStyle w:val="Normal.0"/>
        <w:keepNext w:val="1"/>
        <w:spacing w:after="80" w:line="240" w:lineRule="atLeast"/>
      </w:pPr>
      <w:r>
        <w:rPr>
          <w:b w:val="1"/>
          <w:bCs w:val="1"/>
          <w:sz w:val="22"/>
          <w:szCs w:val="22"/>
          <w:rtl w:val="0"/>
          <w:lang w:val="en-US"/>
        </w:rPr>
        <w:t>Proof.</w:t>
      </w:r>
      <w:r>
        <w:rPr>
          <w:sz w:val="22"/>
          <w:szCs w:val="22"/>
          <w:rtl w:val="0"/>
          <w:lang w:val="en-US"/>
        </w:rPr>
        <w:t xml:space="preserve"> Taylor</w:t>
      </w:r>
      <w:r>
        <w:rPr>
          <w:sz w:val="22"/>
          <w:szCs w:val="22"/>
          <w:rtl w:val="0"/>
          <w:lang w:val="en-US"/>
        </w:rPr>
        <w:t>’</w:t>
      </w:r>
      <w:r>
        <w:rPr>
          <w:sz w:val="22"/>
          <w:szCs w:val="22"/>
          <w:rtl w:val="0"/>
          <w:lang w:val="en-US"/>
        </w:rPr>
        <w:t>s theorem and positivity give</w:t>
      </w:r>
    </w:p>
    <w:p>
      <w:pPr>
        <w:pStyle w:val="Equation"/>
        <w:spacing w:after="80" w:line="240" w:lineRule="atLeast"/>
      </w:pPr>
      <w:r>
        <w:rPr>
          <w:rFonts w:ascii="Times New Roman" w:hAnsi="Times New Roman"/>
          <w:sz w:val="22"/>
          <w:szCs w:val="22"/>
          <w:rtl w:val="0"/>
          <w:lang w:val="en-US"/>
        </w:rPr>
        <w:t xml:space="preserve">0 </w:t>
      </w:r>
      <w:r>
        <w:rPr>
          <w:rFonts w:ascii="Times New Roman" w:hAnsi="Times New Roman" w:hint="default"/>
          <w:sz w:val="22"/>
          <w:szCs w:val="22"/>
          <w:rtl w:val="0"/>
          <w:lang w:val="en-US"/>
        </w:rPr>
        <w:t xml:space="preserve">≤ </w:t>
      </w:r>
      <w:r>
        <w:rPr>
          <w:rFonts w:ascii="Times New Roman" w:hAnsi="Times New Roman"/>
          <w:sz w:val="22"/>
          <w:szCs w:val="22"/>
          <w:rtl w:val="0"/>
          <w:lang w:val="en-US"/>
        </w:rPr>
        <w:t>c</w:t>
      </w:r>
      <w:r>
        <w:rPr>
          <w:rFonts w:ascii="Times New Roman" w:hAnsi="Times New Roman"/>
          <w:sz w:val="22"/>
          <w:szCs w:val="22"/>
          <w:vertAlign w:val="superscript"/>
          <w:rtl w:val="0"/>
          <w:lang w:val="en-US"/>
        </w:rPr>
        <w:t>2</w:t>
      </w:r>
      <w:r>
        <w:rPr>
          <w:rFonts w:ascii="Times New Roman" w:hAnsi="Times New Roman"/>
          <w:sz w:val="22"/>
          <w:szCs w:val="22"/>
          <w:rtl w:val="0"/>
          <w:lang w:val="en-US"/>
        </w:rPr>
        <w:t>k</w:t>
      </w:r>
      <w:r>
        <w:rPr>
          <w:rFonts w:ascii="Times New Roman" w:hAnsi="Times New Roman"/>
          <w:sz w:val="22"/>
          <w:szCs w:val="22"/>
          <w:vertAlign w:val="superscript"/>
          <w:rtl w:val="0"/>
          <w:lang w:val="en-US"/>
        </w:rPr>
        <w:t>2</w:t>
      </w:r>
      <w:r>
        <w:rPr>
          <w:rFonts w:ascii="Times New Roman" w:hAnsi="Times New Roman" w:hint="default"/>
          <w:sz w:val="22"/>
          <w:szCs w:val="22"/>
          <w:rtl w:val="0"/>
          <w:lang w:val="en-US"/>
        </w:rPr>
        <w:t xml:space="preserve"> − λ</w:t>
      </w:r>
      <w:r>
        <w:rPr>
          <w:rFonts w:ascii="Times New Roman" w:hAnsi="Times New Roman"/>
          <w:sz w:val="22"/>
          <w:szCs w:val="22"/>
          <w:vertAlign w:val="subscript"/>
          <w:rtl w:val="0"/>
          <w:lang w:val="en-US"/>
        </w:rPr>
        <w:t>a</w:t>
      </w:r>
      <w:r>
        <w:rPr>
          <w:rFonts w:ascii="Times New Roman" w:hAnsi="Times New Roman"/>
          <w:sz w:val="22"/>
          <w:szCs w:val="22"/>
          <w:rtl w:val="0"/>
          <w:lang w:val="en-US"/>
        </w:rPr>
        <w:t xml:space="preserve">(k) </w:t>
      </w:r>
      <w:r>
        <w:rPr>
          <w:rFonts w:ascii="Times New Roman" w:hAnsi="Times New Roman" w:hint="default"/>
          <w:sz w:val="22"/>
          <w:szCs w:val="22"/>
          <w:rtl w:val="0"/>
          <w:lang w:val="en-US"/>
        </w:rPr>
        <w:t>≤ μ</w:t>
      </w:r>
      <w:r>
        <w:rPr>
          <w:rFonts w:ascii="Times New Roman" w:hAnsi="Times New Roman"/>
          <w:sz w:val="22"/>
          <w:szCs w:val="22"/>
          <w:vertAlign w:val="subscript"/>
          <w:rtl w:val="0"/>
          <w:lang w:val="en-US"/>
        </w:rPr>
        <w:t>4</w:t>
      </w:r>
      <w:r>
        <w:rPr>
          <w:rFonts w:ascii="Times New Roman" w:hAnsi="Times New Roman"/>
          <w:sz w:val="22"/>
          <w:szCs w:val="22"/>
          <w:rtl w:val="0"/>
          <w:lang w:val="en-US"/>
        </w:rPr>
        <w:t>a</w:t>
      </w:r>
      <w:r>
        <w:rPr>
          <w:rFonts w:ascii="Times New Roman" w:hAnsi="Times New Roman"/>
          <w:sz w:val="22"/>
          <w:szCs w:val="22"/>
          <w:vertAlign w:val="superscript"/>
          <w:rtl w:val="0"/>
          <w:lang w:val="en-US"/>
        </w:rPr>
        <w:t>2</w:t>
      </w:r>
      <w:r>
        <w:rPr>
          <w:rFonts w:ascii="Times New Roman" w:hAnsi="Times New Roman"/>
          <w:sz w:val="22"/>
          <w:szCs w:val="22"/>
          <w:rtl w:val="0"/>
          <w:lang w:val="en-US"/>
        </w:rPr>
        <w:t>k</w:t>
      </w:r>
      <w:r>
        <w:rPr>
          <w:rFonts w:ascii="Times New Roman" w:hAnsi="Times New Roman"/>
          <w:sz w:val="22"/>
          <w:szCs w:val="22"/>
          <w:vertAlign w:val="superscript"/>
          <w:rtl w:val="0"/>
          <w:lang w:val="en-US"/>
        </w:rPr>
        <w:t>4</w:t>
      </w:r>
      <w:r>
        <w:rPr>
          <w:rFonts w:ascii="Times New Roman" w:hAnsi="Times New Roman"/>
          <w:sz w:val="22"/>
          <w:szCs w:val="22"/>
          <w:rtl w:val="0"/>
          <w:lang w:val="en-US"/>
        </w:rPr>
        <w:t>/12,</w:t>
        <w:tab/>
        <w:t>(11)</w:t>
      </w:r>
    </w:p>
    <w:p>
      <w:pPr>
        <w:pStyle w:val="Equation"/>
        <w:spacing w:after="80" w:line="240" w:lineRule="atLeast"/>
      </w:pPr>
      <w:r>
        <w:rPr>
          <w:rFonts w:ascii="Times New Roman" w:hAnsi="Times New Roman"/>
          <w:sz w:val="22"/>
          <w:szCs w:val="22"/>
          <w:rtl w:val="0"/>
          <w:lang w:val="en-US"/>
        </w:rPr>
        <w:t xml:space="preserve">0 </w:t>
      </w:r>
      <w:r>
        <w:rPr>
          <w:rFonts w:ascii="Times New Roman" w:hAnsi="Times New Roman" w:hint="default"/>
          <w:sz w:val="22"/>
          <w:szCs w:val="22"/>
          <w:rtl w:val="0"/>
          <w:lang w:val="en-US"/>
        </w:rPr>
        <w:t xml:space="preserve">≤ </w:t>
      </w:r>
      <w:r>
        <w:rPr>
          <w:rFonts w:ascii="Times New Roman" w:hAnsi="Times New Roman"/>
          <w:sz w:val="22"/>
          <w:szCs w:val="22"/>
          <w:rtl w:val="0"/>
          <w:lang w:val="en-US"/>
        </w:rPr>
        <w:t xml:space="preserve">c|k| </w:t>
      </w:r>
      <w:r>
        <w:rPr>
          <w:rFonts w:ascii="Times New Roman" w:hAnsi="Times New Roman" w:hint="default"/>
          <w:sz w:val="22"/>
          <w:szCs w:val="22"/>
          <w:rtl w:val="0"/>
          <w:lang w:val="en-US"/>
        </w:rPr>
        <w:t>− √λ</w:t>
      </w:r>
      <w:r>
        <w:rPr>
          <w:rFonts w:ascii="Times New Roman" w:hAnsi="Times New Roman"/>
          <w:sz w:val="22"/>
          <w:szCs w:val="22"/>
          <w:vertAlign w:val="subscript"/>
          <w:rtl w:val="0"/>
          <w:lang w:val="en-US"/>
        </w:rPr>
        <w:t>a</w:t>
      </w:r>
      <w:r>
        <w:rPr>
          <w:rFonts w:ascii="Times New Roman" w:hAnsi="Times New Roman"/>
          <w:sz w:val="22"/>
          <w:szCs w:val="22"/>
          <w:rtl w:val="0"/>
          <w:lang w:val="en-US"/>
        </w:rPr>
        <w:t xml:space="preserve">(k) </w:t>
      </w:r>
      <w:r>
        <w:rPr>
          <w:rFonts w:ascii="Times New Roman" w:hAnsi="Times New Roman" w:hint="default"/>
          <w:sz w:val="22"/>
          <w:szCs w:val="22"/>
          <w:rtl w:val="0"/>
          <w:lang w:val="en-US"/>
        </w:rPr>
        <w:t>≤ μ</w:t>
      </w:r>
      <w:r>
        <w:rPr>
          <w:rFonts w:ascii="Times New Roman" w:hAnsi="Times New Roman"/>
          <w:sz w:val="22"/>
          <w:szCs w:val="22"/>
          <w:vertAlign w:val="subscript"/>
          <w:rtl w:val="0"/>
          <w:lang w:val="en-US"/>
        </w:rPr>
        <w:t>4</w:t>
      </w:r>
      <w:r>
        <w:rPr>
          <w:rFonts w:ascii="Times New Roman" w:hAnsi="Times New Roman"/>
          <w:sz w:val="22"/>
          <w:szCs w:val="22"/>
          <w:rtl w:val="0"/>
          <w:lang w:val="en-US"/>
        </w:rPr>
        <w:t>a</w:t>
      </w:r>
      <w:r>
        <w:rPr>
          <w:rFonts w:ascii="Times New Roman" w:hAnsi="Times New Roman"/>
          <w:sz w:val="22"/>
          <w:szCs w:val="22"/>
          <w:vertAlign w:val="superscript"/>
          <w:rtl w:val="0"/>
          <w:lang w:val="en-US"/>
        </w:rPr>
        <w:t>2</w:t>
      </w:r>
      <w:r>
        <w:rPr>
          <w:rFonts w:ascii="Times New Roman" w:hAnsi="Times New Roman"/>
          <w:sz w:val="22"/>
          <w:szCs w:val="22"/>
          <w:rtl w:val="0"/>
          <w:lang w:val="en-US"/>
        </w:rPr>
        <w:t>|k|</w:t>
      </w:r>
      <w:r>
        <w:rPr>
          <w:rFonts w:ascii="Times New Roman" w:hAnsi="Times New Roman"/>
          <w:sz w:val="22"/>
          <w:szCs w:val="22"/>
          <w:vertAlign w:val="superscript"/>
          <w:rtl w:val="0"/>
          <w:lang w:val="en-US"/>
        </w:rPr>
        <w:t>3</w:t>
      </w:r>
      <w:r>
        <w:rPr>
          <w:rFonts w:ascii="Times New Roman" w:hAnsi="Times New Roman"/>
          <w:sz w:val="22"/>
          <w:szCs w:val="22"/>
          <w:rtl w:val="0"/>
          <w:lang w:val="en-US"/>
        </w:rPr>
        <w:t>/(12c).</w:t>
        <w:tab/>
        <w:t>(12)</w:t>
      </w:r>
    </w:p>
    <w:p>
      <w:pPr>
        <w:pStyle w:val="Normal.0"/>
        <w:spacing w:after="80" w:line="240" w:lineRule="atLeast"/>
      </w:pPr>
      <w:r>
        <w:rPr>
          <w:sz w:val="22"/>
          <w:szCs w:val="22"/>
          <w:rtl w:val="0"/>
          <w:lang w:val="en-US"/>
        </w:rPr>
        <w:t>The scalar response can be written as f</w:t>
      </w:r>
      <w:r>
        <w:rPr>
          <w:sz w:val="22"/>
          <w:szCs w:val="22"/>
          <w:vertAlign w:val="subscript"/>
          <w:rtl w:val="0"/>
          <w:lang w:val="en-US"/>
        </w:rPr>
        <w:t>t</w:t>
      </w:r>
      <w:r>
        <w:rPr>
          <w:sz w:val="22"/>
          <w:szCs w:val="22"/>
          <w:rtl w:val="0"/>
          <w:lang w:val="en-US"/>
        </w:rPr>
        <w:t>(</w:t>
      </w:r>
      <w:r>
        <w:rPr>
          <w:sz w:val="22"/>
          <w:szCs w:val="22"/>
          <w:rtl w:val="0"/>
          <w:lang w:val="en-US"/>
        </w:rPr>
        <w:t>ω</w:t>
      </w:r>
      <w:r>
        <w:rPr>
          <w:sz w:val="22"/>
          <w:szCs w:val="22"/>
          <w:rtl w:val="0"/>
          <w:lang w:val="en-US"/>
        </w:rPr>
        <w:t xml:space="preserve">) = </w:t>
      </w:r>
      <w:r>
        <w:rPr>
          <w:sz w:val="22"/>
          <w:szCs w:val="22"/>
          <w:rtl w:val="0"/>
          <w:lang w:val="en-US"/>
        </w:rPr>
        <w:t>∫</w:t>
      </w:r>
      <w:r>
        <w:rPr>
          <w:sz w:val="22"/>
          <w:szCs w:val="22"/>
          <w:vertAlign w:val="subscript"/>
          <w:rtl w:val="0"/>
          <w:lang w:val="en-US"/>
        </w:rPr>
        <w:t>0</w:t>
      </w:r>
      <w:r>
        <w:rPr>
          <w:sz w:val="22"/>
          <w:szCs w:val="22"/>
          <w:rtl w:val="0"/>
          <w:lang w:val="en-US"/>
        </w:rPr>
        <w:t>ᵗ cos(s</w:t>
      </w:r>
      <w:r>
        <w:rPr>
          <w:sz w:val="22"/>
          <w:szCs w:val="22"/>
          <w:rtl w:val="0"/>
          <w:lang w:val="en-US"/>
        </w:rPr>
        <w:t>ω</w:t>
      </w:r>
      <w:r>
        <w:rPr>
          <w:sz w:val="22"/>
          <w:szCs w:val="22"/>
          <w:rtl w:val="0"/>
          <w:lang w:val="en-US"/>
        </w:rPr>
        <w:t xml:space="preserve">)ds, including </w:t>
      </w:r>
      <w:r>
        <w:rPr>
          <w:sz w:val="22"/>
          <w:szCs w:val="22"/>
          <w:rtl w:val="0"/>
          <w:lang w:val="en-US"/>
        </w:rPr>
        <w:t xml:space="preserve">ω </w:t>
      </w:r>
      <w:r>
        <w:rPr>
          <w:sz w:val="22"/>
          <w:szCs w:val="22"/>
          <w:rtl w:val="0"/>
          <w:lang w:val="en-US"/>
        </w:rPr>
        <w:t>= 0. Therefore |f</w:t>
      </w:r>
      <w:r>
        <w:rPr>
          <w:sz w:val="22"/>
          <w:szCs w:val="22"/>
          <w:vertAlign w:val="subscript"/>
          <w:rtl w:val="0"/>
          <w:lang w:val="en-US"/>
        </w:rPr>
        <w:t>t</w:t>
      </w:r>
      <w:r>
        <w:rPr>
          <w:sz w:val="22"/>
          <w:szCs w:val="22"/>
          <w:rtl w:val="0"/>
          <w:lang w:val="en-US"/>
        </w:rPr>
        <w:t>(</w:t>
      </w:r>
      <w:r>
        <w:rPr>
          <w:sz w:val="22"/>
          <w:szCs w:val="22"/>
          <w:rtl w:val="0"/>
          <w:lang w:val="en-US"/>
        </w:rPr>
        <w:t>ω</w:t>
      </w:r>
      <w:r>
        <w:rPr>
          <w:sz w:val="22"/>
          <w:szCs w:val="22"/>
          <w:vertAlign w:val="subscript"/>
          <w:rtl w:val="0"/>
          <w:lang w:val="en-US"/>
        </w:rPr>
        <w:t>1</w:t>
      </w:r>
      <w:r>
        <w:rPr>
          <w:sz w:val="22"/>
          <w:szCs w:val="22"/>
          <w:rtl w:val="0"/>
          <w:lang w:val="en-US"/>
        </w:rPr>
        <w:t xml:space="preserve">) </w:t>
      </w:r>
      <w:r>
        <w:rPr>
          <w:sz w:val="22"/>
          <w:szCs w:val="22"/>
          <w:rtl w:val="0"/>
          <w:lang w:val="en-US"/>
        </w:rPr>
        <w:t xml:space="preserve">− </w:t>
      </w:r>
      <w:r>
        <w:rPr>
          <w:sz w:val="22"/>
          <w:szCs w:val="22"/>
          <w:rtl w:val="0"/>
          <w:lang w:val="en-US"/>
        </w:rPr>
        <w:t>f</w:t>
      </w:r>
      <w:r>
        <w:rPr>
          <w:sz w:val="22"/>
          <w:szCs w:val="22"/>
          <w:vertAlign w:val="subscript"/>
          <w:rtl w:val="0"/>
          <w:lang w:val="en-US"/>
        </w:rPr>
        <w:t>t</w:t>
      </w:r>
      <w:r>
        <w:rPr>
          <w:sz w:val="22"/>
          <w:szCs w:val="22"/>
          <w:rtl w:val="0"/>
          <w:lang w:val="en-US"/>
        </w:rPr>
        <w:t>(</w:t>
      </w:r>
      <w:r>
        <w:rPr>
          <w:sz w:val="22"/>
          <w:szCs w:val="22"/>
          <w:rtl w:val="0"/>
          <w:lang w:val="en-US"/>
        </w:rPr>
        <w:t>ω</w:t>
      </w:r>
      <w:r>
        <w:rPr>
          <w:sz w:val="22"/>
          <w:szCs w:val="22"/>
          <w:vertAlign w:val="subscript"/>
          <w:rtl w:val="0"/>
          <w:lang w:val="en-US"/>
        </w:rPr>
        <w:t>2</w:t>
      </w:r>
      <w:r>
        <w:rPr>
          <w:sz w:val="22"/>
          <w:szCs w:val="22"/>
          <w:rtl w:val="0"/>
          <w:lang w:val="en-US"/>
        </w:rPr>
        <w:t xml:space="preserve">)| </w:t>
      </w:r>
      <w:r>
        <w:rPr>
          <w:sz w:val="22"/>
          <w:szCs w:val="22"/>
          <w:rtl w:val="0"/>
          <w:lang w:val="en-US"/>
        </w:rPr>
        <w:t xml:space="preserve">≤ </w:t>
      </w:r>
      <w:r>
        <w:rPr>
          <w:sz w:val="22"/>
          <w:szCs w:val="22"/>
          <w:rtl w:val="0"/>
          <w:lang w:val="en-US"/>
        </w:rPr>
        <w:t>t</w:t>
      </w:r>
      <w:r>
        <w:rPr>
          <w:sz w:val="22"/>
          <w:szCs w:val="22"/>
          <w:vertAlign w:val="superscript"/>
          <w:rtl w:val="0"/>
          <w:lang w:val="en-US"/>
        </w:rPr>
        <w:t>2</w:t>
      </w:r>
      <w:r>
        <w:rPr>
          <w:sz w:val="22"/>
          <w:szCs w:val="22"/>
          <w:rtl w:val="0"/>
          <w:lang w:val="en-US"/>
        </w:rPr>
        <w:t>|</w:t>
      </w:r>
      <w:r>
        <w:rPr>
          <w:sz w:val="22"/>
          <w:szCs w:val="22"/>
          <w:rtl w:val="0"/>
          <w:lang w:val="en-US"/>
        </w:rPr>
        <w:t>ω</w:t>
      </w:r>
      <w:r>
        <w:rPr>
          <w:sz w:val="22"/>
          <w:szCs w:val="22"/>
          <w:vertAlign w:val="subscript"/>
          <w:rtl w:val="0"/>
          <w:lang w:val="en-US"/>
        </w:rPr>
        <w:t>1</w:t>
      </w:r>
      <w:r>
        <w:rPr>
          <w:sz w:val="22"/>
          <w:szCs w:val="22"/>
          <w:rtl w:val="0"/>
          <w:lang w:val="en-US"/>
        </w:rPr>
        <w:t xml:space="preserve"> − ω</w:t>
      </w:r>
      <w:r>
        <w:rPr>
          <w:sz w:val="22"/>
          <w:szCs w:val="22"/>
          <w:vertAlign w:val="subscript"/>
          <w:rtl w:val="0"/>
          <w:lang w:val="en-US"/>
        </w:rPr>
        <w:t>2</w:t>
      </w:r>
      <w:r>
        <w:rPr>
          <w:sz w:val="22"/>
          <w:szCs w:val="22"/>
          <w:rtl w:val="0"/>
          <w:lang w:val="en-US"/>
        </w:rPr>
        <w:t>|/2. Apply this estimate mode by mode and use Parseval</w:t>
      </w:r>
      <w:r>
        <w:rPr>
          <w:sz w:val="22"/>
          <w:szCs w:val="22"/>
          <w:rtl w:val="0"/>
          <w:lang w:val="en-US"/>
        </w:rPr>
        <w:t>’</w:t>
      </w:r>
      <w:r>
        <w:rPr>
          <w:sz w:val="22"/>
          <w:szCs w:val="22"/>
          <w:rtl w:val="0"/>
          <w:lang w:val="en-US"/>
        </w:rPr>
        <w:t xml:space="preserve">s identity. The omitted Fourier modes have |k| &gt; </w:t>
      </w:r>
      <w:r>
        <w:rPr>
          <w:sz w:val="22"/>
          <w:szCs w:val="22"/>
          <w:rtl w:val="0"/>
          <w:lang w:val="en-US"/>
        </w:rPr>
        <w:t>π</w:t>
      </w:r>
      <w:r>
        <w:rPr>
          <w:sz w:val="22"/>
          <w:szCs w:val="22"/>
          <w:rtl w:val="0"/>
          <w:lang w:val="en-US"/>
        </w:rPr>
        <w:t>/a, so their L</w:t>
      </w:r>
      <w:r>
        <w:rPr>
          <w:sz w:val="22"/>
          <w:szCs w:val="22"/>
          <w:vertAlign w:val="superscript"/>
          <w:rtl w:val="0"/>
          <w:lang w:val="en-US"/>
        </w:rPr>
        <w:t>2</w:t>
      </w:r>
      <w:r>
        <w:rPr>
          <w:sz w:val="22"/>
          <w:szCs w:val="22"/>
          <w:rtl w:val="0"/>
          <w:lang w:val="en-US"/>
        </w:rPr>
        <w:t xml:space="preserve"> norm is at most (a/</w:t>
      </w:r>
      <w:r>
        <w:rPr>
          <w:sz w:val="22"/>
          <w:szCs w:val="22"/>
          <w:rtl w:val="0"/>
          <w:lang w:val="en-US"/>
        </w:rPr>
        <w:t>π</w:t>
      </w:r>
      <w:r>
        <w:rPr>
          <w:sz w:val="22"/>
          <w:szCs w:val="22"/>
          <w:rtl w:val="0"/>
          <w:lang w:val="en-US"/>
        </w:rPr>
        <w:t>)</w:t>
      </w:r>
      <w:r>
        <w:rPr>
          <w:sz w:val="22"/>
          <w:szCs w:val="22"/>
          <w:vertAlign w:val="superscript"/>
          <w:rtl w:val="0"/>
          <w:lang w:val="en-US"/>
        </w:rPr>
        <w:t>3</w:t>
      </w:r>
      <w:r>
        <w:rPr>
          <w:sz w:val="22"/>
          <w:szCs w:val="22"/>
          <w:rtl w:val="0"/>
          <w:lang w:val="en-US"/>
        </w:rPr>
        <w:t>‖∂</w:t>
      </w:r>
      <w:r>
        <w:rPr>
          <w:sz w:val="22"/>
          <w:szCs w:val="22"/>
          <w:vertAlign w:val="subscript"/>
          <w:rtl w:val="0"/>
          <w:lang w:val="en-US"/>
        </w:rPr>
        <w:t>x</w:t>
      </w:r>
      <w:r>
        <w:rPr>
          <w:sz w:val="22"/>
          <w:szCs w:val="22"/>
          <w:vertAlign w:val="superscript"/>
          <w:rtl w:val="0"/>
          <w:lang w:val="en-US"/>
        </w:rPr>
        <w:t>3</w:t>
      </w:r>
      <w:r>
        <w:rPr>
          <w:sz w:val="22"/>
          <w:szCs w:val="22"/>
          <w:rtl w:val="0"/>
          <w:lang w:val="en-US"/>
        </w:rPr>
        <w:t>f</w:t>
      </w:r>
      <w:r>
        <w:rPr>
          <w:sz w:val="22"/>
          <w:szCs w:val="22"/>
          <w:rtl w:val="0"/>
          <w:lang w:val="en-US"/>
        </w:rPr>
        <w:t>‖</w:t>
      </w:r>
      <w:r>
        <w:rPr>
          <w:sz w:val="22"/>
          <w:szCs w:val="22"/>
          <w:vertAlign w:val="subscript"/>
          <w:rtl w:val="0"/>
          <w:lang w:val="en-US"/>
        </w:rPr>
        <w:t>2</w:t>
      </w:r>
      <w:r>
        <w:rPr>
          <w:sz w:val="22"/>
          <w:szCs w:val="22"/>
          <w:rtl w:val="0"/>
          <w:lang w:val="en-US"/>
        </w:rPr>
        <w:t xml:space="preserve">; multiplying by </w:t>
      </w:r>
      <w:r>
        <w:rPr>
          <w:sz w:val="22"/>
          <w:szCs w:val="22"/>
          <w:rtl w:val="0"/>
          <w:lang w:val="en-US"/>
        </w:rPr>
        <w:t>‖</w:t>
      </w:r>
      <w:r>
        <w:rPr>
          <w:sz w:val="22"/>
          <w:szCs w:val="22"/>
          <w:rtl w:val="0"/>
          <w:lang w:val="en-US"/>
        </w:rPr>
        <w:t>S(t)</w:t>
      </w:r>
      <w:r>
        <w:rPr>
          <w:sz w:val="22"/>
          <w:szCs w:val="22"/>
          <w:rtl w:val="0"/>
          <w:lang w:val="en-US"/>
        </w:rPr>
        <w:t xml:space="preserve">‖ ≤ </w:t>
      </w:r>
      <w:r>
        <w:rPr>
          <w:sz w:val="22"/>
          <w:szCs w:val="22"/>
          <w:rtl w:val="0"/>
          <w:lang w:val="en-US"/>
        </w:rPr>
        <w:t>T gives the second term. Finally, H</w:t>
      </w:r>
      <w:r>
        <w:rPr>
          <w:sz w:val="22"/>
          <w:szCs w:val="22"/>
          <w:vertAlign w:val="superscript"/>
          <w:rtl w:val="0"/>
          <w:lang w:val="en-US"/>
        </w:rPr>
        <w:t>3</w:t>
      </w:r>
      <w:r>
        <w:rPr>
          <w:sz w:val="22"/>
          <w:szCs w:val="22"/>
          <w:rtl w:val="0"/>
          <w:lang w:val="en-US"/>
        </w:rPr>
        <w:t xml:space="preserve"> is dense in L</w:t>
      </w:r>
      <w:r>
        <w:rPr>
          <w:sz w:val="22"/>
          <w:szCs w:val="22"/>
          <w:vertAlign w:val="superscript"/>
          <w:rtl w:val="0"/>
          <w:lang w:val="en-US"/>
        </w:rPr>
        <w:t>2</w:t>
      </w:r>
      <w:r>
        <w:rPr>
          <w:sz w:val="22"/>
          <w:szCs w:val="22"/>
          <w:rtl w:val="0"/>
          <w:lang w:val="en-US"/>
        </w:rPr>
        <w:t xml:space="preserve"> and both response operators have norm at most T. Approximation by a fixed smooth f proves uniform strong convergence. </w:t>
      </w:r>
      <w:r>
        <w:rPr>
          <w:sz w:val="22"/>
          <w:szCs w:val="22"/>
          <w:rtl w:val="0"/>
          <w:lang w:val="en-US"/>
        </w:rPr>
        <w:t>□</w:t>
      </w:r>
    </w:p>
    <w:p>
      <w:pPr>
        <w:pStyle w:val="Normal.0"/>
        <w:spacing w:after="80" w:line="240" w:lineRule="atLeast"/>
      </w:pPr>
      <w:r>
        <w:rPr>
          <w:sz w:val="22"/>
          <w:szCs w:val="22"/>
          <w:rtl w:val="0"/>
          <w:lang w:val="en-US"/>
        </w:rPr>
        <w:t>The theorem controls eigenfunctions through J</w:t>
      </w:r>
      <w:r>
        <w:rPr>
          <w:sz w:val="22"/>
          <w:szCs w:val="22"/>
          <w:vertAlign w:val="subscript"/>
          <w:rtl w:val="0"/>
          <w:lang w:val="en-US"/>
        </w:rPr>
        <w:t>a</w:t>
      </w:r>
      <w:r>
        <w:rPr>
          <w:sz w:val="22"/>
          <w:szCs w:val="22"/>
          <w:rtl w:val="0"/>
          <w:lang w:val="en-US"/>
        </w:rPr>
        <w:t xml:space="preserve"> and controls the entire time interval. It is stronger than matching a small-k slope. It is still relative to a chosen identification and fixed effective states.</w:t>
      </w:r>
    </w:p>
    <w:p>
      <w:pPr>
        <w:pStyle w:val="Normal.0"/>
        <w:spacing w:after="80" w:line="240" w:lineRule="atLeast"/>
      </w:pPr>
      <w:r>
        <w:rPr>
          <w:sz w:val="22"/>
          <w:szCs w:val="22"/>
          <w:rtl w:val="0"/>
          <w:lang w:val="en-US"/>
        </w:rPr>
        <w:t xml:space="preserve">Three distinct examples at c = 1 are </w:t>
      </w:r>
      <w:r>
        <w:rPr>
          <w:sz w:val="22"/>
          <w:szCs w:val="22"/>
          <w:rtl w:val="0"/>
          <w:lang w:val="en-US"/>
        </w:rPr>
        <w:t xml:space="preserve">κ </w:t>
      </w:r>
      <w:r>
        <w:rPr>
          <w:sz w:val="22"/>
          <w:szCs w:val="22"/>
          <w:rtl w:val="0"/>
          <w:lang w:val="en-US"/>
        </w:rPr>
        <w:t xml:space="preserve">= (1), </w:t>
      </w:r>
      <w:r>
        <w:rPr>
          <w:sz w:val="22"/>
          <w:szCs w:val="22"/>
          <w:rtl w:val="0"/>
          <w:lang w:val="en-US"/>
        </w:rPr>
        <w:t xml:space="preserve">κ </w:t>
      </w:r>
      <w:r>
        <w:rPr>
          <w:sz w:val="22"/>
          <w:szCs w:val="22"/>
          <w:rtl w:val="0"/>
          <w:lang w:val="en-US"/>
        </w:rPr>
        <w:t xml:space="preserve">= (1/2,1/8), and </w:t>
      </w:r>
      <w:r>
        <w:rPr>
          <w:sz w:val="22"/>
          <w:szCs w:val="22"/>
          <w:rtl w:val="0"/>
          <w:lang w:val="en-US"/>
        </w:rPr>
        <w:t xml:space="preserve">κ </w:t>
      </w:r>
      <w:r>
        <w:rPr>
          <w:sz w:val="22"/>
          <w:szCs w:val="22"/>
          <w:rtl w:val="0"/>
          <w:lang w:val="en-US"/>
        </w:rPr>
        <w:t>= (1/2,1/16,1/36). Their fourth moments are 1, 5/2 and 15/4. They therefore have different finite-spacing dispersions but the same limit. This is a concrete universality class of prescribed linear chains, not a demonstrated universality class of arbitrary nonlinear relational Hamiltonians.</w:t>
      </w:r>
    </w:p>
    <w:p>
      <w:pPr>
        <w:pStyle w:val="Заголовок 3"/>
        <w:spacing w:line="240" w:lineRule="atLeast"/>
      </w:pPr>
      <w:r>
        <w:rPr>
          <w:rtl w:val="0"/>
          <w:lang w:val="en-US"/>
        </w:rPr>
        <w:t>3.3. Why the Green kernel must be normalised</w:t>
      </w:r>
    </w:p>
    <w:p>
      <w:pPr>
        <w:pStyle w:val="Normal.0"/>
        <w:keepNext w:val="1"/>
        <w:spacing w:after="80" w:line="240" w:lineRule="atLeast"/>
      </w:pPr>
      <w:r>
        <w:rPr>
          <w:sz w:val="22"/>
          <w:szCs w:val="22"/>
          <w:rtl w:val="0"/>
          <w:lang w:val="en-US"/>
        </w:rPr>
        <w:t>Write R</w:t>
      </w:r>
      <w:r>
        <w:rPr>
          <w:sz w:val="22"/>
          <w:szCs w:val="22"/>
          <w:vertAlign w:val="superscript"/>
          <w:rtl w:val="0"/>
          <w:lang w:val="en-US"/>
        </w:rPr>
        <w:t>a</w:t>
      </w:r>
      <w:r>
        <w:rPr>
          <w:sz w:val="22"/>
          <w:szCs w:val="22"/>
          <w:vertAlign w:val="subscript"/>
          <w:rtl w:val="0"/>
          <w:lang w:val="en-US"/>
        </w:rPr>
        <w:t>ij</w:t>
      </w:r>
      <w:r>
        <w:rPr>
          <w:sz w:val="22"/>
          <w:szCs w:val="22"/>
          <w:rtl w:val="0"/>
          <w:lang w:val="en-US"/>
        </w:rPr>
        <w:t>(t) = [S</w:t>
      </w:r>
      <w:r>
        <w:rPr>
          <w:sz w:val="22"/>
          <w:szCs w:val="22"/>
          <w:vertAlign w:val="subscript"/>
          <w:rtl w:val="0"/>
          <w:lang w:val="en-US"/>
        </w:rPr>
        <w:t>a</w:t>
      </w:r>
      <w:r>
        <w:rPr>
          <w:sz w:val="22"/>
          <w:szCs w:val="22"/>
          <w:rtl w:val="0"/>
          <w:lang w:val="en-US"/>
        </w:rPr>
        <w:t>(t)]</w:t>
      </w:r>
      <w:r>
        <w:rPr>
          <w:sz w:val="22"/>
          <w:szCs w:val="22"/>
          <w:vertAlign w:val="subscript"/>
          <w:rtl w:val="0"/>
          <w:lang w:val="en-US"/>
        </w:rPr>
        <w:t>ij</w:t>
      </w:r>
      <w:r>
        <w:rPr>
          <w:sz w:val="22"/>
          <w:szCs w:val="22"/>
          <w:rtl w:val="0"/>
          <w:lang w:val="en-US"/>
        </w:rPr>
        <w:t xml:space="preserve"> as a matrix in site coordinates. Then</w:t>
      </w:r>
    </w:p>
    <w:p>
      <w:pPr>
        <w:pStyle w:val="Equation"/>
        <w:spacing w:after="80" w:line="240" w:lineRule="atLeast"/>
      </w:pPr>
      <w:r>
        <w:rPr>
          <w:rFonts w:ascii="Times New Roman" w:hAnsi="Times New Roman"/>
          <w:sz w:val="22"/>
          <w:szCs w:val="22"/>
          <w:rtl w:val="0"/>
          <w:lang w:val="en-US"/>
        </w:rPr>
        <w:t>q</w:t>
      </w:r>
      <w:r>
        <w:rPr>
          <w:rFonts w:ascii="Times New Roman" w:hAnsi="Times New Roman"/>
          <w:sz w:val="22"/>
          <w:szCs w:val="22"/>
          <w:vertAlign w:val="subscript"/>
          <w:rtl w:val="0"/>
          <w:lang w:val="en-US"/>
        </w:rPr>
        <w:t>i</w:t>
      </w:r>
      <w:r>
        <w:rPr>
          <w:rFonts w:ascii="Times New Roman" w:hAnsi="Times New Roman"/>
          <w:sz w:val="22"/>
          <w:szCs w:val="22"/>
          <w:rtl w:val="0"/>
          <w:lang w:val="en-US"/>
        </w:rPr>
        <w:t xml:space="preserve">(t) = </w:t>
      </w:r>
      <w:r>
        <w:rPr>
          <w:rFonts w:ascii="Times New Roman" w:hAnsi="Times New Roman" w:hint="default"/>
          <w:sz w:val="22"/>
          <w:szCs w:val="22"/>
          <w:rtl w:val="0"/>
          <w:lang w:val="en-US"/>
        </w:rPr>
        <w:t>∑</w:t>
      </w:r>
      <w:r>
        <w:rPr>
          <w:rFonts w:ascii="Times New Roman" w:hAnsi="Times New Roman"/>
          <w:sz w:val="22"/>
          <w:szCs w:val="22"/>
          <w:vertAlign w:val="subscript"/>
          <w:rtl w:val="0"/>
          <w:lang w:val="en-US"/>
        </w:rPr>
        <w:t>j</w:t>
      </w:r>
      <w:r>
        <w:rPr>
          <w:rFonts w:ascii="Times New Roman" w:hAnsi="Times New Roman"/>
          <w:sz w:val="22"/>
          <w:szCs w:val="22"/>
          <w:rtl w:val="0"/>
          <w:lang w:val="en-US"/>
        </w:rPr>
        <w:t xml:space="preserve"> R</w:t>
      </w:r>
      <w:r>
        <w:rPr>
          <w:rFonts w:ascii="Times New Roman" w:hAnsi="Times New Roman"/>
          <w:sz w:val="22"/>
          <w:szCs w:val="22"/>
          <w:vertAlign w:val="superscript"/>
          <w:rtl w:val="0"/>
          <w:lang w:val="en-US"/>
        </w:rPr>
        <w:t>a</w:t>
      </w:r>
      <w:r>
        <w:rPr>
          <w:rFonts w:ascii="Times New Roman" w:hAnsi="Times New Roman"/>
          <w:sz w:val="22"/>
          <w:szCs w:val="22"/>
          <w:vertAlign w:val="subscript"/>
          <w:rtl w:val="0"/>
          <w:lang w:val="en-US"/>
        </w:rPr>
        <w:t>ij</w:t>
      </w:r>
      <w:r>
        <w:rPr>
          <w:rFonts w:ascii="Times New Roman" w:hAnsi="Times New Roman"/>
          <w:sz w:val="22"/>
          <w:szCs w:val="22"/>
          <w:rtl w:val="0"/>
          <w:lang w:val="en-US"/>
        </w:rPr>
        <w:t>(t)f</w:t>
      </w:r>
      <w:r>
        <w:rPr>
          <w:rFonts w:ascii="Times New Roman" w:hAnsi="Times New Roman"/>
          <w:sz w:val="22"/>
          <w:szCs w:val="22"/>
          <w:vertAlign w:val="subscript"/>
          <w:rtl w:val="0"/>
          <w:lang w:val="en-US"/>
        </w:rPr>
        <w:t>j</w:t>
      </w:r>
      <w:r>
        <w:rPr>
          <w:rFonts w:ascii="Times New Roman" w:hAnsi="Times New Roman"/>
          <w:sz w:val="22"/>
          <w:szCs w:val="22"/>
          <w:rtl w:val="0"/>
          <w:lang w:val="en-US"/>
        </w:rPr>
        <w:t xml:space="preserve"> = a</w:t>
      </w:r>
      <w:r>
        <w:rPr>
          <w:rFonts w:ascii="Times New Roman" w:hAnsi="Times New Roman" w:hint="default"/>
          <w:sz w:val="22"/>
          <w:szCs w:val="22"/>
          <w:rtl w:val="0"/>
          <w:lang w:val="en-US"/>
        </w:rPr>
        <w:t>∑</w:t>
      </w:r>
      <w:r>
        <w:rPr>
          <w:rFonts w:ascii="Times New Roman" w:hAnsi="Times New Roman"/>
          <w:sz w:val="22"/>
          <w:szCs w:val="22"/>
          <w:vertAlign w:val="subscript"/>
          <w:rtl w:val="0"/>
          <w:lang w:val="en-US"/>
        </w:rPr>
        <w:t>j</w:t>
      </w:r>
      <w:r>
        <w:rPr>
          <w:rFonts w:ascii="Times New Roman" w:hAnsi="Times New Roman"/>
          <w:sz w:val="22"/>
          <w:szCs w:val="22"/>
          <w:rtl w:val="0"/>
          <w:lang w:val="en-US"/>
        </w:rPr>
        <w:t xml:space="preserve"> G</w:t>
      </w:r>
      <w:r>
        <w:rPr>
          <w:rFonts w:ascii="Times New Roman" w:hAnsi="Times New Roman"/>
          <w:sz w:val="22"/>
          <w:szCs w:val="22"/>
          <w:vertAlign w:val="superscript"/>
          <w:rtl w:val="0"/>
          <w:lang w:val="en-US"/>
        </w:rPr>
        <w:t>a</w:t>
      </w:r>
      <w:r>
        <w:rPr>
          <w:rFonts w:ascii="Times New Roman" w:hAnsi="Times New Roman"/>
          <w:sz w:val="22"/>
          <w:szCs w:val="22"/>
          <w:vertAlign w:val="subscript"/>
          <w:rtl w:val="0"/>
          <w:lang w:val="en-US"/>
        </w:rPr>
        <w:t>ij</w:t>
      </w:r>
      <w:r>
        <w:rPr>
          <w:rFonts w:ascii="Times New Roman" w:hAnsi="Times New Roman"/>
          <w:sz w:val="22"/>
          <w:szCs w:val="22"/>
          <w:rtl w:val="0"/>
          <w:lang w:val="en-US"/>
        </w:rPr>
        <w:t>(t)f</w:t>
      </w:r>
      <w:r>
        <w:rPr>
          <w:rFonts w:ascii="Times New Roman" w:hAnsi="Times New Roman"/>
          <w:sz w:val="22"/>
          <w:szCs w:val="22"/>
          <w:vertAlign w:val="subscript"/>
          <w:rtl w:val="0"/>
          <w:lang w:val="en-US"/>
        </w:rPr>
        <w:t>j</w:t>
      </w:r>
      <w:r>
        <w:rPr>
          <w:rFonts w:ascii="Times New Roman" w:hAnsi="Times New Roman"/>
          <w:sz w:val="22"/>
          <w:szCs w:val="22"/>
          <w:rtl w:val="0"/>
          <w:lang w:val="en-US"/>
        </w:rPr>
        <w:t>,     G</w:t>
      </w:r>
      <w:r>
        <w:rPr>
          <w:rFonts w:ascii="Times New Roman" w:hAnsi="Times New Roman"/>
          <w:sz w:val="22"/>
          <w:szCs w:val="22"/>
          <w:vertAlign w:val="superscript"/>
          <w:rtl w:val="0"/>
          <w:lang w:val="en-US"/>
        </w:rPr>
        <w:t>a</w:t>
      </w:r>
      <w:r>
        <w:rPr>
          <w:rFonts w:ascii="Times New Roman" w:hAnsi="Times New Roman"/>
          <w:sz w:val="22"/>
          <w:szCs w:val="22"/>
          <w:vertAlign w:val="subscript"/>
          <w:rtl w:val="0"/>
          <w:lang w:val="en-US"/>
        </w:rPr>
        <w:t>ij</w:t>
      </w:r>
      <w:r>
        <w:rPr>
          <w:rFonts w:ascii="Times New Roman" w:hAnsi="Times New Roman"/>
          <w:sz w:val="22"/>
          <w:szCs w:val="22"/>
          <w:rtl w:val="0"/>
          <w:lang w:val="en-US"/>
        </w:rPr>
        <w:t xml:space="preserve"> = R</w:t>
      </w:r>
      <w:r>
        <w:rPr>
          <w:rFonts w:ascii="Times New Roman" w:hAnsi="Times New Roman"/>
          <w:sz w:val="22"/>
          <w:szCs w:val="22"/>
          <w:vertAlign w:val="superscript"/>
          <w:rtl w:val="0"/>
          <w:lang w:val="en-US"/>
        </w:rPr>
        <w:t>a</w:t>
      </w:r>
      <w:r>
        <w:rPr>
          <w:rFonts w:ascii="Times New Roman" w:hAnsi="Times New Roman"/>
          <w:sz w:val="22"/>
          <w:szCs w:val="22"/>
          <w:vertAlign w:val="subscript"/>
          <w:rtl w:val="0"/>
          <w:lang w:val="en-US"/>
        </w:rPr>
        <w:t>ij</w:t>
      </w:r>
      <w:r>
        <w:rPr>
          <w:rFonts w:ascii="Times New Roman" w:hAnsi="Times New Roman"/>
          <w:sz w:val="22"/>
          <w:szCs w:val="22"/>
          <w:rtl w:val="0"/>
          <w:lang w:val="en-US"/>
        </w:rPr>
        <w:t>/a.</w:t>
        <w:tab/>
        <w:t>(13)</w:t>
      </w:r>
    </w:p>
    <w:p>
      <w:pPr>
        <w:pStyle w:val="Normal.0"/>
        <w:spacing w:after="80" w:line="240" w:lineRule="atLeast"/>
      </w:pPr>
      <w:r>
        <w:rPr>
          <w:sz w:val="22"/>
          <w:szCs w:val="22"/>
          <w:rtl w:val="0"/>
          <w:lang w:val="en-US"/>
        </w:rPr>
        <w:t>The continuum Green density is represented by G</w:t>
      </w:r>
      <w:r>
        <w:rPr>
          <w:sz w:val="22"/>
          <w:szCs w:val="22"/>
          <w:vertAlign w:val="superscript"/>
          <w:rtl w:val="0"/>
          <w:lang w:val="en-US"/>
        </w:rPr>
        <w:t>a</w:t>
      </w:r>
      <w:r>
        <w:rPr>
          <w:sz w:val="22"/>
          <w:szCs w:val="22"/>
          <w:rtl w:val="0"/>
          <w:lang w:val="en-US"/>
        </w:rPr>
        <w:t>, not by R</w:t>
      </w:r>
      <w:r>
        <w:rPr>
          <w:sz w:val="22"/>
          <w:szCs w:val="22"/>
          <w:vertAlign w:val="superscript"/>
          <w:rtl w:val="0"/>
          <w:lang w:val="en-US"/>
        </w:rPr>
        <w:t>a</w:t>
      </w:r>
      <w:r>
        <w:rPr>
          <w:sz w:val="22"/>
          <w:szCs w:val="22"/>
          <w:rtl w:val="0"/>
          <w:lang w:val="en-US"/>
        </w:rPr>
        <w:t xml:space="preserve">. A unit vector at a site has integrated weight a, whereas a unit-integral impulse has value 1/a at that site. With nonuniform site measures </w:t>
      </w:r>
      <w:r>
        <w:rPr>
          <w:sz w:val="22"/>
          <w:szCs w:val="22"/>
          <w:rtl w:val="0"/>
          <w:lang w:val="en-US"/>
        </w:rPr>
        <w:t>μ</w:t>
      </w:r>
      <w:r>
        <w:rPr>
          <w:sz w:val="22"/>
          <w:szCs w:val="22"/>
          <w:vertAlign w:val="subscript"/>
          <w:rtl w:val="0"/>
          <w:lang w:val="en-US"/>
        </w:rPr>
        <w:t>j</w:t>
      </w:r>
      <w:r>
        <w:rPr>
          <w:sz w:val="22"/>
          <w:szCs w:val="22"/>
          <w:rtl w:val="0"/>
          <w:lang w:val="en-US"/>
        </w:rPr>
        <w:t>, the corresponding density is R</w:t>
      </w:r>
      <w:r>
        <w:rPr>
          <w:sz w:val="22"/>
          <w:szCs w:val="22"/>
          <w:vertAlign w:val="subscript"/>
          <w:rtl w:val="0"/>
          <w:lang w:val="en-US"/>
        </w:rPr>
        <w:t>ij</w:t>
      </w:r>
      <w:r>
        <w:rPr>
          <w:sz w:val="22"/>
          <w:szCs w:val="22"/>
          <w:rtl w:val="0"/>
          <w:lang w:val="en-US"/>
        </w:rPr>
        <w:t>/</w:t>
      </w:r>
      <w:r>
        <w:rPr>
          <w:sz w:val="22"/>
          <w:szCs w:val="22"/>
          <w:rtl w:val="0"/>
          <w:lang w:val="en-US"/>
        </w:rPr>
        <w:t>μ</w:t>
      </w:r>
      <w:r>
        <w:rPr>
          <w:sz w:val="22"/>
          <w:szCs w:val="22"/>
          <w:vertAlign w:val="subscript"/>
          <w:rtl w:val="0"/>
          <w:lang w:val="en-US"/>
        </w:rPr>
        <w:t>j</w:t>
      </w:r>
      <w:r>
        <w:rPr>
          <w:sz w:val="22"/>
          <w:szCs w:val="22"/>
          <w:rtl w:val="0"/>
          <w:lang w:val="en-US"/>
        </w:rPr>
        <w:t>.</w:t>
      </w:r>
    </w:p>
    <w:p>
      <w:pPr>
        <w:pStyle w:val="Normal.0"/>
        <w:spacing w:after="80" w:line="240" w:lineRule="atLeast"/>
      </w:pPr>
      <w:r>
        <w:rPr>
          <w:sz w:val="22"/>
          <w:szCs w:val="22"/>
          <w:rtl w:val="0"/>
          <w:lang w:val="en-US"/>
        </w:rPr>
        <w:t>Consequently, vanishing unnormalised matrix elements can reflect dilution of an impulse. Such vanishing does not by itself distinguish the inside from the outside of a continuum cone. The measure and the normalisation of the intervention must be fixed before a tail criterion is interpreted physically.</w:t>
      </w:r>
    </w:p>
    <w:p>
      <w:pPr>
        <w:pStyle w:val="Заголовок 3"/>
        <w:spacing w:line="240" w:lineRule="atLeast"/>
      </w:pPr>
      <w:r>
        <w:rPr>
          <w:rtl w:val="0"/>
          <w:lang w:val="en-US"/>
        </w:rPr>
        <w:t>3.4. An explicit bound outside every enlarged cone</w:t>
      </w:r>
    </w:p>
    <w:p>
      <w:pPr>
        <w:pStyle w:val="Normal.0"/>
        <w:keepNext w:val="1"/>
        <w:spacing w:after="80" w:line="240" w:lineRule="atLeast"/>
      </w:pPr>
      <w:r>
        <w:rPr>
          <w:sz w:val="22"/>
          <w:szCs w:val="22"/>
          <w:rtl w:val="0"/>
          <w:lang w:val="en-US"/>
        </w:rPr>
        <w:t xml:space="preserve">Restrict now to nearest-neighbour chains, </w:t>
      </w:r>
      <w:r>
        <w:rPr>
          <w:sz w:val="22"/>
          <w:szCs w:val="22"/>
          <w:rtl w:val="0"/>
          <w:lang w:val="en-US"/>
        </w:rPr>
        <w:t>κ</w:t>
      </w:r>
      <w:r>
        <w:rPr>
          <w:sz w:val="22"/>
          <w:szCs w:val="22"/>
          <w:vertAlign w:val="subscript"/>
          <w:rtl w:val="0"/>
          <w:lang w:val="en-US"/>
        </w:rPr>
        <w:t>1</w:t>
      </w:r>
      <w:r>
        <w:rPr>
          <w:sz w:val="22"/>
          <w:szCs w:val="22"/>
          <w:rtl w:val="0"/>
          <w:lang w:val="en-US"/>
        </w:rPr>
        <w:t xml:space="preserve"> = c</w:t>
      </w:r>
      <w:r>
        <w:rPr>
          <w:sz w:val="22"/>
          <w:szCs w:val="22"/>
          <w:vertAlign w:val="superscript"/>
          <w:rtl w:val="0"/>
          <w:lang w:val="en-US"/>
        </w:rPr>
        <w:t>2</w:t>
      </w:r>
      <w:r>
        <w:rPr>
          <w:sz w:val="22"/>
          <w:szCs w:val="22"/>
          <w:rtl w:val="0"/>
          <w:lang w:val="en-US"/>
        </w:rPr>
        <w:t>. Let d</w:t>
      </w:r>
      <w:r>
        <w:rPr>
          <w:sz w:val="22"/>
          <w:szCs w:val="22"/>
          <w:vertAlign w:val="subscript"/>
          <w:rtl w:val="0"/>
          <w:lang w:val="en-US"/>
        </w:rPr>
        <w:t>a</w:t>
      </w:r>
      <w:r>
        <w:rPr>
          <w:sz w:val="22"/>
          <w:szCs w:val="22"/>
          <w:rtl w:val="0"/>
          <w:lang w:val="en-US"/>
        </w:rPr>
        <w:t>(i,j) = a min(|i</w:t>
      </w:r>
      <w:r>
        <w:rPr>
          <w:sz w:val="22"/>
          <w:szCs w:val="22"/>
          <w:rtl w:val="0"/>
          <w:lang w:val="en-US"/>
        </w:rPr>
        <w:t>−</w:t>
      </w:r>
      <w:r>
        <w:rPr>
          <w:sz w:val="22"/>
          <w:szCs w:val="22"/>
          <w:rtl w:val="0"/>
          <w:lang w:val="en-US"/>
        </w:rPr>
        <w:t>j|,N</w:t>
      </w:r>
      <w:r>
        <w:rPr>
          <w:sz w:val="22"/>
          <w:szCs w:val="22"/>
          <w:rtl w:val="0"/>
          <w:lang w:val="en-US"/>
        </w:rPr>
        <w:t>−</w:t>
      </w:r>
      <w:r>
        <w:rPr>
          <w:sz w:val="22"/>
          <w:szCs w:val="22"/>
          <w:rtl w:val="0"/>
          <w:lang w:val="en-US"/>
        </w:rPr>
        <w:t>|i</w:t>
      </w:r>
      <w:r>
        <w:rPr>
          <w:sz w:val="22"/>
          <w:szCs w:val="22"/>
          <w:rtl w:val="0"/>
          <w:lang w:val="en-US"/>
        </w:rPr>
        <w:t>−</w:t>
      </w:r>
      <w:r>
        <w:rPr>
          <w:sz w:val="22"/>
          <w:szCs w:val="22"/>
          <w:rtl w:val="0"/>
          <w:lang w:val="en-US"/>
        </w:rPr>
        <w:t xml:space="preserve">j|) be the physical circle distance. For T &gt; 0 and </w:t>
      </w:r>
      <w:r>
        <w:rPr>
          <w:sz w:val="22"/>
          <w:szCs w:val="22"/>
          <w:rtl w:val="0"/>
          <w:lang w:val="en-US"/>
        </w:rPr>
        <w:t xml:space="preserve">δ </w:t>
      </w:r>
      <w:r>
        <w:rPr>
          <w:sz w:val="22"/>
          <w:szCs w:val="22"/>
          <w:rtl w:val="0"/>
          <w:lang w:val="en-US"/>
        </w:rPr>
        <w:t>&gt; 0 define</w:t>
      </w:r>
    </w:p>
    <w:p>
      <w:pPr>
        <w:pStyle w:val="Equation"/>
        <w:spacing w:after="80" w:line="240" w:lineRule="atLeast"/>
      </w:pPr>
      <w:r>
        <w:rPr>
          <w:rFonts w:ascii="Times New Roman" w:hAnsi="Times New Roman" w:hint="default"/>
          <w:sz w:val="22"/>
          <w:szCs w:val="22"/>
          <w:rtl w:val="0"/>
          <w:lang w:val="en-US"/>
        </w:rPr>
        <w:t xml:space="preserve">θ </w:t>
      </w:r>
      <w:r>
        <w:rPr>
          <w:rFonts w:ascii="Times New Roman" w:hAnsi="Times New Roman"/>
          <w:sz w:val="22"/>
          <w:szCs w:val="22"/>
          <w:rtl w:val="0"/>
          <w:lang w:val="en-US"/>
        </w:rPr>
        <w:t xml:space="preserve">= arcosh(1 + </w:t>
      </w:r>
      <w:r>
        <w:rPr>
          <w:rFonts w:ascii="Times New Roman" w:hAnsi="Times New Roman" w:hint="default"/>
          <w:sz w:val="22"/>
          <w:szCs w:val="22"/>
          <w:rtl w:val="0"/>
          <w:lang w:val="en-US"/>
        </w:rPr>
        <w:t>δ</w:t>
      </w:r>
      <w:r>
        <w:rPr>
          <w:rFonts w:ascii="Times New Roman" w:hAnsi="Times New Roman"/>
          <w:sz w:val="22"/>
          <w:szCs w:val="22"/>
          <w:rtl w:val="0"/>
          <w:lang w:val="en-US"/>
        </w:rPr>
        <w:t>/(cT)),</w:t>
        <w:tab/>
        <w:t>(14)</w:t>
      </w:r>
    </w:p>
    <w:p>
      <w:pPr>
        <w:pStyle w:val="Equation"/>
        <w:spacing w:after="80" w:line="240" w:lineRule="atLeast"/>
      </w:pPr>
      <w:r>
        <w:rPr>
          <w:rFonts w:ascii="Times New Roman" w:hAnsi="Times New Roman"/>
          <w:sz w:val="22"/>
          <w:szCs w:val="22"/>
          <w:rtl w:val="0"/>
          <w:lang w:val="en-US"/>
        </w:rPr>
        <w:t>b(T,</w:t>
      </w:r>
      <w:r>
        <w:rPr>
          <w:rFonts w:ascii="Times New Roman" w:hAnsi="Times New Roman" w:hint="default"/>
          <w:sz w:val="22"/>
          <w:szCs w:val="22"/>
          <w:rtl w:val="0"/>
          <w:lang w:val="en-US"/>
        </w:rPr>
        <w:t>δ</w:t>
      </w:r>
      <w:r>
        <w:rPr>
          <w:rFonts w:ascii="Times New Roman" w:hAnsi="Times New Roman"/>
          <w:sz w:val="22"/>
          <w:szCs w:val="22"/>
          <w:rtl w:val="0"/>
          <w:lang w:val="en-US"/>
        </w:rPr>
        <w:t>) = 2[</w:t>
      </w:r>
      <w:r>
        <w:rPr>
          <w:rFonts w:ascii="Times New Roman" w:hAnsi="Times New Roman" w:hint="default"/>
          <w:sz w:val="22"/>
          <w:szCs w:val="22"/>
          <w:rtl w:val="0"/>
          <w:lang w:val="en-US"/>
        </w:rPr>
        <w:t xml:space="preserve">δθ − </w:t>
      </w:r>
      <w:r>
        <w:rPr>
          <w:rFonts w:ascii="Times New Roman" w:hAnsi="Times New Roman"/>
          <w:sz w:val="22"/>
          <w:szCs w:val="22"/>
          <w:rtl w:val="0"/>
          <w:lang w:val="en-US"/>
        </w:rPr>
        <w:t xml:space="preserve">cT(sinh </w:t>
      </w:r>
      <w:r>
        <w:rPr>
          <w:rFonts w:ascii="Times New Roman" w:hAnsi="Times New Roman" w:hint="default"/>
          <w:sz w:val="22"/>
          <w:szCs w:val="22"/>
          <w:rtl w:val="0"/>
          <w:lang w:val="en-US"/>
        </w:rPr>
        <w:t>θ − θ</w:t>
      </w:r>
      <w:r>
        <w:rPr>
          <w:rFonts w:ascii="Times New Roman" w:hAnsi="Times New Roman"/>
          <w:sz w:val="22"/>
          <w:szCs w:val="22"/>
          <w:rtl w:val="0"/>
          <w:lang w:val="en-US"/>
        </w:rPr>
        <w:t>)] &gt; 0.</w:t>
        <w:tab/>
        <w:t>(15)</w:t>
      </w:r>
    </w:p>
    <w:p>
      <w:pPr>
        <w:pStyle w:val="Normal.0"/>
        <w:keepNext w:val="1"/>
        <w:spacing w:after="80" w:line="240" w:lineRule="atLeast"/>
      </w:pPr>
      <w:r>
        <w:rPr>
          <w:b w:val="1"/>
          <w:bCs w:val="1"/>
          <w:sz w:val="22"/>
          <w:szCs w:val="22"/>
          <w:rtl w:val="0"/>
          <w:lang w:val="en-US"/>
        </w:rPr>
        <w:t>Theorem 2.</w:t>
      </w:r>
      <w:r>
        <w:rPr>
          <w:sz w:val="22"/>
          <w:szCs w:val="22"/>
          <w:rtl w:val="0"/>
          <w:lang w:val="en-US"/>
        </w:rPr>
        <w:t xml:space="preserve"> The normalised finite-cycle Green kernel satisfies</w:t>
      </w:r>
    </w:p>
    <w:p>
      <w:pPr>
        <w:pStyle w:val="Equation"/>
        <w:spacing w:after="80" w:line="240" w:lineRule="atLeast"/>
      </w:pPr>
      <w:r>
        <w:rPr>
          <w:rFonts w:ascii="Times New Roman" w:hAnsi="Times New Roman" w:hint="default"/>
          <w:sz w:val="22"/>
          <w:szCs w:val="22"/>
          <w:rtl w:val="0"/>
          <w:lang w:val="en-US"/>
        </w:rPr>
        <w:t>ε</w:t>
      </w:r>
      <w:r>
        <w:rPr>
          <w:rFonts w:ascii="Times New Roman" w:hAnsi="Times New Roman"/>
          <w:sz w:val="22"/>
          <w:szCs w:val="22"/>
          <w:vertAlign w:val="subscript"/>
          <w:rtl w:val="0"/>
          <w:lang w:val="en-US"/>
        </w:rPr>
        <w:t>a</w:t>
      </w:r>
      <w:r>
        <w:rPr>
          <w:rFonts w:ascii="Times New Roman" w:hAnsi="Times New Roman"/>
          <w:sz w:val="22"/>
          <w:szCs w:val="22"/>
          <w:rtl w:val="0"/>
          <w:lang w:val="en-US"/>
        </w:rPr>
        <w:t>(T,</w:t>
      </w:r>
      <w:r>
        <w:rPr>
          <w:rFonts w:ascii="Times New Roman" w:hAnsi="Times New Roman" w:hint="default"/>
          <w:sz w:val="22"/>
          <w:szCs w:val="22"/>
          <w:rtl w:val="0"/>
          <w:lang w:val="en-US"/>
        </w:rPr>
        <w:t>δ</w:t>
      </w:r>
      <w:r>
        <w:rPr>
          <w:rFonts w:ascii="Times New Roman" w:hAnsi="Times New Roman"/>
          <w:sz w:val="22"/>
          <w:szCs w:val="22"/>
          <w:rtl w:val="0"/>
          <w:lang w:val="en-US"/>
        </w:rPr>
        <w:t xml:space="preserve">) = sup(0 </w:t>
      </w:r>
      <w:r>
        <w:rPr>
          <w:rFonts w:ascii="Times New Roman" w:hAnsi="Times New Roman" w:hint="default"/>
          <w:sz w:val="22"/>
          <w:szCs w:val="22"/>
          <w:rtl w:val="0"/>
          <w:lang w:val="en-US"/>
        </w:rPr>
        <w:t xml:space="preserve">≤ </w:t>
      </w:r>
      <w:r>
        <w:rPr>
          <w:rFonts w:ascii="Times New Roman" w:hAnsi="Times New Roman"/>
          <w:sz w:val="22"/>
          <w:szCs w:val="22"/>
          <w:rtl w:val="0"/>
          <w:lang w:val="en-US"/>
        </w:rPr>
        <w:t xml:space="preserve">t </w:t>
      </w:r>
      <w:r>
        <w:rPr>
          <w:rFonts w:ascii="Times New Roman" w:hAnsi="Times New Roman" w:hint="default"/>
          <w:sz w:val="22"/>
          <w:szCs w:val="22"/>
          <w:rtl w:val="0"/>
          <w:lang w:val="en-US"/>
        </w:rPr>
        <w:t xml:space="preserve">≤ </w:t>
      </w:r>
      <w:r>
        <w:rPr>
          <w:rFonts w:ascii="Times New Roman" w:hAnsi="Times New Roman"/>
          <w:sz w:val="22"/>
          <w:szCs w:val="22"/>
          <w:rtl w:val="0"/>
          <w:lang w:val="en-US"/>
        </w:rPr>
        <w:t>T)</w:t>
      </w:r>
      <w:r>
        <w:rPr>
          <w:rFonts w:ascii="Times New Roman" w:cs="Times New Roman" w:hAnsi="Times New Roman" w:eastAsia="Times New Roman"/>
          <w:sz w:val="22"/>
          <w:szCs w:val="22"/>
          <w:rtl w:val="0"/>
        </w:rPr>
        <w:br w:type="textWrapping"/>
        <w:t xml:space="preserve">      </w:t>
      </w:r>
      <w:r>
        <w:rPr>
          <w:rFonts w:ascii="Times New Roman" w:hAnsi="Times New Roman"/>
          <w:sz w:val="22"/>
          <w:szCs w:val="22"/>
          <w:rtl w:val="0"/>
          <w:lang w:val="en-US"/>
        </w:rPr>
        <w:t>sup(d</w:t>
      </w:r>
      <w:r>
        <w:rPr>
          <w:rFonts w:ascii="Times New Roman" w:hAnsi="Times New Roman"/>
          <w:sz w:val="22"/>
          <w:szCs w:val="22"/>
          <w:vertAlign w:val="subscript"/>
          <w:rtl w:val="0"/>
          <w:lang w:val="en-US"/>
        </w:rPr>
        <w:t>a</w:t>
      </w:r>
      <w:r>
        <w:rPr>
          <w:rFonts w:ascii="Times New Roman" w:hAnsi="Times New Roman"/>
          <w:sz w:val="22"/>
          <w:szCs w:val="22"/>
          <w:rtl w:val="0"/>
          <w:lang w:val="en-US"/>
        </w:rPr>
        <w:t xml:space="preserve">(i,j) &gt; ct + </w:t>
      </w:r>
      <w:r>
        <w:rPr>
          <w:rFonts w:ascii="Times New Roman" w:hAnsi="Times New Roman" w:hint="default"/>
          <w:sz w:val="22"/>
          <w:szCs w:val="22"/>
          <w:rtl w:val="0"/>
          <w:lang w:val="en-US"/>
        </w:rPr>
        <w:t>δ</w:t>
      </w:r>
      <w:r>
        <w:rPr>
          <w:rFonts w:ascii="Times New Roman" w:hAnsi="Times New Roman"/>
          <w:sz w:val="22"/>
          <w:szCs w:val="22"/>
          <w:rtl w:val="0"/>
          <w:lang w:val="en-US"/>
        </w:rPr>
        <w:t>) |G</w:t>
      </w:r>
      <w:r>
        <w:rPr>
          <w:rFonts w:ascii="Times New Roman" w:hAnsi="Times New Roman"/>
          <w:sz w:val="22"/>
          <w:szCs w:val="22"/>
          <w:vertAlign w:val="superscript"/>
          <w:rtl w:val="0"/>
          <w:lang w:val="en-US"/>
        </w:rPr>
        <w:t>a</w:t>
      </w:r>
      <w:r>
        <w:rPr>
          <w:rFonts w:ascii="Times New Roman" w:hAnsi="Times New Roman"/>
          <w:sz w:val="22"/>
          <w:szCs w:val="22"/>
          <w:vertAlign w:val="subscript"/>
          <w:rtl w:val="0"/>
          <w:lang w:val="en-US"/>
        </w:rPr>
        <w:t>ij</w:t>
      </w:r>
      <w:r>
        <w:rPr>
          <w:rFonts w:ascii="Times New Roman" w:hAnsi="Times New Roman"/>
          <w:sz w:val="22"/>
          <w:szCs w:val="22"/>
          <w:rtl w:val="0"/>
          <w:lang w:val="en-US"/>
        </w:rPr>
        <w:t>(t)|,</w:t>
        <w:tab/>
        <w:t>(16)</w:t>
      </w:r>
    </w:p>
    <w:p>
      <w:pPr>
        <w:pStyle w:val="Equation"/>
        <w:spacing w:after="80" w:line="240" w:lineRule="atLeast"/>
      </w:pPr>
      <w:r>
        <w:rPr>
          <w:rFonts w:ascii="Times New Roman" w:hAnsi="Times New Roman" w:hint="default"/>
          <w:sz w:val="22"/>
          <w:szCs w:val="22"/>
          <w:rtl w:val="0"/>
          <w:lang w:val="en-US"/>
        </w:rPr>
        <w:t>ε</w:t>
      </w:r>
      <w:r>
        <w:rPr>
          <w:rFonts w:ascii="Times New Roman" w:hAnsi="Times New Roman"/>
          <w:sz w:val="22"/>
          <w:szCs w:val="22"/>
          <w:vertAlign w:val="subscript"/>
          <w:rtl w:val="0"/>
          <w:lang w:val="en-US"/>
        </w:rPr>
        <w:t>a</w:t>
      </w:r>
      <w:r>
        <w:rPr>
          <w:rFonts w:ascii="Times New Roman" w:hAnsi="Times New Roman"/>
          <w:sz w:val="22"/>
          <w:szCs w:val="22"/>
          <w:rtl w:val="0"/>
          <w:lang w:val="en-US"/>
        </w:rPr>
        <w:t>(T,</w:t>
      </w:r>
      <w:r>
        <w:rPr>
          <w:rFonts w:ascii="Times New Roman" w:hAnsi="Times New Roman" w:hint="default"/>
          <w:sz w:val="22"/>
          <w:szCs w:val="22"/>
          <w:rtl w:val="0"/>
          <w:lang w:val="en-US"/>
        </w:rPr>
        <w:t>δ</w:t>
      </w:r>
      <w:r>
        <w:rPr>
          <w:rFonts w:ascii="Times New Roman" w:hAnsi="Times New Roman"/>
          <w:sz w:val="22"/>
          <w:szCs w:val="22"/>
          <w:rtl w:val="0"/>
          <w:lang w:val="en-US"/>
        </w:rPr>
        <w:t xml:space="preserve">) </w:t>
      </w:r>
      <w:r>
        <w:rPr>
          <w:rFonts w:ascii="Times New Roman" w:hAnsi="Times New Roman" w:hint="default"/>
          <w:sz w:val="22"/>
          <w:szCs w:val="22"/>
          <w:rtl w:val="0"/>
          <w:lang w:val="en-US"/>
        </w:rPr>
        <w:t xml:space="preserve">≤ </w:t>
      </w:r>
      <w:r>
        <w:rPr>
          <w:rFonts w:ascii="Times New Roman" w:hAnsi="Times New Roman"/>
          <w:sz w:val="22"/>
          <w:szCs w:val="22"/>
          <w:rtl w:val="0"/>
          <w:lang w:val="en-US"/>
        </w:rPr>
        <w:t xml:space="preserve">[2T/{a(1 </w:t>
      </w:r>
      <w:r>
        <w:rPr>
          <w:rFonts w:ascii="Times New Roman" w:hAnsi="Times New Roman" w:hint="default"/>
          <w:sz w:val="22"/>
          <w:szCs w:val="22"/>
          <w:rtl w:val="0"/>
          <w:lang w:val="en-US"/>
        </w:rPr>
        <w:t xml:space="preserve">− </w:t>
      </w:r>
      <w:r>
        <w:rPr>
          <w:rFonts w:ascii="Times New Roman" w:hAnsi="Times New Roman"/>
          <w:sz w:val="22"/>
          <w:szCs w:val="22"/>
          <w:rtl w:val="0"/>
          <w:lang w:val="en-US"/>
        </w:rPr>
        <w:t>exp(</w:t>
      </w:r>
      <w:r>
        <w:rPr>
          <w:rFonts w:ascii="Times New Roman" w:hAnsi="Times New Roman" w:hint="default"/>
          <w:sz w:val="22"/>
          <w:szCs w:val="22"/>
          <w:rtl w:val="0"/>
          <w:lang w:val="en-US"/>
        </w:rPr>
        <w:t>−</w:t>
      </w:r>
      <w:r>
        <w:rPr>
          <w:rFonts w:ascii="Times New Roman" w:hAnsi="Times New Roman"/>
          <w:sz w:val="22"/>
          <w:szCs w:val="22"/>
          <w:rtl w:val="0"/>
          <w:lang w:val="en-US"/>
        </w:rPr>
        <w:t>2</w:t>
      </w:r>
      <w:r>
        <w:rPr>
          <w:rFonts w:ascii="Times New Roman" w:hAnsi="Times New Roman" w:hint="default"/>
          <w:sz w:val="22"/>
          <w:szCs w:val="22"/>
          <w:rtl w:val="0"/>
          <w:lang w:val="en-US"/>
        </w:rPr>
        <w:t>θℓ</w:t>
      </w:r>
      <w:r>
        <w:rPr>
          <w:rFonts w:ascii="Times New Roman" w:hAnsi="Times New Roman"/>
          <w:sz w:val="22"/>
          <w:szCs w:val="22"/>
          <w:rtl w:val="0"/>
          <w:lang w:val="en-US"/>
        </w:rPr>
        <w:t>/a))}] exp(</w:t>
      </w:r>
      <w:r>
        <w:rPr>
          <w:rFonts w:ascii="Times New Roman" w:hAnsi="Times New Roman" w:hint="default"/>
          <w:sz w:val="22"/>
          <w:szCs w:val="22"/>
          <w:rtl w:val="0"/>
          <w:lang w:val="en-US"/>
        </w:rPr>
        <w:t>−</w:t>
      </w:r>
      <w:r>
        <w:rPr>
          <w:rFonts w:ascii="Times New Roman" w:hAnsi="Times New Roman"/>
          <w:sz w:val="22"/>
          <w:szCs w:val="22"/>
          <w:rtl w:val="0"/>
          <w:lang w:val="en-US"/>
        </w:rPr>
        <w:t>b(T,</w:t>
      </w:r>
      <w:r>
        <w:rPr>
          <w:rFonts w:ascii="Times New Roman" w:hAnsi="Times New Roman" w:hint="default"/>
          <w:sz w:val="22"/>
          <w:szCs w:val="22"/>
          <w:rtl w:val="0"/>
          <w:lang w:val="en-US"/>
        </w:rPr>
        <w:t>δ</w:t>
      </w:r>
      <w:r>
        <w:rPr>
          <w:rFonts w:ascii="Times New Roman" w:hAnsi="Times New Roman"/>
          <w:sz w:val="22"/>
          <w:szCs w:val="22"/>
          <w:rtl w:val="0"/>
          <w:lang w:val="en-US"/>
        </w:rPr>
        <w:t xml:space="preserve">)/a) </w:t>
      </w:r>
      <w:r>
        <w:rPr>
          <w:rFonts w:ascii="Times New Roman" w:hAnsi="Times New Roman" w:hint="default"/>
          <w:sz w:val="22"/>
          <w:szCs w:val="22"/>
          <w:rtl w:val="0"/>
          <w:lang w:val="en-US"/>
        </w:rPr>
        <w:t xml:space="preserve">→ </w:t>
      </w:r>
      <w:r>
        <w:rPr>
          <w:rFonts w:ascii="Times New Roman" w:hAnsi="Times New Roman"/>
          <w:sz w:val="22"/>
          <w:szCs w:val="22"/>
          <w:rtl w:val="0"/>
          <w:lang w:val="en-US"/>
        </w:rPr>
        <w:t>0.</w:t>
        <w:tab/>
        <w:t>(17)</w:t>
      </w:r>
    </w:p>
    <w:p>
      <w:pPr>
        <w:pStyle w:val="Normal.0"/>
        <w:spacing w:after="80" w:line="240" w:lineRule="atLeast"/>
      </w:pPr>
      <w:r>
        <w:rPr>
          <w:sz w:val="22"/>
          <w:szCs w:val="22"/>
          <w:rtl w:val="0"/>
          <w:lang w:val="en-US"/>
        </w:rPr>
        <w:t xml:space="preserve">An empty spatial supremum is taken to be zero. No claim of uniform convergence on the cone boundary </w:t>
      </w:r>
      <w:r>
        <w:rPr>
          <w:sz w:val="22"/>
          <w:szCs w:val="22"/>
          <w:rtl w:val="0"/>
          <w:lang w:val="en-US"/>
        </w:rPr>
        <w:t xml:space="preserve">δ </w:t>
      </w:r>
      <w:r>
        <w:rPr>
          <w:sz w:val="22"/>
          <w:szCs w:val="22"/>
          <w:rtl w:val="0"/>
          <w:lang w:val="en-US"/>
        </w:rPr>
        <w:t>= 0 is made.</w:t>
      </w:r>
    </w:p>
    <w:p>
      <w:pPr>
        <w:pStyle w:val="Normal.0"/>
        <w:spacing w:after="80" w:line="240" w:lineRule="atLeast"/>
      </w:pPr>
      <w:r>
        <w:rPr>
          <w:b w:val="1"/>
          <w:bCs w:val="1"/>
          <w:sz w:val="22"/>
          <w:szCs w:val="22"/>
          <w:rtl w:val="0"/>
          <w:lang w:val="en-US"/>
        </w:rPr>
        <w:t>Proof.</w:t>
      </w:r>
      <w:r>
        <w:rPr>
          <w:sz w:val="22"/>
          <w:szCs w:val="22"/>
          <w:rtl w:val="0"/>
          <w:lang w:val="en-US"/>
        </w:rPr>
        <w:t xml:space="preserve"> On the infinite chain, the cosine propagator has Fourier coefficients of the entire periodic function cos[(2ct/a)sin(z/2)]. Shift its Fourier contour by imaginary height 2</w:t>
      </w:r>
      <w:r>
        <w:rPr>
          <w:sz w:val="22"/>
          <w:szCs w:val="22"/>
          <w:rtl w:val="0"/>
          <w:lang w:val="en-US"/>
        </w:rPr>
        <w:t xml:space="preserve">θ </w:t>
      </w:r>
      <w:r>
        <w:rPr>
          <w:sz w:val="22"/>
          <w:szCs w:val="22"/>
          <w:rtl w:val="0"/>
          <w:lang w:val="en-US"/>
        </w:rPr>
        <w:t>with the sign appropriate to the site separation n. The coefficient has absolute value at most exp(</w:t>
      </w:r>
      <w:r>
        <w:rPr>
          <w:sz w:val="22"/>
          <w:szCs w:val="22"/>
          <w:rtl w:val="0"/>
          <w:lang w:val="en-US"/>
        </w:rPr>
        <w:t>−</w:t>
      </w:r>
      <w:r>
        <w:rPr>
          <w:sz w:val="22"/>
          <w:szCs w:val="22"/>
          <w:rtl w:val="0"/>
          <w:lang w:val="en-US"/>
        </w:rPr>
        <w:t>2|n|</w:t>
      </w:r>
      <w:r>
        <w:rPr>
          <w:sz w:val="22"/>
          <w:szCs w:val="22"/>
          <w:rtl w:val="0"/>
          <w:lang w:val="en-US"/>
        </w:rPr>
        <w:t xml:space="preserve">θ </w:t>
      </w:r>
      <w:r>
        <w:rPr>
          <w:sz w:val="22"/>
          <w:szCs w:val="22"/>
          <w:rtl w:val="0"/>
          <w:lang w:val="en-US"/>
        </w:rPr>
        <w:t xml:space="preserve">+ 2ct sinh </w:t>
      </w:r>
      <w:r>
        <w:rPr>
          <w:sz w:val="22"/>
          <w:szCs w:val="22"/>
          <w:rtl w:val="0"/>
          <w:lang w:val="en-US"/>
        </w:rPr>
        <w:t>θ</w:t>
      </w:r>
      <w:r>
        <w:rPr>
          <w:sz w:val="22"/>
          <w:szCs w:val="22"/>
          <w:rtl w:val="0"/>
          <w:lang w:val="en-US"/>
        </w:rPr>
        <w:t>/a). Integrating the cosine propagator from 0 to t bounds the velocity response by t times this expression.</w:t>
      </w:r>
    </w:p>
    <w:p>
      <w:pPr>
        <w:pStyle w:val="Normal.0"/>
        <w:keepNext w:val="1"/>
        <w:spacing w:after="80" w:line="240" w:lineRule="atLeast"/>
      </w:pPr>
      <w:r>
        <w:rPr>
          <w:sz w:val="22"/>
          <w:szCs w:val="22"/>
          <w:rtl w:val="0"/>
          <w:lang w:val="en-US"/>
        </w:rPr>
        <w:t>Periodising over n + mN and summing the resulting geometric series gives</w:t>
      </w:r>
    </w:p>
    <w:p>
      <w:pPr>
        <w:pStyle w:val="Equation"/>
        <w:spacing w:after="80" w:line="240" w:lineRule="atLeast"/>
      </w:pPr>
      <w:r>
        <w:rPr>
          <w:rFonts w:ascii="Times New Roman" w:hAnsi="Times New Roman"/>
          <w:sz w:val="22"/>
          <w:szCs w:val="22"/>
          <w:rtl w:val="0"/>
          <w:lang w:val="en-US"/>
        </w:rPr>
        <w:t>C</w:t>
      </w:r>
      <w:r>
        <w:rPr>
          <w:rFonts w:ascii="Times New Roman" w:hAnsi="Times New Roman"/>
          <w:sz w:val="22"/>
          <w:szCs w:val="22"/>
          <w:vertAlign w:val="subscript"/>
          <w:rtl w:val="0"/>
          <w:lang w:val="en-US"/>
        </w:rPr>
        <w:t>a</w:t>
      </w:r>
      <w:r>
        <w:rPr>
          <w:rFonts w:ascii="Times New Roman" w:hAnsi="Times New Roman"/>
          <w:sz w:val="22"/>
          <w:szCs w:val="22"/>
          <w:rtl w:val="0"/>
          <w:lang w:val="en-US"/>
        </w:rPr>
        <w:t>(t,</w:t>
      </w:r>
      <w:r>
        <w:rPr>
          <w:rFonts w:ascii="Times New Roman" w:hAnsi="Times New Roman" w:hint="default"/>
          <w:sz w:val="22"/>
          <w:szCs w:val="22"/>
          <w:rtl w:val="0"/>
          <w:lang w:val="en-US"/>
        </w:rPr>
        <w:t>θ</w:t>
      </w:r>
      <w:r>
        <w:rPr>
          <w:rFonts w:ascii="Times New Roman" w:hAnsi="Times New Roman"/>
          <w:sz w:val="22"/>
          <w:szCs w:val="22"/>
          <w:rtl w:val="0"/>
          <w:lang w:val="en-US"/>
        </w:rPr>
        <w:t xml:space="preserve">) = 2t/{a(1 </w:t>
      </w:r>
      <w:r>
        <w:rPr>
          <w:rFonts w:ascii="Times New Roman" w:hAnsi="Times New Roman" w:hint="default"/>
          <w:sz w:val="22"/>
          <w:szCs w:val="22"/>
          <w:rtl w:val="0"/>
          <w:lang w:val="en-US"/>
        </w:rPr>
        <w:t xml:space="preserve">− </w:t>
      </w:r>
      <w:r>
        <w:rPr>
          <w:rFonts w:ascii="Times New Roman" w:hAnsi="Times New Roman"/>
          <w:sz w:val="22"/>
          <w:szCs w:val="22"/>
          <w:rtl w:val="0"/>
          <w:lang w:val="en-US"/>
        </w:rPr>
        <w:t>exp(</w:t>
      </w:r>
      <w:r>
        <w:rPr>
          <w:rFonts w:ascii="Times New Roman" w:hAnsi="Times New Roman" w:hint="default"/>
          <w:sz w:val="22"/>
          <w:szCs w:val="22"/>
          <w:rtl w:val="0"/>
          <w:lang w:val="en-US"/>
        </w:rPr>
        <w:t>−</w:t>
      </w:r>
      <w:r>
        <w:rPr>
          <w:rFonts w:ascii="Times New Roman" w:hAnsi="Times New Roman"/>
          <w:sz w:val="22"/>
          <w:szCs w:val="22"/>
          <w:rtl w:val="0"/>
          <w:lang w:val="en-US"/>
        </w:rPr>
        <w:t>2</w:t>
      </w:r>
      <w:r>
        <w:rPr>
          <w:rFonts w:ascii="Times New Roman" w:hAnsi="Times New Roman" w:hint="default"/>
          <w:sz w:val="22"/>
          <w:szCs w:val="22"/>
          <w:rtl w:val="0"/>
          <w:lang w:val="en-US"/>
        </w:rPr>
        <w:t>θ</w:t>
      </w:r>
      <w:r>
        <w:rPr>
          <w:rFonts w:ascii="Times New Roman" w:hAnsi="Times New Roman"/>
          <w:sz w:val="22"/>
          <w:szCs w:val="22"/>
          <w:rtl w:val="0"/>
          <w:lang w:val="en-US"/>
        </w:rPr>
        <w:t>N))},</w:t>
        <w:tab/>
        <w:t>(18)</w:t>
      </w:r>
    </w:p>
    <w:p>
      <w:pPr>
        <w:pStyle w:val="Equation"/>
        <w:spacing w:after="80" w:line="240" w:lineRule="atLeast"/>
      </w:pPr>
      <w:r>
        <w:rPr>
          <w:rFonts w:ascii="Times New Roman" w:hAnsi="Times New Roman"/>
          <w:sz w:val="22"/>
          <w:szCs w:val="22"/>
          <w:rtl w:val="0"/>
          <w:lang w:val="en-US"/>
        </w:rPr>
        <w:t>|G</w:t>
      </w:r>
      <w:r>
        <w:rPr>
          <w:rFonts w:ascii="Times New Roman" w:hAnsi="Times New Roman"/>
          <w:sz w:val="22"/>
          <w:szCs w:val="22"/>
          <w:vertAlign w:val="superscript"/>
          <w:rtl w:val="0"/>
          <w:lang w:val="en-US"/>
        </w:rPr>
        <w:t>a</w:t>
      </w:r>
      <w:r>
        <w:rPr>
          <w:rFonts w:ascii="Times New Roman" w:hAnsi="Times New Roman"/>
          <w:sz w:val="22"/>
          <w:szCs w:val="22"/>
          <w:vertAlign w:val="subscript"/>
          <w:rtl w:val="0"/>
          <w:lang w:val="en-US"/>
        </w:rPr>
        <w:t>ij</w:t>
      </w:r>
      <w:r>
        <w:rPr>
          <w:rFonts w:ascii="Times New Roman" w:hAnsi="Times New Roman"/>
          <w:sz w:val="22"/>
          <w:szCs w:val="22"/>
          <w:rtl w:val="0"/>
          <w:lang w:val="en-US"/>
        </w:rPr>
        <w:t xml:space="preserve">(t)| </w:t>
      </w:r>
      <w:r>
        <w:rPr>
          <w:rFonts w:ascii="Times New Roman" w:hAnsi="Times New Roman" w:hint="default"/>
          <w:sz w:val="22"/>
          <w:szCs w:val="22"/>
          <w:rtl w:val="0"/>
          <w:lang w:val="en-US"/>
        </w:rPr>
        <w:t xml:space="preserve">≤ </w:t>
      </w:r>
      <w:r>
        <w:rPr>
          <w:rFonts w:ascii="Times New Roman" w:hAnsi="Times New Roman"/>
          <w:sz w:val="22"/>
          <w:szCs w:val="22"/>
          <w:rtl w:val="0"/>
          <w:lang w:val="en-US"/>
        </w:rPr>
        <w:t>C</w:t>
      </w:r>
      <w:r>
        <w:rPr>
          <w:rFonts w:ascii="Times New Roman" w:hAnsi="Times New Roman"/>
          <w:sz w:val="22"/>
          <w:szCs w:val="22"/>
          <w:vertAlign w:val="subscript"/>
          <w:rtl w:val="0"/>
          <w:lang w:val="en-US"/>
        </w:rPr>
        <w:t>a</w:t>
      </w:r>
      <w:r>
        <w:rPr>
          <w:rFonts w:ascii="Times New Roman" w:hAnsi="Times New Roman"/>
          <w:sz w:val="22"/>
          <w:szCs w:val="22"/>
          <w:rtl w:val="0"/>
          <w:lang w:val="en-US"/>
        </w:rPr>
        <w:t>(t,</w:t>
      </w:r>
      <w:r>
        <w:rPr>
          <w:rFonts w:ascii="Times New Roman" w:hAnsi="Times New Roman" w:hint="default"/>
          <w:sz w:val="22"/>
          <w:szCs w:val="22"/>
          <w:rtl w:val="0"/>
          <w:lang w:val="en-US"/>
        </w:rPr>
        <w:t>θ</w:t>
      </w:r>
      <w:r>
        <w:rPr>
          <w:rFonts w:ascii="Times New Roman" w:hAnsi="Times New Roman"/>
          <w:sz w:val="22"/>
          <w:szCs w:val="22"/>
          <w:rtl w:val="0"/>
          <w:lang w:val="en-US"/>
        </w:rPr>
        <w:t>) exp[</w:t>
      </w:r>
      <w:r>
        <w:rPr>
          <w:rFonts w:ascii="Times New Roman" w:hAnsi="Times New Roman" w:hint="default"/>
          <w:sz w:val="22"/>
          <w:szCs w:val="22"/>
          <w:rtl w:val="0"/>
          <w:lang w:val="en-US"/>
        </w:rPr>
        <w:t>−</w:t>
      </w:r>
      <w:r>
        <w:rPr>
          <w:rFonts w:ascii="Times New Roman" w:hAnsi="Times New Roman"/>
          <w:sz w:val="22"/>
          <w:szCs w:val="22"/>
          <w:rtl w:val="0"/>
          <w:lang w:val="en-US"/>
        </w:rPr>
        <w:t>2</w:t>
      </w:r>
      <w:r>
        <w:rPr>
          <w:rFonts w:ascii="Times New Roman" w:hAnsi="Times New Roman" w:hint="default"/>
          <w:sz w:val="22"/>
          <w:szCs w:val="22"/>
          <w:rtl w:val="0"/>
          <w:lang w:val="en-US"/>
        </w:rPr>
        <w:t>θ</w:t>
      </w:r>
      <w:r>
        <w:rPr>
          <w:rFonts w:ascii="Times New Roman" w:hAnsi="Times New Roman"/>
          <w:sz w:val="22"/>
          <w:szCs w:val="22"/>
          <w:rtl w:val="0"/>
          <w:lang w:val="en-US"/>
        </w:rPr>
        <w:t>d</w:t>
      </w:r>
      <w:r>
        <w:rPr>
          <w:rFonts w:ascii="Times New Roman" w:hAnsi="Times New Roman"/>
          <w:sz w:val="22"/>
          <w:szCs w:val="22"/>
          <w:vertAlign w:val="subscript"/>
          <w:rtl w:val="0"/>
          <w:lang w:val="en-US"/>
        </w:rPr>
        <w:t>a</w:t>
      </w:r>
      <w:r>
        <w:rPr>
          <w:rFonts w:ascii="Times New Roman" w:hAnsi="Times New Roman"/>
          <w:sz w:val="22"/>
          <w:szCs w:val="22"/>
          <w:rtl w:val="0"/>
          <w:lang w:val="en-US"/>
        </w:rPr>
        <w:t xml:space="preserve">(i,j)/a + 2ct sinh </w:t>
      </w:r>
      <w:r>
        <w:rPr>
          <w:rFonts w:ascii="Times New Roman" w:hAnsi="Times New Roman" w:hint="default"/>
          <w:sz w:val="22"/>
          <w:szCs w:val="22"/>
          <w:rtl w:val="0"/>
          <w:lang w:val="en-US"/>
        </w:rPr>
        <w:t>θ</w:t>
      </w:r>
      <w:r>
        <w:rPr>
          <w:rFonts w:ascii="Times New Roman" w:hAnsi="Times New Roman"/>
          <w:sz w:val="22"/>
          <w:szCs w:val="22"/>
          <w:rtl w:val="0"/>
          <w:lang w:val="en-US"/>
        </w:rPr>
        <w:t>/a].</w:t>
        <w:tab/>
        <w:t>(19)</w:t>
      </w:r>
    </w:p>
    <w:p>
      <w:pPr>
        <w:pStyle w:val="Normal.0"/>
        <w:spacing w:after="80" w:line="240" w:lineRule="atLeast"/>
      </w:pPr>
      <w:r>
        <w:rPr>
          <w:sz w:val="22"/>
          <w:szCs w:val="22"/>
          <w:rtl w:val="0"/>
          <w:lang w:val="en-US"/>
        </w:rPr>
        <w:t>If d</w:t>
      </w:r>
      <w:r>
        <w:rPr>
          <w:sz w:val="22"/>
          <w:szCs w:val="22"/>
          <w:vertAlign w:val="subscript"/>
          <w:rtl w:val="0"/>
          <w:lang w:val="en-US"/>
        </w:rPr>
        <w:t>a</w:t>
      </w:r>
      <w:r>
        <w:rPr>
          <w:sz w:val="22"/>
          <w:szCs w:val="22"/>
          <w:rtl w:val="0"/>
          <w:lang w:val="en-US"/>
        </w:rPr>
        <w:t xml:space="preserve"> &gt; ct + </w:t>
      </w:r>
      <w:r>
        <w:rPr>
          <w:sz w:val="22"/>
          <w:szCs w:val="22"/>
          <w:rtl w:val="0"/>
          <w:lang w:val="en-US"/>
        </w:rPr>
        <w:t>δ</w:t>
      </w:r>
      <w:r>
        <w:rPr>
          <w:sz w:val="22"/>
          <w:szCs w:val="22"/>
          <w:rtl w:val="0"/>
          <w:lang w:val="en-US"/>
        </w:rPr>
        <w:t xml:space="preserve">, replace t by T in the positive term c t(sinh </w:t>
      </w:r>
      <w:r>
        <w:rPr>
          <w:sz w:val="22"/>
          <w:szCs w:val="22"/>
          <w:rtl w:val="0"/>
          <w:lang w:val="en-US"/>
        </w:rPr>
        <w:t>θ − θ</w:t>
      </w:r>
      <w:r>
        <w:rPr>
          <w:sz w:val="22"/>
          <w:szCs w:val="22"/>
          <w:rtl w:val="0"/>
          <w:lang w:val="en-US"/>
        </w:rPr>
        <w:t xml:space="preserve">). The choice (14) maximises </w:t>
      </w:r>
      <w:r>
        <w:rPr>
          <w:sz w:val="22"/>
          <w:szCs w:val="22"/>
          <w:rtl w:val="0"/>
          <w:lang w:val="en-US"/>
        </w:rPr>
        <w:t xml:space="preserve">δθ − </w:t>
      </w:r>
      <w:r>
        <w:rPr>
          <w:sz w:val="22"/>
          <w:szCs w:val="22"/>
          <w:rtl w:val="0"/>
          <w:lang w:val="en-US"/>
        </w:rPr>
        <w:t xml:space="preserve">cT(sinh </w:t>
      </w:r>
      <w:r>
        <w:rPr>
          <w:sz w:val="22"/>
          <w:szCs w:val="22"/>
          <w:rtl w:val="0"/>
          <w:lang w:val="en-US"/>
        </w:rPr>
        <w:t>θ − θ</w:t>
      </w:r>
      <w:r>
        <w:rPr>
          <w:sz w:val="22"/>
          <w:szCs w:val="22"/>
          <w:rtl w:val="0"/>
          <w:lang w:val="en-US"/>
        </w:rPr>
        <w:t xml:space="preserve">), yielding (17). This maximum is positive because its value is zero at </w:t>
      </w:r>
      <w:r>
        <w:rPr>
          <w:sz w:val="22"/>
          <w:szCs w:val="22"/>
          <w:rtl w:val="0"/>
          <w:lang w:val="en-US"/>
        </w:rPr>
        <w:t xml:space="preserve">θ </w:t>
      </w:r>
      <w:r>
        <w:rPr>
          <w:sz w:val="22"/>
          <w:szCs w:val="22"/>
          <w:rtl w:val="0"/>
          <w:lang w:val="en-US"/>
        </w:rPr>
        <w:t xml:space="preserve">= 0 and its derivative there is </w:t>
      </w:r>
      <w:r>
        <w:rPr>
          <w:sz w:val="22"/>
          <w:szCs w:val="22"/>
          <w:rtl w:val="0"/>
          <w:lang w:val="en-US"/>
        </w:rPr>
        <w:t xml:space="preserve">δ </w:t>
      </w:r>
      <w:r>
        <w:rPr>
          <w:sz w:val="22"/>
          <w:szCs w:val="22"/>
          <w:rtl w:val="0"/>
          <w:lang w:val="en-US"/>
        </w:rPr>
        <w:t xml:space="preserve">&gt; 0. </w:t>
      </w:r>
      <w:r>
        <w:rPr>
          <w:sz w:val="22"/>
          <w:szCs w:val="22"/>
          <w:rtl w:val="0"/>
          <w:lang w:val="en-US"/>
        </w:rPr>
        <w:t>□</w:t>
      </w:r>
    </w:p>
    <w:p>
      <w:pPr>
        <w:pStyle w:val="Normal.0"/>
        <w:spacing w:after="80" w:line="240" w:lineRule="atLeast"/>
      </w:pPr>
      <w:r>
        <w:rPr>
          <w:sz w:val="22"/>
          <w:szCs w:val="22"/>
          <w:rtl w:val="0"/>
          <w:lang w:val="en-US"/>
        </w:rPr>
        <w:t>Every fixed connected chain still has a nonzero analytic response at sufficiently small positive time between any pair of sites. The theorem establishes uniform disappearance of the physically normalised tails in a singular refinement limit. It does not assign an exact finite-speed cone to any finite N.</w:t>
      </w:r>
    </w:p>
    <w:p>
      <w:pPr>
        <w:pStyle w:val="Normal.0"/>
        <w:keepNext w:val="1"/>
        <w:spacing w:after="80" w:line="240" w:lineRule="atLeast"/>
      </w:pPr>
      <w:r>
        <w:rPr>
          <w:sz w:val="22"/>
          <w:szCs w:val="22"/>
          <w:rtl w:val="0"/>
          <w:lang w:val="en-US"/>
        </w:rPr>
        <w:t>The limiting response has the periodic d</w:t>
      </w:r>
      <w:r>
        <w:rPr>
          <w:sz w:val="22"/>
          <w:szCs w:val="22"/>
          <w:rtl w:val="0"/>
          <w:lang w:val="en-US"/>
        </w:rPr>
        <w:t>’</w:t>
      </w:r>
      <w:r>
        <w:rPr>
          <w:sz w:val="22"/>
          <w:szCs w:val="22"/>
          <w:rtl w:val="0"/>
          <w:lang w:val="en-US"/>
        </w:rPr>
        <w:t>Alembert representation</w:t>
      </w:r>
    </w:p>
    <w:p>
      <w:pPr>
        <w:pStyle w:val="Equation"/>
        <w:spacing w:after="80" w:line="240" w:lineRule="atLeast"/>
      </w:pPr>
      <w:r>
        <w:rPr>
          <w:rFonts w:ascii="Times New Roman" w:hAnsi="Times New Roman"/>
          <w:sz w:val="22"/>
          <w:szCs w:val="22"/>
          <w:rtl w:val="0"/>
          <w:lang w:val="en-US"/>
        </w:rPr>
        <w:t>[S(t)f](x) = (2c)</w:t>
      </w:r>
      <w:r>
        <w:rPr>
          <w:rFonts w:ascii="Times New Roman" w:hAnsi="Times New Roman"/>
          <w:sz w:val="22"/>
          <w:szCs w:val="22"/>
          <w:vertAlign w:val="superscript"/>
          <w:rtl w:val="0"/>
          <w:lang w:val="en-US"/>
        </w:rPr>
        <w:t>-1</w:t>
      </w:r>
      <w:r>
        <w:rPr>
          <w:rFonts w:ascii="Times New Roman" w:hAnsi="Times New Roman" w:hint="default"/>
          <w:sz w:val="22"/>
          <w:szCs w:val="22"/>
          <w:rtl w:val="0"/>
          <w:lang w:val="en-US"/>
        </w:rPr>
        <w:t xml:space="preserve">∫ </w:t>
      </w:r>
      <w:r>
        <w:rPr>
          <w:rFonts w:ascii="Times New Roman" w:hAnsi="Times New Roman"/>
          <w:sz w:val="22"/>
          <w:szCs w:val="22"/>
          <w:rtl w:val="0"/>
          <w:lang w:val="en-US"/>
        </w:rPr>
        <w:t xml:space="preserve">f(y)dy,     x </w:t>
      </w:r>
      <w:r>
        <w:rPr>
          <w:rFonts w:ascii="Times New Roman" w:hAnsi="Times New Roman" w:hint="default"/>
          <w:sz w:val="22"/>
          <w:szCs w:val="22"/>
          <w:rtl w:val="0"/>
          <w:lang w:val="en-US"/>
        </w:rPr>
        <w:t xml:space="preserve">− </w:t>
      </w:r>
      <w:r>
        <w:rPr>
          <w:rFonts w:ascii="Times New Roman" w:hAnsi="Times New Roman"/>
          <w:sz w:val="22"/>
          <w:szCs w:val="22"/>
          <w:rtl w:val="0"/>
          <w:lang w:val="en-US"/>
        </w:rPr>
        <w:t xml:space="preserve">ct </w:t>
      </w:r>
      <w:r>
        <w:rPr>
          <w:rFonts w:ascii="Times New Roman" w:hAnsi="Times New Roman" w:hint="default"/>
          <w:sz w:val="22"/>
          <w:szCs w:val="22"/>
          <w:rtl w:val="0"/>
          <w:lang w:val="en-US"/>
        </w:rPr>
        <w:t xml:space="preserve">≤ </w:t>
      </w:r>
      <w:r>
        <w:rPr>
          <w:rFonts w:ascii="Times New Roman" w:hAnsi="Times New Roman"/>
          <w:sz w:val="22"/>
          <w:szCs w:val="22"/>
          <w:rtl w:val="0"/>
          <w:lang w:val="en-US"/>
        </w:rPr>
        <w:t xml:space="preserve">y </w:t>
      </w:r>
      <w:r>
        <w:rPr>
          <w:rFonts w:ascii="Times New Roman" w:hAnsi="Times New Roman" w:hint="default"/>
          <w:sz w:val="22"/>
          <w:szCs w:val="22"/>
          <w:rtl w:val="0"/>
          <w:lang w:val="en-US"/>
        </w:rPr>
        <w:t xml:space="preserve">≤ </w:t>
      </w:r>
      <w:r>
        <w:rPr>
          <w:rFonts w:ascii="Times New Roman" w:hAnsi="Times New Roman"/>
          <w:sz w:val="22"/>
          <w:szCs w:val="22"/>
          <w:rtl w:val="0"/>
          <w:lang w:val="en-US"/>
        </w:rPr>
        <w:t>x + ct,</w:t>
        <w:tab/>
        <w:t>(20)</w:t>
      </w:r>
    </w:p>
    <w:p>
      <w:pPr>
        <w:pStyle w:val="Normal.0"/>
        <w:spacing w:after="80" w:line="240" w:lineRule="atLeast"/>
      </w:pPr>
      <w:r>
        <w:rPr>
          <w:sz w:val="22"/>
          <w:szCs w:val="22"/>
          <w:rtl w:val="0"/>
          <w:lang w:val="en-US"/>
        </w:rPr>
        <w:t>where f is periodically extended. Equivalently, its retarded Green density is the periodisation of (2c)</w:t>
      </w:r>
      <w:r>
        <w:rPr>
          <w:sz w:val="22"/>
          <w:szCs w:val="22"/>
          <w:vertAlign w:val="superscript"/>
          <w:rtl w:val="0"/>
          <w:lang w:val="en-US"/>
        </w:rPr>
        <w:t>-1</w:t>
      </w:r>
      <w:r>
        <w:rPr>
          <w:sz w:val="22"/>
          <w:szCs w:val="22"/>
          <w:rtl w:val="0"/>
          <w:lang w:val="en-US"/>
        </w:rPr>
        <w:t xml:space="preserve">1{|x| &lt; ct} for t &gt; 0, with the boundary understood distributionally. It is the retarded fundamental solution of </w:t>
      </w:r>
      <w:r>
        <w:rPr>
          <w:sz w:val="22"/>
          <w:szCs w:val="22"/>
          <w:rtl w:val="0"/>
          <w:lang w:val="en-US"/>
        </w:rPr>
        <w:t>∂</w:t>
      </w:r>
      <w:r>
        <w:rPr>
          <w:sz w:val="22"/>
          <w:szCs w:val="22"/>
          <w:vertAlign w:val="subscript"/>
          <w:rtl w:val="0"/>
          <w:lang w:val="en-US"/>
        </w:rPr>
        <w:t>t</w:t>
      </w:r>
      <w:r>
        <w:rPr>
          <w:sz w:val="22"/>
          <w:szCs w:val="22"/>
          <w:vertAlign w:val="superscript"/>
          <w:rtl w:val="0"/>
          <w:lang w:val="en-US"/>
        </w:rPr>
        <w:t>2</w:t>
      </w:r>
      <w:r>
        <w:rPr>
          <w:sz w:val="22"/>
          <w:szCs w:val="22"/>
          <w:rtl w:val="0"/>
          <w:lang w:val="en-US"/>
        </w:rPr>
        <w:t xml:space="preserve"> − </w:t>
      </w:r>
      <w:r>
        <w:rPr>
          <w:sz w:val="22"/>
          <w:szCs w:val="22"/>
          <w:rtl w:val="0"/>
          <w:lang w:val="en-US"/>
        </w:rPr>
        <w:t>c</w:t>
      </w:r>
      <w:r>
        <w:rPr>
          <w:sz w:val="22"/>
          <w:szCs w:val="22"/>
          <w:vertAlign w:val="superscript"/>
          <w:rtl w:val="0"/>
          <w:lang w:val="en-US"/>
        </w:rPr>
        <w:t>2</w:t>
      </w:r>
      <w:r>
        <w:rPr>
          <w:sz w:val="22"/>
          <w:szCs w:val="22"/>
          <w:rtl w:val="0"/>
          <w:lang w:val="en-US"/>
        </w:rPr>
        <w:t>∂</w:t>
      </w:r>
      <w:r>
        <w:rPr>
          <w:sz w:val="22"/>
          <w:szCs w:val="22"/>
          <w:vertAlign w:val="subscript"/>
          <w:rtl w:val="0"/>
          <w:lang w:val="en-US"/>
        </w:rPr>
        <w:t>x</w:t>
      </w:r>
      <w:r>
        <w:rPr>
          <w:sz w:val="22"/>
          <w:szCs w:val="22"/>
          <w:vertAlign w:val="superscript"/>
          <w:rtl w:val="0"/>
          <w:lang w:val="en-US"/>
        </w:rPr>
        <w:t>2</w:t>
      </w:r>
      <w:r>
        <w:rPr>
          <w:sz w:val="22"/>
          <w:szCs w:val="22"/>
          <w:rtl w:val="0"/>
          <w:lang w:val="en-US"/>
        </w:rPr>
        <w:t>.</w:t>
      </w:r>
    </w:p>
    <w:p>
      <w:pPr>
        <w:pStyle w:val="Normal.0"/>
        <w:spacing w:after="80" w:line="240" w:lineRule="atLeast"/>
      </w:pPr>
      <w:r>
        <w:rPr>
          <w:sz w:val="22"/>
          <w:szCs w:val="22"/>
          <w:rtl w:val="0"/>
          <w:lang w:val="en-US"/>
        </w:rPr>
        <w:t>Theorem 1 gives convergence of responses tested against fixed spatial L</w:t>
      </w:r>
      <w:r>
        <w:rPr>
          <w:sz w:val="22"/>
          <w:szCs w:val="22"/>
          <w:vertAlign w:val="superscript"/>
          <w:rtl w:val="0"/>
          <w:lang w:val="en-US"/>
        </w:rPr>
        <w:t>2</w:t>
      </w:r>
      <w:r>
        <w:rPr>
          <w:sz w:val="22"/>
          <w:szCs w:val="22"/>
          <w:rtl w:val="0"/>
          <w:lang w:val="en-US"/>
        </w:rPr>
        <w:t xml:space="preserve"> observables, uniformly in time, and therefore convergence against smooth compactly supported spacetime tests. The local reconstruction below gives the same tested limit. Theorem 2 additionally proves a pointwise exterior bound for the discrete density. These are complementary statements; one must not promote the strong-operator result alone to a pointwise kernel theorem.</w:t>
      </w:r>
    </w:p>
    <w:p>
      <w:pPr>
        <w:pStyle w:val="Figure"/>
        <w:spacing w:after="80" w:line="240" w:lineRule="atLeast"/>
      </w:pPr>
      <w:r>
        <w:drawing>
          <wp:inline distT="0" distB="0" distL="0" distR="0">
            <wp:extent cx="5976000" cy="2504191"/>
            <wp:effectExtent l="0" t="0" r="0" b="0"/>
            <wp:docPr id="1073741828" name="officeArt object" descr="Figure 1. A: normalised finite-chain Green kernels at t = 0.8 on the circle ℓ = 2π, c = 1, compared with the continuum response. Oscillations near the fronts are compatible with convergence away from them. B: sampled exterior maxima for t ∈ [0,1], d &gt; t + 0.25, and the bound proved for the whole time interval. Numerical sampling does not prove a supremum."/>
            <wp:cNvGraphicFramePr/>
            <a:graphic xmlns:a="http://schemas.openxmlformats.org/drawingml/2006/main">
              <a:graphicData uri="http://schemas.openxmlformats.org/drawingml/2006/picture">
                <pic:pic xmlns:pic="http://schemas.openxmlformats.org/drawingml/2006/picture">
                  <pic:nvPicPr>
                    <pic:cNvPr id="1073741828" name="Figure 1. A: normalised finite-chain Green kernels at t = 0.8 on the circle ℓ = 2π, c = 1, compared with the continuum response. Oscillations near the fronts are compatible with convergence away from them. B: sampled exterior maxima for t ∈ [0,1], d &gt; t + 0.25, and the bound proved for the whole time interval. Numerical sampling does not prove a supremum." descr="Figure 1. A: normalised finite-chain Green kernels at t = 0.8 on the circle ℓ = 2π, c = 1, compared with the continuum response. Oscillations near the fronts are compatible with convergence away from them. B: sampled exterior maxima for t ∈ [0,1], d &gt; t + 0.25, and the bound proved for the whole time interval. Numerical sampling does not prove a supremum."/>
                    <pic:cNvPicPr>
                      <a:picLocks noChangeAspect="1"/>
                    </pic:cNvPicPr>
                  </pic:nvPicPr>
                  <pic:blipFill>
                    <a:blip r:embed="rId7">
                      <a:extLst/>
                    </a:blip>
                    <a:stretch>
                      <a:fillRect/>
                    </a:stretch>
                  </pic:blipFill>
                  <pic:spPr>
                    <a:xfrm>
                      <a:off x="0" y="0"/>
                      <a:ext cx="5976000" cy="2504191"/>
                    </a:xfrm>
                    <a:prstGeom prst="rect">
                      <a:avLst/>
                    </a:prstGeom>
                    <a:ln w="12700" cap="flat">
                      <a:noFill/>
                      <a:miter lim="400000"/>
                    </a:ln>
                    <a:effectLst/>
                  </pic:spPr>
                </pic:pic>
              </a:graphicData>
            </a:graphic>
          </wp:inline>
        </w:drawing>
      </w:r>
    </w:p>
    <w:p>
      <w:pPr>
        <w:pStyle w:val="caption"/>
        <w:spacing w:before="60" w:after="120" w:line="240" w:lineRule="atLeast"/>
      </w:pPr>
      <w:r>
        <w:rPr>
          <w:rtl w:val="0"/>
          <w:lang w:val="en-US"/>
        </w:rPr>
        <w:t xml:space="preserve">Figure 1. A: normalised finite-chain Green kernels at t = 0.8 on the circle </w:t>
      </w:r>
      <w:r>
        <w:rPr>
          <w:rtl w:val="0"/>
          <w:lang w:val="en-US"/>
        </w:rPr>
        <w:t xml:space="preserve">ℓ </w:t>
      </w:r>
      <w:r>
        <w:rPr>
          <w:rtl w:val="0"/>
          <w:lang w:val="en-US"/>
        </w:rPr>
        <w:t>= 2</w:t>
      </w:r>
      <w:r>
        <w:rPr>
          <w:rtl w:val="0"/>
          <w:lang w:val="en-US"/>
        </w:rPr>
        <w:t>π</w:t>
      </w:r>
      <w:r>
        <w:rPr>
          <w:rtl w:val="0"/>
          <w:lang w:val="en-US"/>
        </w:rPr>
        <w:t xml:space="preserve">, c = 1, compared with the continuum response. Oscillations near the fronts are compatible with convergence away from them. B: sampled exterior maxima for t </w:t>
      </w:r>
      <w:r>
        <w:rPr>
          <w:rFonts w:ascii="Arial Unicode MS" w:cs="Arial Unicode MS" w:hAnsi="Arial Unicode MS" w:eastAsia="Arial Unicode MS" w:hint="default"/>
          <w:b w:val="0"/>
          <w:bCs w:val="0"/>
          <w:i w:val="0"/>
          <w:iCs w:val="0"/>
          <w:rtl w:val="0"/>
          <w:lang w:val="en-US"/>
        </w:rPr>
        <w:t>∈</w:t>
      </w:r>
      <w:r>
        <w:rPr>
          <w:rtl w:val="0"/>
          <w:lang w:val="en-US"/>
        </w:rPr>
        <w:t xml:space="preserve"> </w:t>
      </w:r>
      <w:r>
        <w:rPr>
          <w:rtl w:val="0"/>
          <w:lang w:val="en-US"/>
        </w:rPr>
        <w:t>[0,1], d &gt; t + 0.25, and the bound proved for the whole time interval. Numerical sampling does not prove a supremum.</w:t>
      </w:r>
    </w:p>
    <w:p>
      <w:pPr>
        <w:pStyle w:val="Заголовок 2"/>
        <w:spacing w:line="240" w:lineRule="atLeast"/>
      </w:pPr>
      <w:r>
        <w:rPr>
          <w:rtl w:val="0"/>
          <w:lang w:val="en-US"/>
        </w:rPr>
        <w:t>4. Coarse-graining, locality and the order of limits</w:t>
      </w:r>
    </w:p>
    <w:p>
      <w:pPr>
        <w:pStyle w:val="Заголовок 3"/>
        <w:spacing w:line="240" w:lineRule="atLeast"/>
      </w:pPr>
      <w:r>
        <w:rPr>
          <w:rtl w:val="0"/>
          <w:lang w:val="en-US"/>
        </w:rPr>
        <w:t>4.1. Extraction is more than a spectral projection</w:t>
      </w:r>
    </w:p>
    <w:p>
      <w:pPr>
        <w:pStyle w:val="Normal.0"/>
        <w:keepNext w:val="1"/>
        <w:spacing w:after="80" w:line="240" w:lineRule="atLeast"/>
      </w:pPr>
      <w:r>
        <w:rPr>
          <w:sz w:val="22"/>
          <w:szCs w:val="22"/>
          <w:rtl w:val="0"/>
          <w:lang w:val="en-US"/>
        </w:rPr>
        <w:t>A useful infrared extraction contains three ingredients: a selected subspace, an identification with effective variables, and a measure. For a graph cutoff P</w:t>
      </w:r>
      <w:r>
        <w:rPr>
          <w:sz w:val="22"/>
          <w:szCs w:val="22"/>
          <w:vertAlign w:val="subscript"/>
          <w:rtl w:val="0"/>
          <w:lang w:val="en-US"/>
        </w:rPr>
        <w:t>n</w:t>
      </w:r>
      <w:r>
        <w:rPr>
          <w:sz w:val="22"/>
          <w:szCs w:val="22"/>
          <w:rtl w:val="0"/>
          <w:lang w:val="en-US"/>
        </w:rPr>
        <w:t>,</w:t>
      </w:r>
      <w:r>
        <w:rPr>
          <w:sz w:val="22"/>
          <w:szCs w:val="22"/>
          <w:rtl w:val="0"/>
          <w:lang w:val="en-US"/>
        </w:rPr>
        <w:t>Λ</w:t>
      </w:r>
      <w:r>
        <w:rPr>
          <w:sz w:val="22"/>
          <w:szCs w:val="22"/>
          <w:rtl w:val="0"/>
          <w:lang w:val="en-US"/>
        </w:rPr>
        <w:t>, a massless-component basis Z and kinetic normalisation A</w:t>
      </w:r>
      <w:r>
        <w:rPr>
          <w:sz w:val="22"/>
          <w:szCs w:val="22"/>
          <w:vertAlign w:val="superscript"/>
          <w:rtl w:val="0"/>
          <w:lang w:val="en-US"/>
        </w:rPr>
        <w:t>1/2</w:t>
      </w:r>
      <w:r>
        <w:rPr>
          <w:sz w:val="22"/>
          <w:szCs w:val="22"/>
          <w:rtl w:val="0"/>
          <w:lang w:val="en-US"/>
        </w:rPr>
        <w:t>, a possible linear map is</w:t>
      </w:r>
    </w:p>
    <w:p>
      <w:pPr>
        <w:pStyle w:val="Equation"/>
        <w:spacing w:after="80" w:line="240" w:lineRule="atLeast"/>
      </w:pPr>
      <w:r>
        <w:rPr>
          <w:rFonts w:ascii="Times New Roman" w:hAnsi="Times New Roman" w:hint="default"/>
          <w:sz w:val="22"/>
          <w:szCs w:val="22"/>
          <w:rtl w:val="0"/>
          <w:lang w:val="en-US"/>
        </w:rPr>
        <w:t>Π</w:t>
      </w:r>
      <w:r>
        <w:rPr>
          <w:rFonts w:ascii="Times New Roman" w:hAnsi="Times New Roman"/>
          <w:sz w:val="22"/>
          <w:szCs w:val="22"/>
          <w:vertAlign w:val="subscript"/>
          <w:rtl w:val="0"/>
          <w:lang w:val="en-US"/>
        </w:rPr>
        <w:t>n</w:t>
      </w:r>
      <w:r>
        <w:rPr>
          <w:rFonts w:ascii="Times New Roman" w:hAnsi="Times New Roman"/>
          <w:sz w:val="22"/>
          <w:szCs w:val="22"/>
          <w:rtl w:val="0"/>
          <w:lang w:val="en-US"/>
        </w:rPr>
        <w:t>,</w:t>
      </w:r>
      <w:r>
        <w:rPr>
          <w:rFonts w:ascii="Times New Roman" w:hAnsi="Times New Roman" w:hint="default"/>
          <w:sz w:val="22"/>
          <w:szCs w:val="22"/>
          <w:rtl w:val="0"/>
          <w:lang w:val="en-US"/>
        </w:rPr>
        <w:t xml:space="preserve">ΛΦ </w:t>
      </w:r>
      <w:r>
        <w:rPr>
          <w:rFonts w:ascii="Times New Roman" w:hAnsi="Times New Roman"/>
          <w:sz w:val="22"/>
          <w:szCs w:val="22"/>
          <w:rtl w:val="0"/>
          <w:lang w:val="en-US"/>
        </w:rPr>
        <w:t>= J</w:t>
      </w:r>
      <w:r>
        <w:rPr>
          <w:rFonts w:ascii="Times New Roman" w:hAnsi="Times New Roman"/>
          <w:sz w:val="22"/>
          <w:szCs w:val="22"/>
          <w:vertAlign w:val="subscript"/>
          <w:rtl w:val="0"/>
          <w:lang w:val="en-US"/>
        </w:rPr>
        <w:t>n</w:t>
      </w:r>
      <w:r>
        <w:rPr>
          <w:rFonts w:ascii="Times New Roman" w:hAnsi="Times New Roman"/>
          <w:sz w:val="22"/>
          <w:szCs w:val="22"/>
          <w:rtl w:val="0"/>
          <w:lang w:val="en-US"/>
        </w:rPr>
        <w:t>P</w:t>
      </w:r>
      <w:r>
        <w:rPr>
          <w:rFonts w:ascii="Times New Roman" w:hAnsi="Times New Roman"/>
          <w:sz w:val="22"/>
          <w:szCs w:val="22"/>
          <w:vertAlign w:val="subscript"/>
          <w:rtl w:val="0"/>
          <w:lang w:val="en-US"/>
        </w:rPr>
        <w:t>n</w:t>
      </w:r>
      <w:r>
        <w:rPr>
          <w:rFonts w:ascii="Times New Roman" w:hAnsi="Times New Roman"/>
          <w:sz w:val="22"/>
          <w:szCs w:val="22"/>
          <w:rtl w:val="0"/>
          <w:lang w:val="en-US"/>
        </w:rPr>
        <w:t>,</w:t>
      </w:r>
      <w:r>
        <w:rPr>
          <w:rFonts w:ascii="Times New Roman" w:hAnsi="Times New Roman" w:hint="default"/>
          <w:sz w:val="22"/>
          <w:szCs w:val="22"/>
          <w:rtl w:val="0"/>
          <w:lang w:val="en-US"/>
        </w:rPr>
        <w:t>Λ</w:t>
      </w:r>
      <w:r>
        <w:rPr>
          <w:rFonts w:ascii="Times New Roman" w:hAnsi="Times New Roman"/>
          <w:sz w:val="22"/>
          <w:szCs w:val="22"/>
          <w:rtl w:val="0"/>
          <w:lang w:val="en-US"/>
        </w:rPr>
        <w:t xml:space="preserve">(I </w:t>
      </w:r>
      <w:r>
        <w:rPr>
          <w:rFonts w:ascii="Arial Unicode MS" w:cs="Arial Unicode MS" w:hAnsi="Arial Unicode MS" w:eastAsia="Arial Unicode MS" w:hint="default"/>
          <w:b w:val="0"/>
          <w:bCs w:val="0"/>
          <w:i w:val="0"/>
          <w:iCs w:val="0"/>
          <w:sz w:val="22"/>
          <w:szCs w:val="22"/>
          <w:rtl w:val="0"/>
          <w:lang w:val="en-US"/>
        </w:rPr>
        <w:t>⊗</w:t>
      </w:r>
      <w:r>
        <w:rPr>
          <w:rFonts w:ascii="Times New Roman" w:hAnsi="Times New Roman"/>
          <w:sz w:val="22"/>
          <w:szCs w:val="22"/>
          <w:rtl w:val="0"/>
          <w:lang w:val="en-US"/>
        </w:rPr>
        <w:t xml:space="preserve"> </w:t>
      </w:r>
      <w:r>
        <w:rPr>
          <w:rFonts w:ascii="Times New Roman" w:hAnsi="Times New Roman"/>
          <w:sz w:val="22"/>
          <w:szCs w:val="22"/>
          <w:rtl w:val="0"/>
          <w:lang w:val="en-US"/>
        </w:rPr>
        <w:t>Z</w:t>
      </w:r>
      <w:r>
        <w:rPr>
          <w:rFonts w:ascii="Times New Roman" w:hAnsi="Times New Roman"/>
          <w:sz w:val="22"/>
          <w:szCs w:val="22"/>
          <w:vertAlign w:val="superscript"/>
          <w:rtl w:val="0"/>
          <w:lang w:val="en-US"/>
        </w:rPr>
        <w:t>T</w:t>
      </w:r>
      <w:r>
        <w:rPr>
          <w:rFonts w:ascii="Times New Roman" w:hAnsi="Times New Roman"/>
          <w:sz w:val="22"/>
          <w:szCs w:val="22"/>
          <w:rtl w:val="0"/>
          <w:lang w:val="en-US"/>
        </w:rPr>
        <w:t>A</w:t>
      </w:r>
      <w:r>
        <w:rPr>
          <w:rFonts w:ascii="Times New Roman" w:hAnsi="Times New Roman"/>
          <w:sz w:val="22"/>
          <w:szCs w:val="22"/>
          <w:vertAlign w:val="superscript"/>
          <w:rtl w:val="0"/>
          <w:lang w:val="en-US"/>
        </w:rPr>
        <w:t>1/2</w:t>
      </w:r>
      <w:r>
        <w:rPr>
          <w:rFonts w:ascii="Times New Roman" w:hAnsi="Times New Roman"/>
          <w:sz w:val="22"/>
          <w:szCs w:val="22"/>
          <w:rtl w:val="0"/>
          <w:lang w:val="en-US"/>
        </w:rPr>
        <w:t>)</w:t>
      </w:r>
      <w:r>
        <w:rPr>
          <w:rFonts w:ascii="Times New Roman" w:hAnsi="Times New Roman" w:hint="default"/>
          <w:sz w:val="22"/>
          <w:szCs w:val="22"/>
          <w:rtl w:val="0"/>
          <w:lang w:val="en-US"/>
        </w:rPr>
        <w:t>Φ</w:t>
      </w:r>
      <w:r>
        <w:rPr>
          <w:rFonts w:ascii="Times New Roman" w:hAnsi="Times New Roman"/>
          <w:sz w:val="22"/>
          <w:szCs w:val="22"/>
          <w:rtl w:val="0"/>
          <w:lang w:val="en-US"/>
        </w:rPr>
        <w:t>.</w:t>
        <w:tab/>
        <w:t>(21)</w:t>
      </w:r>
    </w:p>
    <w:p>
      <w:pPr>
        <w:pStyle w:val="Normal.0"/>
        <w:spacing w:after="80" w:line="240" w:lineRule="atLeast"/>
      </w:pPr>
      <w:r>
        <w:rPr>
          <w:sz w:val="22"/>
          <w:szCs w:val="22"/>
          <w:rtl w:val="0"/>
          <w:lang w:val="en-US"/>
        </w:rPr>
        <w:t>The tensor notation distinguishes the graph sector from the component sector. Formula (21) is a specification, not a universal definition for every relational system. The cutoff, maps, norm and states must be reported together. Under a change of effective coordinates the limit may be compared by an explicitly stated intertwining map, rather than by requiring identical coordinate entries.</w:t>
      </w:r>
    </w:p>
    <w:p>
      <w:pPr>
        <w:pStyle w:val="Normal.0"/>
        <w:spacing w:after="80" w:line="240" w:lineRule="atLeast"/>
      </w:pPr>
      <w:r>
        <w:rPr>
          <w:sz w:val="22"/>
          <w:szCs w:val="22"/>
          <w:rtl w:val="0"/>
          <w:lang w:val="en-US"/>
        </w:rPr>
        <w:t>For block-structured graphs, the earlier spectral estimate [15] can stabilise the selected subspace: if L = L</w:t>
      </w:r>
      <w:r>
        <w:rPr>
          <w:sz w:val="22"/>
          <w:szCs w:val="22"/>
          <w:vertAlign w:val="subscript"/>
          <w:rtl w:val="0"/>
          <w:lang w:val="en-US"/>
        </w:rPr>
        <w:t>0</w:t>
      </w:r>
      <w:r>
        <w:rPr>
          <w:sz w:val="22"/>
          <w:szCs w:val="22"/>
          <w:rtl w:val="0"/>
          <w:lang w:val="en-US"/>
        </w:rPr>
        <w:t xml:space="preserve"> + E, E </w:t>
      </w:r>
      <w:r>
        <w:rPr>
          <w:sz w:val="22"/>
          <w:szCs w:val="22"/>
          <w:rtl w:val="0"/>
          <w:lang w:val="en-US"/>
        </w:rPr>
        <w:t xml:space="preserve">≥ </w:t>
      </w:r>
      <w:r>
        <w:rPr>
          <w:sz w:val="22"/>
          <w:szCs w:val="22"/>
          <w:rtl w:val="0"/>
          <w:lang w:val="en-US"/>
        </w:rPr>
        <w:t xml:space="preserve">0, </w:t>
      </w:r>
      <w:r>
        <w:rPr>
          <w:sz w:val="22"/>
          <w:szCs w:val="22"/>
          <w:rtl w:val="0"/>
          <w:lang w:val="en-US"/>
        </w:rPr>
        <w:t>‖</w:t>
      </w:r>
      <w:r>
        <w:rPr>
          <w:sz w:val="22"/>
          <w:szCs w:val="22"/>
          <w:rtl w:val="0"/>
          <w:lang w:val="en-US"/>
        </w:rPr>
        <w:t>E</w:t>
      </w:r>
      <w:r>
        <w:rPr>
          <w:sz w:val="22"/>
          <w:szCs w:val="22"/>
          <w:rtl w:val="0"/>
          <w:lang w:val="en-US"/>
        </w:rPr>
        <w:t xml:space="preserve">‖ </w:t>
      </w:r>
      <w:r>
        <w:rPr>
          <w:sz w:val="22"/>
          <w:szCs w:val="22"/>
          <w:rtl w:val="0"/>
          <w:lang w:val="en-US"/>
        </w:rPr>
        <w:t xml:space="preserve">= </w:t>
      </w:r>
      <w:r>
        <w:rPr>
          <w:sz w:val="22"/>
          <w:szCs w:val="22"/>
          <w:rtl w:val="0"/>
          <w:lang w:val="en-US"/>
        </w:rPr>
        <w:t xml:space="preserve">ε </w:t>
      </w:r>
      <w:r>
        <w:rPr>
          <w:sz w:val="22"/>
          <w:szCs w:val="22"/>
          <w:rtl w:val="0"/>
          <w:lang w:val="en-US"/>
        </w:rPr>
        <w:t xml:space="preserve">&lt; </w:t>
      </w:r>
      <w:r>
        <w:rPr>
          <w:sz w:val="22"/>
          <w:szCs w:val="22"/>
          <w:rtl w:val="0"/>
          <w:lang w:val="en-US"/>
        </w:rPr>
        <w:t>γ</w:t>
      </w:r>
      <w:r>
        <w:rPr>
          <w:sz w:val="22"/>
          <w:szCs w:val="22"/>
          <w:rtl w:val="0"/>
          <w:lang w:val="en-US"/>
        </w:rPr>
        <w:t>/2 and L</w:t>
      </w:r>
      <w:r>
        <w:rPr>
          <w:sz w:val="22"/>
          <w:szCs w:val="22"/>
          <w:vertAlign w:val="subscript"/>
          <w:rtl w:val="0"/>
          <w:lang w:val="en-US"/>
        </w:rPr>
        <w:t>0</w:t>
      </w:r>
      <w:r>
        <w:rPr>
          <w:sz w:val="22"/>
          <w:szCs w:val="22"/>
          <w:rtl w:val="0"/>
          <w:lang w:val="en-US"/>
        </w:rPr>
        <w:t xml:space="preserve"> has r zero modes separated by </w:t>
      </w:r>
      <w:r>
        <w:rPr>
          <w:sz w:val="22"/>
          <w:szCs w:val="22"/>
          <w:rtl w:val="0"/>
          <w:lang w:val="en-US"/>
        </w:rPr>
        <w:t>γ</w:t>
      </w:r>
      <w:r>
        <w:rPr>
          <w:sz w:val="22"/>
          <w:szCs w:val="22"/>
          <w:rtl w:val="0"/>
          <w:lang w:val="en-US"/>
        </w:rPr>
        <w:t xml:space="preserve">, then the low projection differs from the block-constant projection by at most </w:t>
      </w:r>
      <w:r>
        <w:rPr>
          <w:sz w:val="22"/>
          <w:szCs w:val="22"/>
          <w:rtl w:val="0"/>
          <w:lang w:val="en-US"/>
        </w:rPr>
        <w:t>ε</w:t>
      </w:r>
      <w:r>
        <w:rPr>
          <w:sz w:val="22"/>
          <w:szCs w:val="22"/>
          <w:rtl w:val="0"/>
          <w:lang w:val="en-US"/>
        </w:rPr>
        <w:t>/(</w:t>
      </w:r>
      <w:r>
        <w:rPr>
          <w:sz w:val="22"/>
          <w:szCs w:val="22"/>
          <w:rtl w:val="0"/>
          <w:lang w:val="en-US"/>
        </w:rPr>
        <w:t>γ − ε</w:t>
      </w:r>
      <w:r>
        <w:rPr>
          <w:sz w:val="22"/>
          <w:szCs w:val="22"/>
          <w:rtl w:val="0"/>
          <w:lang w:val="en-US"/>
        </w:rPr>
        <w:t>). This controls selection under perturbations. It does not construct J</w:t>
      </w:r>
      <w:r>
        <w:rPr>
          <w:sz w:val="22"/>
          <w:szCs w:val="22"/>
          <w:vertAlign w:val="subscript"/>
          <w:rtl w:val="0"/>
          <w:lang w:val="en-US"/>
        </w:rPr>
        <w:t>n</w:t>
      </w:r>
      <w:r>
        <w:rPr>
          <w:sz w:val="22"/>
          <w:szCs w:val="22"/>
          <w:rtl w:val="0"/>
          <w:lang w:val="en-US"/>
        </w:rPr>
        <w:t>, a local manifold or a causal response.</w:t>
      </w:r>
    </w:p>
    <w:p>
      <w:pPr>
        <w:pStyle w:val="Заголовок 3"/>
        <w:spacing w:line="240" w:lineRule="atLeast"/>
      </w:pPr>
      <w:r>
        <w:rPr>
          <w:rtl w:val="0"/>
          <w:lang w:val="en-US"/>
        </w:rPr>
        <w:t>4.2. A comparison of Fourier and local reconstructions</w:t>
      </w:r>
    </w:p>
    <w:p>
      <w:pPr>
        <w:pStyle w:val="Normal.0"/>
        <w:spacing w:after="80" w:line="240" w:lineRule="atLeast"/>
      </w:pPr>
      <w:r>
        <w:rPr>
          <w:sz w:val="22"/>
          <w:szCs w:val="22"/>
          <w:rtl w:val="0"/>
          <w:lang w:val="en-US"/>
        </w:rPr>
        <w:t>Let E</w:t>
      </w:r>
      <w:r>
        <w:rPr>
          <w:sz w:val="22"/>
          <w:szCs w:val="22"/>
          <w:vertAlign w:val="subscript"/>
          <w:rtl w:val="0"/>
          <w:lang w:val="en-US"/>
        </w:rPr>
        <w:t>a</w:t>
      </w:r>
      <w:r>
        <w:rPr>
          <w:sz w:val="22"/>
          <w:szCs w:val="22"/>
          <w:rtl w:val="0"/>
          <w:lang w:val="en-US"/>
        </w:rPr>
        <w:t xml:space="preserve"> : H</w:t>
      </w:r>
      <w:r>
        <w:rPr>
          <w:sz w:val="22"/>
          <w:szCs w:val="22"/>
          <w:vertAlign w:val="subscript"/>
          <w:rtl w:val="0"/>
          <w:lang w:val="en-US"/>
        </w:rPr>
        <w:t>a</w:t>
      </w:r>
      <w:r>
        <w:rPr>
          <w:sz w:val="22"/>
          <w:szCs w:val="22"/>
          <w:rtl w:val="0"/>
          <w:lang w:val="en-US"/>
        </w:rPr>
        <w:t xml:space="preserve"> → </w:t>
      </w:r>
      <w:r>
        <w:rPr>
          <w:sz w:val="22"/>
          <w:szCs w:val="22"/>
          <w:rtl w:val="0"/>
          <w:lang w:val="en-US"/>
        </w:rPr>
        <w:t>L</w:t>
      </w:r>
      <w:r>
        <w:rPr>
          <w:sz w:val="22"/>
          <w:szCs w:val="22"/>
          <w:vertAlign w:val="superscript"/>
          <w:rtl w:val="0"/>
          <w:lang w:val="en-US"/>
        </w:rPr>
        <w:t>2</w:t>
      </w:r>
      <w:r>
        <w:rPr>
          <w:sz w:val="22"/>
          <w:szCs w:val="22"/>
          <w:rtl w:val="0"/>
          <w:lang w:val="en-US"/>
        </w:rPr>
        <w:t>(S</w:t>
      </w:r>
      <w:r>
        <w:rPr>
          <w:sz w:val="22"/>
          <w:szCs w:val="22"/>
          <w:vertAlign w:val="superscript"/>
          <w:rtl w:val="0"/>
          <w:lang w:val="en-US"/>
        </w:rPr>
        <w:t>1</w:t>
      </w:r>
      <w:r>
        <w:rPr>
          <w:sz w:val="22"/>
          <w:szCs w:val="22"/>
          <w:rtl w:val="0"/>
          <w:lang w:val="en-US"/>
        </w:rPr>
        <w:t>) assign q</w:t>
      </w:r>
      <w:r>
        <w:rPr>
          <w:sz w:val="22"/>
          <w:szCs w:val="22"/>
          <w:vertAlign w:val="subscript"/>
          <w:rtl w:val="0"/>
          <w:lang w:val="en-US"/>
        </w:rPr>
        <w:t>j</w:t>
      </w:r>
      <w:r>
        <w:rPr>
          <w:sz w:val="22"/>
          <w:szCs w:val="22"/>
          <w:rtl w:val="0"/>
          <w:lang w:val="en-US"/>
        </w:rPr>
        <w:t xml:space="preserve"> to the cell of width a centred on x</w:t>
      </w:r>
      <w:r>
        <w:rPr>
          <w:sz w:val="22"/>
          <w:szCs w:val="22"/>
          <w:vertAlign w:val="subscript"/>
          <w:rtl w:val="0"/>
          <w:lang w:val="en-US"/>
        </w:rPr>
        <w:t>j</w:t>
      </w:r>
      <w:r>
        <w:rPr>
          <w:sz w:val="22"/>
          <w:szCs w:val="22"/>
          <w:rtl w:val="0"/>
          <w:lang w:val="en-US"/>
        </w:rPr>
        <w:t>. Its adjoint F</w:t>
      </w:r>
      <w:r>
        <w:rPr>
          <w:sz w:val="22"/>
          <w:szCs w:val="22"/>
          <w:vertAlign w:val="subscript"/>
          <w:rtl w:val="0"/>
          <w:lang w:val="en-US"/>
        </w:rPr>
        <w:t>a</w:t>
      </w:r>
      <w:r>
        <w:rPr>
          <w:sz w:val="22"/>
          <w:szCs w:val="22"/>
          <w:rtl w:val="0"/>
          <w:lang w:val="en-US"/>
        </w:rPr>
        <w:t xml:space="preserve"> = E</w:t>
      </w:r>
      <w:r>
        <w:rPr>
          <w:sz w:val="22"/>
          <w:szCs w:val="22"/>
          <w:vertAlign w:val="subscript"/>
          <w:rtl w:val="0"/>
          <w:lang w:val="en-US"/>
        </w:rPr>
        <w:t>a</w:t>
      </w:r>
      <w:r>
        <w:rPr>
          <w:sz w:val="22"/>
          <w:szCs w:val="22"/>
          <w:rtl w:val="0"/>
          <w:lang w:val="en-US"/>
        </w:rPr>
        <w:t>* is cell averaging, (F</w:t>
      </w:r>
      <w:r>
        <w:rPr>
          <w:sz w:val="22"/>
          <w:szCs w:val="22"/>
          <w:vertAlign w:val="subscript"/>
          <w:rtl w:val="0"/>
          <w:lang w:val="en-US"/>
        </w:rPr>
        <w:t>a</w:t>
      </w:r>
      <w:r>
        <w:rPr>
          <w:sz w:val="22"/>
          <w:szCs w:val="22"/>
          <w:rtl w:val="0"/>
          <w:lang w:val="en-US"/>
        </w:rPr>
        <w:t>f)</w:t>
      </w:r>
      <w:r>
        <w:rPr>
          <w:sz w:val="22"/>
          <w:szCs w:val="22"/>
          <w:vertAlign w:val="subscript"/>
          <w:rtl w:val="0"/>
          <w:lang w:val="en-US"/>
        </w:rPr>
        <w:t>j</w:t>
      </w:r>
      <w:r>
        <w:rPr>
          <w:sz w:val="22"/>
          <w:szCs w:val="22"/>
          <w:rtl w:val="0"/>
          <w:lang w:val="en-US"/>
        </w:rPr>
        <w:t xml:space="preserve"> = a</w:t>
      </w:r>
      <w:r>
        <w:rPr>
          <w:sz w:val="22"/>
          <w:szCs w:val="22"/>
          <w:vertAlign w:val="superscript"/>
          <w:rtl w:val="0"/>
          <w:lang w:val="en-US"/>
        </w:rPr>
        <w:t>-1</w:t>
      </w:r>
      <w:r>
        <w:rPr>
          <w:sz w:val="22"/>
          <w:szCs w:val="22"/>
          <w:rtl w:val="0"/>
          <w:lang w:val="en-US"/>
        </w:rPr>
        <w:t>∫</w:t>
      </w:r>
      <w:r>
        <w:rPr>
          <w:sz w:val="22"/>
          <w:szCs w:val="22"/>
          <w:rtl w:val="0"/>
          <w:lang w:val="en-US"/>
        </w:rPr>
        <w:t>cell j f. Both maps are local in position, and E</w:t>
      </w:r>
      <w:r>
        <w:rPr>
          <w:sz w:val="22"/>
          <w:szCs w:val="22"/>
          <w:vertAlign w:val="subscript"/>
          <w:rtl w:val="0"/>
          <w:lang w:val="en-US"/>
        </w:rPr>
        <w:t>a</w:t>
      </w:r>
      <w:r>
        <w:rPr>
          <w:sz w:val="22"/>
          <w:szCs w:val="22"/>
          <w:rtl w:val="0"/>
          <w:lang w:val="en-US"/>
        </w:rPr>
        <w:t xml:space="preserve"> is an isometry. They differ from trigonometric interpolation, which is spatially nonlocal at finite N.</w:t>
      </w:r>
    </w:p>
    <w:p>
      <w:pPr>
        <w:pStyle w:val="Normal.0"/>
        <w:keepNext w:val="1"/>
        <w:spacing w:after="80" w:line="240" w:lineRule="atLeast"/>
      </w:pPr>
      <w:r>
        <w:rPr>
          <w:b w:val="1"/>
          <w:bCs w:val="1"/>
          <w:sz w:val="22"/>
          <w:szCs w:val="22"/>
          <w:rtl w:val="0"/>
          <w:lang w:val="en-US"/>
        </w:rPr>
        <w:t>Theorem 3.</w:t>
      </w:r>
      <w:r>
        <w:rPr>
          <w:sz w:val="22"/>
          <w:szCs w:val="22"/>
          <w:rtl w:val="0"/>
          <w:lang w:val="en-US"/>
        </w:rPr>
        <w:t xml:space="preserve"> For the operators of Theorem 1 and f </w:t>
      </w:r>
      <w:r>
        <w:rPr>
          <w:rFonts w:ascii="Arial Unicode MS" w:cs="Arial Unicode MS" w:hAnsi="Arial Unicode MS" w:eastAsia="Arial Unicode MS" w:hint="default"/>
          <w:b w:val="0"/>
          <w:bCs w:val="0"/>
          <w:i w:val="0"/>
          <w:iCs w:val="0"/>
          <w:sz w:val="22"/>
          <w:szCs w:val="22"/>
          <w:rtl w:val="0"/>
          <w:lang w:val="en-US"/>
        </w:rPr>
        <w:t>∈</w:t>
      </w:r>
      <w:r>
        <w:rPr>
          <w:sz w:val="22"/>
          <w:szCs w:val="22"/>
          <w:rtl w:val="0"/>
          <w:lang w:val="en-US"/>
        </w:rPr>
        <w:t xml:space="preserve"> </w:t>
      </w:r>
      <w:r>
        <w:rPr>
          <w:sz w:val="22"/>
          <w:szCs w:val="22"/>
          <w:rtl w:val="0"/>
          <w:lang w:val="en-US"/>
        </w:rPr>
        <w:t>H</w:t>
      </w:r>
      <w:r>
        <w:rPr>
          <w:sz w:val="22"/>
          <w:szCs w:val="22"/>
          <w:vertAlign w:val="superscript"/>
          <w:rtl w:val="0"/>
          <w:lang w:val="en-US"/>
        </w:rPr>
        <w:t>1</w:t>
      </w:r>
      <w:r>
        <w:rPr>
          <w:sz w:val="22"/>
          <w:szCs w:val="22"/>
          <w:rtl w:val="0"/>
          <w:lang w:val="en-US"/>
        </w:rPr>
        <w:t>(S</w:t>
      </w:r>
      <w:r>
        <w:rPr>
          <w:sz w:val="22"/>
          <w:szCs w:val="22"/>
          <w:vertAlign w:val="superscript"/>
          <w:rtl w:val="0"/>
          <w:lang w:val="en-US"/>
        </w:rPr>
        <w:t>1</w:t>
      </w:r>
      <w:r>
        <w:rPr>
          <w:sz w:val="22"/>
          <w:szCs w:val="22"/>
          <w:rtl w:val="0"/>
          <w:lang w:val="en-US"/>
        </w:rPr>
        <w:t>),</w:t>
      </w:r>
    </w:p>
    <w:p>
      <w:pPr>
        <w:pStyle w:val="Equation"/>
        <w:spacing w:after="80" w:line="240" w:lineRule="atLeast"/>
      </w:pPr>
      <w:r>
        <w:rPr>
          <w:rFonts w:ascii="Arial Unicode MS" w:cs="Arial Unicode MS" w:hAnsi="Arial Unicode MS" w:eastAsia="Arial Unicode MS" w:hint="default"/>
          <w:b w:val="0"/>
          <w:bCs w:val="0"/>
          <w:i w:val="0"/>
          <w:iCs w:val="0"/>
          <w:sz w:val="22"/>
          <w:szCs w:val="22"/>
          <w:rtl w:val="0"/>
          <w:lang w:val="en-US"/>
        </w:rPr>
        <w:t>ℰ</w:t>
      </w:r>
      <w:r>
        <w:rPr>
          <w:rFonts w:ascii="Times New Roman" w:hAnsi="Times New Roman"/>
          <w:sz w:val="22"/>
          <w:szCs w:val="22"/>
          <w:vertAlign w:val="subscript"/>
          <w:rtl w:val="0"/>
          <w:lang w:val="en-US"/>
        </w:rPr>
        <w:t>a</w:t>
      </w:r>
      <w:r>
        <w:rPr>
          <w:rFonts w:ascii="Times New Roman" w:hAnsi="Times New Roman"/>
          <w:sz w:val="22"/>
          <w:szCs w:val="22"/>
          <w:rtl w:val="0"/>
          <w:lang w:val="en-US"/>
        </w:rPr>
        <w:t xml:space="preserve">,T(f) = sup(0 </w:t>
      </w:r>
      <w:r>
        <w:rPr>
          <w:rFonts w:ascii="Times New Roman" w:hAnsi="Times New Roman" w:hint="default"/>
          <w:sz w:val="22"/>
          <w:szCs w:val="22"/>
          <w:rtl w:val="0"/>
          <w:lang w:val="en-US"/>
        </w:rPr>
        <w:t xml:space="preserve">≤ </w:t>
      </w:r>
      <w:r>
        <w:rPr>
          <w:rFonts w:ascii="Times New Roman" w:hAnsi="Times New Roman"/>
          <w:sz w:val="22"/>
          <w:szCs w:val="22"/>
          <w:rtl w:val="0"/>
          <w:lang w:val="en-US"/>
        </w:rPr>
        <w:t xml:space="preserve">t </w:t>
      </w:r>
      <w:r>
        <w:rPr>
          <w:rFonts w:ascii="Times New Roman" w:hAnsi="Times New Roman" w:hint="default"/>
          <w:sz w:val="22"/>
          <w:szCs w:val="22"/>
          <w:rtl w:val="0"/>
          <w:lang w:val="en-US"/>
        </w:rPr>
        <w:t xml:space="preserve">≤ </w:t>
      </w:r>
      <w:r>
        <w:rPr>
          <w:rFonts w:ascii="Times New Roman" w:hAnsi="Times New Roman"/>
          <w:sz w:val="22"/>
          <w:szCs w:val="22"/>
          <w:rtl w:val="0"/>
          <w:lang w:val="en-US"/>
        </w:rPr>
        <w:t xml:space="preserve">T) </w:t>
      </w:r>
      <w:r>
        <w:rPr>
          <w:rFonts w:ascii="Times New Roman" w:hAnsi="Times New Roman" w:hint="default"/>
          <w:sz w:val="22"/>
          <w:szCs w:val="22"/>
          <w:rtl w:val="0"/>
          <w:lang w:val="en-US"/>
        </w:rPr>
        <w:t>‖</w:t>
      </w:r>
      <w:r>
        <w:rPr>
          <w:rFonts w:ascii="Times New Roman" w:hAnsi="Times New Roman"/>
          <w:sz w:val="22"/>
          <w:szCs w:val="22"/>
          <w:rtl w:val="0"/>
          <w:lang w:val="en-US"/>
        </w:rPr>
        <w:t>E</w:t>
      </w:r>
      <w:r>
        <w:rPr>
          <w:rFonts w:ascii="Times New Roman" w:hAnsi="Times New Roman"/>
          <w:sz w:val="22"/>
          <w:szCs w:val="22"/>
          <w:vertAlign w:val="subscript"/>
          <w:rtl w:val="0"/>
          <w:lang w:val="en-US"/>
        </w:rPr>
        <w:t>a</w:t>
      </w:r>
      <w:r>
        <w:rPr>
          <w:rFonts w:ascii="Times New Roman" w:hAnsi="Times New Roman"/>
          <w:sz w:val="22"/>
          <w:szCs w:val="22"/>
          <w:rtl w:val="0"/>
          <w:lang w:val="en-US"/>
        </w:rPr>
        <w:t>S</w:t>
      </w:r>
      <w:r>
        <w:rPr>
          <w:rFonts w:ascii="Times New Roman" w:hAnsi="Times New Roman"/>
          <w:sz w:val="22"/>
          <w:szCs w:val="22"/>
          <w:vertAlign w:val="subscript"/>
          <w:rtl w:val="0"/>
          <w:lang w:val="en-US"/>
        </w:rPr>
        <w:t>a</w:t>
      </w:r>
      <w:r>
        <w:rPr>
          <w:rFonts w:ascii="Times New Roman" w:hAnsi="Times New Roman"/>
          <w:sz w:val="22"/>
          <w:szCs w:val="22"/>
          <w:rtl w:val="0"/>
          <w:lang w:val="en-US"/>
        </w:rPr>
        <w:t>(t)F</w:t>
      </w:r>
      <w:r>
        <w:rPr>
          <w:rFonts w:ascii="Times New Roman" w:hAnsi="Times New Roman"/>
          <w:sz w:val="22"/>
          <w:szCs w:val="22"/>
          <w:vertAlign w:val="subscript"/>
          <w:rtl w:val="0"/>
          <w:lang w:val="en-US"/>
        </w:rPr>
        <w:t>a</w:t>
      </w:r>
      <w:r>
        <w:rPr>
          <w:rFonts w:ascii="Times New Roman" w:hAnsi="Times New Roman"/>
          <w:sz w:val="22"/>
          <w:szCs w:val="22"/>
          <w:rtl w:val="0"/>
          <w:lang w:val="en-US"/>
        </w:rPr>
        <w:t xml:space="preserve">f </w:t>
      </w:r>
      <w:r>
        <w:rPr>
          <w:rFonts w:ascii="Times New Roman" w:hAnsi="Times New Roman" w:hint="default"/>
          <w:sz w:val="22"/>
          <w:szCs w:val="22"/>
          <w:rtl w:val="0"/>
          <w:lang w:val="en-US"/>
        </w:rPr>
        <w:t xml:space="preserve">− </w:t>
      </w:r>
      <w:r>
        <w:rPr>
          <w:rFonts w:ascii="Times New Roman" w:hAnsi="Times New Roman"/>
          <w:sz w:val="22"/>
          <w:szCs w:val="22"/>
          <w:rtl w:val="0"/>
          <w:lang w:val="en-US"/>
        </w:rPr>
        <w:t>J</w:t>
      </w:r>
      <w:r>
        <w:rPr>
          <w:rFonts w:ascii="Times New Roman" w:hAnsi="Times New Roman"/>
          <w:sz w:val="22"/>
          <w:szCs w:val="22"/>
          <w:vertAlign w:val="subscript"/>
          <w:rtl w:val="0"/>
          <w:lang w:val="en-US"/>
        </w:rPr>
        <w:t>a</w:t>
      </w:r>
      <w:r>
        <w:rPr>
          <w:rFonts w:ascii="Times New Roman" w:hAnsi="Times New Roman"/>
          <w:sz w:val="22"/>
          <w:szCs w:val="22"/>
          <w:rtl w:val="0"/>
          <w:lang w:val="en-US"/>
        </w:rPr>
        <w:t>S</w:t>
      </w:r>
      <w:r>
        <w:rPr>
          <w:rFonts w:ascii="Times New Roman" w:hAnsi="Times New Roman"/>
          <w:sz w:val="22"/>
          <w:szCs w:val="22"/>
          <w:vertAlign w:val="subscript"/>
          <w:rtl w:val="0"/>
          <w:lang w:val="en-US"/>
        </w:rPr>
        <w:t>a</w:t>
      </w:r>
      <w:r>
        <w:rPr>
          <w:rFonts w:ascii="Times New Roman" w:hAnsi="Times New Roman"/>
          <w:sz w:val="22"/>
          <w:szCs w:val="22"/>
          <w:rtl w:val="0"/>
          <w:lang w:val="en-US"/>
        </w:rPr>
        <w:t>(t)Q</w:t>
      </w:r>
      <w:r>
        <w:rPr>
          <w:rFonts w:ascii="Times New Roman" w:hAnsi="Times New Roman"/>
          <w:sz w:val="22"/>
          <w:szCs w:val="22"/>
          <w:vertAlign w:val="subscript"/>
          <w:rtl w:val="0"/>
          <w:lang w:val="en-US"/>
        </w:rPr>
        <w:t>a</w:t>
      </w:r>
      <w:r>
        <w:rPr>
          <w:rFonts w:ascii="Times New Roman" w:hAnsi="Times New Roman"/>
          <w:sz w:val="22"/>
          <w:szCs w:val="22"/>
          <w:rtl w:val="0"/>
          <w:lang w:val="en-US"/>
        </w:rPr>
        <w:t>f</w:t>
      </w:r>
      <w:r>
        <w:rPr>
          <w:rFonts w:ascii="Times New Roman" w:hAnsi="Times New Roman" w:hint="default"/>
          <w:sz w:val="22"/>
          <w:szCs w:val="22"/>
          <w:rtl w:val="0"/>
          <w:lang w:val="en-US"/>
        </w:rPr>
        <w:t>‖</w:t>
      </w:r>
      <w:r>
        <w:rPr>
          <w:rFonts w:ascii="Times New Roman" w:hAnsi="Times New Roman"/>
          <w:sz w:val="22"/>
          <w:szCs w:val="22"/>
          <w:vertAlign w:val="subscript"/>
          <w:rtl w:val="0"/>
          <w:lang w:val="en-US"/>
        </w:rPr>
        <w:t>2</w:t>
      </w:r>
      <w:r>
        <w:rPr>
          <w:rFonts w:ascii="Times New Roman" w:hAnsi="Times New Roman"/>
          <w:sz w:val="22"/>
          <w:szCs w:val="22"/>
          <w:rtl w:val="0"/>
          <w:lang w:val="en-US"/>
        </w:rPr>
        <w:t>,</w:t>
        <w:tab/>
        <w:t>(22)</w:t>
      </w:r>
    </w:p>
    <w:p>
      <w:pPr>
        <w:pStyle w:val="Equation"/>
        <w:spacing w:after="80" w:line="240" w:lineRule="atLeast"/>
      </w:pPr>
      <w:r>
        <w:rPr>
          <w:rFonts w:ascii="Arial Unicode MS" w:cs="Arial Unicode MS" w:hAnsi="Arial Unicode MS" w:eastAsia="Arial Unicode MS" w:hint="default"/>
          <w:b w:val="0"/>
          <w:bCs w:val="0"/>
          <w:i w:val="0"/>
          <w:iCs w:val="0"/>
          <w:sz w:val="22"/>
          <w:szCs w:val="22"/>
          <w:rtl w:val="0"/>
          <w:lang w:val="en-US"/>
        </w:rPr>
        <w:t>ℰ</w:t>
      </w:r>
      <w:r>
        <w:rPr>
          <w:rFonts w:ascii="Times New Roman" w:hAnsi="Times New Roman"/>
          <w:sz w:val="22"/>
          <w:szCs w:val="22"/>
          <w:vertAlign w:val="subscript"/>
          <w:rtl w:val="0"/>
          <w:lang w:val="en-US"/>
        </w:rPr>
        <w:t>a</w:t>
      </w:r>
      <w:r>
        <w:rPr>
          <w:rFonts w:ascii="Times New Roman" w:hAnsi="Times New Roman"/>
          <w:sz w:val="22"/>
          <w:szCs w:val="22"/>
          <w:rtl w:val="0"/>
          <w:lang w:val="en-US"/>
        </w:rPr>
        <w:t xml:space="preserve">,T(f) </w:t>
      </w:r>
      <w:r>
        <w:rPr>
          <w:rFonts w:ascii="Times New Roman" w:hAnsi="Times New Roman" w:hint="default"/>
          <w:sz w:val="22"/>
          <w:szCs w:val="22"/>
          <w:rtl w:val="0"/>
          <w:lang w:val="en-US"/>
        </w:rPr>
        <w:t xml:space="preserve">≤ </w:t>
      </w:r>
      <w:r>
        <w:rPr>
          <w:rFonts w:ascii="Times New Roman" w:hAnsi="Times New Roman"/>
          <w:sz w:val="22"/>
          <w:szCs w:val="22"/>
          <w:rtl w:val="0"/>
          <w:lang w:val="en-US"/>
        </w:rPr>
        <w:t>aT(1 + 1/</w:t>
      </w:r>
      <w:r>
        <w:rPr>
          <w:rFonts w:ascii="Times New Roman" w:hAnsi="Times New Roman" w:hint="default"/>
          <w:sz w:val="22"/>
          <w:szCs w:val="22"/>
          <w:rtl w:val="0"/>
          <w:lang w:val="en-US"/>
        </w:rPr>
        <w:t>π</w:t>
      </w:r>
      <w:r>
        <w:rPr>
          <w:rFonts w:ascii="Times New Roman" w:hAnsi="Times New Roman"/>
          <w:sz w:val="22"/>
          <w:szCs w:val="22"/>
          <w:rtl w:val="0"/>
          <w:lang w:val="en-US"/>
        </w:rPr>
        <w:t>)</w:t>
      </w:r>
      <w:r>
        <w:rPr>
          <w:rFonts w:ascii="Times New Roman" w:hAnsi="Times New Roman" w:hint="default"/>
          <w:sz w:val="22"/>
          <w:szCs w:val="22"/>
          <w:rtl w:val="0"/>
          <w:lang w:val="en-US"/>
        </w:rPr>
        <w:t>‖∂</w:t>
      </w:r>
      <w:r>
        <w:rPr>
          <w:rFonts w:ascii="Times New Roman" w:hAnsi="Times New Roman"/>
          <w:sz w:val="22"/>
          <w:szCs w:val="22"/>
          <w:vertAlign w:val="subscript"/>
          <w:rtl w:val="0"/>
          <w:lang w:val="en-US"/>
        </w:rPr>
        <w:t>x</w:t>
      </w:r>
      <w:r>
        <w:rPr>
          <w:rFonts w:ascii="Times New Roman" w:hAnsi="Times New Roman"/>
          <w:sz w:val="22"/>
          <w:szCs w:val="22"/>
          <w:rtl w:val="0"/>
          <w:lang w:val="en-US"/>
        </w:rPr>
        <w:t>f</w:t>
      </w:r>
      <w:r>
        <w:rPr>
          <w:rFonts w:ascii="Times New Roman" w:hAnsi="Times New Roman" w:hint="default"/>
          <w:sz w:val="22"/>
          <w:szCs w:val="22"/>
          <w:rtl w:val="0"/>
          <w:lang w:val="en-US"/>
        </w:rPr>
        <w:t>‖</w:t>
      </w:r>
      <w:r>
        <w:rPr>
          <w:rFonts w:ascii="Times New Roman" w:hAnsi="Times New Roman"/>
          <w:sz w:val="22"/>
          <w:szCs w:val="22"/>
          <w:vertAlign w:val="subscript"/>
          <w:rtl w:val="0"/>
          <w:lang w:val="en-US"/>
        </w:rPr>
        <w:t>2</w:t>
      </w:r>
      <w:r>
        <w:rPr>
          <w:rFonts w:ascii="Times New Roman" w:hAnsi="Times New Roman"/>
          <w:sz w:val="22"/>
          <w:szCs w:val="22"/>
          <w:rtl w:val="0"/>
          <w:lang w:val="en-US"/>
        </w:rPr>
        <w:t>.</w:t>
        <w:tab/>
        <w:t>(23)</w:t>
      </w:r>
    </w:p>
    <w:p>
      <w:pPr>
        <w:pStyle w:val="Normal.0"/>
        <w:spacing w:after="80" w:line="240" w:lineRule="atLeast"/>
      </w:pPr>
      <w:r>
        <w:rPr>
          <w:sz w:val="22"/>
          <w:szCs w:val="22"/>
          <w:rtl w:val="0"/>
          <w:lang w:val="en-US"/>
        </w:rPr>
        <w:t>Both reconstructions therefore have the same uniform strong response limit on every fixed L</w:t>
      </w:r>
      <w:r>
        <w:rPr>
          <w:sz w:val="22"/>
          <w:szCs w:val="22"/>
          <w:vertAlign w:val="superscript"/>
          <w:rtl w:val="0"/>
          <w:lang w:val="en-US"/>
        </w:rPr>
        <w:t>2</w:t>
      </w:r>
      <w:r>
        <w:rPr>
          <w:sz w:val="22"/>
          <w:szCs w:val="22"/>
          <w:rtl w:val="0"/>
          <w:lang w:val="en-US"/>
        </w:rPr>
        <w:t xml:space="preserve"> state.</w:t>
      </w:r>
    </w:p>
    <w:p>
      <w:pPr>
        <w:pStyle w:val="Normal.0"/>
        <w:keepNext w:val="1"/>
        <w:spacing w:after="80" w:line="240" w:lineRule="atLeast"/>
      </w:pPr>
      <w:r>
        <w:rPr>
          <w:b w:val="1"/>
          <w:bCs w:val="1"/>
          <w:sz w:val="22"/>
          <w:szCs w:val="22"/>
          <w:rtl w:val="0"/>
          <w:lang w:val="en-US"/>
        </w:rPr>
        <w:t>Proof.</w:t>
      </w:r>
      <w:r>
        <w:rPr>
          <w:sz w:val="22"/>
          <w:szCs w:val="22"/>
          <w:rtl w:val="0"/>
          <w:lang w:val="en-US"/>
        </w:rPr>
        <w:t xml:space="preserve"> For a trigonometric polynomial u = J</w:t>
      </w:r>
      <w:r>
        <w:rPr>
          <w:sz w:val="22"/>
          <w:szCs w:val="22"/>
          <w:vertAlign w:val="subscript"/>
          <w:rtl w:val="0"/>
          <w:lang w:val="en-US"/>
        </w:rPr>
        <w:t>a</w:t>
      </w:r>
      <w:r>
        <w:rPr>
          <w:sz w:val="22"/>
          <w:szCs w:val="22"/>
          <w:rtl w:val="0"/>
          <w:lang w:val="en-US"/>
        </w:rPr>
        <w:t>q, the fundamental theorem of calculus and Cauchy</w:t>
      </w:r>
      <w:r>
        <w:rPr>
          <w:sz w:val="22"/>
          <w:szCs w:val="22"/>
          <w:rtl w:val="0"/>
          <w:lang w:val="en-US"/>
        </w:rPr>
        <w:t>–</w:t>
      </w:r>
      <w:r>
        <w:rPr>
          <w:sz w:val="22"/>
          <w:szCs w:val="22"/>
          <w:rtl w:val="0"/>
          <w:lang w:val="en-US"/>
        </w:rPr>
        <w:t>Schwarz on each centred cell give</w:t>
      </w:r>
    </w:p>
    <w:p>
      <w:pPr>
        <w:pStyle w:val="Equation"/>
        <w:spacing w:after="80" w:line="240" w:lineRule="atLeast"/>
      </w:pPr>
      <w:r>
        <w:rPr>
          <w:rFonts w:ascii="Times New Roman" w:hAnsi="Times New Roman" w:hint="default"/>
          <w:sz w:val="22"/>
          <w:szCs w:val="22"/>
          <w:rtl w:val="0"/>
          <w:lang w:val="en-US"/>
        </w:rPr>
        <w:t>‖</w:t>
      </w:r>
      <w:r>
        <w:rPr>
          <w:rFonts w:ascii="Times New Roman" w:hAnsi="Times New Roman"/>
          <w:sz w:val="22"/>
          <w:szCs w:val="22"/>
          <w:rtl w:val="0"/>
          <w:lang w:val="en-US"/>
        </w:rPr>
        <w:t>E</w:t>
      </w:r>
      <w:r>
        <w:rPr>
          <w:rFonts w:ascii="Times New Roman" w:hAnsi="Times New Roman"/>
          <w:sz w:val="22"/>
          <w:szCs w:val="22"/>
          <w:vertAlign w:val="subscript"/>
          <w:rtl w:val="0"/>
          <w:lang w:val="en-US"/>
        </w:rPr>
        <w:t>a</w:t>
      </w:r>
      <w:r>
        <w:rPr>
          <w:rFonts w:ascii="Times New Roman" w:hAnsi="Times New Roman"/>
          <w:sz w:val="22"/>
          <w:szCs w:val="22"/>
          <w:rtl w:val="0"/>
          <w:lang w:val="en-US"/>
        </w:rPr>
        <w:t xml:space="preserve">q </w:t>
      </w:r>
      <w:r>
        <w:rPr>
          <w:rFonts w:ascii="Times New Roman" w:hAnsi="Times New Roman" w:hint="default"/>
          <w:sz w:val="22"/>
          <w:szCs w:val="22"/>
          <w:rtl w:val="0"/>
          <w:lang w:val="en-US"/>
        </w:rPr>
        <w:t xml:space="preserve">− </w:t>
      </w:r>
      <w:r>
        <w:rPr>
          <w:rFonts w:ascii="Times New Roman" w:hAnsi="Times New Roman"/>
          <w:sz w:val="22"/>
          <w:szCs w:val="22"/>
          <w:rtl w:val="0"/>
          <w:lang w:val="en-US"/>
        </w:rPr>
        <w:t>J</w:t>
      </w:r>
      <w:r>
        <w:rPr>
          <w:rFonts w:ascii="Times New Roman" w:hAnsi="Times New Roman"/>
          <w:sz w:val="22"/>
          <w:szCs w:val="22"/>
          <w:vertAlign w:val="subscript"/>
          <w:rtl w:val="0"/>
          <w:lang w:val="en-US"/>
        </w:rPr>
        <w:t>a</w:t>
      </w:r>
      <w:r>
        <w:rPr>
          <w:rFonts w:ascii="Times New Roman" w:hAnsi="Times New Roman"/>
          <w:sz w:val="22"/>
          <w:szCs w:val="22"/>
          <w:rtl w:val="0"/>
          <w:lang w:val="en-US"/>
        </w:rPr>
        <w:t>q</w:t>
      </w:r>
      <w:r>
        <w:rPr>
          <w:rFonts w:ascii="Times New Roman" w:hAnsi="Times New Roman" w:hint="default"/>
          <w:sz w:val="22"/>
          <w:szCs w:val="22"/>
          <w:rtl w:val="0"/>
          <w:lang w:val="en-US"/>
        </w:rPr>
        <w:t>‖</w:t>
      </w:r>
      <w:r>
        <w:rPr>
          <w:rFonts w:ascii="Times New Roman" w:hAnsi="Times New Roman"/>
          <w:sz w:val="22"/>
          <w:szCs w:val="22"/>
          <w:vertAlign w:val="subscript"/>
          <w:rtl w:val="0"/>
          <w:lang w:val="en-US"/>
        </w:rPr>
        <w:t>2</w:t>
      </w:r>
      <w:r>
        <w:rPr>
          <w:rFonts w:ascii="Times New Roman" w:hAnsi="Times New Roman" w:hint="default"/>
          <w:sz w:val="22"/>
          <w:szCs w:val="22"/>
          <w:rtl w:val="0"/>
          <w:lang w:val="en-US"/>
        </w:rPr>
        <w:t xml:space="preserve"> ≤ </w:t>
      </w:r>
      <w:r>
        <w:rPr>
          <w:rFonts w:ascii="Times New Roman" w:hAnsi="Times New Roman"/>
          <w:sz w:val="22"/>
          <w:szCs w:val="22"/>
          <w:rtl w:val="0"/>
          <w:lang w:val="en-US"/>
        </w:rPr>
        <w:t>(a/2)</w:t>
      </w:r>
      <w:r>
        <w:rPr>
          <w:rFonts w:ascii="Times New Roman" w:hAnsi="Times New Roman" w:hint="default"/>
          <w:sz w:val="22"/>
          <w:szCs w:val="22"/>
          <w:rtl w:val="0"/>
          <w:lang w:val="en-US"/>
        </w:rPr>
        <w:t>‖∂</w:t>
      </w:r>
      <w:r>
        <w:rPr>
          <w:rFonts w:ascii="Times New Roman" w:hAnsi="Times New Roman"/>
          <w:sz w:val="22"/>
          <w:szCs w:val="22"/>
          <w:vertAlign w:val="subscript"/>
          <w:rtl w:val="0"/>
          <w:lang w:val="en-US"/>
        </w:rPr>
        <w:t>x</w:t>
      </w:r>
      <w:r>
        <w:rPr>
          <w:rFonts w:ascii="Times New Roman" w:hAnsi="Times New Roman"/>
          <w:sz w:val="22"/>
          <w:szCs w:val="22"/>
          <w:rtl w:val="0"/>
          <w:lang w:val="en-US"/>
        </w:rPr>
        <w:t>J</w:t>
      </w:r>
      <w:r>
        <w:rPr>
          <w:rFonts w:ascii="Times New Roman" w:hAnsi="Times New Roman"/>
          <w:sz w:val="22"/>
          <w:szCs w:val="22"/>
          <w:vertAlign w:val="subscript"/>
          <w:rtl w:val="0"/>
          <w:lang w:val="en-US"/>
        </w:rPr>
        <w:t>a</w:t>
      </w:r>
      <w:r>
        <w:rPr>
          <w:rFonts w:ascii="Times New Roman" w:hAnsi="Times New Roman"/>
          <w:sz w:val="22"/>
          <w:szCs w:val="22"/>
          <w:rtl w:val="0"/>
          <w:lang w:val="en-US"/>
        </w:rPr>
        <w:t>q</w:t>
      </w:r>
      <w:r>
        <w:rPr>
          <w:rFonts w:ascii="Times New Roman" w:hAnsi="Times New Roman" w:hint="default"/>
          <w:sz w:val="22"/>
          <w:szCs w:val="22"/>
          <w:rtl w:val="0"/>
          <w:lang w:val="en-US"/>
        </w:rPr>
        <w:t>‖</w:t>
      </w:r>
      <w:r>
        <w:rPr>
          <w:rFonts w:ascii="Times New Roman" w:hAnsi="Times New Roman"/>
          <w:sz w:val="22"/>
          <w:szCs w:val="22"/>
          <w:vertAlign w:val="subscript"/>
          <w:rtl w:val="0"/>
          <w:lang w:val="en-US"/>
        </w:rPr>
        <w:t>2</w:t>
      </w:r>
      <w:r>
        <w:rPr>
          <w:rFonts w:ascii="Times New Roman" w:hAnsi="Times New Roman"/>
          <w:sz w:val="22"/>
          <w:szCs w:val="22"/>
          <w:rtl w:val="0"/>
          <w:lang w:val="en-US"/>
        </w:rPr>
        <w:t>.</w:t>
        <w:tab/>
        <w:t>(24)</w:t>
      </w:r>
    </w:p>
    <w:p>
      <w:pPr>
        <w:pStyle w:val="Normal.0"/>
        <w:keepNext w:val="1"/>
        <w:spacing w:after="80" w:line="240" w:lineRule="atLeast"/>
      </w:pPr>
      <w:r>
        <w:rPr>
          <w:sz w:val="22"/>
          <w:szCs w:val="22"/>
          <w:rtl w:val="0"/>
          <w:lang w:val="en-US"/>
        </w:rPr>
        <w:t>Apply this to u = P</w:t>
      </w:r>
      <w:r>
        <w:rPr>
          <w:sz w:val="22"/>
          <w:szCs w:val="22"/>
          <w:vertAlign w:val="subscript"/>
          <w:rtl w:val="0"/>
          <w:lang w:val="en-US"/>
        </w:rPr>
        <w:t>a</w:t>
      </w:r>
      <w:r>
        <w:rPr>
          <w:sz w:val="22"/>
          <w:szCs w:val="22"/>
          <w:rtl w:val="0"/>
          <w:lang w:val="en-US"/>
        </w:rPr>
        <w:t xml:space="preserve">f. Since omitted modes have |k| &gt; </w:t>
      </w:r>
      <w:r>
        <w:rPr>
          <w:sz w:val="22"/>
          <w:szCs w:val="22"/>
          <w:rtl w:val="0"/>
          <w:lang w:val="en-US"/>
        </w:rPr>
        <w:t>π</w:t>
      </w:r>
      <w:r>
        <w:rPr>
          <w:sz w:val="22"/>
          <w:szCs w:val="22"/>
          <w:rtl w:val="0"/>
          <w:lang w:val="en-US"/>
        </w:rPr>
        <w:t>/a and cell averaging is contractive,</w:t>
      </w:r>
    </w:p>
    <w:p>
      <w:pPr>
        <w:pStyle w:val="Equation"/>
        <w:spacing w:after="80" w:line="240" w:lineRule="atLeast"/>
      </w:pPr>
      <w:r>
        <w:rPr>
          <w:rFonts w:ascii="Times New Roman" w:hAnsi="Times New Roman" w:hint="default"/>
          <w:sz w:val="22"/>
          <w:szCs w:val="22"/>
          <w:rtl w:val="0"/>
          <w:lang w:val="en-US"/>
        </w:rPr>
        <w:t>‖</w:t>
      </w:r>
      <w:r>
        <w:rPr>
          <w:rFonts w:ascii="Times New Roman" w:hAnsi="Times New Roman"/>
          <w:sz w:val="22"/>
          <w:szCs w:val="22"/>
          <w:rtl w:val="0"/>
          <w:lang w:val="en-US"/>
        </w:rPr>
        <w:t>F</w:t>
      </w:r>
      <w:r>
        <w:rPr>
          <w:rFonts w:ascii="Times New Roman" w:hAnsi="Times New Roman"/>
          <w:sz w:val="22"/>
          <w:szCs w:val="22"/>
          <w:vertAlign w:val="subscript"/>
          <w:rtl w:val="0"/>
          <w:lang w:val="en-US"/>
        </w:rPr>
        <w:t>a</w:t>
      </w:r>
      <w:r>
        <w:rPr>
          <w:rFonts w:ascii="Times New Roman" w:hAnsi="Times New Roman"/>
          <w:sz w:val="22"/>
          <w:szCs w:val="22"/>
          <w:rtl w:val="0"/>
          <w:lang w:val="en-US"/>
        </w:rPr>
        <w:t xml:space="preserve">f </w:t>
      </w:r>
      <w:r>
        <w:rPr>
          <w:rFonts w:ascii="Times New Roman" w:hAnsi="Times New Roman" w:hint="default"/>
          <w:sz w:val="22"/>
          <w:szCs w:val="22"/>
          <w:rtl w:val="0"/>
          <w:lang w:val="en-US"/>
        </w:rPr>
        <w:t xml:space="preserve">− </w:t>
      </w:r>
      <w:r>
        <w:rPr>
          <w:rFonts w:ascii="Times New Roman" w:hAnsi="Times New Roman"/>
          <w:sz w:val="22"/>
          <w:szCs w:val="22"/>
          <w:rtl w:val="0"/>
          <w:lang w:val="en-US"/>
        </w:rPr>
        <w:t>Q</w:t>
      </w:r>
      <w:r>
        <w:rPr>
          <w:rFonts w:ascii="Times New Roman" w:hAnsi="Times New Roman"/>
          <w:sz w:val="22"/>
          <w:szCs w:val="22"/>
          <w:vertAlign w:val="subscript"/>
          <w:rtl w:val="0"/>
          <w:lang w:val="en-US"/>
        </w:rPr>
        <w:t>a</w:t>
      </w:r>
      <w:r>
        <w:rPr>
          <w:rFonts w:ascii="Times New Roman" w:hAnsi="Times New Roman"/>
          <w:sz w:val="22"/>
          <w:szCs w:val="22"/>
          <w:rtl w:val="0"/>
          <w:lang w:val="en-US"/>
        </w:rPr>
        <w:t>f</w:t>
      </w:r>
      <w:r>
        <w:rPr>
          <w:rFonts w:ascii="Times New Roman" w:hAnsi="Times New Roman" w:hint="default"/>
          <w:sz w:val="22"/>
          <w:szCs w:val="22"/>
          <w:rtl w:val="0"/>
          <w:lang w:val="en-US"/>
        </w:rPr>
        <w:t>‖</w:t>
      </w:r>
      <w:r>
        <w:rPr>
          <w:rFonts w:ascii="Times New Roman" w:hAnsi="Times New Roman"/>
          <w:sz w:val="22"/>
          <w:szCs w:val="22"/>
          <w:vertAlign w:val="subscript"/>
          <w:rtl w:val="0"/>
          <w:lang w:val="en-US"/>
        </w:rPr>
        <w:t>a</w:t>
      </w:r>
      <w:r>
        <w:rPr>
          <w:rFonts w:ascii="Times New Roman" w:hAnsi="Times New Roman" w:hint="default"/>
          <w:sz w:val="22"/>
          <w:szCs w:val="22"/>
          <w:rtl w:val="0"/>
          <w:lang w:val="en-US"/>
        </w:rPr>
        <w:t xml:space="preserve"> ≤ </w:t>
      </w:r>
      <w:r>
        <w:rPr>
          <w:rFonts w:ascii="Times New Roman" w:hAnsi="Times New Roman"/>
          <w:sz w:val="22"/>
          <w:szCs w:val="22"/>
          <w:rtl w:val="0"/>
          <w:lang w:val="en-US"/>
        </w:rPr>
        <w:t>a(1/</w:t>
      </w:r>
      <w:r>
        <w:rPr>
          <w:rFonts w:ascii="Times New Roman" w:hAnsi="Times New Roman" w:hint="default"/>
          <w:sz w:val="22"/>
          <w:szCs w:val="22"/>
          <w:rtl w:val="0"/>
          <w:lang w:val="en-US"/>
        </w:rPr>
        <w:t xml:space="preserve">π </w:t>
      </w:r>
      <w:r>
        <w:rPr>
          <w:rFonts w:ascii="Times New Roman" w:hAnsi="Times New Roman"/>
          <w:sz w:val="22"/>
          <w:szCs w:val="22"/>
          <w:rtl w:val="0"/>
          <w:lang w:val="en-US"/>
        </w:rPr>
        <w:t>+ 1/2)</w:t>
      </w:r>
      <w:r>
        <w:rPr>
          <w:rFonts w:ascii="Times New Roman" w:hAnsi="Times New Roman" w:hint="default"/>
          <w:sz w:val="22"/>
          <w:szCs w:val="22"/>
          <w:rtl w:val="0"/>
          <w:lang w:val="en-US"/>
        </w:rPr>
        <w:t>‖∂</w:t>
      </w:r>
      <w:r>
        <w:rPr>
          <w:rFonts w:ascii="Times New Roman" w:hAnsi="Times New Roman"/>
          <w:sz w:val="22"/>
          <w:szCs w:val="22"/>
          <w:vertAlign w:val="subscript"/>
          <w:rtl w:val="0"/>
          <w:lang w:val="en-US"/>
        </w:rPr>
        <w:t>x</w:t>
      </w:r>
      <w:r>
        <w:rPr>
          <w:rFonts w:ascii="Times New Roman" w:hAnsi="Times New Roman"/>
          <w:sz w:val="22"/>
          <w:szCs w:val="22"/>
          <w:rtl w:val="0"/>
          <w:lang w:val="en-US"/>
        </w:rPr>
        <w:t>f</w:t>
      </w:r>
      <w:r>
        <w:rPr>
          <w:rFonts w:ascii="Times New Roman" w:hAnsi="Times New Roman" w:hint="default"/>
          <w:sz w:val="22"/>
          <w:szCs w:val="22"/>
          <w:rtl w:val="0"/>
          <w:lang w:val="en-US"/>
        </w:rPr>
        <w:t>‖</w:t>
      </w:r>
      <w:r>
        <w:rPr>
          <w:rFonts w:ascii="Times New Roman" w:hAnsi="Times New Roman"/>
          <w:sz w:val="22"/>
          <w:szCs w:val="22"/>
          <w:vertAlign w:val="subscript"/>
          <w:rtl w:val="0"/>
          <w:lang w:val="en-US"/>
        </w:rPr>
        <w:t>2</w:t>
      </w:r>
      <w:r>
        <w:rPr>
          <w:rFonts w:ascii="Times New Roman" w:hAnsi="Times New Roman"/>
          <w:sz w:val="22"/>
          <w:szCs w:val="22"/>
          <w:rtl w:val="0"/>
          <w:lang w:val="en-US"/>
        </w:rPr>
        <w:t>.</w:t>
        <w:tab/>
        <w:t>(25)</w:t>
      </w:r>
    </w:p>
    <w:p>
      <w:pPr>
        <w:pStyle w:val="Normal.0"/>
        <w:spacing w:after="80" w:line="240" w:lineRule="atLeast"/>
      </w:pPr>
      <w:r>
        <w:rPr>
          <w:sz w:val="22"/>
          <w:szCs w:val="22"/>
          <w:rtl w:val="0"/>
          <w:lang w:val="en-US"/>
        </w:rPr>
        <w:t>Split the difference in (22) into E</w:t>
      </w:r>
      <w:r>
        <w:rPr>
          <w:sz w:val="22"/>
          <w:szCs w:val="22"/>
          <w:vertAlign w:val="subscript"/>
          <w:rtl w:val="0"/>
          <w:lang w:val="en-US"/>
        </w:rPr>
        <w:t>a</w:t>
      </w:r>
      <w:r>
        <w:rPr>
          <w:sz w:val="22"/>
          <w:szCs w:val="22"/>
          <w:rtl w:val="0"/>
          <w:lang w:val="en-US"/>
        </w:rPr>
        <w:t>S</w:t>
      </w:r>
      <w:r>
        <w:rPr>
          <w:sz w:val="22"/>
          <w:szCs w:val="22"/>
          <w:vertAlign w:val="subscript"/>
          <w:rtl w:val="0"/>
          <w:lang w:val="en-US"/>
        </w:rPr>
        <w:t>a</w:t>
      </w:r>
      <w:r>
        <w:rPr>
          <w:sz w:val="22"/>
          <w:szCs w:val="22"/>
          <w:rtl w:val="0"/>
          <w:lang w:val="en-US"/>
        </w:rPr>
        <w:t>(F</w:t>
      </w:r>
      <w:r>
        <w:rPr>
          <w:sz w:val="22"/>
          <w:szCs w:val="22"/>
          <w:vertAlign w:val="subscript"/>
          <w:rtl w:val="0"/>
          <w:lang w:val="en-US"/>
        </w:rPr>
        <w:t>a</w:t>
      </w:r>
      <w:r>
        <w:rPr>
          <w:sz w:val="22"/>
          <w:szCs w:val="22"/>
          <w:rtl w:val="0"/>
          <w:lang w:val="en-US"/>
        </w:rPr>
        <w:t>−</w:t>
      </w:r>
      <w:r>
        <w:rPr>
          <w:sz w:val="22"/>
          <w:szCs w:val="22"/>
          <w:rtl w:val="0"/>
          <w:lang w:val="en-US"/>
        </w:rPr>
        <w:t>Q</w:t>
      </w:r>
      <w:r>
        <w:rPr>
          <w:sz w:val="22"/>
          <w:szCs w:val="22"/>
          <w:vertAlign w:val="subscript"/>
          <w:rtl w:val="0"/>
          <w:lang w:val="en-US"/>
        </w:rPr>
        <w:t>a</w:t>
      </w:r>
      <w:r>
        <w:rPr>
          <w:sz w:val="22"/>
          <w:szCs w:val="22"/>
          <w:rtl w:val="0"/>
          <w:lang w:val="en-US"/>
        </w:rPr>
        <w:t>)f and (E</w:t>
      </w:r>
      <w:r>
        <w:rPr>
          <w:sz w:val="22"/>
          <w:szCs w:val="22"/>
          <w:vertAlign w:val="subscript"/>
          <w:rtl w:val="0"/>
          <w:lang w:val="en-US"/>
        </w:rPr>
        <w:t>a</w:t>
      </w:r>
      <w:r>
        <w:rPr>
          <w:sz w:val="22"/>
          <w:szCs w:val="22"/>
          <w:rtl w:val="0"/>
          <w:lang w:val="en-US"/>
        </w:rPr>
        <w:t>−</w:t>
      </w:r>
      <w:r>
        <w:rPr>
          <w:sz w:val="22"/>
          <w:szCs w:val="22"/>
          <w:rtl w:val="0"/>
          <w:lang w:val="en-US"/>
        </w:rPr>
        <w:t>J</w:t>
      </w:r>
      <w:r>
        <w:rPr>
          <w:sz w:val="22"/>
          <w:szCs w:val="22"/>
          <w:vertAlign w:val="subscript"/>
          <w:rtl w:val="0"/>
          <w:lang w:val="en-US"/>
        </w:rPr>
        <w:t>a</w:t>
      </w:r>
      <w:r>
        <w:rPr>
          <w:sz w:val="22"/>
          <w:szCs w:val="22"/>
          <w:rtl w:val="0"/>
          <w:lang w:val="en-US"/>
        </w:rPr>
        <w:t>)S</w:t>
      </w:r>
      <w:r>
        <w:rPr>
          <w:sz w:val="22"/>
          <w:szCs w:val="22"/>
          <w:vertAlign w:val="subscript"/>
          <w:rtl w:val="0"/>
          <w:lang w:val="en-US"/>
        </w:rPr>
        <w:t>a</w:t>
      </w:r>
      <w:r>
        <w:rPr>
          <w:sz w:val="22"/>
          <w:szCs w:val="22"/>
          <w:rtl w:val="0"/>
          <w:lang w:val="en-US"/>
        </w:rPr>
        <w:t>Q</w:t>
      </w:r>
      <w:r>
        <w:rPr>
          <w:sz w:val="22"/>
          <w:szCs w:val="22"/>
          <w:vertAlign w:val="subscript"/>
          <w:rtl w:val="0"/>
          <w:lang w:val="en-US"/>
        </w:rPr>
        <w:t>a</w:t>
      </w:r>
      <w:r>
        <w:rPr>
          <w:sz w:val="22"/>
          <w:szCs w:val="22"/>
          <w:rtl w:val="0"/>
          <w:lang w:val="en-US"/>
        </w:rPr>
        <w:t xml:space="preserve">f. The first term is bounded using </w:t>
      </w:r>
      <w:r>
        <w:rPr>
          <w:sz w:val="22"/>
          <w:szCs w:val="22"/>
          <w:rtl w:val="0"/>
          <w:lang w:val="en-US"/>
        </w:rPr>
        <w:t>‖</w:t>
      </w:r>
      <w:r>
        <w:rPr>
          <w:sz w:val="22"/>
          <w:szCs w:val="22"/>
          <w:rtl w:val="0"/>
          <w:lang w:val="en-US"/>
        </w:rPr>
        <w:t>S</w:t>
      </w:r>
      <w:r>
        <w:rPr>
          <w:sz w:val="22"/>
          <w:szCs w:val="22"/>
          <w:vertAlign w:val="subscript"/>
          <w:rtl w:val="0"/>
          <w:lang w:val="en-US"/>
        </w:rPr>
        <w:t>a</w:t>
      </w:r>
      <w:r>
        <w:rPr>
          <w:sz w:val="22"/>
          <w:szCs w:val="22"/>
          <w:rtl w:val="0"/>
          <w:lang w:val="en-US"/>
        </w:rPr>
        <w:t>(t)</w:t>
      </w:r>
      <w:r>
        <w:rPr>
          <w:sz w:val="22"/>
          <w:szCs w:val="22"/>
          <w:rtl w:val="0"/>
          <w:lang w:val="en-US"/>
        </w:rPr>
        <w:t xml:space="preserve">‖ ≤ </w:t>
      </w:r>
      <w:r>
        <w:rPr>
          <w:sz w:val="22"/>
          <w:szCs w:val="22"/>
          <w:rtl w:val="0"/>
          <w:lang w:val="en-US"/>
        </w:rPr>
        <w:t xml:space="preserve">T. For the second, (24) applies and the Fourier response commutes with </w:t>
      </w:r>
      <w:r>
        <w:rPr>
          <w:sz w:val="22"/>
          <w:szCs w:val="22"/>
          <w:rtl w:val="0"/>
          <w:lang w:val="en-US"/>
        </w:rPr>
        <w:t>∂</w:t>
      </w:r>
      <w:r>
        <w:rPr>
          <w:sz w:val="22"/>
          <w:szCs w:val="22"/>
          <w:vertAlign w:val="subscript"/>
          <w:rtl w:val="0"/>
          <w:lang w:val="en-US"/>
        </w:rPr>
        <w:t>x</w:t>
      </w:r>
      <w:r>
        <w:rPr>
          <w:sz w:val="22"/>
          <w:szCs w:val="22"/>
          <w:rtl w:val="0"/>
          <w:lang w:val="en-US"/>
        </w:rPr>
        <w:t xml:space="preserve">, so </w:t>
      </w:r>
      <w:r>
        <w:rPr>
          <w:sz w:val="22"/>
          <w:szCs w:val="22"/>
          <w:rtl w:val="0"/>
          <w:lang w:val="en-US"/>
        </w:rPr>
        <w:t>‖∂</w:t>
      </w:r>
      <w:r>
        <w:rPr>
          <w:sz w:val="22"/>
          <w:szCs w:val="22"/>
          <w:vertAlign w:val="subscript"/>
          <w:rtl w:val="0"/>
          <w:lang w:val="en-US"/>
        </w:rPr>
        <w:t>x</w:t>
      </w:r>
      <w:r>
        <w:rPr>
          <w:sz w:val="22"/>
          <w:szCs w:val="22"/>
          <w:rtl w:val="0"/>
          <w:lang w:val="en-US"/>
        </w:rPr>
        <w:t>J</w:t>
      </w:r>
      <w:r>
        <w:rPr>
          <w:sz w:val="22"/>
          <w:szCs w:val="22"/>
          <w:vertAlign w:val="subscript"/>
          <w:rtl w:val="0"/>
          <w:lang w:val="en-US"/>
        </w:rPr>
        <w:t>a</w:t>
      </w:r>
      <w:r>
        <w:rPr>
          <w:sz w:val="22"/>
          <w:szCs w:val="22"/>
          <w:rtl w:val="0"/>
          <w:lang w:val="en-US"/>
        </w:rPr>
        <w:t>S</w:t>
      </w:r>
      <w:r>
        <w:rPr>
          <w:sz w:val="22"/>
          <w:szCs w:val="22"/>
          <w:vertAlign w:val="subscript"/>
          <w:rtl w:val="0"/>
          <w:lang w:val="en-US"/>
        </w:rPr>
        <w:t>a</w:t>
      </w:r>
      <w:r>
        <w:rPr>
          <w:sz w:val="22"/>
          <w:szCs w:val="22"/>
          <w:rtl w:val="0"/>
          <w:lang w:val="en-US"/>
        </w:rPr>
        <w:t>Q</w:t>
      </w:r>
      <w:r>
        <w:rPr>
          <w:sz w:val="22"/>
          <w:szCs w:val="22"/>
          <w:vertAlign w:val="subscript"/>
          <w:rtl w:val="0"/>
          <w:lang w:val="en-US"/>
        </w:rPr>
        <w:t>a</w:t>
      </w:r>
      <w:r>
        <w:rPr>
          <w:sz w:val="22"/>
          <w:szCs w:val="22"/>
          <w:rtl w:val="0"/>
          <w:lang w:val="en-US"/>
        </w:rPr>
        <w:t>f</w:t>
      </w:r>
      <w:r>
        <w:rPr>
          <w:sz w:val="22"/>
          <w:szCs w:val="22"/>
          <w:rtl w:val="0"/>
          <w:lang w:val="en-US"/>
        </w:rPr>
        <w:t>‖</w:t>
      </w:r>
      <w:r>
        <w:rPr>
          <w:sz w:val="22"/>
          <w:szCs w:val="22"/>
          <w:vertAlign w:val="subscript"/>
          <w:rtl w:val="0"/>
          <w:lang w:val="en-US"/>
        </w:rPr>
        <w:t>2</w:t>
      </w:r>
      <w:r>
        <w:rPr>
          <w:sz w:val="22"/>
          <w:szCs w:val="22"/>
          <w:rtl w:val="0"/>
          <w:lang w:val="en-US"/>
        </w:rPr>
        <w:t xml:space="preserve"> ≤ </w:t>
      </w:r>
      <w:r>
        <w:rPr>
          <w:sz w:val="22"/>
          <w:szCs w:val="22"/>
          <w:rtl w:val="0"/>
          <w:lang w:val="en-US"/>
        </w:rPr>
        <w:t>T</w:t>
      </w:r>
      <w:r>
        <w:rPr>
          <w:sz w:val="22"/>
          <w:szCs w:val="22"/>
          <w:rtl w:val="0"/>
          <w:lang w:val="en-US"/>
        </w:rPr>
        <w:t>‖∂</w:t>
      </w:r>
      <w:r>
        <w:rPr>
          <w:sz w:val="22"/>
          <w:szCs w:val="22"/>
          <w:vertAlign w:val="subscript"/>
          <w:rtl w:val="0"/>
          <w:lang w:val="en-US"/>
        </w:rPr>
        <w:t>x</w:t>
      </w:r>
      <w:r>
        <w:rPr>
          <w:sz w:val="22"/>
          <w:szCs w:val="22"/>
          <w:rtl w:val="0"/>
          <w:lang w:val="en-US"/>
        </w:rPr>
        <w:t>f</w:t>
      </w:r>
      <w:r>
        <w:rPr>
          <w:sz w:val="22"/>
          <w:szCs w:val="22"/>
          <w:rtl w:val="0"/>
          <w:lang w:val="en-US"/>
        </w:rPr>
        <w:t>‖</w:t>
      </w:r>
      <w:r>
        <w:rPr>
          <w:sz w:val="22"/>
          <w:szCs w:val="22"/>
          <w:vertAlign w:val="subscript"/>
          <w:rtl w:val="0"/>
          <w:lang w:val="en-US"/>
        </w:rPr>
        <w:t>2</w:t>
      </w:r>
      <w:r>
        <w:rPr>
          <w:sz w:val="22"/>
          <w:szCs w:val="22"/>
          <w:rtl w:val="0"/>
          <w:lang w:val="en-US"/>
        </w:rPr>
        <w:t>. Adding the bounds proves (23). Density and the uniform operator bounds extend convergence to L</w:t>
      </w:r>
      <w:r>
        <w:rPr>
          <w:sz w:val="22"/>
          <w:szCs w:val="22"/>
          <w:vertAlign w:val="superscript"/>
          <w:rtl w:val="0"/>
          <w:lang w:val="en-US"/>
        </w:rPr>
        <w:t>2</w:t>
      </w:r>
      <w:r>
        <w:rPr>
          <w:sz w:val="22"/>
          <w:szCs w:val="22"/>
          <w:rtl w:val="0"/>
          <w:lang w:val="en-US"/>
        </w:rPr>
        <w:t xml:space="preserve">. </w:t>
      </w:r>
      <w:r>
        <w:rPr>
          <w:sz w:val="22"/>
          <w:szCs w:val="22"/>
          <w:rtl w:val="0"/>
          <w:lang w:val="en-US"/>
        </w:rPr>
        <w:t>□</w:t>
      </w:r>
    </w:p>
    <w:p>
      <w:pPr>
        <w:pStyle w:val="Normal.0"/>
        <w:spacing w:after="80" w:line="240" w:lineRule="atLeast"/>
      </w:pPr>
      <w:r>
        <w:rPr>
          <w:sz w:val="22"/>
          <w:szCs w:val="22"/>
          <w:rtl w:val="0"/>
          <w:lang w:val="en-US"/>
        </w:rPr>
        <w:t>This is independence under two specified, physically interpretable reconstructions. It does not imply independence under arbitrary maps. In particular, a coarse-graining that mixes distant cells without an appropriate limiting locality condition can change the meaning of an intervention even when it preserves the spectrum.</w:t>
      </w:r>
    </w:p>
    <w:p>
      <w:pPr>
        <w:pStyle w:val="Заголовок 3"/>
        <w:spacing w:line="240" w:lineRule="atLeast"/>
      </w:pPr>
      <w:r>
        <w:rPr>
          <w:rtl w:val="0"/>
          <w:lang w:val="en-US"/>
        </w:rPr>
        <w:t>4.3. A fixed infrared cutoff cannot have an exact cone</w:t>
      </w:r>
    </w:p>
    <w:p>
      <w:pPr>
        <w:pStyle w:val="Normal.0"/>
        <w:spacing w:after="80" w:line="240" w:lineRule="atLeast"/>
      </w:pPr>
      <w:r>
        <w:rPr>
          <w:b w:val="1"/>
          <w:bCs w:val="1"/>
          <w:sz w:val="22"/>
          <w:szCs w:val="22"/>
          <w:rtl w:val="0"/>
          <w:lang w:val="en-US"/>
        </w:rPr>
        <w:t>Proposition 4.</w:t>
      </w:r>
      <w:r>
        <w:rPr>
          <w:sz w:val="22"/>
          <w:szCs w:val="22"/>
          <w:rtl w:val="0"/>
          <w:lang w:val="en-US"/>
        </w:rPr>
        <w:t xml:space="preserve"> On the circle, retain a fixed finite set of Fourier modes containing the zero mode and apply it to the continuum wave response. For any t &gt; 0 the resulting kernel is a nonzero trigonometric polynomial. It cannot vanish on a nonempty open spatial interval.</w:t>
      </w:r>
    </w:p>
    <w:p>
      <w:pPr>
        <w:pStyle w:val="Normal.0"/>
        <w:spacing w:after="80" w:line="240" w:lineRule="atLeast"/>
      </w:pPr>
      <w:r>
        <w:rPr>
          <w:b w:val="1"/>
          <w:bCs w:val="1"/>
          <w:sz w:val="22"/>
          <w:szCs w:val="22"/>
          <w:rtl w:val="0"/>
          <w:lang w:val="en-US"/>
        </w:rPr>
        <w:t>Proof.</w:t>
      </w:r>
      <w:r>
        <w:rPr>
          <w:sz w:val="22"/>
          <w:szCs w:val="22"/>
          <w:rtl w:val="0"/>
          <w:lang w:val="en-US"/>
        </w:rPr>
        <w:t xml:space="preserve"> A finite Fourier sum is analytic. Vanishing on an open interval would force it to vanish identically, whereas its zero-mode coefficient equals t/</w:t>
      </w:r>
      <w:r>
        <w:rPr>
          <w:sz w:val="22"/>
          <w:szCs w:val="22"/>
          <w:rtl w:val="0"/>
          <w:lang w:val="en-US"/>
        </w:rPr>
        <w:t>ℓ</w:t>
      </w:r>
      <w:r>
        <w:rPr>
          <w:sz w:val="22"/>
          <w:szCs w:val="22"/>
          <w:rtl w:val="0"/>
          <w:lang w:val="en-US"/>
        </w:rPr>
        <w:t xml:space="preserve">. </w:t>
      </w:r>
      <w:r>
        <w:rPr>
          <w:sz w:val="22"/>
          <w:szCs w:val="22"/>
          <w:rtl w:val="0"/>
          <w:lang w:val="en-US"/>
        </w:rPr>
        <w:t>□</w:t>
      </w:r>
    </w:p>
    <w:p>
      <w:pPr>
        <w:pStyle w:val="Normal.0"/>
        <w:spacing w:after="80" w:line="240" w:lineRule="atLeast"/>
      </w:pPr>
      <w:r>
        <w:rPr>
          <w:sz w:val="22"/>
          <w:szCs w:val="22"/>
          <w:rtl w:val="0"/>
          <w:lang w:val="en-US"/>
        </w:rPr>
        <w:t xml:space="preserve">On the line, compact frequency support gives the corresponding analyticity obstruction. Thus a fixed band-limited response is incompatible with exact spatial support, even if its unfiltered wave operator has finite propagation speed. One cannot demonstrate strict effective causality merely by applying a fixed </w:t>
      </w:r>
      <w:r>
        <w:rPr>
          <w:sz w:val="22"/>
          <w:szCs w:val="22"/>
          <w:rtl w:val="0"/>
          <w:lang w:val="en-US"/>
        </w:rPr>
        <w:t>Π</w:t>
      </w:r>
      <w:r>
        <w:rPr>
          <w:sz w:val="22"/>
          <w:szCs w:val="22"/>
          <w:vertAlign w:val="subscript"/>
          <w:rtl w:val="0"/>
          <w:lang w:val="en-US"/>
        </w:rPr>
        <w:t>IR</w:t>
      </w:r>
      <w:r>
        <w:rPr>
          <w:sz w:val="22"/>
          <w:szCs w:val="22"/>
          <w:rtl w:val="0"/>
          <w:lang w:val="en-US"/>
        </w:rPr>
        <w:t xml:space="preserve"> and reading the leading symbol.</w:t>
      </w:r>
    </w:p>
    <w:p>
      <w:pPr>
        <w:pStyle w:val="Normal.0"/>
        <w:spacing w:after="80" w:line="240" w:lineRule="atLeast"/>
      </w:pPr>
      <w:r>
        <w:rPr>
          <w:sz w:val="22"/>
          <w:szCs w:val="22"/>
          <w:rtl w:val="0"/>
          <w:lang w:val="en-US"/>
        </w:rPr>
        <w:t>For an exact local wave response, a limiting reconstruction must recover arbitrarily high effective Fourier modes, or another physically justified local completion must be supplied. This does not mean that a finite-order infrared expansion predicts microscopic fronts. It means that a strict cone belongs to a specified limiting local theory, while finite-band observations only resolve an approximation to it.</w:t>
      </w:r>
    </w:p>
    <w:p>
      <w:pPr>
        <w:pStyle w:val="Заголовок 3"/>
        <w:spacing w:line="240" w:lineRule="atLeast"/>
      </w:pPr>
      <w:r>
        <w:rPr>
          <w:rtl w:val="0"/>
          <w:lang w:val="en-US"/>
        </w:rPr>
        <w:t>4.4. A sufficient large-gap completion for collective modes</w:t>
      </w:r>
    </w:p>
    <w:p>
      <w:pPr>
        <w:pStyle w:val="Normal.0"/>
        <w:keepNext w:val="1"/>
        <w:spacing w:after="80" w:line="240" w:lineRule="atLeast"/>
      </w:pPr>
      <w:r>
        <w:rPr>
          <w:sz w:val="22"/>
          <w:szCs w:val="22"/>
          <w:rtl w:val="0"/>
          <w:lang w:val="en-US"/>
        </w:rPr>
        <w:t xml:space="preserve">The same issue appears when massive relative modes are eliminated. In kinetically normalised coordinates consider, on a spatial eigenvalue </w:t>
      </w:r>
      <w:r>
        <w:rPr>
          <w:sz w:val="22"/>
          <w:szCs w:val="22"/>
          <w:rtl w:val="0"/>
          <w:lang w:val="en-US"/>
        </w:rPr>
        <w:t xml:space="preserve">ν ≥ </w:t>
      </w:r>
      <w:r>
        <w:rPr>
          <w:sz w:val="22"/>
          <w:szCs w:val="22"/>
          <w:rtl w:val="0"/>
          <w:lang w:val="en-US"/>
        </w:rPr>
        <w:t>0,</w:t>
      </w:r>
    </w:p>
    <w:p>
      <w:pPr>
        <w:pStyle w:val="Equation"/>
        <w:spacing w:after="80" w:line="240" w:lineRule="atLeast"/>
      </w:pPr>
      <w:r>
        <w:rPr>
          <w:rFonts w:ascii="Times New Roman" w:hAnsi="Times New Roman"/>
          <w:sz w:val="22"/>
          <w:szCs w:val="22"/>
          <w:rtl w:val="0"/>
          <w:lang w:val="en-US"/>
        </w:rPr>
        <w:t>x</w:t>
      </w:r>
      <w:r>
        <w:rPr>
          <w:rFonts w:ascii="Times New Roman" w:hAnsi="Times New Roman" w:hint="default"/>
          <w:sz w:val="22"/>
          <w:szCs w:val="22"/>
          <w:rtl w:val="0"/>
          <w:lang w:val="en-US"/>
        </w:rPr>
        <w:t xml:space="preserve">̈ </w:t>
      </w:r>
      <w:r>
        <w:rPr>
          <w:rFonts w:ascii="Times New Roman" w:hAnsi="Times New Roman"/>
          <w:sz w:val="22"/>
          <w:szCs w:val="22"/>
          <w:rtl w:val="0"/>
          <w:lang w:val="en-US"/>
        </w:rPr>
        <w:t>+ (T</w:t>
      </w:r>
      <w:r>
        <w:rPr>
          <w:rFonts w:ascii="Times New Roman" w:hAnsi="Times New Roman"/>
          <w:sz w:val="22"/>
          <w:szCs w:val="22"/>
          <w:vertAlign w:val="subscript"/>
          <w:rtl w:val="0"/>
          <w:lang w:val="en-US"/>
        </w:rPr>
        <w:t>g</w:t>
      </w:r>
      <w:r>
        <w:rPr>
          <w:rFonts w:ascii="Times New Roman" w:hAnsi="Times New Roman"/>
          <w:sz w:val="22"/>
          <w:szCs w:val="22"/>
          <w:rtl w:val="0"/>
          <w:lang w:val="en-US"/>
        </w:rPr>
        <w:t xml:space="preserve"> + </w:t>
      </w:r>
      <w:r>
        <w:rPr>
          <w:rFonts w:ascii="Times New Roman" w:hAnsi="Times New Roman" w:hint="default"/>
          <w:sz w:val="22"/>
          <w:szCs w:val="22"/>
          <w:rtl w:val="0"/>
          <w:lang w:val="en-US"/>
        </w:rPr>
        <w:t>ν</w:t>
      </w:r>
      <w:r>
        <w:rPr>
          <w:rFonts w:ascii="Times New Roman" w:hAnsi="Times New Roman"/>
          <w:sz w:val="22"/>
          <w:szCs w:val="22"/>
          <w:rtl w:val="0"/>
          <w:lang w:val="en-US"/>
        </w:rPr>
        <w:t>D)x = 0,     T</w:t>
      </w:r>
      <w:r>
        <w:rPr>
          <w:rFonts w:ascii="Times New Roman" w:hAnsi="Times New Roman"/>
          <w:sz w:val="22"/>
          <w:szCs w:val="22"/>
          <w:vertAlign w:val="subscript"/>
          <w:rtl w:val="0"/>
          <w:lang w:val="en-US"/>
        </w:rPr>
        <w:t>g</w:t>
      </w:r>
      <w:r>
        <w:rPr>
          <w:rFonts w:ascii="Times New Roman" w:hAnsi="Times New Roman"/>
          <w:sz w:val="22"/>
          <w:szCs w:val="22"/>
          <w:rtl w:val="0"/>
          <w:lang w:val="en-US"/>
        </w:rPr>
        <w:t xml:space="preserve"> = diag(0,T</w:t>
      </w:r>
      <w:r>
        <w:rPr>
          <w:rFonts w:ascii="Times New Roman" w:hAnsi="Times New Roman"/>
          <w:sz w:val="22"/>
          <w:szCs w:val="22"/>
          <w:vertAlign w:val="subscript"/>
          <w:rtl w:val="0"/>
          <w:lang w:val="en-US"/>
        </w:rPr>
        <w:t>11</w:t>
      </w:r>
      <w:r>
        <w:rPr>
          <w:rFonts w:ascii="Times New Roman" w:hAnsi="Times New Roman"/>
          <w:sz w:val="22"/>
          <w:szCs w:val="22"/>
          <w:rtl w:val="0"/>
          <w:lang w:val="en-US"/>
        </w:rPr>
        <w:t>),</w:t>
      </w:r>
      <w:r>
        <w:rPr>
          <w:rFonts w:ascii="Times New Roman" w:cs="Times New Roman" w:hAnsi="Times New Roman" w:eastAsia="Times New Roman"/>
          <w:sz w:val="22"/>
          <w:szCs w:val="22"/>
        </w:rPr>
        <w:br w:type="textWrapping"/>
      </w:r>
      <w:r>
        <w:rPr>
          <w:rFonts w:ascii="Times New Roman" w:hAnsi="Times New Roman"/>
          <w:sz w:val="22"/>
          <w:szCs w:val="22"/>
          <w:rtl w:val="0"/>
          <w:lang w:val="en-US"/>
        </w:rPr>
        <w:t>T</w:t>
      </w:r>
      <w:r>
        <w:rPr>
          <w:rFonts w:ascii="Times New Roman" w:hAnsi="Times New Roman"/>
          <w:sz w:val="22"/>
          <w:szCs w:val="22"/>
          <w:vertAlign w:val="subscript"/>
          <w:rtl w:val="0"/>
          <w:lang w:val="en-US"/>
        </w:rPr>
        <w:t>11</w:t>
      </w:r>
      <w:r>
        <w:rPr>
          <w:rFonts w:ascii="Times New Roman" w:hAnsi="Times New Roman" w:hint="default"/>
          <w:sz w:val="22"/>
          <w:szCs w:val="22"/>
          <w:rtl w:val="0"/>
          <w:lang w:val="en-US"/>
        </w:rPr>
        <w:t xml:space="preserve"> ≥ </w:t>
      </w:r>
      <w:r>
        <w:rPr>
          <w:rFonts w:ascii="Times New Roman" w:hAnsi="Times New Roman"/>
          <w:sz w:val="22"/>
          <w:szCs w:val="22"/>
          <w:rtl w:val="0"/>
          <w:lang w:val="en-US"/>
        </w:rPr>
        <w:t>g</w:t>
      </w:r>
      <w:r>
        <w:rPr>
          <w:rFonts w:ascii="Times New Roman" w:hAnsi="Times New Roman"/>
          <w:sz w:val="22"/>
          <w:szCs w:val="22"/>
          <w:vertAlign w:val="superscript"/>
          <w:rtl w:val="0"/>
          <w:lang w:val="en-US"/>
        </w:rPr>
        <w:t>2</w:t>
      </w:r>
      <w:r>
        <w:rPr>
          <w:rFonts w:ascii="Times New Roman" w:hAnsi="Times New Roman"/>
          <w:sz w:val="22"/>
          <w:szCs w:val="22"/>
          <w:rtl w:val="0"/>
          <w:lang w:val="en-US"/>
        </w:rPr>
        <w:t>I,     D &gt; 0.</w:t>
        <w:tab/>
        <w:t>(26)</w:t>
      </w:r>
    </w:p>
    <w:p>
      <w:pPr>
        <w:pStyle w:val="Normal.0"/>
        <w:spacing w:after="80" w:line="240" w:lineRule="atLeast"/>
      </w:pPr>
      <w:r>
        <w:rPr>
          <w:sz w:val="22"/>
          <w:szCs w:val="22"/>
          <w:rtl w:val="0"/>
          <w:lang w:val="en-US"/>
        </w:rPr>
        <w:t>Here the first block has dimension r; D</w:t>
      </w:r>
      <w:r>
        <w:rPr>
          <w:sz w:val="22"/>
          <w:szCs w:val="22"/>
          <w:vertAlign w:val="subscript"/>
          <w:rtl w:val="0"/>
          <w:lang w:val="en-US"/>
        </w:rPr>
        <w:t>00</w:t>
      </w:r>
      <w:r>
        <w:rPr>
          <w:sz w:val="22"/>
          <w:szCs w:val="22"/>
          <w:rtl w:val="0"/>
          <w:lang w:val="en-US"/>
        </w:rPr>
        <w:t>, D</w:t>
      </w:r>
      <w:r>
        <w:rPr>
          <w:sz w:val="22"/>
          <w:szCs w:val="22"/>
          <w:vertAlign w:val="subscript"/>
          <w:rtl w:val="0"/>
          <w:lang w:val="en-US"/>
        </w:rPr>
        <w:t>01</w:t>
      </w:r>
      <w:r>
        <w:rPr>
          <w:sz w:val="22"/>
          <w:szCs w:val="22"/>
          <w:rtl w:val="0"/>
          <w:lang w:val="en-US"/>
        </w:rPr>
        <w:t xml:space="preserve"> and D</w:t>
      </w:r>
      <w:r>
        <w:rPr>
          <w:sz w:val="22"/>
          <w:szCs w:val="22"/>
          <w:vertAlign w:val="subscript"/>
          <w:rtl w:val="0"/>
          <w:lang w:val="en-US"/>
        </w:rPr>
        <w:t>11</w:t>
      </w:r>
      <w:r>
        <w:rPr>
          <w:sz w:val="22"/>
          <w:szCs w:val="22"/>
          <w:rtl w:val="0"/>
          <w:lang w:val="en-US"/>
        </w:rPr>
        <w:t xml:space="preserve"> are its component blocks. The matrices are constant in time for this statement. Prepare x(0) = 0, x</w:t>
      </w:r>
      <w:r>
        <w:rPr>
          <w:sz w:val="22"/>
          <w:szCs w:val="22"/>
          <w:rtl w:val="0"/>
          <w:lang w:val="en-US"/>
        </w:rPr>
        <w:t>̇</w:t>
      </w:r>
      <w:r>
        <w:rPr>
          <w:sz w:val="22"/>
          <w:szCs w:val="22"/>
          <w:rtl w:val="0"/>
          <w:lang w:val="en-US"/>
        </w:rPr>
        <w:t>(0) = (f,0), and write x = (</w:t>
      </w:r>
      <w:r>
        <w:rPr>
          <w:sz w:val="22"/>
          <w:szCs w:val="22"/>
          <w:rtl w:val="0"/>
          <w:lang w:val="en-US"/>
        </w:rPr>
        <w:t>ξ</w:t>
      </w:r>
      <w:r>
        <w:rPr>
          <w:sz w:val="22"/>
          <w:szCs w:val="22"/>
          <w:rtl w:val="0"/>
          <w:lang w:val="en-US"/>
        </w:rPr>
        <w:t>,</w:t>
      </w:r>
      <w:r>
        <w:rPr>
          <w:sz w:val="22"/>
          <w:szCs w:val="22"/>
          <w:rtl w:val="0"/>
          <w:lang w:val="en-US"/>
        </w:rPr>
        <w:t>ζ</w:t>
      </w:r>
      <w:r>
        <w:rPr>
          <w:sz w:val="22"/>
          <w:szCs w:val="22"/>
          <w:rtl w:val="0"/>
          <w:lang w:val="en-US"/>
        </w:rPr>
        <w:t xml:space="preserve">). Let </w:t>
      </w:r>
      <w:r>
        <w:rPr>
          <w:sz w:val="22"/>
          <w:szCs w:val="22"/>
          <w:rtl w:val="0"/>
          <w:lang w:val="en-US"/>
        </w:rPr>
        <w:t>ξ</w:t>
      </w:r>
      <w:r>
        <w:rPr>
          <w:sz w:val="22"/>
          <w:szCs w:val="22"/>
          <w:vertAlign w:val="subscript"/>
          <w:rtl w:val="0"/>
          <w:lang w:val="en-US"/>
        </w:rPr>
        <w:t>0</w:t>
      </w:r>
      <w:r>
        <w:rPr>
          <w:sz w:val="22"/>
          <w:szCs w:val="22"/>
          <w:rtl w:val="0"/>
          <w:lang w:val="en-US"/>
        </w:rPr>
        <w:t xml:space="preserve"> solve </w:t>
      </w:r>
      <w:r>
        <w:rPr>
          <w:sz w:val="22"/>
          <w:szCs w:val="22"/>
          <w:rtl w:val="0"/>
          <w:lang w:val="en-US"/>
        </w:rPr>
        <w:t>ξ̈</w:t>
      </w:r>
      <w:r>
        <w:rPr>
          <w:sz w:val="22"/>
          <w:szCs w:val="22"/>
          <w:vertAlign w:val="subscript"/>
          <w:rtl w:val="0"/>
          <w:lang w:val="en-US"/>
        </w:rPr>
        <w:t>0</w:t>
      </w:r>
      <w:r>
        <w:rPr>
          <w:sz w:val="22"/>
          <w:szCs w:val="22"/>
          <w:rtl w:val="0"/>
          <w:lang w:val="en-US"/>
        </w:rPr>
        <w:t xml:space="preserve"> + </w:t>
      </w:r>
      <w:r>
        <w:rPr>
          <w:sz w:val="22"/>
          <w:szCs w:val="22"/>
          <w:rtl w:val="0"/>
          <w:lang w:val="en-US"/>
        </w:rPr>
        <w:t>ν</w:t>
      </w:r>
      <w:r>
        <w:rPr>
          <w:sz w:val="22"/>
          <w:szCs w:val="22"/>
          <w:rtl w:val="0"/>
          <w:lang w:val="en-US"/>
        </w:rPr>
        <w:t>D</w:t>
      </w:r>
      <w:r>
        <w:rPr>
          <w:sz w:val="22"/>
          <w:szCs w:val="22"/>
          <w:vertAlign w:val="subscript"/>
          <w:rtl w:val="0"/>
          <w:lang w:val="en-US"/>
        </w:rPr>
        <w:t>00</w:t>
      </w:r>
      <w:r>
        <w:rPr>
          <w:sz w:val="22"/>
          <w:szCs w:val="22"/>
          <w:rtl w:val="0"/>
          <w:lang w:val="en-US"/>
        </w:rPr>
        <w:t>ξ</w:t>
      </w:r>
      <w:r>
        <w:rPr>
          <w:sz w:val="22"/>
          <w:szCs w:val="22"/>
          <w:vertAlign w:val="subscript"/>
          <w:rtl w:val="0"/>
          <w:lang w:val="en-US"/>
        </w:rPr>
        <w:t>0</w:t>
      </w:r>
      <w:r>
        <w:rPr>
          <w:sz w:val="22"/>
          <w:szCs w:val="22"/>
          <w:rtl w:val="0"/>
          <w:lang w:val="en-US"/>
        </w:rPr>
        <w:t xml:space="preserve"> = 0 with the same collective initial data.</w:t>
      </w:r>
    </w:p>
    <w:p>
      <w:pPr>
        <w:pStyle w:val="Normal.0"/>
        <w:keepNext w:val="1"/>
        <w:spacing w:after="80" w:line="240" w:lineRule="atLeast"/>
      </w:pPr>
      <w:r>
        <w:rPr>
          <w:b w:val="1"/>
          <w:bCs w:val="1"/>
          <w:sz w:val="22"/>
          <w:szCs w:val="22"/>
          <w:rtl w:val="0"/>
          <w:lang w:val="en-US"/>
        </w:rPr>
        <w:t>Theorem 5.</w:t>
      </w:r>
      <w:r>
        <w:rPr>
          <w:sz w:val="22"/>
          <w:szCs w:val="22"/>
          <w:rtl w:val="0"/>
          <w:lang w:val="en-US"/>
        </w:rPr>
        <w:t xml:space="preserve"> For 0 </w:t>
      </w:r>
      <w:r>
        <w:rPr>
          <w:sz w:val="22"/>
          <w:szCs w:val="22"/>
          <w:rtl w:val="0"/>
          <w:lang w:val="en-US"/>
        </w:rPr>
        <w:t xml:space="preserve">≤ </w:t>
      </w:r>
      <w:r>
        <w:rPr>
          <w:sz w:val="22"/>
          <w:szCs w:val="22"/>
          <w:rtl w:val="0"/>
          <w:lang w:val="en-US"/>
        </w:rPr>
        <w:t xml:space="preserve">t </w:t>
      </w:r>
      <w:r>
        <w:rPr>
          <w:sz w:val="22"/>
          <w:szCs w:val="22"/>
          <w:rtl w:val="0"/>
          <w:lang w:val="en-US"/>
        </w:rPr>
        <w:t xml:space="preserve">≤ </w:t>
      </w:r>
      <w:r>
        <w:rPr>
          <w:sz w:val="22"/>
          <w:szCs w:val="22"/>
          <w:rtl w:val="0"/>
          <w:lang w:val="en-US"/>
        </w:rPr>
        <w:t>T,</w:t>
      </w:r>
    </w:p>
    <w:p>
      <w:pPr>
        <w:pStyle w:val="Equation"/>
        <w:spacing w:after="80" w:line="240" w:lineRule="atLeast"/>
      </w:pPr>
      <w:r>
        <w:rPr>
          <w:rFonts w:ascii="Times New Roman" w:hAnsi="Times New Roman" w:hint="default"/>
          <w:sz w:val="22"/>
          <w:szCs w:val="22"/>
          <w:rtl w:val="0"/>
          <w:lang w:val="en-US"/>
        </w:rPr>
        <w:t>‖ζ</w:t>
      </w:r>
      <w:r>
        <w:rPr>
          <w:rFonts w:ascii="Times New Roman" w:hAnsi="Times New Roman"/>
          <w:sz w:val="22"/>
          <w:szCs w:val="22"/>
          <w:rtl w:val="0"/>
          <w:lang w:val="en-US"/>
        </w:rPr>
        <w:t>(t)</w:t>
      </w:r>
      <w:r>
        <w:rPr>
          <w:rFonts w:ascii="Times New Roman" w:hAnsi="Times New Roman" w:hint="default"/>
          <w:sz w:val="22"/>
          <w:szCs w:val="22"/>
          <w:rtl w:val="0"/>
          <w:lang w:val="en-US"/>
        </w:rPr>
        <w:t xml:space="preserve">‖ ≤ </w:t>
      </w:r>
      <w:r>
        <w:rPr>
          <w:rFonts w:ascii="Times New Roman" w:hAnsi="Times New Roman"/>
          <w:sz w:val="22"/>
          <w:szCs w:val="22"/>
          <w:rtl w:val="0"/>
          <w:lang w:val="en-US"/>
        </w:rPr>
        <w:t>(2</w:t>
      </w:r>
      <w:r>
        <w:rPr>
          <w:rFonts w:ascii="Times New Roman" w:hAnsi="Times New Roman" w:hint="default"/>
          <w:sz w:val="22"/>
          <w:szCs w:val="22"/>
          <w:rtl w:val="0"/>
          <w:lang w:val="en-US"/>
        </w:rPr>
        <w:t>ν‖</w:t>
      </w:r>
      <w:r>
        <w:rPr>
          <w:rFonts w:ascii="Times New Roman" w:hAnsi="Times New Roman"/>
          <w:sz w:val="22"/>
          <w:szCs w:val="22"/>
          <w:rtl w:val="0"/>
          <w:lang w:val="en-US"/>
        </w:rPr>
        <w:t>D</w:t>
      </w:r>
      <w:r>
        <w:rPr>
          <w:rFonts w:ascii="Times New Roman" w:hAnsi="Times New Roman" w:hint="default"/>
          <w:sz w:val="22"/>
          <w:szCs w:val="22"/>
          <w:rtl w:val="0"/>
          <w:lang w:val="en-US"/>
        </w:rPr>
        <w:t>‖</w:t>
      </w:r>
      <w:r>
        <w:rPr>
          <w:rFonts w:ascii="Times New Roman" w:hAnsi="Times New Roman"/>
          <w:sz w:val="22"/>
          <w:szCs w:val="22"/>
          <w:rtl w:val="0"/>
          <w:lang w:val="en-US"/>
        </w:rPr>
        <w:t>t/g</w:t>
      </w:r>
      <w:r>
        <w:rPr>
          <w:rFonts w:ascii="Times New Roman" w:hAnsi="Times New Roman"/>
          <w:sz w:val="22"/>
          <w:szCs w:val="22"/>
          <w:vertAlign w:val="superscript"/>
          <w:rtl w:val="0"/>
          <w:lang w:val="en-US"/>
        </w:rPr>
        <w:t>2</w:t>
      </w:r>
      <w:r>
        <w:rPr>
          <w:rFonts w:ascii="Times New Roman" w:hAnsi="Times New Roman"/>
          <w:sz w:val="22"/>
          <w:szCs w:val="22"/>
          <w:rtl w:val="0"/>
          <w:lang w:val="en-US"/>
        </w:rPr>
        <w:t>)</w:t>
      </w:r>
      <w:r>
        <w:rPr>
          <w:rFonts w:ascii="Times New Roman" w:hAnsi="Times New Roman" w:hint="default"/>
          <w:sz w:val="22"/>
          <w:szCs w:val="22"/>
          <w:rtl w:val="0"/>
          <w:lang w:val="en-US"/>
        </w:rPr>
        <w:t>‖</w:t>
      </w:r>
      <w:r>
        <w:rPr>
          <w:rFonts w:ascii="Times New Roman" w:hAnsi="Times New Roman"/>
          <w:sz w:val="22"/>
          <w:szCs w:val="22"/>
          <w:rtl w:val="0"/>
          <w:lang w:val="en-US"/>
        </w:rPr>
        <w:t>f</w:t>
      </w:r>
      <w:r>
        <w:rPr>
          <w:rFonts w:ascii="Times New Roman" w:hAnsi="Times New Roman" w:hint="default"/>
          <w:sz w:val="22"/>
          <w:szCs w:val="22"/>
          <w:rtl w:val="0"/>
          <w:lang w:val="en-US"/>
        </w:rPr>
        <w:t>‖</w:t>
      </w:r>
      <w:r>
        <w:rPr>
          <w:rFonts w:ascii="Times New Roman" w:hAnsi="Times New Roman"/>
          <w:sz w:val="22"/>
          <w:szCs w:val="22"/>
          <w:rtl w:val="0"/>
          <w:lang w:val="en-US"/>
        </w:rPr>
        <w:t>,</w:t>
        <w:tab/>
        <w:t>(27)</w:t>
      </w:r>
    </w:p>
    <w:p>
      <w:pPr>
        <w:pStyle w:val="Equation"/>
        <w:spacing w:after="80" w:line="240" w:lineRule="atLeast"/>
      </w:pPr>
      <w:r>
        <w:rPr>
          <w:rFonts w:ascii="Times New Roman" w:hAnsi="Times New Roman" w:hint="default"/>
          <w:sz w:val="22"/>
          <w:szCs w:val="22"/>
          <w:rtl w:val="0"/>
          <w:lang w:val="en-US"/>
        </w:rPr>
        <w:t>‖ξ</w:t>
      </w:r>
      <w:r>
        <w:rPr>
          <w:rFonts w:ascii="Times New Roman" w:hAnsi="Times New Roman"/>
          <w:sz w:val="22"/>
          <w:szCs w:val="22"/>
          <w:rtl w:val="0"/>
          <w:lang w:val="en-US"/>
        </w:rPr>
        <w:t xml:space="preserve">(t) </w:t>
      </w:r>
      <w:r>
        <w:rPr>
          <w:rFonts w:ascii="Times New Roman" w:hAnsi="Times New Roman" w:hint="default"/>
          <w:sz w:val="22"/>
          <w:szCs w:val="22"/>
          <w:rtl w:val="0"/>
          <w:lang w:val="en-US"/>
        </w:rPr>
        <w:t>− ξ</w:t>
      </w:r>
      <w:r>
        <w:rPr>
          <w:rFonts w:ascii="Times New Roman" w:hAnsi="Times New Roman"/>
          <w:sz w:val="22"/>
          <w:szCs w:val="22"/>
          <w:vertAlign w:val="subscript"/>
          <w:rtl w:val="0"/>
          <w:lang w:val="en-US"/>
        </w:rPr>
        <w:t>0</w:t>
      </w:r>
      <w:r>
        <w:rPr>
          <w:rFonts w:ascii="Times New Roman" w:hAnsi="Times New Roman"/>
          <w:sz w:val="22"/>
          <w:szCs w:val="22"/>
          <w:rtl w:val="0"/>
          <w:lang w:val="en-US"/>
        </w:rPr>
        <w:t>(t)</w:t>
      </w:r>
      <w:r>
        <w:rPr>
          <w:rFonts w:ascii="Times New Roman" w:hAnsi="Times New Roman" w:hint="default"/>
          <w:sz w:val="22"/>
          <w:szCs w:val="22"/>
          <w:rtl w:val="0"/>
          <w:lang w:val="en-US"/>
        </w:rPr>
        <w:t xml:space="preserve">‖ ≤ </w:t>
      </w:r>
      <w:r>
        <w:rPr>
          <w:rFonts w:ascii="Times New Roman" w:hAnsi="Times New Roman"/>
          <w:sz w:val="22"/>
          <w:szCs w:val="22"/>
          <w:rtl w:val="0"/>
          <w:lang w:val="en-US"/>
        </w:rPr>
        <w:t>[</w:t>
      </w:r>
      <w:r>
        <w:rPr>
          <w:rFonts w:ascii="Times New Roman" w:hAnsi="Times New Roman" w:hint="default"/>
          <w:sz w:val="22"/>
          <w:szCs w:val="22"/>
          <w:rtl w:val="0"/>
          <w:lang w:val="en-US"/>
        </w:rPr>
        <w:t>ν</w:t>
      </w:r>
      <w:r>
        <w:rPr>
          <w:rFonts w:ascii="Times New Roman" w:hAnsi="Times New Roman"/>
          <w:sz w:val="22"/>
          <w:szCs w:val="22"/>
          <w:vertAlign w:val="superscript"/>
          <w:rtl w:val="0"/>
          <w:lang w:val="en-US"/>
        </w:rPr>
        <w:t>2</w:t>
      </w:r>
      <w:r>
        <w:rPr>
          <w:rFonts w:ascii="Times New Roman" w:hAnsi="Times New Roman" w:hint="default"/>
          <w:sz w:val="22"/>
          <w:szCs w:val="22"/>
          <w:rtl w:val="0"/>
          <w:lang w:val="en-US"/>
        </w:rPr>
        <w:t>‖</w:t>
      </w:r>
      <w:r>
        <w:rPr>
          <w:rFonts w:ascii="Times New Roman" w:hAnsi="Times New Roman"/>
          <w:sz w:val="22"/>
          <w:szCs w:val="22"/>
          <w:rtl w:val="0"/>
          <w:lang w:val="en-US"/>
        </w:rPr>
        <w:t>D</w:t>
      </w:r>
      <w:r>
        <w:rPr>
          <w:rFonts w:ascii="Times New Roman" w:hAnsi="Times New Roman" w:hint="default"/>
          <w:sz w:val="22"/>
          <w:szCs w:val="22"/>
          <w:rtl w:val="0"/>
          <w:lang w:val="en-US"/>
        </w:rPr>
        <w:t>‖</w:t>
      </w:r>
      <w:r>
        <w:rPr>
          <w:rFonts w:ascii="Times New Roman" w:hAnsi="Times New Roman"/>
          <w:sz w:val="22"/>
          <w:szCs w:val="22"/>
          <w:vertAlign w:val="superscript"/>
          <w:rtl w:val="0"/>
          <w:lang w:val="en-US"/>
        </w:rPr>
        <w:t>2</w:t>
      </w:r>
      <w:r>
        <w:rPr>
          <w:rFonts w:ascii="Times New Roman" w:hAnsi="Times New Roman"/>
          <w:sz w:val="22"/>
          <w:szCs w:val="22"/>
          <w:rtl w:val="0"/>
          <w:lang w:val="en-US"/>
        </w:rPr>
        <w:t>t</w:t>
      </w:r>
      <w:r>
        <w:rPr>
          <w:rFonts w:ascii="Times New Roman" w:hAnsi="Times New Roman"/>
          <w:sz w:val="22"/>
          <w:szCs w:val="22"/>
          <w:vertAlign w:val="superscript"/>
          <w:rtl w:val="0"/>
          <w:lang w:val="en-US"/>
        </w:rPr>
        <w:t>3</w:t>
      </w:r>
      <w:r>
        <w:rPr>
          <w:rFonts w:ascii="Times New Roman" w:hAnsi="Times New Roman"/>
          <w:sz w:val="22"/>
          <w:szCs w:val="22"/>
          <w:rtl w:val="0"/>
          <w:lang w:val="en-US"/>
        </w:rPr>
        <w:t>/(3g</w:t>
      </w:r>
      <w:r>
        <w:rPr>
          <w:rFonts w:ascii="Times New Roman" w:hAnsi="Times New Roman"/>
          <w:sz w:val="22"/>
          <w:szCs w:val="22"/>
          <w:vertAlign w:val="superscript"/>
          <w:rtl w:val="0"/>
          <w:lang w:val="en-US"/>
        </w:rPr>
        <w:t>2</w:t>
      </w:r>
      <w:r>
        <w:rPr>
          <w:rFonts w:ascii="Times New Roman" w:hAnsi="Times New Roman"/>
          <w:sz w:val="22"/>
          <w:szCs w:val="22"/>
          <w:rtl w:val="0"/>
          <w:lang w:val="en-US"/>
        </w:rPr>
        <w:t>)]</w:t>
      </w:r>
      <w:r>
        <w:rPr>
          <w:rFonts w:ascii="Times New Roman" w:hAnsi="Times New Roman" w:hint="default"/>
          <w:sz w:val="22"/>
          <w:szCs w:val="22"/>
          <w:rtl w:val="0"/>
          <w:lang w:val="en-US"/>
        </w:rPr>
        <w:t>‖</w:t>
      </w:r>
      <w:r>
        <w:rPr>
          <w:rFonts w:ascii="Times New Roman" w:hAnsi="Times New Roman"/>
          <w:sz w:val="22"/>
          <w:szCs w:val="22"/>
          <w:rtl w:val="0"/>
          <w:lang w:val="en-US"/>
        </w:rPr>
        <w:t>f</w:t>
      </w:r>
      <w:r>
        <w:rPr>
          <w:rFonts w:ascii="Times New Roman" w:hAnsi="Times New Roman" w:hint="default"/>
          <w:sz w:val="22"/>
          <w:szCs w:val="22"/>
          <w:rtl w:val="0"/>
          <w:lang w:val="en-US"/>
        </w:rPr>
        <w:t>‖</w:t>
      </w:r>
      <w:r>
        <w:rPr>
          <w:rFonts w:ascii="Times New Roman" w:hAnsi="Times New Roman"/>
          <w:sz w:val="22"/>
          <w:szCs w:val="22"/>
          <w:rtl w:val="0"/>
          <w:lang w:val="en-US"/>
        </w:rPr>
        <w:t>.</w:t>
        <w:tab/>
        <w:t>(28)</w:t>
      </w:r>
    </w:p>
    <w:p>
      <w:pPr>
        <w:pStyle w:val="Normal.0"/>
        <w:keepNext w:val="1"/>
        <w:spacing w:after="80" w:line="240" w:lineRule="atLeast"/>
      </w:pPr>
      <w:r>
        <w:rPr>
          <w:b w:val="1"/>
          <w:bCs w:val="1"/>
          <w:sz w:val="22"/>
          <w:szCs w:val="22"/>
          <w:rtl w:val="0"/>
          <w:lang w:val="en-US"/>
        </w:rPr>
        <w:t>Proof.</w:t>
      </w:r>
      <w:r>
        <w:rPr>
          <w:sz w:val="22"/>
          <w:szCs w:val="22"/>
          <w:rtl w:val="0"/>
          <w:lang w:val="en-US"/>
        </w:rPr>
        <w:t xml:space="preserve"> Positivity of the full operator implies </w:t>
      </w:r>
      <w:r>
        <w:rPr>
          <w:sz w:val="22"/>
          <w:szCs w:val="22"/>
          <w:rtl w:val="0"/>
          <w:lang w:val="en-US"/>
        </w:rPr>
        <w:t>‖</w:t>
      </w:r>
      <w:r>
        <w:rPr>
          <w:sz w:val="22"/>
          <w:szCs w:val="22"/>
          <w:rtl w:val="0"/>
          <w:lang w:val="en-US"/>
        </w:rPr>
        <w:t>x(t)</w:t>
      </w:r>
      <w:r>
        <w:rPr>
          <w:sz w:val="22"/>
          <w:szCs w:val="22"/>
          <w:rtl w:val="0"/>
          <w:lang w:val="en-US"/>
        </w:rPr>
        <w:t xml:space="preserve">‖ ≤ </w:t>
      </w:r>
      <w:r>
        <w:rPr>
          <w:sz w:val="22"/>
          <w:szCs w:val="22"/>
          <w:rtl w:val="0"/>
          <w:lang w:val="en-US"/>
        </w:rPr>
        <w:t>t</w:t>
      </w:r>
      <w:r>
        <w:rPr>
          <w:sz w:val="22"/>
          <w:szCs w:val="22"/>
          <w:rtl w:val="0"/>
          <w:lang w:val="en-US"/>
        </w:rPr>
        <w:t>‖</w:t>
      </w:r>
      <w:r>
        <w:rPr>
          <w:sz w:val="22"/>
          <w:szCs w:val="22"/>
          <w:rtl w:val="0"/>
          <w:lang w:val="en-US"/>
        </w:rPr>
        <w:t>f</w:t>
      </w:r>
      <w:r>
        <w:rPr>
          <w:sz w:val="22"/>
          <w:szCs w:val="22"/>
          <w:rtl w:val="0"/>
          <w:lang w:val="en-US"/>
        </w:rPr>
        <w:t xml:space="preserve">‖ </w:t>
      </w:r>
      <w:r>
        <w:rPr>
          <w:sz w:val="22"/>
          <w:szCs w:val="22"/>
          <w:rtl w:val="0"/>
          <w:lang w:val="en-US"/>
        </w:rPr>
        <w:t xml:space="preserve">and </w:t>
      </w:r>
      <w:r>
        <w:rPr>
          <w:sz w:val="22"/>
          <w:szCs w:val="22"/>
          <w:rtl w:val="0"/>
          <w:lang w:val="en-US"/>
        </w:rPr>
        <w:t>‖</w:t>
      </w:r>
      <w:r>
        <w:rPr>
          <w:sz w:val="22"/>
          <w:szCs w:val="22"/>
          <w:rtl w:val="0"/>
          <w:lang w:val="en-US"/>
        </w:rPr>
        <w:t>x</w:t>
      </w:r>
      <w:r>
        <w:rPr>
          <w:sz w:val="22"/>
          <w:szCs w:val="22"/>
          <w:rtl w:val="0"/>
          <w:lang w:val="en-US"/>
        </w:rPr>
        <w:t>̇</w:t>
      </w:r>
      <w:r>
        <w:rPr>
          <w:sz w:val="22"/>
          <w:szCs w:val="22"/>
          <w:rtl w:val="0"/>
          <w:lang w:val="en-US"/>
        </w:rPr>
        <w:t>(t)</w:t>
      </w:r>
      <w:r>
        <w:rPr>
          <w:sz w:val="22"/>
          <w:szCs w:val="22"/>
          <w:rtl w:val="0"/>
          <w:lang w:val="en-US"/>
        </w:rPr>
        <w:t>‖ ≤ ‖</w:t>
      </w:r>
      <w:r>
        <w:rPr>
          <w:sz w:val="22"/>
          <w:szCs w:val="22"/>
          <w:rtl w:val="0"/>
          <w:lang w:val="en-US"/>
        </w:rPr>
        <w:t>f</w:t>
      </w:r>
      <w:r>
        <w:rPr>
          <w:sz w:val="22"/>
          <w:szCs w:val="22"/>
          <w:rtl w:val="0"/>
          <w:lang w:val="en-US"/>
        </w:rPr>
        <w:t xml:space="preserve">‖ </w:t>
      </w:r>
      <w:r>
        <w:rPr>
          <w:sz w:val="22"/>
          <w:szCs w:val="22"/>
          <w:rtl w:val="0"/>
          <w:lang w:val="en-US"/>
        </w:rPr>
        <w:t>by spectral calculus. Put H</w:t>
      </w:r>
      <w:r>
        <w:rPr>
          <w:sz w:val="22"/>
          <w:szCs w:val="22"/>
          <w:vertAlign w:val="subscript"/>
          <w:rtl w:val="0"/>
          <w:lang w:val="en-US"/>
        </w:rPr>
        <w:t>11</w:t>
      </w:r>
      <w:r>
        <w:rPr>
          <w:sz w:val="22"/>
          <w:szCs w:val="22"/>
          <w:rtl w:val="0"/>
          <w:lang w:val="en-US"/>
        </w:rPr>
        <w:t xml:space="preserve"> = T</w:t>
      </w:r>
      <w:r>
        <w:rPr>
          <w:sz w:val="22"/>
          <w:szCs w:val="22"/>
          <w:vertAlign w:val="subscript"/>
          <w:rtl w:val="0"/>
          <w:lang w:val="en-US"/>
        </w:rPr>
        <w:t>11</w:t>
      </w:r>
      <w:r>
        <w:rPr>
          <w:sz w:val="22"/>
          <w:szCs w:val="22"/>
          <w:rtl w:val="0"/>
          <w:lang w:val="en-US"/>
        </w:rPr>
        <w:t xml:space="preserve"> + </w:t>
      </w:r>
      <w:r>
        <w:rPr>
          <w:sz w:val="22"/>
          <w:szCs w:val="22"/>
          <w:rtl w:val="0"/>
          <w:lang w:val="en-US"/>
        </w:rPr>
        <w:t>ν</w:t>
      </w:r>
      <w:r>
        <w:rPr>
          <w:sz w:val="22"/>
          <w:szCs w:val="22"/>
          <w:rtl w:val="0"/>
          <w:lang w:val="en-US"/>
        </w:rPr>
        <w:t>D</w:t>
      </w:r>
      <w:r>
        <w:rPr>
          <w:sz w:val="22"/>
          <w:szCs w:val="22"/>
          <w:vertAlign w:val="subscript"/>
          <w:rtl w:val="0"/>
          <w:lang w:val="en-US"/>
        </w:rPr>
        <w:t>11</w:t>
      </w:r>
      <w:r>
        <w:rPr>
          <w:sz w:val="22"/>
          <w:szCs w:val="22"/>
          <w:rtl w:val="0"/>
          <w:lang w:val="en-US"/>
        </w:rPr>
        <w:t xml:space="preserve"> ≥ </w:t>
      </w:r>
      <w:r>
        <w:rPr>
          <w:sz w:val="22"/>
          <w:szCs w:val="22"/>
          <w:rtl w:val="0"/>
          <w:lang w:val="en-US"/>
        </w:rPr>
        <w:t>g</w:t>
      </w:r>
      <w:r>
        <w:rPr>
          <w:sz w:val="22"/>
          <w:szCs w:val="22"/>
          <w:vertAlign w:val="superscript"/>
          <w:rtl w:val="0"/>
          <w:lang w:val="en-US"/>
        </w:rPr>
        <w:t>2</w:t>
      </w:r>
      <w:r>
        <w:rPr>
          <w:sz w:val="22"/>
          <w:szCs w:val="22"/>
          <w:rtl w:val="0"/>
          <w:lang w:val="en-US"/>
        </w:rPr>
        <w:t xml:space="preserve">I. The forced equation for </w:t>
      </w:r>
      <w:r>
        <w:rPr>
          <w:sz w:val="22"/>
          <w:szCs w:val="22"/>
          <w:rtl w:val="0"/>
          <w:lang w:val="en-US"/>
        </w:rPr>
        <w:t xml:space="preserve">ζ </w:t>
      </w:r>
      <w:r>
        <w:rPr>
          <w:sz w:val="22"/>
          <w:szCs w:val="22"/>
          <w:rtl w:val="0"/>
          <w:lang w:val="en-US"/>
        </w:rPr>
        <w:t>gives an integral against sin((t</w:t>
      </w:r>
      <w:r>
        <w:rPr>
          <w:sz w:val="22"/>
          <w:szCs w:val="22"/>
          <w:rtl w:val="0"/>
          <w:lang w:val="en-US"/>
        </w:rPr>
        <w:t>−</w:t>
      </w:r>
      <w:r>
        <w:rPr>
          <w:sz w:val="22"/>
          <w:szCs w:val="22"/>
          <w:rtl w:val="0"/>
          <w:lang w:val="en-US"/>
        </w:rPr>
        <w:t>s)</w:t>
      </w:r>
      <w:r>
        <w:rPr>
          <w:sz w:val="22"/>
          <w:szCs w:val="22"/>
          <w:rtl w:val="0"/>
          <w:lang w:val="en-US"/>
        </w:rPr>
        <w:t>√</w:t>
      </w:r>
      <w:r>
        <w:rPr>
          <w:sz w:val="22"/>
          <w:szCs w:val="22"/>
          <w:rtl w:val="0"/>
          <w:lang w:val="en-US"/>
        </w:rPr>
        <w:t>H</w:t>
      </w:r>
      <w:r>
        <w:rPr>
          <w:sz w:val="22"/>
          <w:szCs w:val="22"/>
          <w:vertAlign w:val="subscript"/>
          <w:rtl w:val="0"/>
          <w:lang w:val="en-US"/>
        </w:rPr>
        <w:t>11</w:t>
      </w:r>
      <w:r>
        <w:rPr>
          <w:sz w:val="22"/>
          <w:szCs w:val="22"/>
          <w:rtl w:val="0"/>
          <w:lang w:val="en-US"/>
        </w:rPr>
        <w:t>)/</w:t>
      </w:r>
      <w:r>
        <w:rPr>
          <w:sz w:val="22"/>
          <w:szCs w:val="22"/>
          <w:rtl w:val="0"/>
          <w:lang w:val="en-US"/>
        </w:rPr>
        <w:t>√</w:t>
      </w:r>
      <w:r>
        <w:rPr>
          <w:sz w:val="22"/>
          <w:szCs w:val="22"/>
          <w:rtl w:val="0"/>
          <w:lang w:val="en-US"/>
        </w:rPr>
        <w:t>H</w:t>
      </w:r>
      <w:r>
        <w:rPr>
          <w:sz w:val="22"/>
          <w:szCs w:val="22"/>
          <w:vertAlign w:val="subscript"/>
          <w:rtl w:val="0"/>
          <w:lang w:val="en-US"/>
        </w:rPr>
        <w:t>11</w:t>
      </w:r>
      <w:r>
        <w:rPr>
          <w:sz w:val="22"/>
          <w:szCs w:val="22"/>
          <w:rtl w:val="0"/>
          <w:lang w:val="en-US"/>
        </w:rPr>
        <w:t>. Integration by parts yields</w:t>
      </w:r>
    </w:p>
    <w:p>
      <w:pPr>
        <w:pStyle w:val="Equation"/>
        <w:spacing w:after="80" w:line="240" w:lineRule="atLeast"/>
      </w:pPr>
      <w:r>
        <w:rPr>
          <w:rFonts w:ascii="Times New Roman" w:hAnsi="Times New Roman" w:hint="default"/>
          <w:sz w:val="22"/>
          <w:szCs w:val="22"/>
          <w:rtl w:val="0"/>
          <w:lang w:val="en-US"/>
        </w:rPr>
        <w:t>ζ</w:t>
      </w:r>
      <w:r>
        <w:rPr>
          <w:rFonts w:ascii="Times New Roman" w:hAnsi="Times New Roman"/>
          <w:sz w:val="22"/>
          <w:szCs w:val="22"/>
          <w:rtl w:val="0"/>
          <w:lang w:val="en-US"/>
        </w:rPr>
        <w:t xml:space="preserve">(t) = </w:t>
      </w:r>
      <w:r>
        <w:rPr>
          <w:rFonts w:ascii="Times New Roman" w:hAnsi="Times New Roman" w:hint="default"/>
          <w:sz w:val="22"/>
          <w:szCs w:val="22"/>
          <w:rtl w:val="0"/>
          <w:lang w:val="en-US"/>
        </w:rPr>
        <w:t>−ν</w:t>
      </w:r>
      <w:r>
        <w:rPr>
          <w:rFonts w:ascii="Times New Roman" w:hAnsi="Times New Roman"/>
          <w:sz w:val="22"/>
          <w:szCs w:val="22"/>
          <w:rtl w:val="0"/>
          <w:lang w:val="en-US"/>
        </w:rPr>
        <w:t>H</w:t>
      </w:r>
      <w:r>
        <w:rPr>
          <w:rFonts w:ascii="Times New Roman" w:hAnsi="Times New Roman"/>
          <w:sz w:val="22"/>
          <w:szCs w:val="22"/>
          <w:vertAlign w:val="subscript"/>
          <w:rtl w:val="0"/>
          <w:lang w:val="en-US"/>
        </w:rPr>
        <w:t>11</w:t>
      </w:r>
      <w:r>
        <w:rPr>
          <w:rFonts w:ascii="Times New Roman" w:hAnsi="Times New Roman"/>
          <w:sz w:val="22"/>
          <w:szCs w:val="22"/>
          <w:vertAlign w:val="superscript"/>
          <w:rtl w:val="0"/>
          <w:lang w:val="en-US"/>
        </w:rPr>
        <w:t>-1</w:t>
      </w:r>
      <w:r>
        <w:rPr>
          <w:rFonts w:ascii="Times New Roman" w:hAnsi="Times New Roman"/>
          <w:sz w:val="22"/>
          <w:szCs w:val="22"/>
          <w:rtl w:val="0"/>
          <w:lang w:val="en-US"/>
        </w:rPr>
        <w:t>[D</w:t>
      </w:r>
      <w:r>
        <w:rPr>
          <w:rFonts w:ascii="Times New Roman" w:hAnsi="Times New Roman"/>
          <w:sz w:val="22"/>
          <w:szCs w:val="22"/>
          <w:vertAlign w:val="subscript"/>
          <w:rtl w:val="0"/>
          <w:lang w:val="en-US"/>
        </w:rPr>
        <w:t>10</w:t>
      </w:r>
      <w:r>
        <w:rPr>
          <w:rFonts w:ascii="Times New Roman" w:hAnsi="Times New Roman" w:hint="default"/>
          <w:sz w:val="22"/>
          <w:szCs w:val="22"/>
          <w:rtl w:val="0"/>
          <w:lang w:val="en-US"/>
        </w:rPr>
        <w:t>ξ</w:t>
      </w:r>
      <w:r>
        <w:rPr>
          <w:rFonts w:ascii="Times New Roman" w:hAnsi="Times New Roman"/>
          <w:sz w:val="22"/>
          <w:szCs w:val="22"/>
          <w:rtl w:val="0"/>
          <w:lang w:val="en-US"/>
        </w:rPr>
        <w:t>(t)</w:t>
      </w:r>
      <w:r>
        <w:rPr>
          <w:rFonts w:ascii="Times New Roman" w:cs="Times New Roman" w:hAnsi="Times New Roman" w:eastAsia="Times New Roman"/>
          <w:sz w:val="22"/>
          <w:szCs w:val="22"/>
          <w:rtl w:val="0"/>
        </w:rPr>
        <w:br w:type="textWrapping"/>
        <w:t xml:space="preserve">      − ∫</w:t>
      </w:r>
      <w:r>
        <w:rPr>
          <w:rFonts w:ascii="Times New Roman" w:hAnsi="Times New Roman"/>
          <w:sz w:val="22"/>
          <w:szCs w:val="22"/>
          <w:vertAlign w:val="subscript"/>
          <w:rtl w:val="0"/>
          <w:lang w:val="en-US"/>
        </w:rPr>
        <w:t>0</w:t>
      </w:r>
      <w:r>
        <w:rPr>
          <w:rFonts w:ascii="Times New Roman" w:hAnsi="Times New Roman"/>
          <w:sz w:val="22"/>
          <w:szCs w:val="22"/>
          <w:rtl w:val="0"/>
          <w:lang w:val="en-US"/>
        </w:rPr>
        <w:t>ᵗ cos((t</w:t>
      </w:r>
      <w:r>
        <w:rPr>
          <w:rFonts w:ascii="Times New Roman" w:hAnsi="Times New Roman" w:hint="default"/>
          <w:sz w:val="22"/>
          <w:szCs w:val="22"/>
          <w:rtl w:val="0"/>
          <w:lang w:val="en-US"/>
        </w:rPr>
        <w:t>−</w:t>
      </w:r>
      <w:r>
        <w:rPr>
          <w:rFonts w:ascii="Times New Roman" w:hAnsi="Times New Roman"/>
          <w:sz w:val="22"/>
          <w:szCs w:val="22"/>
          <w:rtl w:val="0"/>
          <w:lang w:val="en-US"/>
        </w:rPr>
        <w:t>s)</w:t>
      </w:r>
      <w:r>
        <w:rPr>
          <w:rFonts w:ascii="Times New Roman" w:hAnsi="Times New Roman" w:hint="default"/>
          <w:sz w:val="22"/>
          <w:szCs w:val="22"/>
          <w:rtl w:val="0"/>
          <w:lang w:val="en-US"/>
        </w:rPr>
        <w:t>√</w:t>
      </w:r>
      <w:r>
        <w:rPr>
          <w:rFonts w:ascii="Times New Roman" w:hAnsi="Times New Roman"/>
          <w:sz w:val="22"/>
          <w:szCs w:val="22"/>
          <w:rtl w:val="0"/>
          <w:lang w:val="en-US"/>
        </w:rPr>
        <w:t>H</w:t>
      </w:r>
      <w:r>
        <w:rPr>
          <w:rFonts w:ascii="Times New Roman" w:hAnsi="Times New Roman"/>
          <w:sz w:val="22"/>
          <w:szCs w:val="22"/>
          <w:vertAlign w:val="subscript"/>
          <w:rtl w:val="0"/>
          <w:lang w:val="en-US"/>
        </w:rPr>
        <w:t>11</w:t>
      </w:r>
      <w:r>
        <w:rPr>
          <w:rFonts w:ascii="Times New Roman" w:hAnsi="Times New Roman"/>
          <w:sz w:val="22"/>
          <w:szCs w:val="22"/>
          <w:rtl w:val="0"/>
          <w:lang w:val="en-US"/>
        </w:rPr>
        <w:t>)D</w:t>
      </w:r>
      <w:r>
        <w:rPr>
          <w:rFonts w:ascii="Times New Roman" w:hAnsi="Times New Roman"/>
          <w:sz w:val="22"/>
          <w:szCs w:val="22"/>
          <w:vertAlign w:val="subscript"/>
          <w:rtl w:val="0"/>
          <w:lang w:val="en-US"/>
        </w:rPr>
        <w:t>10</w:t>
      </w:r>
      <w:r>
        <w:rPr>
          <w:rFonts w:ascii="Times New Roman" w:hAnsi="Times New Roman" w:hint="default"/>
          <w:sz w:val="22"/>
          <w:szCs w:val="22"/>
          <w:rtl w:val="0"/>
          <w:lang w:val="en-US"/>
        </w:rPr>
        <w:t>ξ̇</w:t>
      </w:r>
      <w:r>
        <w:rPr>
          <w:rFonts w:ascii="Times New Roman" w:hAnsi="Times New Roman"/>
          <w:sz w:val="22"/>
          <w:szCs w:val="22"/>
          <w:rtl w:val="0"/>
          <w:lang w:val="en-US"/>
        </w:rPr>
        <w:t>(s)ds].</w:t>
        <w:tab/>
        <w:t>(29)</w:t>
      </w:r>
    </w:p>
    <w:p>
      <w:pPr>
        <w:pStyle w:val="Normal.0"/>
        <w:spacing w:after="80" w:line="240" w:lineRule="atLeast"/>
      </w:pPr>
      <w:r>
        <w:rPr>
          <w:sz w:val="22"/>
          <w:szCs w:val="22"/>
          <w:rtl w:val="0"/>
          <w:lang w:val="en-US"/>
        </w:rPr>
        <w:t xml:space="preserve">The term containing </w:t>
      </w:r>
      <w:r>
        <w:rPr>
          <w:sz w:val="22"/>
          <w:szCs w:val="22"/>
          <w:rtl w:val="0"/>
          <w:lang w:val="en-US"/>
        </w:rPr>
        <w:t>ξ</w:t>
      </w:r>
      <w:r>
        <w:rPr>
          <w:sz w:val="22"/>
          <w:szCs w:val="22"/>
          <w:rtl w:val="0"/>
          <w:lang w:val="en-US"/>
        </w:rPr>
        <w:t xml:space="preserve">(0) vanishes. The two remaining terms each have norm at most </w:t>
      </w:r>
      <w:r>
        <w:rPr>
          <w:sz w:val="22"/>
          <w:szCs w:val="22"/>
          <w:rtl w:val="0"/>
          <w:lang w:val="en-US"/>
        </w:rPr>
        <w:t>‖</w:t>
      </w:r>
      <w:r>
        <w:rPr>
          <w:sz w:val="22"/>
          <w:szCs w:val="22"/>
          <w:rtl w:val="0"/>
          <w:lang w:val="en-US"/>
        </w:rPr>
        <w:t>D</w:t>
      </w:r>
      <w:r>
        <w:rPr>
          <w:sz w:val="22"/>
          <w:szCs w:val="22"/>
          <w:rtl w:val="0"/>
          <w:lang w:val="en-US"/>
        </w:rPr>
        <w:t>‖</w:t>
      </w:r>
      <w:r>
        <w:rPr>
          <w:sz w:val="22"/>
          <w:szCs w:val="22"/>
          <w:rtl w:val="0"/>
          <w:lang w:val="en-US"/>
        </w:rPr>
        <w:t>t</w:t>
      </w:r>
      <w:r>
        <w:rPr>
          <w:sz w:val="22"/>
          <w:szCs w:val="22"/>
          <w:rtl w:val="0"/>
          <w:lang w:val="en-US"/>
        </w:rPr>
        <w:t>‖</w:t>
      </w:r>
      <w:r>
        <w:rPr>
          <w:sz w:val="22"/>
          <w:szCs w:val="22"/>
          <w:rtl w:val="0"/>
          <w:lang w:val="en-US"/>
        </w:rPr>
        <w:t>f</w:t>
      </w:r>
      <w:r>
        <w:rPr>
          <w:sz w:val="22"/>
          <w:szCs w:val="22"/>
          <w:rtl w:val="0"/>
          <w:lang w:val="en-US"/>
        </w:rPr>
        <w:t>‖</w:t>
      </w:r>
      <w:r>
        <w:rPr>
          <w:sz w:val="22"/>
          <w:szCs w:val="22"/>
          <w:rtl w:val="0"/>
          <w:lang w:val="en-US"/>
        </w:rPr>
        <w:t xml:space="preserve">, giving (27). The difference </w:t>
      </w:r>
      <w:r>
        <w:rPr>
          <w:sz w:val="22"/>
          <w:szCs w:val="22"/>
          <w:rtl w:val="0"/>
          <w:lang w:val="en-US"/>
        </w:rPr>
        <w:t>ξ−ξ</w:t>
      </w:r>
      <w:r>
        <w:rPr>
          <w:sz w:val="22"/>
          <w:szCs w:val="22"/>
          <w:vertAlign w:val="subscript"/>
          <w:rtl w:val="0"/>
          <w:lang w:val="en-US"/>
        </w:rPr>
        <w:t>0</w:t>
      </w:r>
      <w:r>
        <w:rPr>
          <w:sz w:val="22"/>
          <w:szCs w:val="22"/>
          <w:rtl w:val="0"/>
          <w:lang w:val="en-US"/>
        </w:rPr>
        <w:t xml:space="preserve"> is forced by </w:t>
      </w:r>
      <w:r>
        <w:rPr>
          <w:sz w:val="22"/>
          <w:szCs w:val="22"/>
          <w:rtl w:val="0"/>
          <w:lang w:val="en-US"/>
        </w:rPr>
        <w:t>−ν</w:t>
      </w:r>
      <w:r>
        <w:rPr>
          <w:sz w:val="22"/>
          <w:szCs w:val="22"/>
          <w:rtl w:val="0"/>
          <w:lang w:val="en-US"/>
        </w:rPr>
        <w:t>D</w:t>
      </w:r>
      <w:r>
        <w:rPr>
          <w:sz w:val="22"/>
          <w:szCs w:val="22"/>
          <w:vertAlign w:val="subscript"/>
          <w:rtl w:val="0"/>
          <w:lang w:val="en-US"/>
        </w:rPr>
        <w:t>01</w:t>
      </w:r>
      <w:r>
        <w:rPr>
          <w:sz w:val="22"/>
          <w:szCs w:val="22"/>
          <w:rtl w:val="0"/>
          <w:lang w:val="en-US"/>
        </w:rPr>
        <w:t>ζ</w:t>
      </w:r>
      <w:r>
        <w:rPr>
          <w:sz w:val="22"/>
          <w:szCs w:val="22"/>
          <w:rtl w:val="0"/>
          <w:lang w:val="en-US"/>
        </w:rPr>
        <w:t>, and its homogeneous velocity response has norm at most t</w:t>
      </w:r>
      <w:r>
        <w:rPr>
          <w:sz w:val="22"/>
          <w:szCs w:val="22"/>
          <w:rtl w:val="0"/>
          <w:lang w:val="en-US"/>
        </w:rPr>
        <w:t>−</w:t>
      </w:r>
      <w:r>
        <w:rPr>
          <w:sz w:val="22"/>
          <w:szCs w:val="22"/>
          <w:rtl w:val="0"/>
          <w:lang w:val="en-US"/>
        </w:rPr>
        <w:t>s. Integrating 2</w:t>
      </w:r>
      <w:r>
        <w:rPr>
          <w:sz w:val="22"/>
          <w:szCs w:val="22"/>
          <w:rtl w:val="0"/>
          <w:lang w:val="en-US"/>
        </w:rPr>
        <w:t>ν</w:t>
      </w:r>
      <w:r>
        <w:rPr>
          <w:sz w:val="22"/>
          <w:szCs w:val="22"/>
          <w:vertAlign w:val="superscript"/>
          <w:rtl w:val="0"/>
          <w:lang w:val="en-US"/>
        </w:rPr>
        <w:t>2</w:t>
      </w:r>
      <w:r>
        <w:rPr>
          <w:sz w:val="22"/>
          <w:szCs w:val="22"/>
          <w:rtl w:val="0"/>
          <w:lang w:val="en-US"/>
        </w:rPr>
        <w:t>‖</w:t>
      </w:r>
      <w:r>
        <w:rPr>
          <w:sz w:val="22"/>
          <w:szCs w:val="22"/>
          <w:rtl w:val="0"/>
          <w:lang w:val="en-US"/>
        </w:rPr>
        <w:t>D</w:t>
      </w:r>
      <w:r>
        <w:rPr>
          <w:sz w:val="22"/>
          <w:szCs w:val="22"/>
          <w:rtl w:val="0"/>
          <w:lang w:val="en-US"/>
        </w:rPr>
        <w:t>‖</w:t>
      </w:r>
      <w:r>
        <w:rPr>
          <w:sz w:val="22"/>
          <w:szCs w:val="22"/>
          <w:vertAlign w:val="superscript"/>
          <w:rtl w:val="0"/>
          <w:lang w:val="en-US"/>
        </w:rPr>
        <w:t>2</w:t>
      </w:r>
      <w:r>
        <w:rPr>
          <w:sz w:val="22"/>
          <w:szCs w:val="22"/>
          <w:rtl w:val="0"/>
          <w:lang w:val="en-US"/>
        </w:rPr>
        <w:t>(t</w:t>
      </w:r>
      <w:r>
        <w:rPr>
          <w:sz w:val="22"/>
          <w:szCs w:val="22"/>
          <w:rtl w:val="0"/>
          <w:lang w:val="en-US"/>
        </w:rPr>
        <w:t>−</w:t>
      </w:r>
      <w:r>
        <w:rPr>
          <w:sz w:val="22"/>
          <w:szCs w:val="22"/>
          <w:rtl w:val="0"/>
          <w:lang w:val="en-US"/>
        </w:rPr>
        <w:t>s)s/g</w:t>
      </w:r>
      <w:r>
        <w:rPr>
          <w:sz w:val="22"/>
          <w:szCs w:val="22"/>
          <w:vertAlign w:val="superscript"/>
          <w:rtl w:val="0"/>
          <w:lang w:val="en-US"/>
        </w:rPr>
        <w:t>2</w:t>
      </w:r>
      <w:r>
        <w:rPr>
          <w:sz w:val="22"/>
          <w:szCs w:val="22"/>
          <w:rtl w:val="0"/>
          <w:lang w:val="en-US"/>
        </w:rPr>
        <w:t xml:space="preserve"> gives (28). </w:t>
      </w:r>
      <w:r>
        <w:rPr>
          <w:sz w:val="22"/>
          <w:szCs w:val="22"/>
          <w:rtl w:val="0"/>
          <w:lang w:val="en-US"/>
        </w:rPr>
        <w:t>□</w:t>
      </w:r>
    </w:p>
    <w:p>
      <w:pPr>
        <w:pStyle w:val="Normal.0"/>
        <w:spacing w:after="80" w:line="240" w:lineRule="atLeast"/>
      </w:pPr>
      <w:r>
        <w:rPr>
          <w:sz w:val="22"/>
          <w:szCs w:val="22"/>
          <w:rtl w:val="0"/>
          <w:lang w:val="en-US"/>
        </w:rPr>
        <w:t>Now take the unit-speed graph operator from Theorem 1 and assume D</w:t>
      </w:r>
      <w:r>
        <w:rPr>
          <w:sz w:val="22"/>
          <w:szCs w:val="22"/>
          <w:vertAlign w:val="subscript"/>
          <w:rtl w:val="0"/>
          <w:lang w:val="en-US"/>
        </w:rPr>
        <w:t>00</w:t>
      </w:r>
      <w:r>
        <w:rPr>
          <w:sz w:val="22"/>
          <w:szCs w:val="22"/>
          <w:rtl w:val="0"/>
          <w:lang w:val="en-US"/>
        </w:rPr>
        <w:t xml:space="preserve"> = v</w:t>
      </w:r>
      <w:r>
        <w:rPr>
          <w:sz w:val="22"/>
          <w:szCs w:val="22"/>
          <w:vertAlign w:val="superscript"/>
          <w:rtl w:val="0"/>
          <w:lang w:val="en-US"/>
        </w:rPr>
        <w:t>2</w:t>
      </w:r>
      <w:r>
        <w:rPr>
          <w:sz w:val="22"/>
          <w:szCs w:val="22"/>
          <w:rtl w:val="0"/>
          <w:lang w:val="en-US"/>
        </w:rPr>
        <w:t>I</w:t>
      </w:r>
      <w:r>
        <w:rPr>
          <w:sz w:val="22"/>
          <w:szCs w:val="22"/>
          <w:vertAlign w:val="subscript"/>
          <w:rtl w:val="0"/>
          <w:lang w:val="en-US"/>
        </w:rPr>
        <w:t>r</w:t>
      </w:r>
      <w:r>
        <w:rPr>
          <w:sz w:val="22"/>
          <w:szCs w:val="22"/>
          <w:rtl w:val="0"/>
          <w:lang w:val="en-US"/>
        </w:rPr>
        <w:t xml:space="preserve">. Let a </w:t>
      </w:r>
      <w:r>
        <w:rPr>
          <w:sz w:val="22"/>
          <w:szCs w:val="22"/>
          <w:rtl w:val="0"/>
          <w:lang w:val="en-US"/>
        </w:rPr>
        <w:t xml:space="preserve">→ </w:t>
      </w:r>
      <w:r>
        <w:rPr>
          <w:sz w:val="22"/>
          <w:szCs w:val="22"/>
          <w:rtl w:val="0"/>
          <w:lang w:val="en-US"/>
        </w:rPr>
        <w:t xml:space="preserve">0 and g </w:t>
      </w:r>
      <w:r>
        <w:rPr>
          <w:sz w:val="22"/>
          <w:szCs w:val="22"/>
          <w:rtl w:val="0"/>
          <w:lang w:val="en-US"/>
        </w:rPr>
        <w:t xml:space="preserve">→ ∞ </w:t>
      </w:r>
      <w:r>
        <w:rPr>
          <w:sz w:val="22"/>
          <w:szCs w:val="22"/>
          <w:rtl w:val="0"/>
          <w:lang w:val="en-US"/>
        </w:rPr>
        <w:t>with fixed bounded D. For each fixed finite Fourier band, (28) controls collective-mode elimination and Theorem 1 controls the spatial limit. Uniform response bounds and density extend the resulting convergence to every fixed L</w:t>
      </w:r>
      <w:r>
        <w:rPr>
          <w:sz w:val="22"/>
          <w:szCs w:val="22"/>
          <w:vertAlign w:val="superscript"/>
          <w:rtl w:val="0"/>
          <w:lang w:val="en-US"/>
        </w:rPr>
        <w:t>2</w:t>
      </w:r>
      <w:r>
        <w:rPr>
          <w:sz w:val="22"/>
          <w:szCs w:val="22"/>
          <w:rtl w:val="0"/>
          <w:lang w:val="en-US"/>
        </w:rPr>
        <w:t xml:space="preserve"> collective initial velocity. The limit is the r-component local wave response with speed v.</w:t>
      </w:r>
    </w:p>
    <w:p>
      <w:pPr>
        <w:pStyle w:val="Normal.0"/>
        <w:spacing w:after="80" w:line="240" w:lineRule="atLeast"/>
      </w:pPr>
      <w:r>
        <w:rPr>
          <w:sz w:val="22"/>
          <w:szCs w:val="22"/>
          <w:rtl w:val="0"/>
          <w:lang w:val="en-US"/>
        </w:rPr>
        <w:t>This statement makes the completion explicit. At fixed finite g, the projected exact response generally retains dispersive and temporal-memory corrections. A strictly local common-cone limit is obtained here by a singular large-gap family, not by interpreting the finite-g expansion as an exact microscopic law. The preparation of heavy modes is part of the theorem.</w:t>
      </w:r>
    </w:p>
    <w:p>
      <w:pPr>
        <w:pStyle w:val="Normal.0"/>
        <w:spacing w:after="80" w:line="240" w:lineRule="atLeast"/>
      </w:pPr>
      <w:r>
        <w:rPr>
          <w:sz w:val="22"/>
          <w:szCs w:val="22"/>
          <w:rtl w:val="0"/>
          <w:lang w:val="en-US"/>
        </w:rPr>
        <w:t xml:space="preserve">If one uses an increasing intermediate cutoff |k| </w:t>
      </w:r>
      <w:r>
        <w:rPr>
          <w:sz w:val="22"/>
          <w:szCs w:val="22"/>
          <w:rtl w:val="0"/>
          <w:lang w:val="en-US"/>
        </w:rPr>
        <w:t>≤ Λ</w:t>
      </w:r>
      <w:r>
        <w:rPr>
          <w:sz w:val="22"/>
          <w:szCs w:val="22"/>
          <w:rtl w:val="0"/>
          <w:lang w:val="en-US"/>
        </w:rPr>
        <w:t>, sufficient conditions from the stated bounds are a</w:t>
      </w:r>
      <w:r>
        <w:rPr>
          <w:sz w:val="22"/>
          <w:szCs w:val="22"/>
          <w:vertAlign w:val="superscript"/>
          <w:rtl w:val="0"/>
          <w:lang w:val="en-US"/>
        </w:rPr>
        <w:t>2</w:t>
      </w:r>
      <w:r>
        <w:rPr>
          <w:sz w:val="22"/>
          <w:szCs w:val="22"/>
          <w:rtl w:val="0"/>
          <w:lang w:val="en-US"/>
        </w:rPr>
        <w:t>Λ</w:t>
      </w:r>
      <w:r>
        <w:rPr>
          <w:sz w:val="22"/>
          <w:szCs w:val="22"/>
          <w:vertAlign w:val="superscript"/>
          <w:rtl w:val="0"/>
          <w:lang w:val="en-US"/>
        </w:rPr>
        <w:t>3</w:t>
      </w:r>
      <w:r>
        <w:rPr>
          <w:sz w:val="22"/>
          <w:szCs w:val="22"/>
          <w:rtl w:val="0"/>
          <w:lang w:val="en-US"/>
        </w:rPr>
        <w:t xml:space="preserve"> → </w:t>
      </w:r>
      <w:r>
        <w:rPr>
          <w:sz w:val="22"/>
          <w:szCs w:val="22"/>
          <w:rtl w:val="0"/>
          <w:lang w:val="en-US"/>
        </w:rPr>
        <w:t xml:space="preserve">0 and </w:t>
      </w:r>
      <w:r>
        <w:rPr>
          <w:sz w:val="22"/>
          <w:szCs w:val="22"/>
          <w:rtl w:val="0"/>
          <w:lang w:val="en-US"/>
        </w:rPr>
        <w:t>Λ</w:t>
      </w:r>
      <w:r>
        <w:rPr>
          <w:sz w:val="22"/>
          <w:szCs w:val="22"/>
          <w:vertAlign w:val="superscript"/>
          <w:rtl w:val="0"/>
          <w:lang w:val="en-US"/>
        </w:rPr>
        <w:t>4</w:t>
      </w:r>
      <w:r>
        <w:rPr>
          <w:sz w:val="22"/>
          <w:szCs w:val="22"/>
          <w:rtl w:val="0"/>
          <w:lang w:val="en-US"/>
        </w:rPr>
        <w:t>/g</w:t>
      </w:r>
      <w:r>
        <w:rPr>
          <w:sz w:val="22"/>
          <w:szCs w:val="22"/>
          <w:vertAlign w:val="superscript"/>
          <w:rtl w:val="0"/>
          <w:lang w:val="en-US"/>
        </w:rPr>
        <w:t>2</w:t>
      </w:r>
      <w:r>
        <w:rPr>
          <w:sz w:val="22"/>
          <w:szCs w:val="22"/>
          <w:rtl w:val="0"/>
          <w:lang w:val="en-US"/>
        </w:rPr>
        <w:t xml:space="preserve"> → </w:t>
      </w:r>
      <w:r>
        <w:rPr>
          <w:sz w:val="22"/>
          <w:szCs w:val="22"/>
          <w:rtl w:val="0"/>
          <w:lang w:val="en-US"/>
        </w:rPr>
        <w:t xml:space="preserve">0, with </w:t>
      </w:r>
      <w:r>
        <w:rPr>
          <w:sz w:val="22"/>
          <w:szCs w:val="22"/>
          <w:rtl w:val="0"/>
          <w:lang w:val="en-US"/>
        </w:rPr>
        <w:t>Λ → ∞</w:t>
      </w:r>
      <w:r>
        <w:rPr>
          <w:sz w:val="22"/>
          <w:szCs w:val="22"/>
          <w:rtl w:val="0"/>
          <w:lang w:val="en-US"/>
        </w:rPr>
        <w:t>. These conditions are convenient, not optimal. For example, g = a</w:t>
      </w:r>
      <w:r>
        <w:rPr>
          <w:sz w:val="22"/>
          <w:szCs w:val="22"/>
          <w:vertAlign w:val="superscript"/>
          <w:rtl w:val="0"/>
          <w:lang w:val="en-US"/>
        </w:rPr>
        <w:t>-1</w:t>
      </w:r>
      <w:r>
        <w:rPr>
          <w:sz w:val="22"/>
          <w:szCs w:val="22"/>
          <w:rtl w:val="0"/>
          <w:lang w:val="en-US"/>
        </w:rPr>
        <w:t xml:space="preserve"> and </w:t>
      </w:r>
      <w:r>
        <w:rPr>
          <w:sz w:val="22"/>
          <w:szCs w:val="22"/>
          <w:rtl w:val="0"/>
          <w:lang w:val="en-US"/>
        </w:rPr>
        <w:t xml:space="preserve">Λ </w:t>
      </w:r>
      <w:r>
        <w:rPr>
          <w:sz w:val="22"/>
          <w:szCs w:val="22"/>
          <w:rtl w:val="0"/>
          <w:lang w:val="en-US"/>
        </w:rPr>
        <w:t>= a</w:t>
      </w:r>
      <w:r>
        <w:rPr>
          <w:sz w:val="22"/>
          <w:szCs w:val="22"/>
          <w:vertAlign w:val="superscript"/>
          <w:rtl w:val="0"/>
          <w:lang w:val="en-US"/>
        </w:rPr>
        <w:t>-1/3</w:t>
      </w:r>
      <w:r>
        <w:rPr>
          <w:sz w:val="22"/>
          <w:szCs w:val="22"/>
          <w:rtl w:val="0"/>
          <w:lang w:val="en-US"/>
        </w:rPr>
        <w:t xml:space="preserve"> satisfy both. The large-gap limit is a variation of microscopic models; it is not a temporal attraction mechanism for D</w:t>
      </w:r>
      <w:r>
        <w:rPr>
          <w:sz w:val="22"/>
          <w:szCs w:val="22"/>
          <w:vertAlign w:val="subscript"/>
          <w:rtl w:val="0"/>
          <w:lang w:val="en-US"/>
        </w:rPr>
        <w:t>00</w:t>
      </w:r>
      <w:r>
        <w:rPr>
          <w:sz w:val="22"/>
          <w:szCs w:val="22"/>
          <w:rtl w:val="0"/>
          <w:lang w:val="en-US"/>
        </w:rPr>
        <w:t>.</w:t>
      </w:r>
    </w:p>
    <w:p>
      <w:pPr>
        <w:pStyle w:val="Figure"/>
        <w:spacing w:after="80" w:line="240" w:lineRule="atLeast"/>
      </w:pPr>
      <w:r>
        <w:drawing>
          <wp:inline distT="0" distB="0" distL="0" distR="0">
            <wp:extent cx="5976000" cy="2461617"/>
            <wp:effectExtent l="0" t="0" r="0" b="0"/>
            <wp:docPr id="1073741829" name="officeArt object" descr="Figure 2. Relative L² response errors on ℓ = 2π for f(x) = cos x + 0.35 sin 3x + 0.2 cos 7x, sampled over t ∈ [0,1]. A: three different finite-range operators with the same second moment approach the same continuum response. B: Fourier interpolation and local cell reconstruction converge at different rates to that response."/>
            <wp:cNvGraphicFramePr/>
            <a:graphic xmlns:a="http://schemas.openxmlformats.org/drawingml/2006/main">
              <a:graphicData uri="http://schemas.openxmlformats.org/drawingml/2006/picture">
                <pic:pic xmlns:pic="http://schemas.openxmlformats.org/drawingml/2006/picture">
                  <pic:nvPicPr>
                    <pic:cNvPr id="1073741829" name="Figure 2. Relative L² response errors on ℓ = 2π for f(x) = cos x + 0.35 sin 3x + 0.2 cos 7x, sampled over t ∈ [0,1]. A: three different finite-range operators with the same second moment approach the same continuum response. B: Fourier interpolation and local cell reconstruction converge at different rates to that response." descr="Figure 2. Relative L² response errors on ℓ = 2π for f(x) = cos x + 0.35 sin 3x + 0.2 cos 7x, sampled over t ∈ [0,1]. A: three different finite-range operators with the same second moment approach the same continuum response. B: Fourier interpolation and local cell reconstruction converge at different rates to that response."/>
                    <pic:cNvPicPr>
                      <a:picLocks noChangeAspect="1"/>
                    </pic:cNvPicPr>
                  </pic:nvPicPr>
                  <pic:blipFill>
                    <a:blip r:embed="rId8">
                      <a:extLst/>
                    </a:blip>
                    <a:stretch>
                      <a:fillRect/>
                    </a:stretch>
                  </pic:blipFill>
                  <pic:spPr>
                    <a:xfrm>
                      <a:off x="0" y="0"/>
                      <a:ext cx="5976000" cy="2461617"/>
                    </a:xfrm>
                    <a:prstGeom prst="rect">
                      <a:avLst/>
                    </a:prstGeom>
                    <a:ln w="12700" cap="flat">
                      <a:noFill/>
                      <a:miter lim="400000"/>
                    </a:ln>
                    <a:effectLst/>
                  </pic:spPr>
                </pic:pic>
              </a:graphicData>
            </a:graphic>
          </wp:inline>
        </w:drawing>
      </w:r>
    </w:p>
    <w:p>
      <w:pPr>
        <w:pStyle w:val="caption"/>
        <w:spacing w:before="60" w:after="120" w:line="240" w:lineRule="atLeast"/>
      </w:pPr>
      <w:r>
        <w:rPr>
          <w:rtl w:val="0"/>
          <w:lang w:val="en-US"/>
        </w:rPr>
        <w:t>Figure 2. Relative L</w:t>
      </w:r>
      <w:r>
        <w:rPr>
          <w:vertAlign w:val="superscript"/>
          <w:rtl w:val="0"/>
          <w:lang w:val="en-US"/>
        </w:rPr>
        <w:t>2</w:t>
      </w:r>
      <w:r>
        <w:rPr>
          <w:rtl w:val="0"/>
          <w:lang w:val="en-US"/>
        </w:rPr>
        <w:t xml:space="preserve"> response errors on </w:t>
      </w:r>
      <w:r>
        <w:rPr>
          <w:rtl w:val="0"/>
          <w:lang w:val="en-US"/>
        </w:rPr>
        <w:t xml:space="preserve">ℓ </w:t>
      </w:r>
      <w:r>
        <w:rPr>
          <w:rtl w:val="0"/>
          <w:lang w:val="en-US"/>
        </w:rPr>
        <w:t>= 2</w:t>
      </w:r>
      <w:r>
        <w:rPr>
          <w:rtl w:val="0"/>
          <w:lang w:val="en-US"/>
        </w:rPr>
        <w:t xml:space="preserve">π </w:t>
      </w:r>
      <w:r>
        <w:rPr>
          <w:rtl w:val="0"/>
          <w:lang w:val="en-US"/>
        </w:rPr>
        <w:t xml:space="preserve">for f(x) = cos x + 0.35 sin 3x + 0.2 cos 7x, sampled over t </w:t>
      </w:r>
      <w:r>
        <w:rPr>
          <w:rFonts w:ascii="Arial Unicode MS" w:cs="Arial Unicode MS" w:hAnsi="Arial Unicode MS" w:eastAsia="Arial Unicode MS" w:hint="default"/>
          <w:b w:val="0"/>
          <w:bCs w:val="0"/>
          <w:i w:val="0"/>
          <w:iCs w:val="0"/>
          <w:rtl w:val="0"/>
          <w:lang w:val="en-US"/>
        </w:rPr>
        <w:t>∈</w:t>
      </w:r>
      <w:r>
        <w:rPr>
          <w:rtl w:val="0"/>
          <w:lang w:val="en-US"/>
        </w:rPr>
        <w:t xml:space="preserve"> </w:t>
      </w:r>
      <w:r>
        <w:rPr>
          <w:rtl w:val="0"/>
          <w:lang w:val="en-US"/>
        </w:rPr>
        <w:t>[0,1]. A: three different finite-range operators with the same second moment approach the same continuum response. B: Fourier interpolation and local cell reconstruction converge at different rates to that response.</w:t>
      </w:r>
    </w:p>
    <w:p>
      <w:pPr>
        <w:pStyle w:val="Заголовок 2"/>
        <w:spacing w:line="240" w:lineRule="atLeast"/>
      </w:pPr>
      <w:r>
        <w:rPr>
          <w:rtl w:val="0"/>
          <w:lang w:val="en-US"/>
        </w:rPr>
        <w:t>5. Invariance, protection and attraction of universality</w:t>
      </w:r>
    </w:p>
    <w:p>
      <w:pPr>
        <w:pStyle w:val="Заголовок 3"/>
        <w:spacing w:line="240" w:lineRule="atLeast"/>
      </w:pPr>
      <w:r>
        <w:rPr>
          <w:rtl w:val="0"/>
          <w:lang w:val="en-US"/>
        </w:rPr>
        <w:t>5.1. The common-cone set on a moving massless space</w:t>
      </w:r>
    </w:p>
    <w:p>
      <w:pPr>
        <w:pStyle w:val="Normal.0"/>
        <w:keepNext w:val="1"/>
        <w:spacing w:after="80" w:line="240" w:lineRule="atLeast"/>
      </w:pPr>
      <w:r>
        <w:rPr>
          <w:sz w:val="22"/>
          <w:szCs w:val="22"/>
          <w:rtl w:val="0"/>
          <w:lang w:val="en-US"/>
        </w:rPr>
        <w:t>For state-dependent positive matrices A(X), B(X) and nonnegative U(X), define</w:t>
      </w:r>
    </w:p>
    <w:p>
      <w:pPr>
        <w:pStyle w:val="Equation"/>
        <w:spacing w:after="80" w:line="240" w:lineRule="atLeast"/>
      </w:pPr>
      <w:r>
        <w:rPr>
          <w:rFonts w:ascii="Times New Roman" w:hAnsi="Times New Roman"/>
          <w:sz w:val="22"/>
          <w:szCs w:val="22"/>
          <w:rtl w:val="0"/>
          <w:lang w:val="en-US"/>
        </w:rPr>
        <w:t>T(X) = A</w:t>
      </w:r>
      <w:r>
        <w:rPr>
          <w:rFonts w:ascii="Times New Roman" w:hAnsi="Times New Roman"/>
          <w:sz w:val="22"/>
          <w:szCs w:val="22"/>
          <w:vertAlign w:val="superscript"/>
          <w:rtl w:val="0"/>
          <w:lang w:val="en-US"/>
        </w:rPr>
        <w:t>-1/2</w:t>
      </w:r>
      <w:r>
        <w:rPr>
          <w:rFonts w:ascii="Times New Roman" w:hAnsi="Times New Roman"/>
          <w:sz w:val="22"/>
          <w:szCs w:val="22"/>
          <w:rtl w:val="0"/>
          <w:lang w:val="en-US"/>
        </w:rPr>
        <w:t>UA</w:t>
      </w:r>
      <w:r>
        <w:rPr>
          <w:rFonts w:ascii="Times New Roman" w:hAnsi="Times New Roman"/>
          <w:sz w:val="22"/>
          <w:szCs w:val="22"/>
          <w:vertAlign w:val="superscript"/>
          <w:rtl w:val="0"/>
          <w:lang w:val="en-US"/>
        </w:rPr>
        <w:t>-1/2</w:t>
      </w:r>
      <w:r>
        <w:rPr>
          <w:rFonts w:ascii="Times New Roman" w:hAnsi="Times New Roman"/>
          <w:sz w:val="22"/>
          <w:szCs w:val="22"/>
          <w:rtl w:val="0"/>
          <w:lang w:val="en-US"/>
        </w:rPr>
        <w:t>,     D(X) = A</w:t>
      </w:r>
      <w:r>
        <w:rPr>
          <w:rFonts w:ascii="Times New Roman" w:hAnsi="Times New Roman"/>
          <w:sz w:val="22"/>
          <w:szCs w:val="22"/>
          <w:vertAlign w:val="superscript"/>
          <w:rtl w:val="0"/>
          <w:lang w:val="en-US"/>
        </w:rPr>
        <w:t>-1/2</w:t>
      </w:r>
      <w:r>
        <w:rPr>
          <w:rFonts w:ascii="Times New Roman" w:hAnsi="Times New Roman"/>
          <w:sz w:val="22"/>
          <w:szCs w:val="22"/>
          <w:rtl w:val="0"/>
          <w:lang w:val="en-US"/>
        </w:rPr>
        <w:t>BA</w:t>
      </w:r>
      <w:r>
        <w:rPr>
          <w:rFonts w:ascii="Times New Roman" w:hAnsi="Times New Roman"/>
          <w:sz w:val="22"/>
          <w:szCs w:val="22"/>
          <w:vertAlign w:val="superscript"/>
          <w:rtl w:val="0"/>
          <w:lang w:val="en-US"/>
        </w:rPr>
        <w:t>-1/2</w:t>
      </w:r>
      <w:r>
        <w:rPr>
          <w:rFonts w:ascii="Times New Roman" w:hAnsi="Times New Roman"/>
          <w:sz w:val="22"/>
          <w:szCs w:val="22"/>
          <w:rtl w:val="0"/>
          <w:lang w:val="en-US"/>
        </w:rPr>
        <w:t>.</w:t>
        <w:tab/>
        <w:t>(30)</w:t>
      </w:r>
    </w:p>
    <w:p>
      <w:pPr>
        <w:pStyle w:val="Normal.0"/>
        <w:keepNext w:val="1"/>
        <w:spacing w:after="80" w:line="240" w:lineRule="atLeast"/>
      </w:pPr>
      <w:r>
        <w:rPr>
          <w:sz w:val="22"/>
          <w:szCs w:val="22"/>
          <w:rtl w:val="0"/>
          <w:lang w:val="en-US"/>
        </w:rPr>
        <w:t>Work on a smooth region of state space where dim ker T = r is constant and the positive spectrum is uniformly separated from zero. Let P(X) be the orthogonal projection onto ker T. Define the basis-independent defect</w:t>
      </w:r>
    </w:p>
    <w:p>
      <w:pPr>
        <w:pStyle w:val="Equation"/>
        <w:spacing w:after="80" w:line="240" w:lineRule="atLeast"/>
      </w:pPr>
      <w:r>
        <w:rPr>
          <w:rFonts w:ascii="Times New Roman" w:hAnsi="Times New Roman"/>
          <w:sz w:val="22"/>
          <w:szCs w:val="22"/>
          <w:rtl w:val="0"/>
          <w:lang w:val="en-US"/>
        </w:rPr>
        <w:t>v</w:t>
      </w:r>
      <w:r>
        <w:rPr>
          <w:rFonts w:ascii="Times New Roman" w:hAnsi="Times New Roman"/>
          <w:sz w:val="22"/>
          <w:szCs w:val="22"/>
          <w:vertAlign w:val="superscript"/>
          <w:rtl w:val="0"/>
          <w:lang w:val="en-US"/>
        </w:rPr>
        <w:t>2</w:t>
      </w:r>
      <w:r>
        <w:rPr>
          <w:rFonts w:ascii="Times New Roman" w:hAnsi="Times New Roman"/>
          <w:sz w:val="22"/>
          <w:szCs w:val="22"/>
          <w:rtl w:val="0"/>
          <w:lang w:val="en-US"/>
        </w:rPr>
        <w:t xml:space="preserve">(X) = tr(PD)/r,     F(X) = PDP </w:t>
      </w:r>
      <w:r>
        <w:rPr>
          <w:rFonts w:ascii="Times New Roman" w:hAnsi="Times New Roman" w:hint="default"/>
          <w:sz w:val="22"/>
          <w:szCs w:val="22"/>
          <w:rtl w:val="0"/>
          <w:lang w:val="en-US"/>
        </w:rPr>
        <w:t xml:space="preserve">− </w:t>
      </w:r>
      <w:r>
        <w:rPr>
          <w:rFonts w:ascii="Times New Roman" w:hAnsi="Times New Roman"/>
          <w:sz w:val="22"/>
          <w:szCs w:val="22"/>
          <w:rtl w:val="0"/>
          <w:lang w:val="en-US"/>
        </w:rPr>
        <w:t>v</w:t>
      </w:r>
      <w:r>
        <w:rPr>
          <w:rFonts w:ascii="Times New Roman" w:hAnsi="Times New Roman"/>
          <w:sz w:val="22"/>
          <w:szCs w:val="22"/>
          <w:vertAlign w:val="superscript"/>
          <w:rtl w:val="0"/>
          <w:lang w:val="en-US"/>
        </w:rPr>
        <w:t>2</w:t>
      </w:r>
      <w:r>
        <w:rPr>
          <w:rFonts w:ascii="Times New Roman" w:hAnsi="Times New Roman"/>
          <w:sz w:val="22"/>
          <w:szCs w:val="22"/>
          <w:rtl w:val="0"/>
          <w:lang w:val="en-US"/>
        </w:rPr>
        <w:t xml:space="preserve">P,     </w:t>
      </w:r>
      <w:r>
        <w:rPr>
          <w:rFonts w:ascii="Times New Roman" w:hAnsi="Times New Roman" w:hint="default"/>
          <w:sz w:val="22"/>
          <w:szCs w:val="22"/>
          <w:rtl w:val="0"/>
          <w:lang w:val="en-US"/>
        </w:rPr>
        <w:t>Δ</w:t>
      </w:r>
      <w:r>
        <w:rPr>
          <w:rFonts w:ascii="Times New Roman" w:hAnsi="Times New Roman"/>
          <w:sz w:val="22"/>
          <w:szCs w:val="22"/>
          <w:vertAlign w:val="subscript"/>
          <w:rtl w:val="0"/>
          <w:lang w:val="en-US"/>
        </w:rPr>
        <w:t>D</w:t>
      </w:r>
      <w:r>
        <w:rPr>
          <w:rFonts w:ascii="Times New Roman" w:hAnsi="Times New Roman"/>
          <w:sz w:val="22"/>
          <w:szCs w:val="22"/>
          <w:rtl w:val="0"/>
          <w:lang w:val="en-US"/>
        </w:rPr>
        <w:t xml:space="preserve">(X) = </w:t>
      </w:r>
      <w:r>
        <w:rPr>
          <w:rFonts w:ascii="Times New Roman" w:hAnsi="Times New Roman" w:hint="default"/>
          <w:sz w:val="22"/>
          <w:szCs w:val="22"/>
          <w:rtl w:val="0"/>
          <w:lang w:val="en-US"/>
        </w:rPr>
        <w:t>‖</w:t>
      </w:r>
      <w:r>
        <w:rPr>
          <w:rFonts w:ascii="Times New Roman" w:hAnsi="Times New Roman"/>
          <w:sz w:val="22"/>
          <w:szCs w:val="22"/>
          <w:rtl w:val="0"/>
          <w:lang w:val="en-US"/>
        </w:rPr>
        <w:t>F(X)</w:t>
      </w:r>
      <w:r>
        <w:rPr>
          <w:rFonts w:ascii="Times New Roman" w:hAnsi="Times New Roman" w:hint="default"/>
          <w:sz w:val="22"/>
          <w:szCs w:val="22"/>
          <w:rtl w:val="0"/>
          <w:lang w:val="en-US"/>
        </w:rPr>
        <w:t>‖</w:t>
      </w:r>
      <w:r>
        <w:rPr>
          <w:rFonts w:ascii="Times New Roman" w:hAnsi="Times New Roman"/>
          <w:sz w:val="22"/>
          <w:szCs w:val="22"/>
          <w:rtl w:val="0"/>
          <w:lang w:val="en-US"/>
        </w:rPr>
        <w:t>.</w:t>
        <w:tab/>
        <w:t>(31)</w:t>
      </w:r>
    </w:p>
    <w:p>
      <w:pPr>
        <w:pStyle w:val="Normal.0"/>
        <w:spacing w:after="80" w:line="240" w:lineRule="atLeast"/>
      </w:pPr>
      <w:r>
        <w:rPr>
          <w:sz w:val="22"/>
          <w:szCs w:val="22"/>
          <w:rtl w:val="0"/>
          <w:lang w:val="en-US"/>
        </w:rPr>
        <w:t>The set M</w:t>
      </w:r>
      <w:r>
        <w:rPr>
          <w:sz w:val="22"/>
          <w:szCs w:val="22"/>
          <w:vertAlign w:val="subscript"/>
          <w:rtl w:val="0"/>
          <w:lang w:val="en-US"/>
        </w:rPr>
        <w:t>cone</w:t>
      </w:r>
      <w:r>
        <w:rPr>
          <w:sz w:val="22"/>
          <w:szCs w:val="22"/>
          <w:rtl w:val="0"/>
          <w:lang w:val="en-US"/>
        </w:rPr>
        <w:t xml:space="preserve"> is defined by F = 0. In an orthonormal basis Z of ker T, its condition is D</w:t>
      </w:r>
      <w:r>
        <w:rPr>
          <w:sz w:val="22"/>
          <w:szCs w:val="22"/>
          <w:vertAlign w:val="subscript"/>
          <w:rtl w:val="0"/>
          <w:lang w:val="en-US"/>
        </w:rPr>
        <w:t>00</w:t>
      </w:r>
      <w:r>
        <w:rPr>
          <w:sz w:val="22"/>
          <w:szCs w:val="22"/>
          <w:rtl w:val="0"/>
          <w:lang w:val="en-US"/>
        </w:rPr>
        <w:t xml:space="preserve"> = Z</w:t>
      </w:r>
      <w:r>
        <w:rPr>
          <w:sz w:val="22"/>
          <w:szCs w:val="22"/>
          <w:vertAlign w:val="superscript"/>
          <w:rtl w:val="0"/>
          <w:lang w:val="en-US"/>
        </w:rPr>
        <w:t>T</w:t>
      </w:r>
      <w:r>
        <w:rPr>
          <w:sz w:val="22"/>
          <w:szCs w:val="22"/>
          <w:rtl w:val="0"/>
          <w:lang w:val="en-US"/>
        </w:rPr>
        <w:t>DZ = v</w:t>
      </w:r>
      <w:r>
        <w:rPr>
          <w:sz w:val="22"/>
          <w:szCs w:val="22"/>
          <w:vertAlign w:val="superscript"/>
          <w:rtl w:val="0"/>
          <w:lang w:val="en-US"/>
        </w:rPr>
        <w:t>2</w:t>
      </w:r>
      <w:r>
        <w:rPr>
          <w:sz w:val="22"/>
          <w:szCs w:val="22"/>
          <w:rtl w:val="0"/>
          <w:lang w:val="en-US"/>
        </w:rPr>
        <w:t>I</w:t>
      </w:r>
      <w:r>
        <w:rPr>
          <w:sz w:val="22"/>
          <w:szCs w:val="22"/>
          <w:vertAlign w:val="subscript"/>
          <w:rtl w:val="0"/>
          <w:lang w:val="en-US"/>
        </w:rPr>
        <w:t>r</w:t>
      </w:r>
      <w:r>
        <w:rPr>
          <w:sz w:val="22"/>
          <w:szCs w:val="22"/>
          <w:rtl w:val="0"/>
          <w:lang w:val="en-US"/>
        </w:rPr>
        <w:t xml:space="preserve">. Under the common elliptic spatial-symbol assumption, the physical leading determinant factors into </w:t>
      </w:r>
      <w:r>
        <w:rPr>
          <w:sz w:val="22"/>
          <w:szCs w:val="22"/>
          <w:rtl w:val="0"/>
          <w:lang w:val="en-US"/>
        </w:rPr>
        <w:t>−ω</w:t>
      </w:r>
      <w:r>
        <w:rPr>
          <w:sz w:val="22"/>
          <w:szCs w:val="22"/>
          <w:vertAlign w:val="superscript"/>
          <w:rtl w:val="0"/>
          <w:lang w:val="en-US"/>
        </w:rPr>
        <w:t>2</w:t>
      </w:r>
      <w:r>
        <w:rPr>
          <w:sz w:val="22"/>
          <w:szCs w:val="22"/>
          <w:rtl w:val="0"/>
          <w:lang w:val="en-US"/>
        </w:rPr>
        <w:t xml:space="preserve"> + v</w:t>
      </w:r>
      <w:r>
        <w:rPr>
          <w:sz w:val="22"/>
          <w:szCs w:val="22"/>
          <w:vertAlign w:val="subscript"/>
          <w:rtl w:val="0"/>
          <w:lang w:val="en-US"/>
        </w:rPr>
        <w:t>j</w:t>
      </w:r>
      <w:r>
        <w:rPr>
          <w:sz w:val="22"/>
          <w:szCs w:val="22"/>
          <w:vertAlign w:val="superscript"/>
          <w:rtl w:val="0"/>
          <w:lang w:val="en-US"/>
        </w:rPr>
        <w:t>2</w:t>
      </w:r>
      <w:r>
        <w:rPr>
          <w:sz w:val="22"/>
          <w:szCs w:val="22"/>
          <w:rtl w:val="0"/>
          <w:lang w:val="en-US"/>
        </w:rPr>
        <w:t>h</w:t>
      </w:r>
      <w:r>
        <w:rPr>
          <w:sz w:val="22"/>
          <w:szCs w:val="22"/>
          <w:vertAlign w:val="superscript"/>
          <w:rtl w:val="0"/>
          <w:lang w:val="en-US"/>
        </w:rPr>
        <w:t>ij</w:t>
      </w:r>
      <w:r>
        <w:rPr>
          <w:sz w:val="22"/>
          <w:szCs w:val="22"/>
          <w:rtl w:val="0"/>
          <w:lang w:val="en-US"/>
        </w:rPr>
        <w:t>k</w:t>
      </w:r>
      <w:r>
        <w:rPr>
          <w:sz w:val="22"/>
          <w:szCs w:val="22"/>
          <w:vertAlign w:val="subscript"/>
          <w:rtl w:val="0"/>
          <w:lang w:val="en-US"/>
        </w:rPr>
        <w:t>i</w:t>
      </w:r>
      <w:r>
        <w:rPr>
          <w:sz w:val="22"/>
          <w:szCs w:val="22"/>
          <w:rtl w:val="0"/>
          <w:lang w:val="en-US"/>
        </w:rPr>
        <w:t>k</w:t>
      </w:r>
      <w:r>
        <w:rPr>
          <w:sz w:val="22"/>
          <w:szCs w:val="22"/>
          <w:vertAlign w:val="subscript"/>
          <w:rtl w:val="0"/>
          <w:lang w:val="en-US"/>
        </w:rPr>
        <w:t>j</w:t>
      </w:r>
      <w:r>
        <w:rPr>
          <w:sz w:val="22"/>
          <w:szCs w:val="22"/>
          <w:rtl w:val="0"/>
          <w:lang w:val="en-US"/>
        </w:rPr>
        <w:t>. Positive symmetry of D</w:t>
      </w:r>
      <w:r>
        <w:rPr>
          <w:sz w:val="22"/>
          <w:szCs w:val="22"/>
          <w:vertAlign w:val="subscript"/>
          <w:rtl w:val="0"/>
          <w:lang w:val="en-US"/>
        </w:rPr>
        <w:t>00</w:t>
      </w:r>
      <w:r>
        <w:rPr>
          <w:sz w:val="22"/>
          <w:szCs w:val="22"/>
          <w:rtl w:val="0"/>
          <w:lang w:val="en-US"/>
        </w:rPr>
        <w:t xml:space="preserve"> shows that all these cones coincide if and only if F = 0. Equivalently, for any basis Q of ker U, Q</w:t>
      </w:r>
      <w:r>
        <w:rPr>
          <w:sz w:val="22"/>
          <w:szCs w:val="22"/>
          <w:vertAlign w:val="superscript"/>
          <w:rtl w:val="0"/>
          <w:lang w:val="en-US"/>
        </w:rPr>
        <w:t>T</w:t>
      </w:r>
      <w:r>
        <w:rPr>
          <w:sz w:val="22"/>
          <w:szCs w:val="22"/>
          <w:rtl w:val="0"/>
          <w:lang w:val="en-US"/>
        </w:rPr>
        <w:t>BQ = v</w:t>
      </w:r>
      <w:r>
        <w:rPr>
          <w:sz w:val="22"/>
          <w:szCs w:val="22"/>
          <w:vertAlign w:val="superscript"/>
          <w:rtl w:val="0"/>
          <w:lang w:val="en-US"/>
        </w:rPr>
        <w:t>2</w:t>
      </w:r>
      <w:r>
        <w:rPr>
          <w:sz w:val="22"/>
          <w:szCs w:val="22"/>
          <w:rtl w:val="0"/>
          <w:lang w:val="en-US"/>
        </w:rPr>
        <w:t>Q</w:t>
      </w:r>
      <w:r>
        <w:rPr>
          <w:sz w:val="22"/>
          <w:szCs w:val="22"/>
          <w:vertAlign w:val="superscript"/>
          <w:rtl w:val="0"/>
          <w:lang w:val="en-US"/>
        </w:rPr>
        <w:t>T</w:t>
      </w:r>
      <w:r>
        <w:rPr>
          <w:sz w:val="22"/>
          <w:szCs w:val="22"/>
          <w:rtl w:val="0"/>
          <w:lang w:val="en-US"/>
        </w:rPr>
        <w:t>AQ [15]. At r = 1 this condition is automatic and says nothing about universality between independent species.</w:t>
      </w:r>
    </w:p>
    <w:p>
      <w:pPr>
        <w:pStyle w:val="Normal.0"/>
        <w:spacing w:after="80" w:line="240" w:lineRule="atLeast"/>
      </w:pPr>
      <w:r>
        <w:rPr>
          <w:sz w:val="22"/>
          <w:szCs w:val="22"/>
          <w:rtl w:val="0"/>
          <w:lang w:val="en-US"/>
        </w:rPr>
        <w:t>Calling M</w:t>
      </w:r>
      <w:r>
        <w:rPr>
          <w:sz w:val="22"/>
          <w:szCs w:val="22"/>
          <w:vertAlign w:val="subscript"/>
          <w:rtl w:val="0"/>
          <w:lang w:val="en-US"/>
        </w:rPr>
        <w:t>cone</w:t>
      </w:r>
      <w:r>
        <w:rPr>
          <w:sz w:val="22"/>
          <w:szCs w:val="22"/>
          <w:rtl w:val="0"/>
          <w:lang w:val="en-US"/>
        </w:rPr>
        <w:t xml:space="preserve"> a manifold requires an additional regularity condition. On a fixed-rank stratum it is locally a smooth submanifold when the independent trace-free constraints have constant rank. We use </w:t>
      </w:r>
      <w:r>
        <w:rPr>
          <w:sz w:val="22"/>
          <w:szCs w:val="22"/>
          <w:rtl w:val="0"/>
          <w:lang w:val="en-US"/>
        </w:rPr>
        <w:t>“</w:t>
      </w:r>
      <w:r>
        <w:rPr>
          <w:sz w:val="22"/>
          <w:szCs w:val="22"/>
          <w:rtl w:val="0"/>
          <w:lang w:val="en-US"/>
        </w:rPr>
        <w:t>universality set</w:t>
      </w:r>
      <w:r>
        <w:rPr>
          <w:sz w:val="22"/>
          <w:szCs w:val="22"/>
          <w:rtl w:val="0"/>
          <w:lang w:val="en-US"/>
        </w:rPr>
        <w:t xml:space="preserve">” </w:t>
      </w:r>
      <w:r>
        <w:rPr>
          <w:sz w:val="22"/>
          <w:szCs w:val="22"/>
          <w:rtl w:val="0"/>
          <w:lang w:val="en-US"/>
        </w:rPr>
        <w:t xml:space="preserve">when this is not established. Nor is </w:t>
      </w:r>
      <w:r>
        <w:rPr>
          <w:sz w:val="22"/>
          <w:szCs w:val="22"/>
          <w:rtl w:val="0"/>
          <w:lang w:val="en-US"/>
        </w:rPr>
        <w:t>Δ</w:t>
      </w:r>
      <w:r>
        <w:rPr>
          <w:sz w:val="22"/>
          <w:szCs w:val="22"/>
          <w:vertAlign w:val="subscript"/>
          <w:rtl w:val="0"/>
          <w:lang w:val="en-US"/>
        </w:rPr>
        <w:t>D</w:t>
      </w:r>
      <w:r>
        <w:rPr>
          <w:sz w:val="22"/>
          <w:szCs w:val="22"/>
          <w:rtl w:val="0"/>
          <w:lang w:val="en-US"/>
        </w:rPr>
        <w:t xml:space="preserve"> automatically equal to distance in the full microscopic state space; local comparison requires a regular parametrisation and a specified norm.</w:t>
      </w:r>
    </w:p>
    <w:p>
      <w:pPr>
        <w:pStyle w:val="Заголовок 3"/>
        <w:spacing w:line="240" w:lineRule="atLeast"/>
      </w:pPr>
      <w:r>
        <w:rPr>
          <w:rtl w:val="0"/>
          <w:lang w:val="en-US"/>
        </w:rPr>
        <w:t>5.2. A tangency test that includes motion of the projection</w:t>
      </w:r>
    </w:p>
    <w:p>
      <w:pPr>
        <w:pStyle w:val="Normal.0"/>
        <w:keepNext w:val="1"/>
        <w:spacing w:after="80" w:line="240" w:lineRule="atLeast"/>
      </w:pPr>
      <w:r>
        <w:rPr>
          <w:sz w:val="22"/>
          <w:szCs w:val="22"/>
          <w:rtl w:val="0"/>
          <w:lang w:val="en-US"/>
        </w:rPr>
        <w:t>Let X(t) follow a C</w:t>
      </w:r>
      <w:r>
        <w:rPr>
          <w:sz w:val="22"/>
          <w:szCs w:val="22"/>
          <w:vertAlign w:val="superscript"/>
          <w:rtl w:val="0"/>
          <w:lang w:val="en-US"/>
        </w:rPr>
        <w:t>1</w:t>
      </w:r>
      <w:r>
        <w:rPr>
          <w:sz w:val="22"/>
          <w:szCs w:val="22"/>
          <w:rtl w:val="0"/>
          <w:lang w:val="en-US"/>
        </w:rPr>
        <w:t xml:space="preserve"> autonomous vector field. Choose a horizontally transported orthonormal basis Z(t), meaning Z</w:t>
      </w:r>
      <w:r>
        <w:rPr>
          <w:sz w:val="22"/>
          <w:szCs w:val="22"/>
          <w:vertAlign w:val="superscript"/>
          <w:rtl w:val="0"/>
          <w:lang w:val="en-US"/>
        </w:rPr>
        <w:t>T</w:t>
      </w:r>
      <w:r>
        <w:rPr>
          <w:sz w:val="22"/>
          <w:szCs w:val="22"/>
          <w:rtl w:val="0"/>
          <w:lang w:val="en-US"/>
        </w:rPr>
        <w:t>Z</w:t>
      </w:r>
      <w:r>
        <w:rPr>
          <w:sz w:val="22"/>
          <w:szCs w:val="22"/>
          <w:rtl w:val="0"/>
          <w:lang w:val="en-US"/>
        </w:rPr>
        <w:t xml:space="preserve">̇ </w:t>
      </w:r>
      <w:r>
        <w:rPr>
          <w:sz w:val="22"/>
          <w:szCs w:val="22"/>
          <w:rtl w:val="0"/>
          <w:lang w:val="en-US"/>
        </w:rPr>
        <w:t>= 0. Differentiating PZ = Z gives Z</w:t>
      </w:r>
      <w:r>
        <w:rPr>
          <w:sz w:val="22"/>
          <w:szCs w:val="22"/>
          <w:rtl w:val="0"/>
          <w:lang w:val="en-US"/>
        </w:rPr>
        <w:t xml:space="preserve">̇ </w:t>
      </w:r>
      <w:r>
        <w:rPr>
          <w:sz w:val="22"/>
          <w:szCs w:val="22"/>
          <w:rtl w:val="0"/>
          <w:lang w:val="en-US"/>
        </w:rPr>
        <w:t>= P</w:t>
      </w:r>
      <w:r>
        <w:rPr>
          <w:sz w:val="22"/>
          <w:szCs w:val="22"/>
          <w:rtl w:val="0"/>
          <w:lang w:val="en-US"/>
        </w:rPr>
        <w:t>̇</w:t>
      </w:r>
      <w:r>
        <w:rPr>
          <w:sz w:val="22"/>
          <w:szCs w:val="22"/>
          <w:rtl w:val="0"/>
          <w:lang w:val="en-US"/>
        </w:rPr>
        <w:t>Z in this gauge. Hence</w:t>
      </w:r>
    </w:p>
    <w:p>
      <w:pPr>
        <w:pStyle w:val="Equation"/>
        <w:spacing w:after="80" w:line="240" w:lineRule="atLeast"/>
      </w:pPr>
      <w:r>
        <w:rPr>
          <w:rFonts w:ascii="Times New Roman" w:hAnsi="Times New Roman"/>
          <w:sz w:val="22"/>
          <w:szCs w:val="22"/>
          <w:rtl w:val="0"/>
          <w:lang w:val="en-US"/>
        </w:rPr>
        <w:t>dD</w:t>
      </w:r>
      <w:r>
        <w:rPr>
          <w:rFonts w:ascii="Times New Roman" w:hAnsi="Times New Roman"/>
          <w:sz w:val="22"/>
          <w:szCs w:val="22"/>
          <w:vertAlign w:val="subscript"/>
          <w:rtl w:val="0"/>
          <w:lang w:val="en-US"/>
        </w:rPr>
        <w:t>00</w:t>
      </w:r>
      <w:r>
        <w:rPr>
          <w:rFonts w:ascii="Times New Roman" w:hAnsi="Times New Roman"/>
          <w:sz w:val="22"/>
          <w:szCs w:val="22"/>
          <w:rtl w:val="0"/>
          <w:lang w:val="en-US"/>
        </w:rPr>
        <w:t>/dt = Z</w:t>
      </w:r>
      <w:r>
        <w:rPr>
          <w:rFonts w:ascii="Times New Roman" w:hAnsi="Times New Roman"/>
          <w:sz w:val="22"/>
          <w:szCs w:val="22"/>
          <w:vertAlign w:val="superscript"/>
          <w:rtl w:val="0"/>
          <w:lang w:val="en-US"/>
        </w:rPr>
        <w:t>T</w:t>
      </w:r>
      <w:r>
        <w:rPr>
          <w:rFonts w:ascii="Times New Roman" w:hAnsi="Times New Roman"/>
          <w:sz w:val="22"/>
          <w:szCs w:val="22"/>
          <w:rtl w:val="0"/>
          <w:lang w:val="en-US"/>
        </w:rPr>
        <w:t>(D</w:t>
      </w:r>
      <w:r>
        <w:rPr>
          <w:rFonts w:ascii="Times New Roman" w:hAnsi="Times New Roman" w:hint="default"/>
          <w:sz w:val="22"/>
          <w:szCs w:val="22"/>
          <w:rtl w:val="0"/>
          <w:lang w:val="en-US"/>
        </w:rPr>
        <w:t xml:space="preserve">̇ </w:t>
      </w:r>
      <w:r>
        <w:rPr>
          <w:rFonts w:ascii="Times New Roman" w:hAnsi="Times New Roman"/>
          <w:sz w:val="22"/>
          <w:szCs w:val="22"/>
          <w:rtl w:val="0"/>
          <w:lang w:val="en-US"/>
        </w:rPr>
        <w:t>+ P</w:t>
      </w:r>
      <w:r>
        <w:rPr>
          <w:rFonts w:ascii="Times New Roman" w:hAnsi="Times New Roman" w:hint="default"/>
          <w:sz w:val="22"/>
          <w:szCs w:val="22"/>
          <w:rtl w:val="0"/>
          <w:lang w:val="en-US"/>
        </w:rPr>
        <w:t>̇</w:t>
      </w:r>
      <w:r>
        <w:rPr>
          <w:rFonts w:ascii="Times New Roman" w:hAnsi="Times New Roman"/>
          <w:sz w:val="22"/>
          <w:szCs w:val="22"/>
          <w:rtl w:val="0"/>
          <w:lang w:val="en-US"/>
        </w:rPr>
        <w:t>D + DP</w:t>
      </w:r>
      <w:r>
        <w:rPr>
          <w:rFonts w:ascii="Times New Roman" w:hAnsi="Times New Roman" w:hint="default"/>
          <w:sz w:val="22"/>
          <w:szCs w:val="22"/>
          <w:rtl w:val="0"/>
          <w:lang w:val="en-US"/>
        </w:rPr>
        <w:t>̇</w:t>
      </w:r>
      <w:r>
        <w:rPr>
          <w:rFonts w:ascii="Times New Roman" w:hAnsi="Times New Roman"/>
          <w:sz w:val="22"/>
          <w:szCs w:val="22"/>
          <w:rtl w:val="0"/>
          <w:lang w:val="en-US"/>
        </w:rPr>
        <w:t>)Z.</w:t>
        <w:tab/>
        <w:t>(32)</w:t>
      </w:r>
    </w:p>
    <w:p>
      <w:pPr>
        <w:pStyle w:val="Normal.0"/>
        <w:spacing w:after="80" w:line="240" w:lineRule="atLeast"/>
      </w:pPr>
      <w:r>
        <w:rPr>
          <w:sz w:val="22"/>
          <w:szCs w:val="22"/>
          <w:rtl w:val="0"/>
          <w:lang w:val="en-US"/>
        </w:rPr>
        <w:t xml:space="preserve">For an r-by-r matrix K write tf(K) = K </w:t>
      </w:r>
      <w:r>
        <w:rPr>
          <w:sz w:val="22"/>
          <w:szCs w:val="22"/>
          <w:rtl w:val="0"/>
          <w:lang w:val="en-US"/>
        </w:rPr>
        <w:t xml:space="preserve">− </w:t>
      </w:r>
      <w:r>
        <w:rPr>
          <w:sz w:val="22"/>
          <w:szCs w:val="22"/>
          <w:rtl w:val="0"/>
          <w:lang w:val="en-US"/>
        </w:rPr>
        <w:t>tr(K)I</w:t>
      </w:r>
      <w:r>
        <w:rPr>
          <w:sz w:val="22"/>
          <w:szCs w:val="22"/>
          <w:vertAlign w:val="subscript"/>
          <w:rtl w:val="0"/>
          <w:lang w:val="en-US"/>
        </w:rPr>
        <w:t>r</w:t>
      </w:r>
      <w:r>
        <w:rPr>
          <w:sz w:val="22"/>
          <w:szCs w:val="22"/>
          <w:rtl w:val="0"/>
          <w:lang w:val="en-US"/>
        </w:rPr>
        <w:t>/r.</w:t>
      </w:r>
    </w:p>
    <w:p>
      <w:pPr>
        <w:pStyle w:val="Normal.0"/>
        <w:keepNext w:val="1"/>
        <w:spacing w:after="80" w:line="240" w:lineRule="atLeast"/>
      </w:pPr>
      <w:r>
        <w:rPr>
          <w:b w:val="1"/>
          <w:bCs w:val="1"/>
          <w:sz w:val="22"/>
          <w:szCs w:val="22"/>
          <w:rtl w:val="0"/>
          <w:lang w:val="en-US"/>
        </w:rPr>
        <w:t>Proposition 6.</w:t>
      </w:r>
      <w:r>
        <w:rPr>
          <w:sz w:val="22"/>
          <w:szCs w:val="22"/>
          <w:rtl w:val="0"/>
          <w:lang w:val="en-US"/>
        </w:rPr>
        <w:t xml:space="preserve"> On a regular part of M</w:t>
      </w:r>
      <w:r>
        <w:rPr>
          <w:sz w:val="22"/>
          <w:szCs w:val="22"/>
          <w:vertAlign w:val="subscript"/>
          <w:rtl w:val="0"/>
          <w:lang w:val="en-US"/>
        </w:rPr>
        <w:t>cone</w:t>
      </w:r>
      <w:r>
        <w:rPr>
          <w:sz w:val="22"/>
          <w:szCs w:val="22"/>
          <w:rtl w:val="0"/>
          <w:lang w:val="en-US"/>
        </w:rPr>
        <w:t>, the condition for the vector field to be tangent to the universality constraints is</w:t>
      </w:r>
    </w:p>
    <w:p>
      <w:pPr>
        <w:pStyle w:val="Equation"/>
        <w:spacing w:after="80" w:line="240" w:lineRule="atLeast"/>
      </w:pPr>
      <w:r>
        <w:rPr>
          <w:rFonts w:ascii="Times New Roman" w:hAnsi="Times New Roman"/>
          <w:sz w:val="22"/>
          <w:szCs w:val="22"/>
          <w:rtl w:val="0"/>
          <w:lang w:val="en-US"/>
        </w:rPr>
        <w:t>tf[Z</w:t>
      </w:r>
      <w:r>
        <w:rPr>
          <w:rFonts w:ascii="Times New Roman" w:hAnsi="Times New Roman"/>
          <w:sz w:val="22"/>
          <w:szCs w:val="22"/>
          <w:vertAlign w:val="superscript"/>
          <w:rtl w:val="0"/>
          <w:lang w:val="en-US"/>
        </w:rPr>
        <w:t>T</w:t>
      </w:r>
      <w:r>
        <w:rPr>
          <w:rFonts w:ascii="Times New Roman" w:hAnsi="Times New Roman"/>
          <w:sz w:val="22"/>
          <w:szCs w:val="22"/>
          <w:rtl w:val="0"/>
          <w:lang w:val="en-US"/>
        </w:rPr>
        <w:t>(D</w:t>
      </w:r>
      <w:r>
        <w:rPr>
          <w:rFonts w:ascii="Times New Roman" w:hAnsi="Times New Roman" w:hint="default"/>
          <w:sz w:val="22"/>
          <w:szCs w:val="22"/>
          <w:rtl w:val="0"/>
          <w:lang w:val="en-US"/>
        </w:rPr>
        <w:t xml:space="preserve">̇ </w:t>
      </w:r>
      <w:r>
        <w:rPr>
          <w:rFonts w:ascii="Times New Roman" w:hAnsi="Times New Roman"/>
          <w:sz w:val="22"/>
          <w:szCs w:val="22"/>
          <w:rtl w:val="0"/>
          <w:lang w:val="en-US"/>
        </w:rPr>
        <w:t>+ P</w:t>
      </w:r>
      <w:r>
        <w:rPr>
          <w:rFonts w:ascii="Times New Roman" w:hAnsi="Times New Roman" w:hint="default"/>
          <w:sz w:val="22"/>
          <w:szCs w:val="22"/>
          <w:rtl w:val="0"/>
          <w:lang w:val="en-US"/>
        </w:rPr>
        <w:t>̇</w:t>
      </w:r>
      <w:r>
        <w:rPr>
          <w:rFonts w:ascii="Times New Roman" w:hAnsi="Times New Roman"/>
          <w:sz w:val="22"/>
          <w:szCs w:val="22"/>
          <w:rtl w:val="0"/>
          <w:lang w:val="en-US"/>
        </w:rPr>
        <w:t>D + DP</w:t>
      </w:r>
      <w:r>
        <w:rPr>
          <w:rFonts w:ascii="Times New Roman" w:hAnsi="Times New Roman" w:hint="default"/>
          <w:sz w:val="22"/>
          <w:szCs w:val="22"/>
          <w:rtl w:val="0"/>
          <w:lang w:val="en-US"/>
        </w:rPr>
        <w:t>̇</w:t>
      </w:r>
      <w:r>
        <w:rPr>
          <w:rFonts w:ascii="Times New Roman" w:hAnsi="Times New Roman"/>
          <w:sz w:val="22"/>
          <w:szCs w:val="22"/>
          <w:rtl w:val="0"/>
          <w:lang w:val="en-US"/>
        </w:rPr>
        <w:t>)Z] = 0     whenever F = 0.</w:t>
        <w:tab/>
        <w:t>(33)</w:t>
      </w:r>
    </w:p>
    <w:p>
      <w:pPr>
        <w:pStyle w:val="Normal.0"/>
        <w:spacing w:after="80" w:line="240" w:lineRule="atLeast"/>
      </w:pPr>
      <w:r>
        <w:rPr>
          <w:sz w:val="22"/>
          <w:szCs w:val="22"/>
          <w:rtl w:val="0"/>
          <w:lang w:val="en-US"/>
        </w:rPr>
        <w:t>If this holds throughout that submanifold, local uniqueness of the flow implies local invariance for as long as the trajectory stays in the regular, gapped region. If it fails at a point, a trajectory through that point immediately acquires a nonzero first-order trace-free defect.</w:t>
      </w:r>
    </w:p>
    <w:p>
      <w:pPr>
        <w:pStyle w:val="Normal.0"/>
        <w:spacing w:after="80" w:line="240" w:lineRule="atLeast"/>
      </w:pPr>
      <w:r>
        <w:rPr>
          <w:sz w:val="22"/>
          <w:szCs w:val="22"/>
          <w:rtl w:val="0"/>
          <w:lang w:val="en-US"/>
        </w:rPr>
        <w:t>The formula follows directly from (32) after subtracting the trace. It is covariant under orthogonal changes of basis on the massless subspace. In an arbitrary moving basis, a commutator with the basis connection is added; on D</w:t>
      </w:r>
      <w:r>
        <w:rPr>
          <w:sz w:val="22"/>
          <w:szCs w:val="22"/>
          <w:vertAlign w:val="subscript"/>
          <w:rtl w:val="0"/>
          <w:lang w:val="en-US"/>
        </w:rPr>
        <w:t>00</w:t>
      </w:r>
      <w:r>
        <w:rPr>
          <w:sz w:val="22"/>
          <w:szCs w:val="22"/>
          <w:rtl w:val="0"/>
          <w:lang w:val="en-US"/>
        </w:rPr>
        <w:t xml:space="preserve"> = v</w:t>
      </w:r>
      <w:r>
        <w:rPr>
          <w:sz w:val="22"/>
          <w:szCs w:val="22"/>
          <w:vertAlign w:val="superscript"/>
          <w:rtl w:val="0"/>
          <w:lang w:val="en-US"/>
        </w:rPr>
        <w:t>2</w:t>
      </w:r>
      <w:r>
        <w:rPr>
          <w:sz w:val="22"/>
          <w:szCs w:val="22"/>
          <w:rtl w:val="0"/>
          <w:lang w:val="en-US"/>
        </w:rPr>
        <w:t>I it vanishes. Thus (33) tests a physical condition rather than a choice of eigenvector gauge.</w:t>
      </w:r>
    </w:p>
    <w:p>
      <w:pPr>
        <w:pStyle w:val="Normal.0"/>
        <w:spacing w:after="80" w:line="240" w:lineRule="atLeast"/>
      </w:pPr>
      <w:r>
        <w:rPr>
          <w:sz w:val="22"/>
          <w:szCs w:val="22"/>
          <w:rtl w:val="0"/>
          <w:lang w:val="en-US"/>
        </w:rPr>
        <w:t xml:space="preserve">If T has an exact fixed-rank kernel, differentiating TP = 0 also gives the useful estimate </w:t>
      </w:r>
      <w:r>
        <w:rPr>
          <w:sz w:val="22"/>
          <w:szCs w:val="22"/>
          <w:rtl w:val="0"/>
          <w:lang w:val="en-US"/>
        </w:rPr>
        <w:t>‖</w:t>
      </w:r>
      <w:r>
        <w:rPr>
          <w:sz w:val="22"/>
          <w:szCs w:val="22"/>
          <w:rtl w:val="0"/>
          <w:lang w:val="en-US"/>
        </w:rPr>
        <w:t>P</w:t>
      </w:r>
      <w:r>
        <w:rPr>
          <w:sz w:val="22"/>
          <w:szCs w:val="22"/>
          <w:rtl w:val="0"/>
          <w:lang w:val="en-US"/>
        </w:rPr>
        <w:t>̇‖ ≤ ‖</w:t>
      </w:r>
      <w:r>
        <w:rPr>
          <w:sz w:val="22"/>
          <w:szCs w:val="22"/>
          <w:rtl w:val="0"/>
          <w:lang w:val="en-US"/>
        </w:rPr>
        <w:t>T</w:t>
      </w:r>
      <w:r>
        <w:rPr>
          <w:sz w:val="22"/>
          <w:szCs w:val="22"/>
          <w:rtl w:val="0"/>
          <w:lang w:val="en-US"/>
        </w:rPr>
        <w:t>̇‖</w:t>
      </w:r>
      <w:r>
        <w:rPr>
          <w:sz w:val="22"/>
          <w:szCs w:val="22"/>
          <w:rtl w:val="0"/>
          <w:lang w:val="en-US"/>
        </w:rPr>
        <w:t>/g</w:t>
      </w:r>
      <w:r>
        <w:rPr>
          <w:sz w:val="22"/>
          <w:szCs w:val="22"/>
          <w:vertAlign w:val="superscript"/>
          <w:rtl w:val="0"/>
          <w:lang w:val="en-US"/>
        </w:rPr>
        <w:t>2</w:t>
      </w:r>
      <w:r>
        <w:rPr>
          <w:sz w:val="22"/>
          <w:szCs w:val="22"/>
          <w:rtl w:val="0"/>
          <w:lang w:val="en-US"/>
        </w:rPr>
        <w:t>, where T is at least g</w:t>
      </w:r>
      <w:r>
        <w:rPr>
          <w:sz w:val="22"/>
          <w:szCs w:val="22"/>
          <w:vertAlign w:val="superscript"/>
          <w:rtl w:val="0"/>
          <w:lang w:val="en-US"/>
        </w:rPr>
        <w:t>2</w:t>
      </w:r>
      <w:r>
        <w:rPr>
          <w:sz w:val="22"/>
          <w:szCs w:val="22"/>
          <w:rtl w:val="0"/>
          <w:lang w:val="en-US"/>
        </w:rPr>
        <w:t xml:space="preserve"> on the complement. This follows by solving the off-diagonal block with the restricted inverse of T; the derivative of a projection has only off-diagonal blocks. A closing gap can therefore invalidate both the smooth bundle and an adiabatic interpretation.</w:t>
      </w:r>
    </w:p>
    <w:p>
      <w:pPr>
        <w:pStyle w:val="Normal.0"/>
        <w:spacing w:after="80" w:line="240" w:lineRule="atLeast"/>
      </w:pPr>
      <w:r>
        <w:rPr>
          <w:sz w:val="22"/>
          <w:szCs w:val="22"/>
          <w:rtl w:val="0"/>
          <w:lang w:val="en-US"/>
        </w:rPr>
        <w:t>For the original adaptive-weight model [15], A, B and U are fixed while the edge weights move. Consequently T, P and D</w:t>
      </w:r>
      <w:r>
        <w:rPr>
          <w:sz w:val="22"/>
          <w:szCs w:val="22"/>
          <w:vertAlign w:val="subscript"/>
          <w:rtl w:val="0"/>
          <w:lang w:val="en-US"/>
        </w:rPr>
        <w:t>00</w:t>
      </w:r>
      <w:r>
        <w:rPr>
          <w:sz w:val="22"/>
          <w:szCs w:val="22"/>
          <w:rtl w:val="0"/>
          <w:lang w:val="en-US"/>
        </w:rPr>
        <w:t xml:space="preserve"> are constant. That model preserves an already universal D</w:t>
      </w:r>
      <w:r>
        <w:rPr>
          <w:sz w:val="22"/>
          <w:szCs w:val="22"/>
          <w:vertAlign w:val="subscript"/>
          <w:rtl w:val="0"/>
          <w:lang w:val="en-US"/>
        </w:rPr>
        <w:t>00</w:t>
      </w:r>
      <w:r>
        <w:rPr>
          <w:sz w:val="22"/>
          <w:szCs w:val="22"/>
          <w:rtl w:val="0"/>
          <w:lang w:val="en-US"/>
        </w:rPr>
        <w:t xml:space="preserve"> and preserves an already nonuniversal one. It contains no temporal mechanism driving </w:t>
      </w:r>
      <w:r>
        <w:rPr>
          <w:sz w:val="22"/>
          <w:szCs w:val="22"/>
          <w:rtl w:val="0"/>
          <w:lang w:val="en-US"/>
        </w:rPr>
        <w:t>Δ</w:t>
      </w:r>
      <w:r>
        <w:rPr>
          <w:sz w:val="22"/>
          <w:szCs w:val="22"/>
          <w:vertAlign w:val="subscript"/>
          <w:rtl w:val="0"/>
          <w:lang w:val="en-US"/>
        </w:rPr>
        <w:t>D</w:t>
      </w:r>
      <w:r>
        <w:rPr>
          <w:sz w:val="22"/>
          <w:szCs w:val="22"/>
          <w:rtl w:val="0"/>
          <w:lang w:val="en-US"/>
        </w:rPr>
        <w:t xml:space="preserve"> to zero. Introducing state dependence in A, B or U changes the model and requires the test above together with the full equations of motion.</w:t>
      </w:r>
    </w:p>
    <w:p>
      <w:pPr>
        <w:pStyle w:val="Заголовок 3"/>
        <w:spacing w:line="240" w:lineRule="atLeast"/>
      </w:pPr>
      <w:r>
        <w:rPr>
          <w:rtl w:val="0"/>
          <w:lang w:val="en-US"/>
        </w:rPr>
        <w:t>5.3. Zero anisotropy is not automatically invariant</w:t>
      </w:r>
    </w:p>
    <w:p>
      <w:pPr>
        <w:pStyle w:val="Normal.0"/>
        <w:spacing w:after="80" w:line="240" w:lineRule="atLeast"/>
      </w:pPr>
      <w:r>
        <w:rPr>
          <w:sz w:val="22"/>
          <w:szCs w:val="22"/>
          <w:rtl w:val="0"/>
          <w:lang w:val="en-US"/>
        </w:rPr>
        <w:t>Take a canonical pair (q,p) with H</w:t>
      </w:r>
      <w:r>
        <w:rPr>
          <w:sz w:val="22"/>
          <w:szCs w:val="22"/>
          <w:vertAlign w:val="subscript"/>
          <w:rtl w:val="0"/>
          <w:lang w:val="en-US"/>
        </w:rPr>
        <w:t>ani</w:t>
      </w:r>
      <w:r>
        <w:rPr>
          <w:sz w:val="22"/>
          <w:szCs w:val="22"/>
          <w:rtl w:val="0"/>
          <w:lang w:val="en-US"/>
        </w:rPr>
        <w:t xml:space="preserve"> = (p</w:t>
      </w:r>
      <w:r>
        <w:rPr>
          <w:sz w:val="22"/>
          <w:szCs w:val="22"/>
          <w:vertAlign w:val="superscript"/>
          <w:rtl w:val="0"/>
          <w:lang w:val="en-US"/>
        </w:rPr>
        <w:t>2</w:t>
      </w:r>
      <w:r>
        <w:rPr>
          <w:sz w:val="22"/>
          <w:szCs w:val="22"/>
          <w:rtl w:val="0"/>
          <w:lang w:val="en-US"/>
        </w:rPr>
        <w:t xml:space="preserve"> + q</w:t>
      </w:r>
      <w:r>
        <w:rPr>
          <w:sz w:val="22"/>
          <w:szCs w:val="22"/>
          <w:vertAlign w:val="superscript"/>
          <w:rtl w:val="0"/>
          <w:lang w:val="en-US"/>
        </w:rPr>
        <w:t>2</w:t>
      </w:r>
      <w:r>
        <w:rPr>
          <w:sz w:val="22"/>
          <w:szCs w:val="22"/>
          <w:rtl w:val="0"/>
          <w:lang w:val="en-US"/>
        </w:rPr>
        <w:t>)/2, and a probe-sector matrix D(q) = 3I</w:t>
      </w:r>
      <w:r>
        <w:rPr>
          <w:sz w:val="22"/>
          <w:szCs w:val="22"/>
          <w:vertAlign w:val="subscript"/>
          <w:rtl w:val="0"/>
          <w:lang w:val="en-US"/>
        </w:rPr>
        <w:t>2</w:t>
      </w:r>
      <w:r>
        <w:rPr>
          <w:sz w:val="22"/>
          <w:szCs w:val="22"/>
          <w:rtl w:val="0"/>
          <w:lang w:val="en-US"/>
        </w:rPr>
        <w:t xml:space="preserve"> + q diag(1,</w:t>
      </w:r>
      <w:r>
        <w:rPr>
          <w:sz w:val="22"/>
          <w:szCs w:val="22"/>
          <w:rtl w:val="0"/>
          <w:lang w:val="en-US"/>
        </w:rPr>
        <w:t>−</w:t>
      </w:r>
      <w:r>
        <w:rPr>
          <w:sz w:val="22"/>
          <w:szCs w:val="22"/>
          <w:rtl w:val="0"/>
          <w:lang w:val="en-US"/>
        </w:rPr>
        <w:t xml:space="preserve">1), U = 0. Along the invariant zero-field background, q(t) = 0.2 sin t and p(t) = 0.2 cos t are allowed by the closed Hamiltonian dynamics. The matrix stays positive and </w:t>
      </w:r>
      <w:r>
        <w:rPr>
          <w:sz w:val="22"/>
          <w:szCs w:val="22"/>
          <w:rtl w:val="0"/>
          <w:lang w:val="en-US"/>
        </w:rPr>
        <w:t>Δ</w:t>
      </w:r>
      <w:r>
        <w:rPr>
          <w:sz w:val="22"/>
          <w:szCs w:val="22"/>
          <w:vertAlign w:val="subscript"/>
          <w:rtl w:val="0"/>
          <w:lang w:val="en-US"/>
        </w:rPr>
        <w:t>D</w:t>
      </w:r>
      <w:r>
        <w:rPr>
          <w:sz w:val="22"/>
          <w:szCs w:val="22"/>
          <w:rtl w:val="0"/>
          <w:lang w:val="en-US"/>
        </w:rPr>
        <w:t xml:space="preserve"> = |q|.</w:t>
      </w:r>
    </w:p>
    <w:p>
      <w:pPr>
        <w:pStyle w:val="Normal.0"/>
        <w:spacing w:after="80" w:line="240" w:lineRule="atLeast"/>
      </w:pPr>
      <w:r>
        <w:rPr>
          <w:sz w:val="22"/>
          <w:szCs w:val="22"/>
          <w:rtl w:val="0"/>
          <w:lang w:val="en-US"/>
        </w:rPr>
        <w:t xml:space="preserve">At t = 0 the cone condition holds, but p </w:t>
      </w:r>
      <w:r>
        <w:rPr>
          <w:sz w:val="22"/>
          <w:szCs w:val="22"/>
          <w:rtl w:val="0"/>
          <w:lang w:val="en-US"/>
        </w:rPr>
        <w:t xml:space="preserve">≠ </w:t>
      </w:r>
      <w:r>
        <w:rPr>
          <w:sz w:val="22"/>
          <w:szCs w:val="22"/>
          <w:rtl w:val="0"/>
          <w:lang w:val="en-US"/>
        </w:rPr>
        <w:t>0 gives q</w:t>
      </w:r>
      <w:r>
        <w:rPr>
          <w:sz w:val="22"/>
          <w:szCs w:val="22"/>
          <w:rtl w:val="0"/>
          <w:lang w:val="en-US"/>
        </w:rPr>
        <w:t xml:space="preserve">̇ ≠ </w:t>
      </w:r>
      <w:r>
        <w:rPr>
          <w:sz w:val="22"/>
          <w:szCs w:val="22"/>
          <w:rtl w:val="0"/>
          <w:lang w:val="en-US"/>
        </w:rPr>
        <w:t xml:space="preserve">0, so it immediately fails. Constraining only q while ignoring its conjugate momentum does not define an invariant set. A nonzero field background can add further forces through its coupling to q. This elementary example shows why an equation for </w:t>
      </w:r>
      <w:r>
        <w:rPr>
          <w:sz w:val="22"/>
          <w:szCs w:val="22"/>
          <w:rtl w:val="0"/>
          <w:lang w:val="en-US"/>
        </w:rPr>
        <w:t>Δ</w:t>
      </w:r>
      <w:r>
        <w:rPr>
          <w:sz w:val="22"/>
          <w:szCs w:val="22"/>
          <w:vertAlign w:val="subscript"/>
          <w:rtl w:val="0"/>
          <w:lang w:val="en-US"/>
        </w:rPr>
        <w:t>D</w:t>
      </w:r>
      <w:r>
        <w:rPr>
          <w:sz w:val="22"/>
          <w:szCs w:val="22"/>
          <w:rtl w:val="0"/>
          <w:lang w:val="en-US"/>
        </w:rPr>
        <w:t xml:space="preserve"> alone is insufficient and why the full state, constraints and backreaction matter.</w:t>
      </w:r>
    </w:p>
    <w:p>
      <w:pPr>
        <w:pStyle w:val="Заголовок 3"/>
        <w:spacing w:line="240" w:lineRule="atLeast"/>
      </w:pPr>
      <w:r>
        <w:rPr>
          <w:rtl w:val="0"/>
          <w:lang w:val="en-US"/>
        </w:rPr>
        <w:t>5.4. The Hamiltonian obstruction to a genuine attractor</w:t>
      </w:r>
    </w:p>
    <w:p>
      <w:pPr>
        <w:pStyle w:val="Normal.0"/>
        <w:spacing w:after="80" w:line="240" w:lineRule="atLeast"/>
      </w:pPr>
      <w:r>
        <w:rPr>
          <w:b w:val="1"/>
          <w:bCs w:val="1"/>
          <w:sz w:val="22"/>
          <w:szCs w:val="22"/>
          <w:rtl w:val="0"/>
          <w:lang w:val="en-US"/>
        </w:rPr>
        <w:t>Proposition 7.</w:t>
      </w:r>
      <w:r>
        <w:rPr>
          <w:sz w:val="22"/>
          <w:szCs w:val="22"/>
          <w:rtl w:val="0"/>
          <w:lang w:val="en-US"/>
        </w:rPr>
        <w:t xml:space="preserve"> Let an autonomous Hamiltonian flow have an invariant region carrying a finite invariant measure </w:t>
      </w:r>
      <w:r>
        <w:rPr>
          <w:sz w:val="22"/>
          <w:szCs w:val="22"/>
          <w:rtl w:val="0"/>
          <w:lang w:val="en-US"/>
        </w:rPr>
        <w:t>μ</w:t>
      </w:r>
      <w:r>
        <w:rPr>
          <w:sz w:val="22"/>
          <w:szCs w:val="22"/>
          <w:rtl w:val="0"/>
          <w:lang w:val="en-US"/>
        </w:rPr>
        <w:t>. Suppose M</w:t>
      </w:r>
      <w:r>
        <w:rPr>
          <w:sz w:val="22"/>
          <w:szCs w:val="22"/>
          <w:vertAlign w:val="subscript"/>
          <w:rtl w:val="0"/>
          <w:lang w:val="en-US"/>
        </w:rPr>
        <w:t>cone</w:t>
      </w:r>
      <w:r>
        <w:rPr>
          <w:sz w:val="22"/>
          <w:szCs w:val="22"/>
          <w:rtl w:val="0"/>
          <w:lang w:val="en-US"/>
        </w:rPr>
        <w:t xml:space="preserve"> is closed and has </w:t>
      </w:r>
      <w:r>
        <w:rPr>
          <w:sz w:val="22"/>
          <w:szCs w:val="22"/>
          <w:rtl w:val="0"/>
          <w:lang w:val="en-US"/>
        </w:rPr>
        <w:t>μ</w:t>
      </w:r>
      <w:r>
        <w:rPr>
          <w:sz w:val="22"/>
          <w:szCs w:val="22"/>
          <w:rtl w:val="0"/>
          <w:lang w:val="en-US"/>
        </w:rPr>
        <w:t>-measure zero in that region. Then the set of initial states satisfying dist(X(t),M</w:t>
      </w:r>
      <w:r>
        <w:rPr>
          <w:sz w:val="22"/>
          <w:szCs w:val="22"/>
          <w:vertAlign w:val="subscript"/>
          <w:rtl w:val="0"/>
          <w:lang w:val="en-US"/>
        </w:rPr>
        <w:t>cone</w:t>
      </w:r>
      <w:r>
        <w:rPr>
          <w:sz w:val="22"/>
          <w:szCs w:val="22"/>
          <w:rtl w:val="0"/>
          <w:lang w:val="en-US"/>
        </w:rPr>
        <w:t xml:space="preserve">) </w:t>
      </w:r>
      <w:r>
        <w:rPr>
          <w:sz w:val="22"/>
          <w:szCs w:val="22"/>
          <w:rtl w:val="0"/>
          <w:lang w:val="en-US"/>
        </w:rPr>
        <w:t xml:space="preserve">→ </w:t>
      </w:r>
      <w:r>
        <w:rPr>
          <w:sz w:val="22"/>
          <w:szCs w:val="22"/>
          <w:rtl w:val="0"/>
          <w:lang w:val="en-US"/>
        </w:rPr>
        <w:t xml:space="preserve">0 has </w:t>
      </w:r>
      <w:r>
        <w:rPr>
          <w:sz w:val="22"/>
          <w:szCs w:val="22"/>
          <w:rtl w:val="0"/>
          <w:lang w:val="en-US"/>
        </w:rPr>
        <w:t>μ</w:t>
      </w:r>
      <w:r>
        <w:rPr>
          <w:sz w:val="22"/>
          <w:szCs w:val="22"/>
          <w:rtl w:val="0"/>
          <w:lang w:val="en-US"/>
        </w:rPr>
        <w:t>-measure zero.</w:t>
      </w:r>
    </w:p>
    <w:p>
      <w:pPr>
        <w:pStyle w:val="Normal.0"/>
        <w:spacing w:after="80" w:line="240" w:lineRule="atLeast"/>
      </w:pPr>
      <w:r>
        <w:rPr>
          <w:b w:val="1"/>
          <w:bCs w:val="1"/>
          <w:sz w:val="22"/>
          <w:szCs w:val="22"/>
          <w:rtl w:val="0"/>
          <w:lang w:val="en-US"/>
        </w:rPr>
        <w:t>Proof.</w:t>
      </w:r>
      <w:r>
        <w:rPr>
          <w:sz w:val="22"/>
          <w:szCs w:val="22"/>
          <w:rtl w:val="0"/>
          <w:lang w:val="en-US"/>
        </w:rPr>
        <w:t xml:space="preserve"> For a finite measure-preserving flow, almost every state is recurrent. A recurrent state outside a closed M</w:t>
      </w:r>
      <w:r>
        <w:rPr>
          <w:sz w:val="22"/>
          <w:szCs w:val="22"/>
          <w:vertAlign w:val="subscript"/>
          <w:rtl w:val="0"/>
          <w:lang w:val="en-US"/>
        </w:rPr>
        <w:t>cone</w:t>
      </w:r>
      <w:r>
        <w:rPr>
          <w:sz w:val="22"/>
          <w:szCs w:val="22"/>
          <w:rtl w:val="0"/>
          <w:lang w:val="en-US"/>
        </w:rPr>
        <w:t xml:space="preserve"> returns arbitrarily close to itself and thus infinitely often remains a positive distance from M</w:t>
      </w:r>
      <w:r>
        <w:rPr>
          <w:sz w:val="22"/>
          <w:szCs w:val="22"/>
          <w:vertAlign w:val="subscript"/>
          <w:rtl w:val="0"/>
          <w:lang w:val="en-US"/>
        </w:rPr>
        <w:t>cone</w:t>
      </w:r>
      <w:r>
        <w:rPr>
          <w:sz w:val="22"/>
          <w:szCs w:val="22"/>
          <w:rtl w:val="0"/>
          <w:lang w:val="en-US"/>
        </w:rPr>
        <w:t>. It cannot converge in distance to that set. The remaining initial states lie in a null set or in M</w:t>
      </w:r>
      <w:r>
        <w:rPr>
          <w:sz w:val="22"/>
          <w:szCs w:val="22"/>
          <w:vertAlign w:val="subscript"/>
          <w:rtl w:val="0"/>
          <w:lang w:val="en-US"/>
        </w:rPr>
        <w:t>cone</w:t>
      </w:r>
      <w:r>
        <w:rPr>
          <w:sz w:val="22"/>
          <w:szCs w:val="22"/>
          <w:rtl w:val="0"/>
          <w:lang w:val="en-US"/>
        </w:rPr>
        <w:t xml:space="preserve"> itself. </w:t>
      </w:r>
      <w:r>
        <w:rPr>
          <w:sz w:val="22"/>
          <w:szCs w:val="22"/>
          <w:rtl w:val="0"/>
          <w:lang w:val="en-US"/>
        </w:rPr>
        <w:t>□</w:t>
      </w:r>
    </w:p>
    <w:p>
      <w:pPr>
        <w:pStyle w:val="Normal.0"/>
        <w:spacing w:after="80" w:line="240" w:lineRule="atLeast"/>
      </w:pPr>
      <w:r>
        <w:rPr>
          <w:sz w:val="22"/>
          <w:szCs w:val="22"/>
          <w:rtl w:val="0"/>
          <w:lang w:val="en-US"/>
        </w:rPr>
        <w:t>This is the relevant consequence of volume preservation and recurrence [17]. The finite-measure assumption is essential. It may hold on a compact regular energy surface with its invariant measure, or on a finite-volume invariant region. It is not automatic for the free collective coordinate of a harmonic network, and the statement is not applied to that coordinate without reduction.</w:t>
      </w:r>
    </w:p>
    <w:p>
      <w:pPr>
        <w:pStyle w:val="Normal.0"/>
        <w:spacing w:after="80" w:line="240" w:lineRule="atLeast"/>
      </w:pPr>
      <w:r>
        <w:rPr>
          <w:sz w:val="22"/>
          <w:szCs w:val="22"/>
          <w:rtl w:val="0"/>
          <w:lang w:val="en-US"/>
        </w:rPr>
        <w:t xml:space="preserve">The obstruction concerns attraction in full microscopic phase space under physical Hamiltonian time. It does not exclude attraction of reduced observables, energy transfer to unresolved degrees of freedom, an infinite-volume limit, or a renormalisation-group flow in scale. Each of these alternatives changes the mathematical question. A dissipative law </w:t>
      </w:r>
      <w:r>
        <w:rPr>
          <w:sz w:val="22"/>
          <w:szCs w:val="22"/>
          <w:rtl w:val="0"/>
          <w:lang w:val="en-US"/>
        </w:rPr>
        <w:t>Δ̇</w:t>
      </w:r>
      <w:r>
        <w:rPr>
          <w:sz w:val="22"/>
          <w:szCs w:val="22"/>
          <w:rtl w:val="0"/>
          <w:lang w:val="en-US"/>
        </w:rPr>
        <w:t xml:space="preserve">D = </w:t>
      </w:r>
      <w:r>
        <w:rPr>
          <w:sz w:val="22"/>
          <w:szCs w:val="22"/>
          <w:rtl w:val="0"/>
          <w:lang w:val="en-US"/>
        </w:rPr>
        <w:t>−γΔ</w:t>
      </w:r>
      <w:r>
        <w:rPr>
          <w:sz w:val="22"/>
          <w:szCs w:val="22"/>
          <w:vertAlign w:val="subscript"/>
          <w:rtl w:val="0"/>
          <w:lang w:val="en-US"/>
        </w:rPr>
        <w:t>D</w:t>
      </w:r>
      <w:r>
        <w:rPr>
          <w:sz w:val="22"/>
          <w:szCs w:val="22"/>
          <w:rtl w:val="0"/>
          <w:lang w:val="en-US"/>
        </w:rPr>
        <w:t xml:space="preserve"> cannot simply be inserted as a fundamental closed Hamiltonian equation without specifying the additional structure.</w:t>
      </w:r>
    </w:p>
    <w:p>
      <w:pPr>
        <w:pStyle w:val="Заголовок 3"/>
        <w:spacing w:line="240" w:lineRule="atLeast"/>
      </w:pPr>
      <w:r>
        <w:rPr>
          <w:rtl w:val="0"/>
          <w:lang w:val="en-US"/>
        </w:rPr>
        <w:t>5.5. What symmetry does establish</w:t>
      </w:r>
    </w:p>
    <w:p>
      <w:pPr>
        <w:pStyle w:val="Normal.0"/>
        <w:spacing w:after="80" w:line="240" w:lineRule="atLeast"/>
      </w:pPr>
      <w:r>
        <w:rPr>
          <w:sz w:val="22"/>
          <w:szCs w:val="22"/>
          <w:rtl w:val="0"/>
          <w:lang w:val="en-US"/>
        </w:rPr>
        <w:t>If an unbroken orthogonal symmetry acts irreducibly on ker T and D</w:t>
      </w:r>
      <w:r>
        <w:rPr>
          <w:sz w:val="22"/>
          <w:szCs w:val="22"/>
          <w:vertAlign w:val="subscript"/>
          <w:rtl w:val="0"/>
          <w:lang w:val="en-US"/>
        </w:rPr>
        <w:t>00</w:t>
      </w:r>
      <w:r>
        <w:rPr>
          <w:sz w:val="22"/>
          <w:szCs w:val="22"/>
          <w:rtl w:val="0"/>
          <w:lang w:val="en-US"/>
        </w:rPr>
        <w:t xml:space="preserve"> commutes with it, D</w:t>
      </w:r>
      <w:r>
        <w:rPr>
          <w:sz w:val="22"/>
          <w:szCs w:val="22"/>
          <w:vertAlign w:val="subscript"/>
          <w:rtl w:val="0"/>
          <w:lang w:val="en-US"/>
        </w:rPr>
        <w:t>00</w:t>
      </w:r>
      <w:r>
        <w:rPr>
          <w:sz w:val="22"/>
          <w:szCs w:val="22"/>
          <w:rtl w:val="0"/>
          <w:lang w:val="en-US"/>
        </w:rPr>
        <w:t xml:space="preserve"> is scalar: every eigenspace of this real symmetric operator is invariant, so irreducibility permits only one eigenvalue. If the full flow preserves the symmetry and the background belongs to its invariant symmetric sector, this protects a subset of M</w:t>
      </w:r>
      <w:r>
        <w:rPr>
          <w:sz w:val="22"/>
          <w:szCs w:val="22"/>
          <w:vertAlign w:val="subscript"/>
          <w:rtl w:val="0"/>
          <w:lang w:val="en-US"/>
        </w:rPr>
        <w:t>cone</w:t>
      </w:r>
      <w:r>
        <w:rPr>
          <w:sz w:val="22"/>
          <w:szCs w:val="22"/>
          <w:rtl w:val="0"/>
          <w:lang w:val="en-US"/>
        </w:rPr>
        <w:t>.</w:t>
      </w:r>
    </w:p>
    <w:p>
      <w:pPr>
        <w:pStyle w:val="Normal.0"/>
        <w:spacing w:after="80" w:line="240" w:lineRule="atLeast"/>
      </w:pPr>
      <w:r>
        <w:rPr>
          <w:sz w:val="22"/>
          <w:szCs w:val="22"/>
          <w:rtl w:val="0"/>
          <w:lang w:val="en-US"/>
        </w:rPr>
        <w:t>Protection is distinct from attraction from nonsymmetric initial states. Different irreducible sectors can have different speeds, and repeated representations permit additional mixing. Interaction-driven convergence such as [4, 5] requires a calculated scale flow, rather than the tangency condition alone. The present version derives tests and obstructions; it does not present a new interacting renormalisation-group calculation or a generic attracting common-cone phase.</w:t>
      </w:r>
    </w:p>
    <w:p>
      <w:pPr>
        <w:pStyle w:val="Figure"/>
        <w:spacing w:after="80" w:line="240" w:lineRule="atLeast"/>
      </w:pPr>
      <w:r>
        <w:drawing>
          <wp:inline distT="0" distB="0" distL="0" distR="0">
            <wp:extent cx="5976000" cy="2461617"/>
            <wp:effectExtent l="0" t="0" r="0" b="0"/>
            <wp:docPr id="1073741830" name="officeArt object" descr="Figure 3. A: collective-response error for D = [[3,−√2],[−√2,2]], Tg = diag(0,g²), ν = 1 and collective initial velocity, compared with the bound of Theorem 5 on t ∈ [0,1]. B: ΔD = 0.2|sin t| in the conservative anisotropy example. Increasing a model’s gap and evolving a Hamiltonian state in time are different operations."/>
            <wp:cNvGraphicFramePr/>
            <a:graphic xmlns:a="http://schemas.openxmlformats.org/drawingml/2006/main">
              <a:graphicData uri="http://schemas.openxmlformats.org/drawingml/2006/picture">
                <pic:pic xmlns:pic="http://schemas.openxmlformats.org/drawingml/2006/picture">
                  <pic:nvPicPr>
                    <pic:cNvPr id="1073741830" name="Figure 3. A: collective-response error for D = [[3,−√2],[−√2,2]], Tg = diag(0,g²), ν = 1 and collective initial velocity, compared with the bound of Theorem 5 on t ∈ [0,1]. B: ΔD = 0.2|sin t| in the conservative anisotropy example. Increasing a model’s gap and evolving a Hamiltonian state in time are different operations." descr="Figure 3. A: collective-response error for D = [[3,−√2],[−√2,2]], Tg = diag(0,g²), ν = 1 and collective initial velocity, compared with the bound of Theorem 5 on t ∈ [0,1]. B: ΔD = 0.2|sin t| in the conservative anisotropy example. Increasing a model’s gap and evolving a Hamiltonian state in time are different operations."/>
                    <pic:cNvPicPr>
                      <a:picLocks noChangeAspect="1"/>
                    </pic:cNvPicPr>
                  </pic:nvPicPr>
                  <pic:blipFill>
                    <a:blip r:embed="rId9">
                      <a:extLst/>
                    </a:blip>
                    <a:stretch>
                      <a:fillRect/>
                    </a:stretch>
                  </pic:blipFill>
                  <pic:spPr>
                    <a:xfrm>
                      <a:off x="0" y="0"/>
                      <a:ext cx="5976000" cy="2461617"/>
                    </a:xfrm>
                    <a:prstGeom prst="rect">
                      <a:avLst/>
                    </a:prstGeom>
                    <a:ln w="12700" cap="flat">
                      <a:noFill/>
                      <a:miter lim="400000"/>
                    </a:ln>
                    <a:effectLst/>
                  </pic:spPr>
                </pic:pic>
              </a:graphicData>
            </a:graphic>
          </wp:inline>
        </w:drawing>
      </w:r>
    </w:p>
    <w:p>
      <w:pPr>
        <w:pStyle w:val="caption"/>
        <w:spacing w:before="60" w:after="120" w:line="240" w:lineRule="atLeast"/>
      </w:pPr>
      <w:r>
        <w:rPr>
          <w:rtl w:val="0"/>
          <w:lang w:val="en-US"/>
        </w:rPr>
        <w:t>Figure 3. A: collective-response error for D = [[3,</w:t>
      </w:r>
      <w:r>
        <w:rPr>
          <w:rtl w:val="0"/>
          <w:lang w:val="en-US"/>
        </w:rPr>
        <w:t>−√</w:t>
      </w:r>
      <w:r>
        <w:rPr>
          <w:rtl w:val="0"/>
          <w:lang w:val="en-US"/>
        </w:rPr>
        <w:t>2],[</w:t>
      </w:r>
      <w:r>
        <w:rPr>
          <w:rtl w:val="0"/>
          <w:lang w:val="en-US"/>
        </w:rPr>
        <w:t>−√</w:t>
      </w:r>
      <w:r>
        <w:rPr>
          <w:rtl w:val="0"/>
          <w:lang w:val="en-US"/>
        </w:rPr>
        <w:t>2,2]], T</w:t>
      </w:r>
      <w:r>
        <w:rPr>
          <w:vertAlign w:val="subscript"/>
          <w:rtl w:val="0"/>
          <w:lang w:val="en-US"/>
        </w:rPr>
        <w:t>g</w:t>
      </w:r>
      <w:r>
        <w:rPr>
          <w:rtl w:val="0"/>
          <w:lang w:val="en-US"/>
        </w:rPr>
        <w:t xml:space="preserve"> = diag(0,g</w:t>
      </w:r>
      <w:r>
        <w:rPr>
          <w:vertAlign w:val="superscript"/>
          <w:rtl w:val="0"/>
          <w:lang w:val="en-US"/>
        </w:rPr>
        <w:t>2</w:t>
      </w:r>
      <w:r>
        <w:rPr>
          <w:rtl w:val="0"/>
          <w:lang w:val="en-US"/>
        </w:rPr>
        <w:t xml:space="preserve">), </w:t>
      </w:r>
      <w:r>
        <w:rPr>
          <w:rtl w:val="0"/>
          <w:lang w:val="en-US"/>
        </w:rPr>
        <w:t xml:space="preserve">ν </w:t>
      </w:r>
      <w:r>
        <w:rPr>
          <w:rtl w:val="0"/>
          <w:lang w:val="en-US"/>
        </w:rPr>
        <w:t xml:space="preserve">= 1 and collective initial velocity, compared with the bound of Theorem 5 on t </w:t>
      </w:r>
      <w:r>
        <w:rPr>
          <w:rFonts w:ascii="Arial Unicode MS" w:cs="Arial Unicode MS" w:hAnsi="Arial Unicode MS" w:eastAsia="Arial Unicode MS" w:hint="default"/>
          <w:b w:val="0"/>
          <w:bCs w:val="0"/>
          <w:i w:val="0"/>
          <w:iCs w:val="0"/>
          <w:rtl w:val="0"/>
          <w:lang w:val="en-US"/>
        </w:rPr>
        <w:t>∈</w:t>
      </w:r>
      <w:r>
        <w:rPr>
          <w:rtl w:val="0"/>
          <w:lang w:val="en-US"/>
        </w:rPr>
        <w:t xml:space="preserve"> </w:t>
      </w:r>
      <w:r>
        <w:rPr>
          <w:rtl w:val="0"/>
          <w:lang w:val="en-US"/>
        </w:rPr>
        <w:t xml:space="preserve">[0,1]. B: </w:t>
      </w:r>
      <w:r>
        <w:rPr>
          <w:rtl w:val="0"/>
          <w:lang w:val="en-US"/>
        </w:rPr>
        <w:t>Δ</w:t>
      </w:r>
      <w:r>
        <w:rPr>
          <w:vertAlign w:val="subscript"/>
          <w:rtl w:val="0"/>
          <w:lang w:val="en-US"/>
        </w:rPr>
        <w:t>D</w:t>
      </w:r>
      <w:r>
        <w:rPr>
          <w:rtl w:val="0"/>
          <w:lang w:val="en-US"/>
        </w:rPr>
        <w:t xml:space="preserve"> = 0.2|sin t| in the conservative anisotropy example. Increasing a model</w:t>
      </w:r>
      <w:r>
        <w:rPr>
          <w:rtl w:val="0"/>
          <w:lang w:val="en-US"/>
        </w:rPr>
        <w:t>’</w:t>
      </w:r>
      <w:r>
        <w:rPr>
          <w:rtl w:val="0"/>
          <w:lang w:val="en-US"/>
        </w:rPr>
        <w:t>s gap and evolving a Hamiltonian state in time are different operations.</w:t>
      </w:r>
    </w:p>
    <w:p>
      <w:pPr>
        <w:pStyle w:val="Заголовок 2"/>
        <w:spacing w:line="240" w:lineRule="atLeast"/>
      </w:pPr>
      <w:r>
        <w:rPr>
          <w:rtl w:val="0"/>
          <w:lang w:val="en-US"/>
        </w:rPr>
        <w:t>6. Orientation, global order and metric scale</w:t>
      </w:r>
    </w:p>
    <w:p>
      <w:pPr>
        <w:pStyle w:val="Заголовок 3"/>
        <w:spacing w:line="240" w:lineRule="atLeast"/>
      </w:pPr>
      <w:r>
        <w:rPr>
          <w:rtl w:val="0"/>
          <w:lang w:val="en-US"/>
        </w:rPr>
        <w:t>6.1. What a symmetric microscopic law cannot select</w:t>
      </w:r>
    </w:p>
    <w:p>
      <w:pPr>
        <w:pStyle w:val="Normal.0"/>
        <w:spacing w:after="80" w:line="240" w:lineRule="atLeast"/>
      </w:pPr>
      <w:r>
        <w:rPr>
          <w:sz w:val="22"/>
          <w:szCs w:val="22"/>
          <w:rtl w:val="0"/>
          <w:lang w:val="en-US"/>
        </w:rPr>
        <w:t xml:space="preserve">For an even-in-momentum Hamiltonian, time reversal </w:t>
      </w:r>
      <w:r>
        <w:rPr>
          <w:sz w:val="22"/>
          <w:szCs w:val="22"/>
          <w:rtl w:val="0"/>
          <w:lang w:val="en-US"/>
        </w:rPr>
        <w:t xml:space="preserve">Θ </w:t>
      </w:r>
      <w:r>
        <w:rPr>
          <w:sz w:val="22"/>
          <w:szCs w:val="22"/>
          <w:rtl w:val="0"/>
          <w:lang w:val="en-US"/>
        </w:rPr>
        <w:t xml:space="preserve">changes the signs of momenta and leaves coordinates and undirected weights unchanged. It obeys </w:t>
      </w:r>
      <w:r>
        <w:rPr>
          <w:sz w:val="22"/>
          <w:szCs w:val="22"/>
          <w:rtl w:val="0"/>
          <w:lang w:val="en-US"/>
        </w:rPr>
        <w:t>ΘΦ</w:t>
      </w:r>
      <w:r>
        <w:rPr>
          <w:sz w:val="22"/>
          <w:szCs w:val="22"/>
          <w:vertAlign w:val="subscript"/>
          <w:rtl w:val="0"/>
          <w:lang w:val="en-US"/>
        </w:rPr>
        <w:t>t</w:t>
      </w:r>
      <w:r>
        <w:rPr>
          <w:sz w:val="22"/>
          <w:szCs w:val="22"/>
          <w:rtl w:val="0"/>
          <w:lang w:val="en-US"/>
        </w:rPr>
        <w:t xml:space="preserve"> = </w:t>
      </w:r>
      <w:r>
        <w:rPr>
          <w:sz w:val="22"/>
          <w:szCs w:val="22"/>
          <w:rtl w:val="0"/>
          <w:lang w:val="en-US"/>
        </w:rPr>
        <w:t>Φ</w:t>
      </w:r>
      <w:r>
        <w:rPr>
          <w:sz w:val="22"/>
          <w:szCs w:val="22"/>
          <w:vertAlign w:val="subscript"/>
          <w:rtl w:val="0"/>
          <w:lang w:val="en-US"/>
        </w:rPr>
        <w:t>-t</w:t>
      </w:r>
      <w:r>
        <w:rPr>
          <w:sz w:val="22"/>
          <w:szCs w:val="22"/>
          <w:rtl w:val="0"/>
          <w:lang w:val="en-US"/>
        </w:rPr>
        <w:t>Θ</w:t>
      </w:r>
      <w:r>
        <w:rPr>
          <w:sz w:val="22"/>
          <w:szCs w:val="22"/>
          <w:rtl w:val="0"/>
          <w:lang w:val="en-US"/>
        </w:rPr>
        <w:t xml:space="preserve">. A rule that selects an oriented future must transform oppositely under </w:t>
      </w:r>
      <w:r>
        <w:rPr>
          <w:sz w:val="22"/>
          <w:szCs w:val="22"/>
          <w:rtl w:val="0"/>
          <w:lang w:val="en-US"/>
        </w:rPr>
        <w:t>Θ</w:t>
      </w:r>
      <w:r>
        <w:rPr>
          <w:sz w:val="22"/>
          <w:szCs w:val="22"/>
          <w:rtl w:val="0"/>
          <w:lang w:val="en-US"/>
        </w:rPr>
        <w:t xml:space="preserve">; a rule depending only on the </w:t>
      </w:r>
      <w:r>
        <w:rPr>
          <w:sz w:val="22"/>
          <w:szCs w:val="22"/>
          <w:rtl w:val="0"/>
          <w:lang w:val="en-US"/>
        </w:rPr>
        <w:t>Θ</w:t>
      </w:r>
      <w:r>
        <w:rPr>
          <w:sz w:val="22"/>
          <w:szCs w:val="22"/>
          <w:rtl w:val="0"/>
          <w:lang w:val="en-US"/>
        </w:rPr>
        <w:t>-even W cannot do so.</w:t>
      </w:r>
    </w:p>
    <w:p>
      <w:pPr>
        <w:pStyle w:val="Normal.0"/>
        <w:spacing w:after="80" w:line="240" w:lineRule="atLeast"/>
      </w:pPr>
      <w:r>
        <w:rPr>
          <w:b w:val="1"/>
          <w:bCs w:val="1"/>
          <w:sz w:val="22"/>
          <w:szCs w:val="22"/>
          <w:rtl w:val="0"/>
          <w:lang w:val="en-US"/>
        </w:rPr>
        <w:t>Proposition 8.</w:t>
      </w:r>
      <w:r>
        <w:rPr>
          <w:sz w:val="22"/>
          <w:szCs w:val="22"/>
          <w:rtl w:val="0"/>
          <w:lang w:val="en-US"/>
        </w:rPr>
        <w:t xml:space="preserve"> No deterministic assignment </w:t>
      </w:r>
      <w:r>
        <w:rPr>
          <w:sz w:val="22"/>
          <w:szCs w:val="22"/>
          <w:rtl w:val="0"/>
          <w:lang w:val="en-US"/>
        </w:rPr>
        <w:t>ε</w:t>
      </w:r>
      <w:r>
        <w:rPr>
          <w:sz w:val="22"/>
          <w:szCs w:val="22"/>
          <w:rtl w:val="0"/>
          <w:lang w:val="en-US"/>
        </w:rPr>
        <w:t xml:space="preserve">(W) </w:t>
      </w:r>
      <w:r>
        <w:rPr>
          <w:rFonts w:ascii="Arial Unicode MS" w:cs="Arial Unicode MS" w:hAnsi="Arial Unicode MS" w:eastAsia="Arial Unicode MS" w:hint="default"/>
          <w:b w:val="0"/>
          <w:bCs w:val="0"/>
          <w:i w:val="0"/>
          <w:iCs w:val="0"/>
          <w:sz w:val="22"/>
          <w:szCs w:val="22"/>
          <w:rtl w:val="0"/>
          <w:lang w:val="en-US"/>
        </w:rPr>
        <w:t>∈</w:t>
      </w:r>
      <w:r>
        <w:rPr>
          <w:sz w:val="22"/>
          <w:szCs w:val="22"/>
          <w:rtl w:val="0"/>
          <w:lang w:val="en-US"/>
        </w:rPr>
        <w:t xml:space="preserve"> </w:t>
      </w:r>
      <w:r>
        <w:rPr>
          <w:sz w:val="22"/>
          <w:szCs w:val="22"/>
          <w:rtl w:val="0"/>
          <w:lang w:val="en-US"/>
        </w:rPr>
        <w:t>{+1,</w:t>
      </w:r>
      <w:r>
        <w:rPr>
          <w:sz w:val="22"/>
          <w:szCs w:val="22"/>
          <w:rtl w:val="0"/>
          <w:lang w:val="en-US"/>
        </w:rPr>
        <w:t>−</w:t>
      </w:r>
      <w:r>
        <w:rPr>
          <w:sz w:val="22"/>
          <w:szCs w:val="22"/>
          <w:rtl w:val="0"/>
          <w:lang w:val="en-US"/>
        </w:rPr>
        <w:t xml:space="preserve">1} can both depend only on a time-reversal-invariant W and satisfy </w:t>
      </w:r>
      <w:r>
        <w:rPr>
          <w:sz w:val="22"/>
          <w:szCs w:val="22"/>
          <w:rtl w:val="0"/>
          <w:lang w:val="en-US"/>
        </w:rPr>
        <w:t>ε</w:t>
      </w:r>
      <w:r>
        <w:rPr>
          <w:sz w:val="22"/>
          <w:szCs w:val="22"/>
          <w:rtl w:val="0"/>
          <w:lang w:val="en-US"/>
        </w:rPr>
        <w:t>(</w:t>
      </w:r>
      <w:r>
        <w:rPr>
          <w:sz w:val="22"/>
          <w:szCs w:val="22"/>
          <w:rtl w:val="0"/>
          <w:lang w:val="en-US"/>
        </w:rPr>
        <w:t>Θ</w:t>
      </w:r>
      <w:r>
        <w:rPr>
          <w:sz w:val="22"/>
          <w:szCs w:val="22"/>
          <w:rtl w:val="0"/>
          <w:lang w:val="en-US"/>
        </w:rPr>
        <w:t xml:space="preserve">W) = </w:t>
      </w:r>
      <w:r>
        <w:rPr>
          <w:sz w:val="22"/>
          <w:szCs w:val="22"/>
          <w:rtl w:val="0"/>
          <w:lang w:val="en-US"/>
        </w:rPr>
        <w:t>−ε</w:t>
      </w:r>
      <w:r>
        <w:rPr>
          <w:sz w:val="22"/>
          <w:szCs w:val="22"/>
          <w:rtl w:val="0"/>
          <w:lang w:val="en-US"/>
        </w:rPr>
        <w:t>(W).</w:t>
      </w:r>
    </w:p>
    <w:p>
      <w:pPr>
        <w:pStyle w:val="Normal.0"/>
        <w:spacing w:after="80" w:line="240" w:lineRule="atLeast"/>
      </w:pPr>
      <w:r>
        <w:rPr>
          <w:sz w:val="22"/>
          <w:szCs w:val="22"/>
          <w:rtl w:val="0"/>
          <w:lang w:val="en-US"/>
        </w:rPr>
        <w:t xml:space="preserve">The proof is immediate: </w:t>
      </w:r>
      <w:r>
        <w:rPr>
          <w:sz w:val="22"/>
          <w:szCs w:val="22"/>
          <w:rtl w:val="0"/>
          <w:lang w:val="en-US"/>
        </w:rPr>
        <w:t>Θ</w:t>
      </w:r>
      <w:r>
        <w:rPr>
          <w:sz w:val="22"/>
          <w:szCs w:val="22"/>
          <w:rtl w:val="0"/>
          <w:lang w:val="en-US"/>
        </w:rPr>
        <w:t xml:space="preserve">W = W would require </w:t>
      </w:r>
      <w:r>
        <w:rPr>
          <w:sz w:val="22"/>
          <w:szCs w:val="22"/>
          <w:rtl w:val="0"/>
          <w:lang w:val="en-US"/>
        </w:rPr>
        <w:t>ε</w:t>
      </w:r>
      <w:r>
        <w:rPr>
          <w:sz w:val="22"/>
          <w:szCs w:val="22"/>
          <w:rtl w:val="0"/>
          <w:lang w:val="en-US"/>
        </w:rPr>
        <w:t xml:space="preserve">(W) = </w:t>
      </w:r>
      <w:r>
        <w:rPr>
          <w:sz w:val="22"/>
          <w:szCs w:val="22"/>
          <w:rtl w:val="0"/>
          <w:lang w:val="en-US"/>
        </w:rPr>
        <w:t>−ε</w:t>
      </w:r>
      <w:r>
        <w:rPr>
          <w:sz w:val="22"/>
          <w:szCs w:val="22"/>
          <w:rtl w:val="0"/>
          <w:lang w:val="en-US"/>
        </w:rPr>
        <w:t>(W). More generally, time-reversal-invariant laws and invariant preparation data do not distinguish a retarded experiment from its reversed advanced experiment without an additional choice. A momentum-sensitive state, boundary condition, statistical condition or internal clock may supply such a choice. The existence and stability of that structure must be shown separately.</w:t>
      </w:r>
    </w:p>
    <w:p>
      <w:pPr>
        <w:pStyle w:val="Normal.0"/>
        <w:spacing w:after="80" w:line="240" w:lineRule="atLeast"/>
      </w:pPr>
      <w:r>
        <w:rPr>
          <w:sz w:val="22"/>
          <w:szCs w:val="22"/>
          <w:rtl w:val="0"/>
          <w:lang w:val="en-US"/>
        </w:rPr>
        <w:t>This separates an unoriented pair of cone components from a choice of future, and separates that choice from a thermodynamic arrow. The chain limit already uses a time parameter and an initial-value preparation; it is not a derivation of temporal orientation from W.</w:t>
      </w:r>
    </w:p>
    <w:p>
      <w:pPr>
        <w:pStyle w:val="Заголовок 3"/>
        <w:spacing w:line="240" w:lineRule="atLeast"/>
      </w:pPr>
      <w:r>
        <w:rPr>
          <w:rtl w:val="0"/>
          <w:lang w:val="en-US"/>
        </w:rPr>
        <w:t>6.2. A cone and an order are different results</w:t>
      </w:r>
    </w:p>
    <w:p>
      <w:pPr>
        <w:pStyle w:val="Normal.0"/>
        <w:keepNext w:val="1"/>
        <w:spacing w:after="80" w:line="240" w:lineRule="atLeast"/>
      </w:pPr>
      <w:r>
        <w:rPr>
          <w:sz w:val="22"/>
          <w:szCs w:val="22"/>
          <w:rtl w:val="0"/>
          <w:lang w:val="en-US"/>
        </w:rPr>
        <w:t xml:space="preserve">On the prescribed cylinder </w:t>
      </w:r>
      <w:r>
        <w:rPr>
          <w:rFonts w:ascii="Arial Unicode MS" w:cs="Arial Unicode MS" w:hAnsi="Arial Unicode MS" w:eastAsia="Arial Unicode MS" w:hint="default"/>
          <w:b w:val="0"/>
          <w:bCs w:val="0"/>
          <w:i w:val="0"/>
          <w:iCs w:val="0"/>
          <w:sz w:val="22"/>
          <w:szCs w:val="22"/>
          <w:rtl w:val="0"/>
          <w:lang w:val="en-US"/>
        </w:rPr>
        <w:t>ℝ</w:t>
      </w:r>
      <w:r>
        <w:rPr>
          <w:sz w:val="22"/>
          <w:szCs w:val="22"/>
          <w:rtl w:val="0"/>
          <w:lang w:val="en-US"/>
        </w:rPr>
        <w:t xml:space="preserve"> × </w:t>
      </w:r>
      <w:r>
        <w:rPr>
          <w:sz w:val="22"/>
          <w:szCs w:val="22"/>
          <w:rtl w:val="0"/>
          <w:lang w:val="en-US"/>
        </w:rPr>
        <w:t>S</w:t>
      </w:r>
      <w:r>
        <w:rPr>
          <w:sz w:val="22"/>
          <w:szCs w:val="22"/>
          <w:vertAlign w:val="superscript"/>
          <w:rtl w:val="0"/>
          <w:lang w:val="en-US"/>
        </w:rPr>
        <w:t>1</w:t>
      </w:r>
      <w:r>
        <w:rPr>
          <w:sz w:val="22"/>
          <w:szCs w:val="22"/>
          <w:rtl w:val="0"/>
          <w:lang w:val="en-US"/>
        </w:rPr>
        <w:t>, the wave symbol gives the Lorentzian metric class represented by ds</w:t>
      </w:r>
      <w:r>
        <w:rPr>
          <w:sz w:val="22"/>
          <w:szCs w:val="22"/>
          <w:vertAlign w:val="superscript"/>
          <w:rtl w:val="0"/>
          <w:lang w:val="en-US"/>
        </w:rPr>
        <w:t>2</w:t>
      </w:r>
      <w:r>
        <w:rPr>
          <w:sz w:val="22"/>
          <w:szCs w:val="22"/>
          <w:rtl w:val="0"/>
          <w:lang w:val="en-US"/>
        </w:rPr>
        <w:t xml:space="preserve"> = </w:t>
      </w:r>
      <w:r>
        <w:rPr>
          <w:sz w:val="22"/>
          <w:szCs w:val="22"/>
          <w:rtl w:val="0"/>
          <w:lang w:val="en-US"/>
        </w:rPr>
        <w:t>−</w:t>
      </w:r>
      <w:r>
        <w:rPr>
          <w:sz w:val="22"/>
          <w:szCs w:val="22"/>
          <w:rtl w:val="0"/>
          <w:lang w:val="en-US"/>
        </w:rPr>
        <w:t>c</w:t>
      </w:r>
      <w:r>
        <w:rPr>
          <w:sz w:val="22"/>
          <w:szCs w:val="22"/>
          <w:vertAlign w:val="superscript"/>
          <w:rtl w:val="0"/>
          <w:lang w:val="en-US"/>
        </w:rPr>
        <w:t>2</w:t>
      </w:r>
      <w:r>
        <w:rPr>
          <w:sz w:val="22"/>
          <w:szCs w:val="22"/>
          <w:rtl w:val="0"/>
          <w:lang w:val="en-US"/>
        </w:rPr>
        <w:t>dt</w:t>
      </w:r>
      <w:r>
        <w:rPr>
          <w:sz w:val="22"/>
          <w:szCs w:val="22"/>
          <w:vertAlign w:val="superscript"/>
          <w:rtl w:val="0"/>
          <w:lang w:val="en-US"/>
        </w:rPr>
        <w:t>2</w:t>
      </w:r>
      <w:r>
        <w:rPr>
          <w:sz w:val="22"/>
          <w:szCs w:val="22"/>
          <w:rtl w:val="0"/>
          <w:lang w:val="en-US"/>
        </w:rPr>
        <w:t xml:space="preserve"> + dx</w:t>
      </w:r>
      <w:r>
        <w:rPr>
          <w:sz w:val="22"/>
          <w:szCs w:val="22"/>
          <w:vertAlign w:val="superscript"/>
          <w:rtl w:val="0"/>
          <w:lang w:val="en-US"/>
        </w:rPr>
        <w:t>2</w:t>
      </w:r>
      <w:r>
        <w:rPr>
          <w:sz w:val="22"/>
          <w:szCs w:val="22"/>
          <w:rtl w:val="0"/>
          <w:lang w:val="en-US"/>
        </w:rPr>
        <w:t>. With increasing t chosen as future, define</w:t>
      </w:r>
    </w:p>
    <w:p>
      <w:pPr>
        <w:pStyle w:val="Equation"/>
        <w:spacing w:after="80" w:line="240" w:lineRule="atLeast"/>
      </w:pPr>
      <w:r>
        <w:rPr>
          <w:rFonts w:ascii="Times New Roman" w:hAnsi="Times New Roman"/>
          <w:sz w:val="22"/>
          <w:szCs w:val="22"/>
          <w:rtl w:val="0"/>
          <w:lang w:val="en-US"/>
        </w:rPr>
        <w:t xml:space="preserve">(t,x) </w:t>
      </w:r>
      <w:r>
        <w:rPr>
          <w:rFonts w:ascii="Arial Unicode MS" w:cs="Arial Unicode MS" w:hAnsi="Arial Unicode MS" w:eastAsia="Arial Unicode MS" w:hint="default"/>
          <w:b w:val="0"/>
          <w:bCs w:val="0"/>
          <w:i w:val="0"/>
          <w:iCs w:val="0"/>
          <w:sz w:val="22"/>
          <w:szCs w:val="22"/>
          <w:rtl w:val="0"/>
          <w:lang w:val="en-US"/>
        </w:rPr>
        <w:t>≼</w:t>
      </w:r>
      <w:r>
        <w:rPr>
          <w:rFonts w:ascii="Times New Roman" w:hAnsi="Times New Roman"/>
          <w:sz w:val="22"/>
          <w:szCs w:val="22"/>
          <w:rtl w:val="0"/>
          <w:lang w:val="en-US"/>
        </w:rPr>
        <w:t xml:space="preserve"> </w:t>
      </w:r>
      <w:r>
        <w:rPr>
          <w:rFonts w:ascii="Times New Roman" w:hAnsi="Times New Roman"/>
          <w:sz w:val="22"/>
          <w:szCs w:val="22"/>
          <w:rtl w:val="0"/>
          <w:lang w:val="en-US"/>
        </w:rPr>
        <w:t xml:space="preserve">(s,y)     iff     s </w:t>
      </w:r>
      <w:r>
        <w:rPr>
          <w:rFonts w:ascii="Times New Roman" w:hAnsi="Times New Roman" w:hint="default"/>
          <w:sz w:val="22"/>
          <w:szCs w:val="22"/>
          <w:rtl w:val="0"/>
          <w:lang w:val="en-US"/>
        </w:rPr>
        <w:t xml:space="preserve">− </w:t>
      </w:r>
      <w:r>
        <w:rPr>
          <w:rFonts w:ascii="Times New Roman" w:hAnsi="Times New Roman"/>
          <w:sz w:val="22"/>
          <w:szCs w:val="22"/>
          <w:rtl w:val="0"/>
          <w:lang w:val="en-US"/>
        </w:rPr>
        <w:t xml:space="preserve">t </w:t>
      </w:r>
      <w:r>
        <w:rPr>
          <w:rFonts w:ascii="Times New Roman" w:hAnsi="Times New Roman" w:hint="default"/>
          <w:sz w:val="22"/>
          <w:szCs w:val="22"/>
          <w:rtl w:val="0"/>
          <w:lang w:val="en-US"/>
        </w:rPr>
        <w:t xml:space="preserve">≥ </w:t>
      </w:r>
      <w:r>
        <w:rPr>
          <w:rFonts w:ascii="Times New Roman" w:hAnsi="Times New Roman"/>
          <w:sz w:val="22"/>
          <w:szCs w:val="22"/>
          <w:rtl w:val="0"/>
          <w:lang w:val="en-US"/>
        </w:rPr>
        <w:t>dS</w:t>
      </w:r>
      <w:r>
        <w:rPr>
          <w:rFonts w:ascii="Times New Roman" w:hAnsi="Times New Roman"/>
          <w:sz w:val="22"/>
          <w:szCs w:val="22"/>
          <w:vertAlign w:val="superscript"/>
          <w:rtl w:val="0"/>
          <w:lang w:val="en-US"/>
        </w:rPr>
        <w:t>1</w:t>
      </w:r>
      <w:r>
        <w:rPr>
          <w:rFonts w:ascii="Times New Roman" w:hAnsi="Times New Roman"/>
          <w:sz w:val="22"/>
          <w:szCs w:val="22"/>
          <w:rtl w:val="0"/>
          <w:lang w:val="en-US"/>
        </w:rPr>
        <w:t>(x,y)/c.</w:t>
        <w:tab/>
        <w:t>(34)</w:t>
      </w:r>
    </w:p>
    <w:p>
      <w:pPr>
        <w:pStyle w:val="Normal.0"/>
        <w:spacing w:after="80" w:line="240" w:lineRule="atLeast"/>
      </w:pPr>
      <w:r>
        <w:rPr>
          <w:sz w:val="22"/>
          <w:szCs w:val="22"/>
          <w:rtl w:val="0"/>
          <w:lang w:val="en-US"/>
        </w:rPr>
        <w:t>The circle triangle inequality proves transitivity. Nonnegativity of the time difference gives antisymmetry, because two reverse relations force s = t and dS</w:t>
      </w:r>
      <w:r>
        <w:rPr>
          <w:sz w:val="22"/>
          <w:szCs w:val="22"/>
          <w:vertAlign w:val="superscript"/>
          <w:rtl w:val="0"/>
          <w:lang w:val="en-US"/>
        </w:rPr>
        <w:t>1</w:t>
      </w:r>
      <w:r>
        <w:rPr>
          <w:sz w:val="22"/>
          <w:szCs w:val="22"/>
          <w:rtl w:val="0"/>
          <w:lang w:val="en-US"/>
        </w:rPr>
        <w:t>(x,y) = 0. Thus (34) is a partial order and t is a global time function. This conclusion uses the product topology and the nonperiodic time coordinate.</w:t>
      </w:r>
    </w:p>
    <w:p>
      <w:pPr>
        <w:pStyle w:val="Normal.0"/>
        <w:spacing w:after="80" w:line="240" w:lineRule="atLeast"/>
      </w:pPr>
      <w:r>
        <w:rPr>
          <w:sz w:val="22"/>
          <w:szCs w:val="22"/>
          <w:rtl w:val="0"/>
          <w:lang w:val="en-US"/>
        </w:rPr>
        <w:t>If time is instead periodically identified, the same local cone field descends to a spacetime with closed timelike curves. A trajectory at fixed x can wind around time, destroying antisymmetry of causal reachability. Hence matching local cones cannot establish a global causal order. In general spacetimes the required causality assumptions must be stated before invoking causal reconstruction results [1, 2].</w:t>
      </w:r>
    </w:p>
    <w:p>
      <w:pPr>
        <w:pStyle w:val="Заголовок 3"/>
        <w:spacing w:line="240" w:lineRule="atLeast"/>
      </w:pPr>
      <w:r>
        <w:rPr>
          <w:rtl w:val="0"/>
          <w:lang w:val="en-US"/>
        </w:rPr>
        <w:t>6.3. Conformal data and measure data</w:t>
      </w:r>
    </w:p>
    <w:p>
      <w:pPr>
        <w:pStyle w:val="Normal.0"/>
        <w:spacing w:after="80" w:line="240" w:lineRule="atLeast"/>
        <w:rPr>
          <w:sz w:val="22"/>
          <w:szCs w:val="22"/>
        </w:rPr>
      </w:pPr>
      <w:r>
        <w:rPr>
          <w:sz w:val="22"/>
          <w:szCs w:val="22"/>
          <w:rtl w:val="0"/>
          <w:lang w:val="en-US"/>
        </w:rPr>
        <w:t xml:space="preserve">A common quadratic Lorentzian cone determines a conformal class, not its scale. This conclusion assumes that the cone is the null cone of a Lorentzian quadratic form; a general common dispersion surface need not be Lorentzian. </w:t>
      </w:r>
    </w:p>
    <w:p>
      <w:pPr>
        <w:pStyle w:val="Normal.0"/>
        <w:spacing w:after="80" w:line="240" w:lineRule="atLeast"/>
        <w:rPr>
          <w:sz w:val="22"/>
          <w:szCs w:val="22"/>
        </w:rPr>
      </w:pPr>
    </w:p>
    <w:p>
      <w:pPr>
        <w:pStyle w:val="Normal.0"/>
        <w:spacing w:after="80" w:line="240" w:lineRule="atLeast"/>
      </w:pPr>
      <w:r>
        <w:rPr>
          <w:sz w:val="22"/>
          <w:szCs w:val="22"/>
          <w:rtl w:val="0"/>
          <w:lang w:val="en-US"/>
        </w:rPr>
        <w:t xml:space="preserve">Once a smooth D-dimensional manifold and a representative g are available, an additional positive volume density </w:t>
      </w:r>
      <w:r>
        <w:rPr>
          <w:sz w:val="22"/>
          <w:szCs w:val="22"/>
          <w:rtl w:val="0"/>
          <w:lang w:val="en-US"/>
        </w:rPr>
        <w:t xml:space="preserve">μ </w:t>
      </w:r>
      <w:r>
        <w:rPr>
          <w:sz w:val="22"/>
          <w:szCs w:val="22"/>
          <w:rtl w:val="0"/>
          <w:lang w:val="en-US"/>
        </w:rPr>
        <w:t>fixes the conformal factor by</w:t>
      </w:r>
    </w:p>
    <w:p>
      <w:pPr>
        <w:pStyle w:val="Equation"/>
        <w:spacing w:after="80" w:line="240" w:lineRule="atLeast"/>
      </w:pPr>
      <w:r>
        <w:rPr>
          <w:rFonts w:ascii="Times New Roman" w:hAnsi="Times New Roman"/>
          <w:sz w:val="22"/>
          <w:szCs w:val="22"/>
          <w:rtl w:val="0"/>
          <w:lang w:val="en-US"/>
        </w:rPr>
        <w:t>g</w:t>
      </w:r>
      <w:r>
        <w:rPr>
          <w:rFonts w:ascii="Times New Roman" w:hAnsi="Times New Roman" w:hint="default"/>
          <w:sz w:val="22"/>
          <w:szCs w:val="22"/>
          <w:rtl w:val="0"/>
          <w:lang w:val="en-US"/>
        </w:rPr>
        <w:t xml:space="preserve">̃ </w:t>
      </w:r>
      <w:r>
        <w:rPr>
          <w:rFonts w:ascii="Times New Roman" w:hAnsi="Times New Roman"/>
          <w:sz w:val="22"/>
          <w:szCs w:val="22"/>
          <w:rtl w:val="0"/>
          <w:lang w:val="en-US"/>
        </w:rPr>
        <w:t xml:space="preserve">= </w:t>
      </w:r>
      <w:r>
        <w:rPr>
          <w:rFonts w:ascii="Times New Roman" w:hAnsi="Times New Roman" w:hint="default"/>
          <w:sz w:val="22"/>
          <w:szCs w:val="22"/>
          <w:rtl w:val="0"/>
          <w:lang w:val="en-US"/>
        </w:rPr>
        <w:t>Ω</w:t>
      </w:r>
      <w:r>
        <w:rPr>
          <w:rFonts w:ascii="Times New Roman" w:hAnsi="Times New Roman"/>
          <w:sz w:val="22"/>
          <w:szCs w:val="22"/>
          <w:vertAlign w:val="superscript"/>
          <w:rtl w:val="0"/>
          <w:lang w:val="en-US"/>
        </w:rPr>
        <w:t>2</w:t>
      </w:r>
      <w:r>
        <w:rPr>
          <w:rFonts w:ascii="Times New Roman" w:hAnsi="Times New Roman"/>
          <w:sz w:val="22"/>
          <w:szCs w:val="22"/>
          <w:rtl w:val="0"/>
          <w:lang w:val="en-US"/>
        </w:rPr>
        <w:t>g,     dvol(g</w:t>
      </w:r>
      <w:r>
        <w:rPr>
          <w:rFonts w:ascii="Times New Roman" w:hAnsi="Times New Roman" w:hint="default"/>
          <w:sz w:val="22"/>
          <w:szCs w:val="22"/>
          <w:rtl w:val="0"/>
          <w:lang w:val="en-US"/>
        </w:rPr>
        <w:t>̃</w:t>
      </w:r>
      <w:r>
        <w:rPr>
          <w:rFonts w:ascii="Times New Roman" w:hAnsi="Times New Roman"/>
          <w:sz w:val="22"/>
          <w:szCs w:val="22"/>
          <w:rtl w:val="0"/>
          <w:lang w:val="en-US"/>
        </w:rPr>
        <w:t xml:space="preserve">) = </w:t>
      </w:r>
      <w:r>
        <w:rPr>
          <w:rFonts w:ascii="Times New Roman" w:hAnsi="Times New Roman" w:hint="default"/>
          <w:sz w:val="22"/>
          <w:szCs w:val="22"/>
          <w:rtl w:val="0"/>
          <w:lang w:val="en-US"/>
        </w:rPr>
        <w:t>Ω</w:t>
      </w:r>
      <w:r>
        <w:rPr>
          <w:rFonts w:ascii="Times New Roman" w:hAnsi="Times New Roman"/>
          <w:sz w:val="22"/>
          <w:szCs w:val="22"/>
          <w:vertAlign w:val="superscript"/>
          <w:rtl w:val="0"/>
          <w:lang w:val="en-US"/>
        </w:rPr>
        <w:t>D</w:t>
      </w:r>
      <w:r>
        <w:rPr>
          <w:rFonts w:ascii="Times New Roman" w:hAnsi="Times New Roman"/>
          <w:sz w:val="22"/>
          <w:szCs w:val="22"/>
          <w:rtl w:val="0"/>
          <w:lang w:val="en-US"/>
        </w:rPr>
        <w:t>dvol(g),</w:t>
        <w:tab/>
        <w:t>(35)</w:t>
      </w:r>
    </w:p>
    <w:p>
      <w:pPr>
        <w:pStyle w:val="Equation"/>
        <w:spacing w:after="80" w:line="240" w:lineRule="atLeast"/>
      </w:pPr>
      <w:r>
        <w:rPr>
          <w:rFonts w:ascii="Times New Roman" w:hAnsi="Times New Roman" w:hint="default"/>
          <w:sz w:val="22"/>
          <w:szCs w:val="22"/>
          <w:rtl w:val="0"/>
          <w:lang w:val="en-US"/>
        </w:rPr>
        <w:t xml:space="preserve">Ω </w:t>
      </w:r>
      <w:r>
        <w:rPr>
          <w:rFonts w:ascii="Times New Roman" w:hAnsi="Times New Roman"/>
          <w:sz w:val="22"/>
          <w:szCs w:val="22"/>
          <w:rtl w:val="0"/>
          <w:lang w:val="en-US"/>
        </w:rPr>
        <w:t>= [d</w:t>
      </w:r>
      <w:r>
        <w:rPr>
          <w:rFonts w:ascii="Times New Roman" w:hAnsi="Times New Roman" w:hint="default"/>
          <w:sz w:val="22"/>
          <w:szCs w:val="22"/>
          <w:rtl w:val="0"/>
          <w:lang w:val="en-US"/>
        </w:rPr>
        <w:t>μ</w:t>
      </w:r>
      <w:r>
        <w:rPr>
          <w:rFonts w:ascii="Times New Roman" w:hAnsi="Times New Roman"/>
          <w:sz w:val="22"/>
          <w:szCs w:val="22"/>
          <w:rtl w:val="0"/>
          <w:lang w:val="en-US"/>
        </w:rPr>
        <w:t>/dvol(g)]</w:t>
      </w:r>
      <w:r>
        <w:rPr>
          <w:rFonts w:ascii="Times New Roman" w:hAnsi="Times New Roman"/>
          <w:sz w:val="22"/>
          <w:szCs w:val="22"/>
          <w:vertAlign w:val="superscript"/>
          <w:rtl w:val="0"/>
          <w:lang w:val="en-US"/>
        </w:rPr>
        <w:t>1/D</w:t>
      </w:r>
      <w:r>
        <w:rPr>
          <w:rFonts w:ascii="Times New Roman" w:hAnsi="Times New Roman"/>
          <w:sz w:val="22"/>
          <w:szCs w:val="22"/>
          <w:rtl w:val="0"/>
          <w:lang w:val="en-US"/>
        </w:rPr>
        <w:t>.</w:t>
        <w:tab/>
        <w:t>(36)</w:t>
      </w:r>
    </w:p>
    <w:p>
      <w:pPr>
        <w:pStyle w:val="Normal.0"/>
        <w:spacing w:after="80" w:line="240" w:lineRule="atLeast"/>
      </w:pPr>
      <w:r>
        <w:rPr>
          <w:sz w:val="22"/>
          <w:szCs w:val="22"/>
          <w:rtl w:val="0"/>
          <w:lang w:val="en-US"/>
        </w:rPr>
        <w:t xml:space="preserve">For Lorentzian metrics, dvol denotes the positive density </w:t>
      </w:r>
      <w:r>
        <w:rPr>
          <w:sz w:val="22"/>
          <w:szCs w:val="22"/>
          <w:rtl w:val="0"/>
          <w:lang w:val="en-US"/>
        </w:rPr>
        <w:t>√</w:t>
      </w:r>
      <w:r>
        <w:rPr>
          <w:sz w:val="22"/>
          <w:szCs w:val="22"/>
          <w:rtl w:val="0"/>
          <w:lang w:val="en-US"/>
        </w:rPr>
        <w:t>|det g|. Equation (36) is conditional on identified compatible measure data. Counting graph vertices without proving their measure limit does not supply those data. It also does not explain why the observed dimension should be 3+1.</w:t>
      </w:r>
    </w:p>
    <w:p>
      <w:pPr>
        <w:pStyle w:val="Заголовок 2"/>
        <w:spacing w:line="240" w:lineRule="atLeast"/>
      </w:pPr>
      <w:r>
        <w:rPr>
          <w:rtl w:val="0"/>
          <w:lang w:val="en-US"/>
        </w:rPr>
        <w:t>7. Reproducible checks and their scope</w:t>
      </w:r>
    </w:p>
    <w:p>
      <w:pPr>
        <w:pStyle w:val="Normal.0"/>
        <w:spacing w:after="80" w:line="240" w:lineRule="atLeast"/>
      </w:pPr>
      <w:r>
        <w:rPr>
          <w:sz w:val="22"/>
          <w:szCs w:val="22"/>
          <w:rtl w:val="0"/>
          <w:lang w:val="en-US"/>
        </w:rPr>
        <w:t xml:space="preserve">The accompanying reproduce_v2.py performs deterministic Fourier calculations and finite matrix diagonalisation. It uses Python 3.12.13, NumPy 2.3.5, SciPy 1.17.0 and Matplotlib 3.10.8. It requires no external datasets. All values below are dimensionless benchmarks on a prescribed circle </w:t>
      </w:r>
      <w:r>
        <w:rPr>
          <w:sz w:val="22"/>
          <w:szCs w:val="22"/>
          <w:rtl w:val="0"/>
          <w:lang w:val="en-US"/>
        </w:rPr>
        <w:t xml:space="preserve">ℓ </w:t>
      </w:r>
      <w:r>
        <w:rPr>
          <w:sz w:val="22"/>
          <w:szCs w:val="22"/>
          <w:rtl w:val="0"/>
          <w:lang w:val="en-US"/>
        </w:rPr>
        <w:t>= 2</w:t>
      </w:r>
      <w:r>
        <w:rPr>
          <w:sz w:val="22"/>
          <w:szCs w:val="22"/>
          <w:rtl w:val="0"/>
          <w:lang w:val="en-US"/>
        </w:rPr>
        <w:t>π</w:t>
      </w:r>
      <w:r>
        <w:rPr>
          <w:sz w:val="22"/>
          <w:szCs w:val="22"/>
          <w:rtl w:val="0"/>
          <w:lang w:val="en-US"/>
        </w:rPr>
        <w:t>.</w:t>
      </w:r>
    </w:p>
    <w:p>
      <w:pPr>
        <w:pStyle w:val="Normal.0"/>
        <w:spacing w:after="80" w:line="240" w:lineRule="atLeast"/>
      </w:pPr>
      <w:r>
        <w:rPr>
          <w:sz w:val="22"/>
          <w:szCs w:val="22"/>
          <w:rtl w:val="0"/>
          <w:lang w:val="en-US"/>
        </w:rPr>
        <w:t xml:space="preserve">For nearest-neighbour propagation, c = 1, T = 1 and </w:t>
      </w:r>
      <w:r>
        <w:rPr>
          <w:sz w:val="22"/>
          <w:szCs w:val="22"/>
          <w:rtl w:val="0"/>
          <w:lang w:val="en-US"/>
        </w:rPr>
        <w:t xml:space="preserve">δ </w:t>
      </w:r>
      <w:r>
        <w:rPr>
          <w:sz w:val="22"/>
          <w:szCs w:val="22"/>
          <w:rtl w:val="0"/>
          <w:lang w:val="en-US"/>
        </w:rPr>
        <w:t>= 0.25. The response density is computed as the inverse discrete Fourier transform of t sinc(t</w:t>
      </w:r>
      <w:r>
        <w:rPr>
          <w:sz w:val="22"/>
          <w:szCs w:val="22"/>
          <w:rtl w:val="0"/>
          <w:lang w:val="en-US"/>
        </w:rPr>
        <w:t>√λ</w:t>
      </w:r>
      <w:r>
        <w:rPr>
          <w:sz w:val="22"/>
          <w:szCs w:val="22"/>
          <w:rtl w:val="0"/>
          <w:lang w:val="en-US"/>
        </w:rPr>
        <w:t>/</w:t>
      </w:r>
      <w:r>
        <w:rPr>
          <w:sz w:val="22"/>
          <w:szCs w:val="22"/>
          <w:rtl w:val="0"/>
          <w:lang w:val="en-US"/>
        </w:rPr>
        <w:t>π</w:t>
      </w:r>
      <w:r>
        <w:rPr>
          <w:sz w:val="22"/>
          <w:szCs w:val="22"/>
          <w:rtl w:val="0"/>
          <w:lang w:val="en-US"/>
        </w:rPr>
        <w:t>), divided by a. The exterior maximum is sampled at 801 uniformly spaced times. Theorem 2, rather than the sampling, controls the continuous interval.</w:t>
      </w:r>
    </w:p>
    <w:p>
      <w:pPr>
        <w:pStyle w:val="Normal.0"/>
        <w:spacing w:after="80" w:line="240" w:lineRule="atLeast"/>
      </w:pPr>
      <w:r>
        <w:rPr>
          <w:sz w:val="22"/>
          <w:szCs w:val="22"/>
          <w:rtl w:val="0"/>
          <w:lang w:val="en-US"/>
        </w:rPr>
        <w:t>For convergence, the initial velocity is f(x) = cos x + 0.35 sin 3x + 0.2 cos 7x, with zero initial displacement. Errors are L</w:t>
      </w:r>
      <w:r>
        <w:rPr>
          <w:sz w:val="22"/>
          <w:szCs w:val="22"/>
          <w:vertAlign w:val="superscript"/>
          <w:rtl w:val="0"/>
          <w:lang w:val="en-US"/>
        </w:rPr>
        <w:t>2</w:t>
      </w:r>
      <w:r>
        <w:rPr>
          <w:sz w:val="22"/>
          <w:szCs w:val="22"/>
          <w:rtl w:val="0"/>
          <w:lang w:val="en-US"/>
        </w:rPr>
        <w:t xml:space="preserve"> distances divided by </w:t>
      </w:r>
      <w:r>
        <w:rPr>
          <w:sz w:val="22"/>
          <w:szCs w:val="22"/>
          <w:rtl w:val="0"/>
          <w:lang w:val="en-US"/>
        </w:rPr>
        <w:t>‖</w:t>
      </w:r>
      <w:r>
        <w:rPr>
          <w:sz w:val="22"/>
          <w:szCs w:val="22"/>
          <w:rtl w:val="0"/>
          <w:lang w:val="en-US"/>
        </w:rPr>
        <w:t>f</w:t>
      </w:r>
      <w:r>
        <w:rPr>
          <w:sz w:val="22"/>
          <w:szCs w:val="22"/>
          <w:rtl w:val="0"/>
          <w:lang w:val="en-US"/>
        </w:rPr>
        <w:t>‖</w:t>
      </w:r>
      <w:r>
        <w:rPr>
          <w:sz w:val="22"/>
          <w:szCs w:val="22"/>
          <w:vertAlign w:val="subscript"/>
          <w:rtl w:val="0"/>
          <w:lang w:val="en-US"/>
        </w:rPr>
        <w:t>2</w:t>
      </w:r>
      <w:r>
        <w:rPr>
          <w:sz w:val="22"/>
          <w:szCs w:val="22"/>
          <w:rtl w:val="0"/>
          <w:lang w:val="en-US"/>
        </w:rPr>
        <w:t xml:space="preserve"> and maximised over 1001 sampled times in [0,1]. Fourier errors are evaluated by Parseval</w:t>
      </w:r>
      <w:r>
        <w:rPr>
          <w:sz w:val="22"/>
          <w:szCs w:val="22"/>
          <w:rtl w:val="0"/>
          <w:lang w:val="en-US"/>
        </w:rPr>
        <w:t>’</w:t>
      </w:r>
      <w:r>
        <w:rPr>
          <w:sz w:val="22"/>
          <w:szCs w:val="22"/>
          <w:rtl w:val="0"/>
          <w:lang w:val="en-US"/>
        </w:rPr>
        <w:t>s identity. For the cell reconstruction, the initial data are exact cell averages and the L</w:t>
      </w:r>
      <w:r>
        <w:rPr>
          <w:sz w:val="22"/>
          <w:szCs w:val="22"/>
          <w:vertAlign w:val="superscript"/>
          <w:rtl w:val="0"/>
          <w:lang w:val="en-US"/>
        </w:rPr>
        <w:t>2</w:t>
      </w:r>
      <w:r>
        <w:rPr>
          <w:sz w:val="22"/>
          <w:szCs w:val="22"/>
          <w:rtl w:val="0"/>
          <w:lang w:val="en-US"/>
        </w:rPr>
        <w:t xml:space="preserve"> comparison with the continuum is integrated analytically, so no additional spatial plotting grid enters the reported error.</w:t>
      </w:r>
    </w:p>
    <w:tbl>
      <w:tblPr>
        <w:tblW w:w="9524" w:type="dxa"/>
        <w:jc w:val="center"/>
        <w:tblInd w:w="2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52"/>
        <w:gridCol w:w="2857"/>
        <w:gridCol w:w="2857"/>
        <w:gridCol w:w="2858"/>
      </w:tblGrid>
      <w:tr>
        <w:tblPrEx>
          <w:shd w:val="clear" w:color="auto" w:fill="4f81bd"/>
        </w:tblPrEx>
        <w:trPr>
          <w:trHeight w:val="202" w:hRule="atLeast"/>
          <w:tblHeader/>
        </w:trPr>
        <w:tc>
          <w:tcPr>
            <w:tcW w:type="dxa" w:w="952"/>
            <w:tcBorders>
              <w:top w:val="single" w:color="999999" w:sz="4" w:space="0" w:shadow="0" w:frame="0"/>
              <w:left w:val="nil"/>
              <w:bottom w:val="single" w:color="999999" w:sz="4" w:space="0" w:shadow="0" w:frame="0"/>
              <w:right w:val="nil"/>
            </w:tcBorders>
            <w:shd w:val="clear" w:color="auto" w:fill="f2f2f2"/>
            <w:tcMar>
              <w:top w:type="dxa" w:w="80"/>
              <w:left w:type="dxa" w:w="80"/>
              <w:bottom w:type="dxa" w:w="80"/>
              <w:right w:type="dxa" w:w="80"/>
            </w:tcMar>
            <w:vAlign w:val="top"/>
          </w:tcPr>
          <w:p>
            <w:pPr>
              <w:pStyle w:val="Table Text"/>
              <w:keepNext w:val="1"/>
              <w:spacing w:after="40" w:line="240" w:lineRule="auto"/>
              <w:jc w:val="center"/>
            </w:pPr>
            <w:r>
              <w:rPr>
                <w:rFonts w:ascii="Times New Roman" w:hAnsi="Times New Roman"/>
                <w:b w:val="1"/>
                <w:bCs w:val="1"/>
                <w:rtl w:val="0"/>
                <w:lang w:val="en-US"/>
              </w:rPr>
              <w:t>N</w:t>
            </w:r>
          </w:p>
        </w:tc>
        <w:tc>
          <w:tcPr>
            <w:tcW w:type="dxa" w:w="2857"/>
            <w:tcBorders>
              <w:top w:val="single" w:color="999999" w:sz="4" w:space="0" w:shadow="0" w:frame="0"/>
              <w:left w:val="nil"/>
              <w:bottom w:val="single" w:color="999999" w:sz="4" w:space="0" w:shadow="0" w:frame="0"/>
              <w:right w:val="nil"/>
            </w:tcBorders>
            <w:shd w:val="clear" w:color="auto" w:fill="f2f2f2"/>
            <w:tcMar>
              <w:top w:type="dxa" w:w="80"/>
              <w:left w:type="dxa" w:w="80"/>
              <w:bottom w:type="dxa" w:w="80"/>
              <w:right w:type="dxa" w:w="80"/>
            </w:tcMar>
            <w:vAlign w:val="top"/>
          </w:tcPr>
          <w:p>
            <w:pPr>
              <w:pStyle w:val="Table Text"/>
              <w:keepNext w:val="1"/>
              <w:spacing w:after="40" w:line="240" w:lineRule="auto"/>
              <w:jc w:val="center"/>
            </w:pPr>
            <w:r>
              <w:rPr>
                <w:rFonts w:ascii="Times New Roman" w:hAnsi="Times New Roman"/>
                <w:b w:val="1"/>
                <w:bCs w:val="1"/>
                <w:rtl w:val="0"/>
                <w:lang w:val="en-US"/>
              </w:rPr>
              <w:t>Exterior kernel</w:t>
            </w:r>
          </w:p>
        </w:tc>
        <w:tc>
          <w:tcPr>
            <w:tcW w:type="dxa" w:w="2857"/>
            <w:tcBorders>
              <w:top w:val="single" w:color="999999" w:sz="4" w:space="0" w:shadow="0" w:frame="0"/>
              <w:left w:val="nil"/>
              <w:bottom w:val="single" w:color="999999" w:sz="4" w:space="0" w:shadow="0" w:frame="0"/>
              <w:right w:val="nil"/>
            </w:tcBorders>
            <w:shd w:val="clear" w:color="auto" w:fill="f2f2f2"/>
            <w:tcMar>
              <w:top w:type="dxa" w:w="80"/>
              <w:left w:type="dxa" w:w="80"/>
              <w:bottom w:type="dxa" w:w="80"/>
              <w:right w:type="dxa" w:w="80"/>
            </w:tcMar>
            <w:vAlign w:val="top"/>
          </w:tcPr>
          <w:p>
            <w:pPr>
              <w:pStyle w:val="Table Text"/>
              <w:keepNext w:val="1"/>
              <w:spacing w:after="40" w:line="240" w:lineRule="auto"/>
              <w:jc w:val="center"/>
            </w:pPr>
            <w:r>
              <w:rPr>
                <w:rFonts w:ascii="Times New Roman" w:hAnsi="Times New Roman"/>
                <w:b w:val="1"/>
                <w:bCs w:val="1"/>
                <w:rtl w:val="0"/>
                <w:lang w:val="en-US"/>
              </w:rPr>
              <w:t>Fourier error</w:t>
            </w:r>
          </w:p>
        </w:tc>
        <w:tc>
          <w:tcPr>
            <w:tcW w:type="dxa" w:w="2857"/>
            <w:tcBorders>
              <w:top w:val="single" w:color="999999" w:sz="4" w:space="0" w:shadow="0" w:frame="0"/>
              <w:left w:val="nil"/>
              <w:bottom w:val="single" w:color="999999" w:sz="4" w:space="0" w:shadow="0" w:frame="0"/>
              <w:right w:val="nil"/>
            </w:tcBorders>
            <w:shd w:val="clear" w:color="auto" w:fill="f2f2f2"/>
            <w:tcMar>
              <w:top w:type="dxa" w:w="80"/>
              <w:left w:type="dxa" w:w="80"/>
              <w:bottom w:type="dxa" w:w="80"/>
              <w:right w:type="dxa" w:w="80"/>
            </w:tcMar>
            <w:vAlign w:val="top"/>
          </w:tcPr>
          <w:p>
            <w:pPr>
              <w:pStyle w:val="Table Text"/>
              <w:keepNext w:val="1"/>
              <w:spacing w:after="40" w:line="240" w:lineRule="auto"/>
              <w:jc w:val="center"/>
            </w:pPr>
            <w:r>
              <w:rPr>
                <w:rFonts w:ascii="Times New Roman" w:hAnsi="Times New Roman"/>
                <w:b w:val="1"/>
                <w:bCs w:val="1"/>
                <w:rtl w:val="0"/>
                <w:lang w:val="en-US"/>
              </w:rPr>
              <w:t>Cell error</w:t>
            </w:r>
          </w:p>
        </w:tc>
      </w:tr>
      <w:tr>
        <w:tblPrEx>
          <w:shd w:val="clear" w:color="auto" w:fill="ced7e7"/>
        </w:tblPrEx>
        <w:trPr>
          <w:trHeight w:val="202" w:hRule="atLeast"/>
        </w:trPr>
        <w:tc>
          <w:tcPr>
            <w:tcW w:type="dxa" w:w="952"/>
            <w:tcBorders>
              <w:top w:val="single" w:color="999999" w:sz="4" w:space="0" w:shadow="0" w:frame="0"/>
              <w:left w:val="nil"/>
              <w:bottom w:val="single" w:color="999999" w:sz="4" w:space="0" w:shadow="0" w:frame="0"/>
              <w:right w:val="nil"/>
            </w:tcBorders>
            <w:shd w:val="clear" w:color="auto" w:fill="auto"/>
            <w:tcMar>
              <w:top w:type="dxa" w:w="80"/>
              <w:left w:type="dxa" w:w="80"/>
              <w:bottom w:type="dxa" w:w="80"/>
              <w:right w:type="dxa" w:w="80"/>
            </w:tcMar>
            <w:vAlign w:val="top"/>
          </w:tcPr>
          <w:p>
            <w:pPr>
              <w:pStyle w:val="Table Text"/>
              <w:spacing w:after="40" w:line="240" w:lineRule="auto"/>
              <w:jc w:val="center"/>
            </w:pPr>
            <w:r>
              <w:rPr>
                <w:rFonts w:ascii="Times New Roman" w:hAnsi="Times New Roman"/>
                <w:rtl w:val="0"/>
                <w:lang w:val="en-US"/>
              </w:rPr>
              <w:t>31</w:t>
            </w:r>
          </w:p>
        </w:tc>
        <w:tc>
          <w:tcPr>
            <w:tcW w:type="dxa" w:w="2857"/>
            <w:tcBorders>
              <w:top w:val="single" w:color="999999" w:sz="4" w:space="0" w:shadow="0" w:frame="0"/>
              <w:left w:val="nil"/>
              <w:bottom w:val="single" w:color="999999" w:sz="4" w:space="0" w:shadow="0" w:frame="0"/>
              <w:right w:val="nil"/>
            </w:tcBorders>
            <w:shd w:val="clear" w:color="auto" w:fill="auto"/>
            <w:tcMar>
              <w:top w:type="dxa" w:w="80"/>
              <w:left w:type="dxa" w:w="80"/>
              <w:bottom w:type="dxa" w:w="80"/>
              <w:right w:type="dxa" w:w="80"/>
            </w:tcMar>
            <w:vAlign w:val="top"/>
          </w:tcPr>
          <w:p>
            <w:pPr>
              <w:pStyle w:val="Table Text"/>
              <w:spacing w:after="40" w:line="240" w:lineRule="auto"/>
              <w:jc w:val="center"/>
            </w:pPr>
            <w:r>
              <w:rPr>
                <w:rFonts w:ascii="Times New Roman" w:hAnsi="Times New Roman"/>
                <w:rtl w:val="0"/>
                <w:lang w:val="en-US"/>
              </w:rPr>
              <w:t xml:space="preserve">2.13713 </w:t>
            </w:r>
            <w:r>
              <w:rPr>
                <w:rFonts w:ascii="Times New Roman" w:hAnsi="Times New Roman" w:hint="default"/>
                <w:rtl w:val="0"/>
                <w:lang w:val="en-US"/>
              </w:rPr>
              <w:t xml:space="preserve">× </w:t>
            </w:r>
            <w:r>
              <w:rPr>
                <w:rFonts w:ascii="Times New Roman" w:hAnsi="Times New Roman"/>
                <w:rtl w:val="0"/>
                <w:lang w:val="en-US"/>
              </w:rPr>
              <w:t>10</w:t>
            </w:r>
            <w:r>
              <w:rPr>
                <w:rFonts w:ascii="Times New Roman" w:hAnsi="Times New Roman"/>
                <w:vertAlign w:val="superscript"/>
                <w:rtl w:val="0"/>
                <w:lang w:val="en-US"/>
              </w:rPr>
              <w:t>-2</w:t>
            </w:r>
          </w:p>
        </w:tc>
        <w:tc>
          <w:tcPr>
            <w:tcW w:type="dxa" w:w="2857"/>
            <w:tcBorders>
              <w:top w:val="single" w:color="999999" w:sz="4" w:space="0" w:shadow="0" w:frame="0"/>
              <w:left w:val="nil"/>
              <w:bottom w:val="single" w:color="999999" w:sz="4" w:space="0" w:shadow="0" w:frame="0"/>
              <w:right w:val="nil"/>
            </w:tcBorders>
            <w:shd w:val="clear" w:color="auto" w:fill="auto"/>
            <w:tcMar>
              <w:top w:type="dxa" w:w="80"/>
              <w:left w:type="dxa" w:w="80"/>
              <w:bottom w:type="dxa" w:w="80"/>
              <w:right w:type="dxa" w:w="80"/>
            </w:tcMar>
            <w:vAlign w:val="top"/>
          </w:tcPr>
          <w:p>
            <w:pPr>
              <w:pStyle w:val="Table Text"/>
              <w:spacing w:after="40" w:line="240" w:lineRule="auto"/>
              <w:jc w:val="center"/>
            </w:pPr>
            <w:r>
              <w:rPr>
                <w:rFonts w:ascii="Times New Roman" w:hAnsi="Times New Roman"/>
                <w:rtl w:val="0"/>
                <w:lang w:val="en-US"/>
              </w:rPr>
              <w:t xml:space="preserve">1.54863 </w:t>
            </w:r>
            <w:r>
              <w:rPr>
                <w:rFonts w:ascii="Times New Roman" w:hAnsi="Times New Roman" w:hint="default"/>
                <w:rtl w:val="0"/>
                <w:lang w:val="en-US"/>
              </w:rPr>
              <w:t xml:space="preserve">× </w:t>
            </w:r>
            <w:r>
              <w:rPr>
                <w:rFonts w:ascii="Times New Roman" w:hAnsi="Times New Roman"/>
                <w:rtl w:val="0"/>
                <w:lang w:val="en-US"/>
              </w:rPr>
              <w:t>10</w:t>
            </w:r>
            <w:r>
              <w:rPr>
                <w:rFonts w:ascii="Times New Roman" w:hAnsi="Times New Roman"/>
                <w:vertAlign w:val="superscript"/>
                <w:rtl w:val="0"/>
                <w:lang w:val="en-US"/>
              </w:rPr>
              <w:t>-2</w:t>
            </w:r>
          </w:p>
        </w:tc>
        <w:tc>
          <w:tcPr>
            <w:tcW w:type="dxa" w:w="2857"/>
            <w:tcBorders>
              <w:top w:val="single" w:color="999999" w:sz="4" w:space="0" w:shadow="0" w:frame="0"/>
              <w:left w:val="nil"/>
              <w:bottom w:val="single" w:color="999999" w:sz="4" w:space="0" w:shadow="0" w:frame="0"/>
              <w:right w:val="nil"/>
            </w:tcBorders>
            <w:shd w:val="clear" w:color="auto" w:fill="auto"/>
            <w:tcMar>
              <w:top w:type="dxa" w:w="80"/>
              <w:left w:type="dxa" w:w="80"/>
              <w:bottom w:type="dxa" w:w="80"/>
              <w:right w:type="dxa" w:w="80"/>
            </w:tcMar>
            <w:vAlign w:val="top"/>
          </w:tcPr>
          <w:p>
            <w:pPr>
              <w:pStyle w:val="Table Text"/>
              <w:spacing w:after="40" w:line="240" w:lineRule="auto"/>
              <w:jc w:val="center"/>
            </w:pPr>
            <w:r>
              <w:rPr>
                <w:rFonts w:ascii="Times New Roman" w:hAnsi="Times New Roman"/>
                <w:rtl w:val="0"/>
                <w:lang w:val="en-US"/>
              </w:rPr>
              <w:t xml:space="preserve">4.80821 </w:t>
            </w:r>
            <w:r>
              <w:rPr>
                <w:rFonts w:ascii="Times New Roman" w:hAnsi="Times New Roman" w:hint="default"/>
                <w:rtl w:val="0"/>
                <w:lang w:val="en-US"/>
              </w:rPr>
              <w:t xml:space="preserve">× </w:t>
            </w:r>
            <w:r>
              <w:rPr>
                <w:rFonts w:ascii="Times New Roman" w:hAnsi="Times New Roman"/>
                <w:rtl w:val="0"/>
                <w:lang w:val="en-US"/>
              </w:rPr>
              <w:t>10</w:t>
            </w:r>
            <w:r>
              <w:rPr>
                <w:rFonts w:ascii="Times New Roman" w:hAnsi="Times New Roman"/>
                <w:vertAlign w:val="superscript"/>
                <w:rtl w:val="0"/>
                <w:lang w:val="en-US"/>
              </w:rPr>
              <w:t>-2</w:t>
            </w:r>
          </w:p>
        </w:tc>
      </w:tr>
      <w:tr>
        <w:tblPrEx>
          <w:shd w:val="clear" w:color="auto" w:fill="ced7e7"/>
        </w:tblPrEx>
        <w:trPr>
          <w:trHeight w:val="202" w:hRule="atLeast"/>
        </w:trPr>
        <w:tc>
          <w:tcPr>
            <w:tcW w:type="dxa" w:w="952"/>
            <w:tcBorders>
              <w:top w:val="single" w:color="999999" w:sz="4" w:space="0" w:shadow="0" w:frame="0"/>
              <w:left w:val="nil"/>
              <w:bottom w:val="single" w:color="999999" w:sz="4" w:space="0" w:shadow="0" w:frame="0"/>
              <w:right w:val="nil"/>
            </w:tcBorders>
            <w:shd w:val="clear" w:color="auto" w:fill="auto"/>
            <w:tcMar>
              <w:top w:type="dxa" w:w="80"/>
              <w:left w:type="dxa" w:w="80"/>
              <w:bottom w:type="dxa" w:w="80"/>
              <w:right w:type="dxa" w:w="80"/>
            </w:tcMar>
            <w:vAlign w:val="top"/>
          </w:tcPr>
          <w:p>
            <w:pPr>
              <w:pStyle w:val="Table Text"/>
              <w:spacing w:after="40" w:line="240" w:lineRule="auto"/>
              <w:jc w:val="center"/>
            </w:pPr>
            <w:r>
              <w:rPr>
                <w:rFonts w:ascii="Times New Roman" w:hAnsi="Times New Roman"/>
                <w:rtl w:val="0"/>
                <w:lang w:val="en-US"/>
              </w:rPr>
              <w:t>63</w:t>
            </w:r>
          </w:p>
        </w:tc>
        <w:tc>
          <w:tcPr>
            <w:tcW w:type="dxa" w:w="2857"/>
            <w:tcBorders>
              <w:top w:val="single" w:color="999999" w:sz="4" w:space="0" w:shadow="0" w:frame="0"/>
              <w:left w:val="nil"/>
              <w:bottom w:val="single" w:color="999999" w:sz="4" w:space="0" w:shadow="0" w:frame="0"/>
              <w:right w:val="nil"/>
            </w:tcBorders>
            <w:shd w:val="clear" w:color="auto" w:fill="auto"/>
            <w:tcMar>
              <w:top w:type="dxa" w:w="80"/>
              <w:left w:type="dxa" w:w="80"/>
              <w:bottom w:type="dxa" w:w="80"/>
              <w:right w:type="dxa" w:w="80"/>
            </w:tcMar>
            <w:vAlign w:val="top"/>
          </w:tcPr>
          <w:p>
            <w:pPr>
              <w:pStyle w:val="Table Text"/>
              <w:spacing w:after="40" w:line="240" w:lineRule="auto"/>
              <w:jc w:val="center"/>
            </w:pPr>
            <w:r>
              <w:rPr>
                <w:rFonts w:ascii="Times New Roman" w:hAnsi="Times New Roman"/>
                <w:rtl w:val="0"/>
                <w:lang w:val="en-US"/>
              </w:rPr>
              <w:t xml:space="preserve">4.98650 </w:t>
            </w:r>
            <w:r>
              <w:rPr>
                <w:rFonts w:ascii="Times New Roman" w:hAnsi="Times New Roman" w:hint="default"/>
                <w:rtl w:val="0"/>
                <w:lang w:val="en-US"/>
              </w:rPr>
              <w:t xml:space="preserve">× </w:t>
            </w:r>
            <w:r>
              <w:rPr>
                <w:rFonts w:ascii="Times New Roman" w:hAnsi="Times New Roman"/>
                <w:rtl w:val="0"/>
                <w:lang w:val="en-US"/>
              </w:rPr>
              <w:t>10</w:t>
            </w:r>
            <w:r>
              <w:rPr>
                <w:rFonts w:ascii="Times New Roman" w:hAnsi="Times New Roman"/>
                <w:vertAlign w:val="superscript"/>
                <w:rtl w:val="0"/>
                <w:lang w:val="en-US"/>
              </w:rPr>
              <w:t>-3</w:t>
            </w:r>
          </w:p>
        </w:tc>
        <w:tc>
          <w:tcPr>
            <w:tcW w:type="dxa" w:w="2857"/>
            <w:tcBorders>
              <w:top w:val="single" w:color="999999" w:sz="4" w:space="0" w:shadow="0" w:frame="0"/>
              <w:left w:val="nil"/>
              <w:bottom w:val="single" w:color="999999" w:sz="4" w:space="0" w:shadow="0" w:frame="0"/>
              <w:right w:val="nil"/>
            </w:tcBorders>
            <w:shd w:val="clear" w:color="auto" w:fill="auto"/>
            <w:tcMar>
              <w:top w:type="dxa" w:w="80"/>
              <w:left w:type="dxa" w:w="80"/>
              <w:bottom w:type="dxa" w:w="80"/>
              <w:right w:type="dxa" w:w="80"/>
            </w:tcMar>
            <w:vAlign w:val="top"/>
          </w:tcPr>
          <w:p>
            <w:pPr>
              <w:pStyle w:val="Table Text"/>
              <w:spacing w:after="40" w:line="240" w:lineRule="auto"/>
              <w:jc w:val="center"/>
            </w:pPr>
            <w:r>
              <w:rPr>
                <w:rFonts w:ascii="Times New Roman" w:hAnsi="Times New Roman"/>
                <w:rtl w:val="0"/>
                <w:lang w:val="en-US"/>
              </w:rPr>
              <w:t xml:space="preserve">3.62274 </w:t>
            </w:r>
            <w:r>
              <w:rPr>
                <w:rFonts w:ascii="Times New Roman" w:hAnsi="Times New Roman" w:hint="default"/>
                <w:rtl w:val="0"/>
                <w:lang w:val="en-US"/>
              </w:rPr>
              <w:t xml:space="preserve">× </w:t>
            </w:r>
            <w:r>
              <w:rPr>
                <w:rFonts w:ascii="Times New Roman" w:hAnsi="Times New Roman"/>
                <w:rtl w:val="0"/>
                <w:lang w:val="en-US"/>
              </w:rPr>
              <w:t>10</w:t>
            </w:r>
            <w:r>
              <w:rPr>
                <w:rFonts w:ascii="Times New Roman" w:hAnsi="Times New Roman"/>
                <w:vertAlign w:val="superscript"/>
                <w:rtl w:val="0"/>
                <w:lang w:val="en-US"/>
              </w:rPr>
              <w:t>-3</w:t>
            </w:r>
          </w:p>
        </w:tc>
        <w:tc>
          <w:tcPr>
            <w:tcW w:type="dxa" w:w="2857"/>
            <w:tcBorders>
              <w:top w:val="single" w:color="999999" w:sz="4" w:space="0" w:shadow="0" w:frame="0"/>
              <w:left w:val="nil"/>
              <w:bottom w:val="single" w:color="999999" w:sz="4" w:space="0" w:shadow="0" w:frame="0"/>
              <w:right w:val="nil"/>
            </w:tcBorders>
            <w:shd w:val="clear" w:color="auto" w:fill="auto"/>
            <w:tcMar>
              <w:top w:type="dxa" w:w="80"/>
              <w:left w:type="dxa" w:w="80"/>
              <w:bottom w:type="dxa" w:w="80"/>
              <w:right w:type="dxa" w:w="80"/>
            </w:tcMar>
            <w:vAlign w:val="top"/>
          </w:tcPr>
          <w:p>
            <w:pPr>
              <w:pStyle w:val="Table Text"/>
              <w:spacing w:after="40" w:line="240" w:lineRule="auto"/>
              <w:jc w:val="center"/>
            </w:pPr>
            <w:r>
              <w:rPr>
                <w:rFonts w:ascii="Times New Roman" w:hAnsi="Times New Roman"/>
                <w:rtl w:val="0"/>
                <w:lang w:val="en-US"/>
              </w:rPr>
              <w:t xml:space="preserve">2.29583 </w:t>
            </w:r>
            <w:r>
              <w:rPr>
                <w:rFonts w:ascii="Times New Roman" w:hAnsi="Times New Roman" w:hint="default"/>
                <w:rtl w:val="0"/>
                <w:lang w:val="en-US"/>
              </w:rPr>
              <w:t xml:space="preserve">× </w:t>
            </w:r>
            <w:r>
              <w:rPr>
                <w:rFonts w:ascii="Times New Roman" w:hAnsi="Times New Roman"/>
                <w:rtl w:val="0"/>
                <w:lang w:val="en-US"/>
              </w:rPr>
              <w:t>10</w:t>
            </w:r>
            <w:r>
              <w:rPr>
                <w:rFonts w:ascii="Times New Roman" w:hAnsi="Times New Roman"/>
                <w:vertAlign w:val="superscript"/>
                <w:rtl w:val="0"/>
                <w:lang w:val="en-US"/>
              </w:rPr>
              <w:t>-2</w:t>
            </w:r>
          </w:p>
        </w:tc>
      </w:tr>
      <w:tr>
        <w:tblPrEx>
          <w:shd w:val="clear" w:color="auto" w:fill="ced7e7"/>
        </w:tblPrEx>
        <w:trPr>
          <w:trHeight w:val="202" w:hRule="atLeast"/>
        </w:trPr>
        <w:tc>
          <w:tcPr>
            <w:tcW w:type="dxa" w:w="952"/>
            <w:tcBorders>
              <w:top w:val="single" w:color="999999" w:sz="4" w:space="0" w:shadow="0" w:frame="0"/>
              <w:left w:val="nil"/>
              <w:bottom w:val="single" w:color="999999" w:sz="4" w:space="0" w:shadow="0" w:frame="0"/>
              <w:right w:val="nil"/>
            </w:tcBorders>
            <w:shd w:val="clear" w:color="auto" w:fill="auto"/>
            <w:tcMar>
              <w:top w:type="dxa" w:w="80"/>
              <w:left w:type="dxa" w:w="80"/>
              <w:bottom w:type="dxa" w:w="80"/>
              <w:right w:type="dxa" w:w="80"/>
            </w:tcMar>
            <w:vAlign w:val="top"/>
          </w:tcPr>
          <w:p>
            <w:pPr>
              <w:pStyle w:val="Table Text"/>
              <w:spacing w:after="40" w:line="240" w:lineRule="auto"/>
              <w:jc w:val="center"/>
            </w:pPr>
            <w:r>
              <w:rPr>
                <w:rFonts w:ascii="Times New Roman" w:hAnsi="Times New Roman"/>
                <w:rtl w:val="0"/>
                <w:lang w:val="en-US"/>
              </w:rPr>
              <w:t>127</w:t>
            </w:r>
          </w:p>
        </w:tc>
        <w:tc>
          <w:tcPr>
            <w:tcW w:type="dxa" w:w="2857"/>
            <w:tcBorders>
              <w:top w:val="single" w:color="999999" w:sz="4" w:space="0" w:shadow="0" w:frame="0"/>
              <w:left w:val="nil"/>
              <w:bottom w:val="single" w:color="999999" w:sz="4" w:space="0" w:shadow="0" w:frame="0"/>
              <w:right w:val="nil"/>
            </w:tcBorders>
            <w:shd w:val="clear" w:color="auto" w:fill="auto"/>
            <w:tcMar>
              <w:top w:type="dxa" w:w="80"/>
              <w:left w:type="dxa" w:w="80"/>
              <w:bottom w:type="dxa" w:w="80"/>
              <w:right w:type="dxa" w:w="80"/>
            </w:tcMar>
            <w:vAlign w:val="top"/>
          </w:tcPr>
          <w:p>
            <w:pPr>
              <w:pStyle w:val="Table Text"/>
              <w:spacing w:after="40" w:line="240" w:lineRule="auto"/>
              <w:jc w:val="center"/>
            </w:pPr>
            <w:r>
              <w:rPr>
                <w:rFonts w:ascii="Times New Roman" w:hAnsi="Times New Roman"/>
                <w:rtl w:val="0"/>
                <w:lang w:val="en-US"/>
              </w:rPr>
              <w:t xml:space="preserve">3.69388 </w:t>
            </w:r>
            <w:r>
              <w:rPr>
                <w:rFonts w:ascii="Times New Roman" w:hAnsi="Times New Roman" w:hint="default"/>
                <w:rtl w:val="0"/>
                <w:lang w:val="en-US"/>
              </w:rPr>
              <w:t xml:space="preserve">× </w:t>
            </w:r>
            <w:r>
              <w:rPr>
                <w:rFonts w:ascii="Times New Roman" w:hAnsi="Times New Roman"/>
                <w:rtl w:val="0"/>
                <w:lang w:val="en-US"/>
              </w:rPr>
              <w:t>10</w:t>
            </w:r>
            <w:r>
              <w:rPr>
                <w:rFonts w:ascii="Times New Roman" w:hAnsi="Times New Roman"/>
                <w:vertAlign w:val="superscript"/>
                <w:rtl w:val="0"/>
                <w:lang w:val="en-US"/>
              </w:rPr>
              <w:t>-4</w:t>
            </w:r>
          </w:p>
        </w:tc>
        <w:tc>
          <w:tcPr>
            <w:tcW w:type="dxa" w:w="2857"/>
            <w:tcBorders>
              <w:top w:val="single" w:color="999999" w:sz="4" w:space="0" w:shadow="0" w:frame="0"/>
              <w:left w:val="nil"/>
              <w:bottom w:val="single" w:color="999999" w:sz="4" w:space="0" w:shadow="0" w:frame="0"/>
              <w:right w:val="nil"/>
            </w:tcBorders>
            <w:shd w:val="clear" w:color="auto" w:fill="auto"/>
            <w:tcMar>
              <w:top w:type="dxa" w:w="80"/>
              <w:left w:type="dxa" w:w="80"/>
              <w:bottom w:type="dxa" w:w="80"/>
              <w:right w:type="dxa" w:w="80"/>
            </w:tcMar>
            <w:vAlign w:val="top"/>
          </w:tcPr>
          <w:p>
            <w:pPr>
              <w:pStyle w:val="Table Text"/>
              <w:spacing w:after="40" w:line="240" w:lineRule="auto"/>
              <w:jc w:val="center"/>
            </w:pPr>
            <w:r>
              <w:rPr>
                <w:rFonts w:ascii="Times New Roman" w:hAnsi="Times New Roman"/>
                <w:rtl w:val="0"/>
                <w:lang w:val="en-US"/>
              </w:rPr>
              <w:t xml:space="preserve">8.82617 </w:t>
            </w:r>
            <w:r>
              <w:rPr>
                <w:rFonts w:ascii="Times New Roman" w:hAnsi="Times New Roman" w:hint="default"/>
                <w:rtl w:val="0"/>
                <w:lang w:val="en-US"/>
              </w:rPr>
              <w:t xml:space="preserve">× </w:t>
            </w:r>
            <w:r>
              <w:rPr>
                <w:rFonts w:ascii="Times New Roman" w:hAnsi="Times New Roman"/>
                <w:rtl w:val="0"/>
                <w:lang w:val="en-US"/>
              </w:rPr>
              <w:t>10</w:t>
            </w:r>
            <w:r>
              <w:rPr>
                <w:rFonts w:ascii="Times New Roman" w:hAnsi="Times New Roman"/>
                <w:vertAlign w:val="superscript"/>
                <w:rtl w:val="0"/>
                <w:lang w:val="en-US"/>
              </w:rPr>
              <w:t>-4</w:t>
            </w:r>
          </w:p>
        </w:tc>
        <w:tc>
          <w:tcPr>
            <w:tcW w:type="dxa" w:w="2857"/>
            <w:tcBorders>
              <w:top w:val="single" w:color="999999" w:sz="4" w:space="0" w:shadow="0" w:frame="0"/>
              <w:left w:val="nil"/>
              <w:bottom w:val="single" w:color="999999" w:sz="4" w:space="0" w:shadow="0" w:frame="0"/>
              <w:right w:val="nil"/>
            </w:tcBorders>
            <w:shd w:val="clear" w:color="auto" w:fill="auto"/>
            <w:tcMar>
              <w:top w:type="dxa" w:w="80"/>
              <w:left w:type="dxa" w:w="80"/>
              <w:bottom w:type="dxa" w:w="80"/>
              <w:right w:type="dxa" w:w="80"/>
            </w:tcMar>
            <w:vAlign w:val="top"/>
          </w:tcPr>
          <w:p>
            <w:pPr>
              <w:pStyle w:val="Table Text"/>
              <w:spacing w:after="40" w:line="240" w:lineRule="auto"/>
              <w:jc w:val="center"/>
            </w:pPr>
            <w:r>
              <w:rPr>
                <w:rFonts w:ascii="Times New Roman" w:hAnsi="Times New Roman"/>
                <w:rtl w:val="0"/>
                <w:lang w:val="en-US"/>
              </w:rPr>
              <w:t xml:space="preserve">1.13206 </w:t>
            </w:r>
            <w:r>
              <w:rPr>
                <w:rFonts w:ascii="Times New Roman" w:hAnsi="Times New Roman" w:hint="default"/>
                <w:rtl w:val="0"/>
                <w:lang w:val="en-US"/>
              </w:rPr>
              <w:t xml:space="preserve">× </w:t>
            </w:r>
            <w:r>
              <w:rPr>
                <w:rFonts w:ascii="Times New Roman" w:hAnsi="Times New Roman"/>
                <w:rtl w:val="0"/>
                <w:lang w:val="en-US"/>
              </w:rPr>
              <w:t>10</w:t>
            </w:r>
            <w:r>
              <w:rPr>
                <w:rFonts w:ascii="Times New Roman" w:hAnsi="Times New Roman"/>
                <w:vertAlign w:val="superscript"/>
                <w:rtl w:val="0"/>
                <w:lang w:val="en-US"/>
              </w:rPr>
              <w:t>-2</w:t>
            </w:r>
          </w:p>
        </w:tc>
      </w:tr>
      <w:tr>
        <w:tblPrEx>
          <w:shd w:val="clear" w:color="auto" w:fill="ced7e7"/>
        </w:tblPrEx>
        <w:trPr>
          <w:trHeight w:val="202" w:hRule="atLeast"/>
        </w:trPr>
        <w:tc>
          <w:tcPr>
            <w:tcW w:type="dxa" w:w="952"/>
            <w:tcBorders>
              <w:top w:val="single" w:color="999999" w:sz="4" w:space="0" w:shadow="0" w:frame="0"/>
              <w:left w:val="nil"/>
              <w:bottom w:val="single" w:color="999999" w:sz="4" w:space="0" w:shadow="0" w:frame="0"/>
              <w:right w:val="nil"/>
            </w:tcBorders>
            <w:shd w:val="clear" w:color="auto" w:fill="auto"/>
            <w:tcMar>
              <w:top w:type="dxa" w:w="80"/>
              <w:left w:type="dxa" w:w="80"/>
              <w:bottom w:type="dxa" w:w="80"/>
              <w:right w:type="dxa" w:w="80"/>
            </w:tcMar>
            <w:vAlign w:val="top"/>
          </w:tcPr>
          <w:p>
            <w:pPr>
              <w:pStyle w:val="Table Text"/>
              <w:spacing w:after="40" w:line="240" w:lineRule="auto"/>
              <w:jc w:val="center"/>
            </w:pPr>
            <w:r>
              <w:rPr>
                <w:rFonts w:ascii="Times New Roman" w:hAnsi="Times New Roman"/>
                <w:rtl w:val="0"/>
                <w:lang w:val="en-US"/>
              </w:rPr>
              <w:t>255</w:t>
            </w:r>
          </w:p>
        </w:tc>
        <w:tc>
          <w:tcPr>
            <w:tcW w:type="dxa" w:w="2857"/>
            <w:tcBorders>
              <w:top w:val="single" w:color="999999" w:sz="4" w:space="0" w:shadow="0" w:frame="0"/>
              <w:left w:val="nil"/>
              <w:bottom w:val="single" w:color="999999" w:sz="4" w:space="0" w:shadow="0" w:frame="0"/>
              <w:right w:val="nil"/>
            </w:tcBorders>
            <w:shd w:val="clear" w:color="auto" w:fill="auto"/>
            <w:tcMar>
              <w:top w:type="dxa" w:w="80"/>
              <w:left w:type="dxa" w:w="80"/>
              <w:bottom w:type="dxa" w:w="80"/>
              <w:right w:type="dxa" w:w="80"/>
            </w:tcMar>
            <w:vAlign w:val="top"/>
          </w:tcPr>
          <w:p>
            <w:pPr>
              <w:pStyle w:val="Table Text"/>
              <w:spacing w:after="40" w:line="240" w:lineRule="auto"/>
              <w:jc w:val="center"/>
            </w:pPr>
            <w:r>
              <w:rPr>
                <w:rFonts w:ascii="Times New Roman" w:hAnsi="Times New Roman"/>
                <w:rtl w:val="0"/>
                <w:lang w:val="en-US"/>
              </w:rPr>
              <w:t xml:space="preserve">2.19631 </w:t>
            </w:r>
            <w:r>
              <w:rPr>
                <w:rFonts w:ascii="Times New Roman" w:hAnsi="Times New Roman" w:hint="default"/>
                <w:rtl w:val="0"/>
                <w:lang w:val="en-US"/>
              </w:rPr>
              <w:t xml:space="preserve">× </w:t>
            </w:r>
            <w:r>
              <w:rPr>
                <w:rFonts w:ascii="Times New Roman" w:hAnsi="Times New Roman"/>
                <w:rtl w:val="0"/>
                <w:lang w:val="en-US"/>
              </w:rPr>
              <w:t>10</w:t>
            </w:r>
            <w:r>
              <w:rPr>
                <w:rFonts w:ascii="Times New Roman" w:hAnsi="Times New Roman"/>
                <w:vertAlign w:val="superscript"/>
                <w:rtl w:val="0"/>
                <w:lang w:val="en-US"/>
              </w:rPr>
              <w:t>-6</w:t>
            </w:r>
          </w:p>
        </w:tc>
        <w:tc>
          <w:tcPr>
            <w:tcW w:type="dxa" w:w="2857"/>
            <w:tcBorders>
              <w:top w:val="single" w:color="999999" w:sz="4" w:space="0" w:shadow="0" w:frame="0"/>
              <w:left w:val="nil"/>
              <w:bottom w:val="single" w:color="999999" w:sz="4" w:space="0" w:shadow="0" w:frame="0"/>
              <w:right w:val="nil"/>
            </w:tcBorders>
            <w:shd w:val="clear" w:color="auto" w:fill="auto"/>
            <w:tcMar>
              <w:top w:type="dxa" w:w="80"/>
              <w:left w:type="dxa" w:w="80"/>
              <w:bottom w:type="dxa" w:w="80"/>
              <w:right w:type="dxa" w:w="80"/>
            </w:tcMar>
            <w:vAlign w:val="top"/>
          </w:tcPr>
          <w:p>
            <w:pPr>
              <w:pStyle w:val="Table Text"/>
              <w:spacing w:after="40" w:line="240" w:lineRule="auto"/>
              <w:jc w:val="center"/>
            </w:pPr>
            <w:r>
              <w:rPr>
                <w:rFonts w:ascii="Times New Roman" w:hAnsi="Times New Roman"/>
                <w:rtl w:val="0"/>
                <w:lang w:val="en-US"/>
              </w:rPr>
              <w:t xml:space="preserve">2.18370 </w:t>
            </w:r>
            <w:r>
              <w:rPr>
                <w:rFonts w:ascii="Times New Roman" w:hAnsi="Times New Roman" w:hint="default"/>
                <w:rtl w:val="0"/>
                <w:lang w:val="en-US"/>
              </w:rPr>
              <w:t xml:space="preserve">× </w:t>
            </w:r>
            <w:r>
              <w:rPr>
                <w:rFonts w:ascii="Times New Roman" w:hAnsi="Times New Roman"/>
                <w:rtl w:val="0"/>
                <w:lang w:val="en-US"/>
              </w:rPr>
              <w:t>10</w:t>
            </w:r>
            <w:r>
              <w:rPr>
                <w:rFonts w:ascii="Times New Roman" w:hAnsi="Times New Roman"/>
                <w:vertAlign w:val="superscript"/>
                <w:rtl w:val="0"/>
                <w:lang w:val="en-US"/>
              </w:rPr>
              <w:t>-4</w:t>
            </w:r>
          </w:p>
        </w:tc>
        <w:tc>
          <w:tcPr>
            <w:tcW w:type="dxa" w:w="2857"/>
            <w:tcBorders>
              <w:top w:val="single" w:color="999999" w:sz="4" w:space="0" w:shadow="0" w:frame="0"/>
              <w:left w:val="nil"/>
              <w:bottom w:val="single" w:color="999999" w:sz="4" w:space="0" w:shadow="0" w:frame="0"/>
              <w:right w:val="nil"/>
            </w:tcBorders>
            <w:shd w:val="clear" w:color="auto" w:fill="auto"/>
            <w:tcMar>
              <w:top w:type="dxa" w:w="80"/>
              <w:left w:type="dxa" w:w="80"/>
              <w:bottom w:type="dxa" w:w="80"/>
              <w:right w:type="dxa" w:w="80"/>
            </w:tcMar>
            <w:vAlign w:val="top"/>
          </w:tcPr>
          <w:p>
            <w:pPr>
              <w:pStyle w:val="Table Text"/>
              <w:spacing w:after="40" w:line="240" w:lineRule="auto"/>
              <w:jc w:val="center"/>
            </w:pPr>
            <w:r>
              <w:rPr>
                <w:rFonts w:ascii="Times New Roman" w:hAnsi="Times New Roman"/>
                <w:rtl w:val="0"/>
                <w:lang w:val="en-US"/>
              </w:rPr>
              <w:t xml:space="preserve">5.63044 </w:t>
            </w:r>
            <w:r>
              <w:rPr>
                <w:rFonts w:ascii="Times New Roman" w:hAnsi="Times New Roman" w:hint="default"/>
                <w:rtl w:val="0"/>
                <w:lang w:val="en-US"/>
              </w:rPr>
              <w:t xml:space="preserve">× </w:t>
            </w:r>
            <w:r>
              <w:rPr>
                <w:rFonts w:ascii="Times New Roman" w:hAnsi="Times New Roman"/>
                <w:rtl w:val="0"/>
                <w:lang w:val="en-US"/>
              </w:rPr>
              <w:t>10</w:t>
            </w:r>
            <w:r>
              <w:rPr>
                <w:rFonts w:ascii="Times New Roman" w:hAnsi="Times New Roman"/>
                <w:vertAlign w:val="superscript"/>
                <w:rtl w:val="0"/>
                <w:lang w:val="en-US"/>
              </w:rPr>
              <w:t>-3</w:t>
            </w:r>
          </w:p>
        </w:tc>
      </w:tr>
      <w:tr>
        <w:tblPrEx>
          <w:shd w:val="clear" w:color="auto" w:fill="ced7e7"/>
        </w:tblPrEx>
        <w:trPr>
          <w:trHeight w:val="202" w:hRule="atLeast"/>
        </w:trPr>
        <w:tc>
          <w:tcPr>
            <w:tcW w:type="dxa" w:w="952"/>
            <w:tcBorders>
              <w:top w:val="single" w:color="999999" w:sz="4" w:space="0" w:shadow="0" w:frame="0"/>
              <w:left w:val="nil"/>
              <w:bottom w:val="single" w:color="999999" w:sz="4" w:space="0" w:shadow="0" w:frame="0"/>
              <w:right w:val="nil"/>
            </w:tcBorders>
            <w:shd w:val="clear" w:color="auto" w:fill="auto"/>
            <w:tcMar>
              <w:top w:type="dxa" w:w="80"/>
              <w:left w:type="dxa" w:w="80"/>
              <w:bottom w:type="dxa" w:w="80"/>
              <w:right w:type="dxa" w:w="80"/>
            </w:tcMar>
            <w:vAlign w:val="top"/>
          </w:tcPr>
          <w:p>
            <w:pPr>
              <w:pStyle w:val="Table Text"/>
              <w:keepNext w:val="1"/>
              <w:spacing w:after="40" w:line="240" w:lineRule="auto"/>
              <w:jc w:val="center"/>
            </w:pPr>
            <w:r>
              <w:rPr>
                <w:rFonts w:ascii="Times New Roman" w:hAnsi="Times New Roman"/>
                <w:rtl w:val="0"/>
                <w:lang w:val="en-US"/>
              </w:rPr>
              <w:t>511</w:t>
            </w:r>
          </w:p>
        </w:tc>
        <w:tc>
          <w:tcPr>
            <w:tcW w:type="dxa" w:w="2857"/>
            <w:tcBorders>
              <w:top w:val="single" w:color="999999" w:sz="4" w:space="0" w:shadow="0" w:frame="0"/>
              <w:left w:val="nil"/>
              <w:bottom w:val="single" w:color="999999" w:sz="4" w:space="0" w:shadow="0" w:frame="0"/>
              <w:right w:val="nil"/>
            </w:tcBorders>
            <w:shd w:val="clear" w:color="auto" w:fill="auto"/>
            <w:tcMar>
              <w:top w:type="dxa" w:w="80"/>
              <w:left w:type="dxa" w:w="80"/>
              <w:bottom w:type="dxa" w:w="80"/>
              <w:right w:type="dxa" w:w="80"/>
            </w:tcMar>
            <w:vAlign w:val="top"/>
          </w:tcPr>
          <w:p>
            <w:pPr>
              <w:pStyle w:val="Table Text"/>
              <w:keepNext w:val="1"/>
              <w:spacing w:after="40" w:line="240" w:lineRule="auto"/>
              <w:jc w:val="center"/>
            </w:pPr>
            <w:r>
              <w:rPr>
                <w:rFonts w:ascii="Times New Roman" w:hAnsi="Times New Roman"/>
                <w:rtl w:val="0"/>
                <w:lang w:val="en-US"/>
              </w:rPr>
              <w:t xml:space="preserve">1.18654 </w:t>
            </w:r>
            <w:r>
              <w:rPr>
                <w:rFonts w:ascii="Times New Roman" w:hAnsi="Times New Roman" w:hint="default"/>
                <w:rtl w:val="0"/>
                <w:lang w:val="en-US"/>
              </w:rPr>
              <w:t xml:space="preserve">× </w:t>
            </w:r>
            <w:r>
              <w:rPr>
                <w:rFonts w:ascii="Times New Roman" w:hAnsi="Times New Roman"/>
                <w:rtl w:val="0"/>
                <w:lang w:val="en-US"/>
              </w:rPr>
              <w:t>10</w:t>
            </w:r>
            <w:r>
              <w:rPr>
                <w:rFonts w:ascii="Times New Roman" w:hAnsi="Times New Roman"/>
                <w:vertAlign w:val="superscript"/>
                <w:rtl w:val="0"/>
                <w:lang w:val="en-US"/>
              </w:rPr>
              <w:t>-10</w:t>
            </w:r>
          </w:p>
        </w:tc>
        <w:tc>
          <w:tcPr>
            <w:tcW w:type="dxa" w:w="2857"/>
            <w:tcBorders>
              <w:top w:val="single" w:color="999999" w:sz="4" w:space="0" w:shadow="0" w:frame="0"/>
              <w:left w:val="nil"/>
              <w:bottom w:val="single" w:color="999999" w:sz="4" w:space="0" w:shadow="0" w:frame="0"/>
              <w:right w:val="nil"/>
            </w:tcBorders>
            <w:shd w:val="clear" w:color="auto" w:fill="auto"/>
            <w:tcMar>
              <w:top w:type="dxa" w:w="80"/>
              <w:left w:type="dxa" w:w="80"/>
              <w:bottom w:type="dxa" w:w="80"/>
              <w:right w:type="dxa" w:w="80"/>
            </w:tcMar>
            <w:vAlign w:val="top"/>
          </w:tcPr>
          <w:p>
            <w:pPr>
              <w:pStyle w:val="Table Text"/>
              <w:keepNext w:val="1"/>
              <w:spacing w:after="40" w:line="240" w:lineRule="auto"/>
              <w:jc w:val="center"/>
            </w:pPr>
            <w:r>
              <w:rPr>
                <w:rFonts w:ascii="Times New Roman" w:hAnsi="Times New Roman"/>
                <w:rtl w:val="0"/>
                <w:lang w:val="en-US"/>
              </w:rPr>
              <w:t xml:space="preserve">5.43442 </w:t>
            </w:r>
            <w:r>
              <w:rPr>
                <w:rFonts w:ascii="Times New Roman" w:hAnsi="Times New Roman" w:hint="default"/>
                <w:rtl w:val="0"/>
                <w:lang w:val="en-US"/>
              </w:rPr>
              <w:t xml:space="preserve">× </w:t>
            </w:r>
            <w:r>
              <w:rPr>
                <w:rFonts w:ascii="Times New Roman" w:hAnsi="Times New Roman"/>
                <w:rtl w:val="0"/>
                <w:lang w:val="en-US"/>
              </w:rPr>
              <w:t>10</w:t>
            </w:r>
            <w:r>
              <w:rPr>
                <w:rFonts w:ascii="Times New Roman" w:hAnsi="Times New Roman"/>
                <w:vertAlign w:val="superscript"/>
                <w:rtl w:val="0"/>
                <w:lang w:val="en-US"/>
              </w:rPr>
              <w:t>-5</w:t>
            </w:r>
          </w:p>
        </w:tc>
        <w:tc>
          <w:tcPr>
            <w:tcW w:type="dxa" w:w="2857"/>
            <w:tcBorders>
              <w:top w:val="single" w:color="999999" w:sz="4" w:space="0" w:shadow="0" w:frame="0"/>
              <w:left w:val="nil"/>
              <w:bottom w:val="single" w:color="999999" w:sz="4" w:space="0" w:shadow="0" w:frame="0"/>
              <w:right w:val="nil"/>
            </w:tcBorders>
            <w:shd w:val="clear" w:color="auto" w:fill="auto"/>
            <w:tcMar>
              <w:top w:type="dxa" w:w="80"/>
              <w:left w:type="dxa" w:w="80"/>
              <w:bottom w:type="dxa" w:w="80"/>
              <w:right w:type="dxa" w:w="80"/>
            </w:tcMar>
            <w:vAlign w:val="top"/>
          </w:tcPr>
          <w:p>
            <w:pPr>
              <w:pStyle w:val="Table Text"/>
              <w:keepNext w:val="1"/>
              <w:spacing w:after="40" w:line="240" w:lineRule="auto"/>
              <w:jc w:val="center"/>
            </w:pPr>
            <w:r>
              <w:rPr>
                <w:rFonts w:ascii="Times New Roman" w:hAnsi="Times New Roman"/>
                <w:rtl w:val="0"/>
                <w:lang w:val="en-US"/>
              </w:rPr>
              <w:t xml:space="preserve">2.80879 </w:t>
            </w:r>
            <w:r>
              <w:rPr>
                <w:rFonts w:ascii="Times New Roman" w:hAnsi="Times New Roman" w:hint="default"/>
                <w:rtl w:val="0"/>
                <w:lang w:val="en-US"/>
              </w:rPr>
              <w:t xml:space="preserve">× </w:t>
            </w:r>
            <w:r>
              <w:rPr>
                <w:rFonts w:ascii="Times New Roman" w:hAnsi="Times New Roman"/>
                <w:rtl w:val="0"/>
                <w:lang w:val="en-US"/>
              </w:rPr>
              <w:t>10</w:t>
            </w:r>
            <w:r>
              <w:rPr>
                <w:rFonts w:ascii="Times New Roman" w:hAnsi="Times New Roman"/>
                <w:vertAlign w:val="superscript"/>
                <w:rtl w:val="0"/>
                <w:lang w:val="en-US"/>
              </w:rPr>
              <w:t>-3</w:t>
            </w:r>
          </w:p>
        </w:tc>
      </w:tr>
    </w:tbl>
    <w:p>
      <w:pPr>
        <w:pStyle w:val="Normal.0"/>
        <w:widowControl w:val="0"/>
        <w:spacing w:after="80" w:line="240" w:lineRule="atLeast"/>
        <w:ind w:left="100" w:hanging="100"/>
        <w:jc w:val="center"/>
      </w:pPr>
    </w:p>
    <w:p>
      <w:pPr>
        <w:pStyle w:val="Table Citation"/>
        <w:keepLines w:val="1"/>
        <w:spacing w:before="60" w:after="120" w:line="240" w:lineRule="atLeast"/>
        <w:jc w:val="center"/>
      </w:pPr>
      <w:r>
        <w:rPr>
          <w:rFonts w:ascii="Times New Roman" w:hAnsi="Times New Roman"/>
          <w:sz w:val="22"/>
          <w:szCs w:val="22"/>
          <w:rtl w:val="0"/>
          <w:lang w:val="en-US"/>
        </w:rPr>
        <w:t>Table 1. Sampled tail magnitudes and response errors for the nearest-neighbour benchmark. The kernel column is physically normalised by 1/a; the two error columns compare fixed L</w:t>
      </w:r>
      <w:r>
        <w:rPr>
          <w:rFonts w:ascii="Times New Roman" w:hAnsi="Times New Roman"/>
          <w:sz w:val="22"/>
          <w:szCs w:val="22"/>
          <w:vertAlign w:val="superscript"/>
          <w:rtl w:val="0"/>
          <w:lang w:val="en-US"/>
        </w:rPr>
        <w:t>2</w:t>
      </w:r>
      <w:r>
        <w:rPr>
          <w:rFonts w:ascii="Times New Roman" w:hAnsi="Times New Roman"/>
          <w:sz w:val="22"/>
          <w:szCs w:val="22"/>
          <w:rtl w:val="0"/>
          <w:lang w:val="en-US"/>
        </w:rPr>
        <w:t xml:space="preserve"> data. These are different diagnostics, not competing estimates of one quantity.</w:t>
      </w:r>
    </w:p>
    <w:p>
      <w:pPr>
        <w:pStyle w:val="Normal.0"/>
        <w:spacing w:after="80" w:line="240" w:lineRule="atLeast"/>
      </w:pPr>
    </w:p>
    <w:p>
      <w:pPr>
        <w:pStyle w:val="Normal.0"/>
        <w:spacing w:after="80" w:line="240" w:lineRule="atLeast"/>
      </w:pPr>
      <w:r>
        <w:rPr>
          <w:sz w:val="22"/>
          <w:szCs w:val="22"/>
          <w:rtl w:val="0"/>
          <w:lang w:val="en-US"/>
        </w:rPr>
        <w:t>The three hopping families of Section 3 approach the same response, with differences visible in their finite-spacing errors. Local cell reconstruction has a leading discretisation error of order a in this example, while the smooth Fourier reconstruction has order a</w:t>
      </w:r>
      <w:r>
        <w:rPr>
          <w:sz w:val="22"/>
          <w:szCs w:val="22"/>
          <w:vertAlign w:val="superscript"/>
          <w:rtl w:val="0"/>
          <w:lang w:val="en-US"/>
        </w:rPr>
        <w:t>2</w:t>
      </w:r>
      <w:r>
        <w:rPr>
          <w:sz w:val="22"/>
          <w:szCs w:val="22"/>
          <w:rtl w:val="0"/>
          <w:lang w:val="en-US"/>
        </w:rPr>
        <w:t>. The shared limiting response is therefore compatible with different convergence rates.</w:t>
      </w:r>
    </w:p>
    <w:p>
      <w:pPr>
        <w:pStyle w:val="Normal.0"/>
        <w:spacing w:after="80" w:line="240" w:lineRule="atLeast"/>
      </w:pPr>
      <w:r>
        <w:rPr>
          <w:sz w:val="22"/>
          <w:szCs w:val="22"/>
          <w:rtl w:val="0"/>
          <w:lang w:val="en-US"/>
        </w:rPr>
        <w:t>For the gap test, use D = [[3,</w:t>
      </w:r>
      <w:r>
        <w:rPr>
          <w:sz w:val="22"/>
          <w:szCs w:val="22"/>
          <w:rtl w:val="0"/>
          <w:lang w:val="en-US"/>
        </w:rPr>
        <w:t>−√</w:t>
      </w:r>
      <w:r>
        <w:rPr>
          <w:sz w:val="22"/>
          <w:szCs w:val="22"/>
          <w:rtl w:val="0"/>
          <w:lang w:val="en-US"/>
        </w:rPr>
        <w:t>2],[</w:t>
      </w:r>
      <w:r>
        <w:rPr>
          <w:sz w:val="22"/>
          <w:szCs w:val="22"/>
          <w:rtl w:val="0"/>
          <w:lang w:val="en-US"/>
        </w:rPr>
        <w:t>−√</w:t>
      </w:r>
      <w:r>
        <w:rPr>
          <w:sz w:val="22"/>
          <w:szCs w:val="22"/>
          <w:rtl w:val="0"/>
          <w:lang w:val="en-US"/>
        </w:rPr>
        <w:t>2,2]], T</w:t>
      </w:r>
      <w:r>
        <w:rPr>
          <w:sz w:val="22"/>
          <w:szCs w:val="22"/>
          <w:vertAlign w:val="subscript"/>
          <w:rtl w:val="0"/>
          <w:lang w:val="en-US"/>
        </w:rPr>
        <w:t>g</w:t>
      </w:r>
      <w:r>
        <w:rPr>
          <w:sz w:val="22"/>
          <w:szCs w:val="22"/>
          <w:rtl w:val="0"/>
          <w:lang w:val="en-US"/>
        </w:rPr>
        <w:t xml:space="preserve"> = diag(0,g</w:t>
      </w:r>
      <w:r>
        <w:rPr>
          <w:sz w:val="22"/>
          <w:szCs w:val="22"/>
          <w:vertAlign w:val="superscript"/>
          <w:rtl w:val="0"/>
          <w:lang w:val="en-US"/>
        </w:rPr>
        <w:t>2</w:t>
      </w:r>
      <w:r>
        <w:rPr>
          <w:sz w:val="22"/>
          <w:szCs w:val="22"/>
          <w:rtl w:val="0"/>
          <w:lang w:val="en-US"/>
        </w:rPr>
        <w:t xml:space="preserve">), </w:t>
      </w:r>
      <w:r>
        <w:rPr>
          <w:sz w:val="22"/>
          <w:szCs w:val="22"/>
          <w:rtl w:val="0"/>
          <w:lang w:val="en-US"/>
        </w:rPr>
        <w:t xml:space="preserve">ν </w:t>
      </w:r>
      <w:r>
        <w:rPr>
          <w:sz w:val="22"/>
          <w:szCs w:val="22"/>
          <w:rtl w:val="0"/>
          <w:lang w:val="en-US"/>
        </w:rPr>
        <w:t>= 1 and collective initial velocity (1,0). Comparing the exact projected response with sin(</w:t>
      </w:r>
      <w:r>
        <w:rPr>
          <w:sz w:val="22"/>
          <w:szCs w:val="22"/>
          <w:rtl w:val="0"/>
          <w:lang w:val="en-US"/>
        </w:rPr>
        <w:t>√</w:t>
      </w:r>
      <w:r>
        <w:rPr>
          <w:sz w:val="22"/>
          <w:szCs w:val="22"/>
          <w:rtl w:val="0"/>
          <w:lang w:val="en-US"/>
        </w:rPr>
        <w:t>3t)/</w:t>
      </w:r>
      <w:r>
        <w:rPr>
          <w:sz w:val="22"/>
          <w:szCs w:val="22"/>
          <w:rtl w:val="0"/>
          <w:lang w:val="en-US"/>
        </w:rPr>
        <w:t>√</w:t>
      </w:r>
      <w:r>
        <w:rPr>
          <w:sz w:val="22"/>
          <w:szCs w:val="22"/>
          <w:rtl w:val="0"/>
          <w:lang w:val="en-US"/>
        </w:rPr>
        <w:t xml:space="preserve">3 at 2001 times in [0,1] gives maximum errors 9.36955 </w:t>
      </w:r>
      <w:r>
        <w:rPr>
          <w:sz w:val="22"/>
          <w:szCs w:val="22"/>
          <w:rtl w:val="0"/>
          <w:lang w:val="en-US"/>
        </w:rPr>
        <w:t xml:space="preserve">× </w:t>
      </w:r>
      <w:r>
        <w:rPr>
          <w:sz w:val="22"/>
          <w:szCs w:val="22"/>
          <w:rtl w:val="0"/>
          <w:lang w:val="en-US"/>
        </w:rPr>
        <w:t>10</w:t>
      </w:r>
      <w:r>
        <w:rPr>
          <w:sz w:val="22"/>
          <w:szCs w:val="22"/>
          <w:vertAlign w:val="superscript"/>
          <w:rtl w:val="0"/>
          <w:lang w:val="en-US"/>
        </w:rPr>
        <w:t>-4</w:t>
      </w:r>
      <w:r>
        <w:rPr>
          <w:sz w:val="22"/>
          <w:szCs w:val="22"/>
          <w:rtl w:val="0"/>
          <w:lang w:val="en-US"/>
        </w:rPr>
        <w:t xml:space="preserve"> at g = 16, 2.36968 </w:t>
      </w:r>
      <w:r>
        <w:rPr>
          <w:sz w:val="22"/>
          <w:szCs w:val="22"/>
          <w:rtl w:val="0"/>
          <w:lang w:val="en-US"/>
        </w:rPr>
        <w:t xml:space="preserve">× </w:t>
      </w:r>
      <w:r>
        <w:rPr>
          <w:sz w:val="22"/>
          <w:szCs w:val="22"/>
          <w:rtl w:val="0"/>
          <w:lang w:val="en-US"/>
        </w:rPr>
        <w:t>10</w:t>
      </w:r>
      <w:r>
        <w:rPr>
          <w:sz w:val="22"/>
          <w:szCs w:val="22"/>
          <w:vertAlign w:val="superscript"/>
          <w:rtl w:val="0"/>
          <w:lang w:val="en-US"/>
        </w:rPr>
        <w:t>-4</w:t>
      </w:r>
      <w:r>
        <w:rPr>
          <w:sz w:val="22"/>
          <w:szCs w:val="22"/>
          <w:rtl w:val="0"/>
          <w:lang w:val="en-US"/>
        </w:rPr>
        <w:t xml:space="preserve"> at g = 32 and 5.93913 </w:t>
      </w:r>
      <w:r>
        <w:rPr>
          <w:sz w:val="22"/>
          <w:szCs w:val="22"/>
          <w:rtl w:val="0"/>
          <w:lang w:val="en-US"/>
        </w:rPr>
        <w:t xml:space="preserve">× </w:t>
      </w:r>
      <w:r>
        <w:rPr>
          <w:sz w:val="22"/>
          <w:szCs w:val="22"/>
          <w:rtl w:val="0"/>
          <w:lang w:val="en-US"/>
        </w:rPr>
        <w:t>10</w:t>
      </w:r>
      <w:r>
        <w:rPr>
          <w:sz w:val="22"/>
          <w:szCs w:val="22"/>
          <w:vertAlign w:val="superscript"/>
          <w:rtl w:val="0"/>
          <w:lang w:val="en-US"/>
        </w:rPr>
        <w:t>-5</w:t>
      </w:r>
      <w:r>
        <w:rPr>
          <w:sz w:val="22"/>
          <w:szCs w:val="22"/>
          <w:rtl w:val="0"/>
          <w:lang w:val="en-US"/>
        </w:rPr>
        <w:t xml:space="preserve"> at g = 64. They lie below (28). These calculations test a family of increasingly stiff relative modes; they do not show that a physical system evolves toward that family.</w:t>
      </w:r>
    </w:p>
    <w:p>
      <w:pPr>
        <w:pStyle w:val="Normal.0"/>
        <w:spacing w:after="80" w:line="240" w:lineRule="atLeast"/>
        <w:rPr>
          <w:sz w:val="22"/>
          <w:szCs w:val="22"/>
        </w:rPr>
      </w:pPr>
      <w:r>
        <w:rPr>
          <w:sz w:val="22"/>
          <w:szCs w:val="22"/>
          <w:rtl w:val="0"/>
          <w:lang w:val="en-US"/>
        </w:rPr>
        <w:t>Numerical tails eventually approach floating-point roundoff, and sampled maxima cannot establish exact zeros. None of these data is a fit to a photon, graviton or laboratory propagation experiment. The mathematical proofs establish the stated model properties; physical identification of sectors and calibration of their scales remain necessary before observational constraints can be used.</w:t>
      </w:r>
    </w:p>
    <w:p>
      <w:pPr>
        <w:pStyle w:val="Normal.0"/>
        <w:spacing w:after="80" w:line="240" w:lineRule="atLeast"/>
        <w:rPr>
          <w:sz w:val="22"/>
          <w:szCs w:val="22"/>
        </w:rPr>
      </w:pPr>
    </w:p>
    <w:p>
      <w:pPr>
        <w:pStyle w:val="Normal.0"/>
        <w:spacing w:after="80" w:line="240" w:lineRule="atLeast"/>
        <w:rPr>
          <w:sz w:val="22"/>
          <w:szCs w:val="22"/>
        </w:rPr>
      </w:pPr>
    </w:p>
    <w:p>
      <w:pPr>
        <w:pStyle w:val="Normal.0"/>
        <w:spacing w:after="80" w:line="240" w:lineRule="atLeast"/>
        <w:rPr>
          <w:sz w:val="22"/>
          <w:szCs w:val="22"/>
        </w:rPr>
      </w:pPr>
    </w:p>
    <w:p>
      <w:pPr>
        <w:pStyle w:val="Normal.0"/>
        <w:spacing w:after="80" w:line="240" w:lineRule="atLeast"/>
        <w:rPr>
          <w:sz w:val="22"/>
          <w:szCs w:val="22"/>
        </w:rPr>
      </w:pPr>
    </w:p>
    <w:p>
      <w:pPr>
        <w:pStyle w:val="Normal.0"/>
        <w:spacing w:after="80" w:line="240" w:lineRule="atLeast"/>
      </w:pPr>
    </w:p>
    <w:p>
      <w:pPr>
        <w:pStyle w:val="Заголовок 2"/>
        <w:spacing w:line="240" w:lineRule="atLeast"/>
      </w:pPr>
      <w:r>
        <w:rPr>
          <w:rtl w:val="0"/>
          <w:lang w:val="en-US"/>
        </w:rPr>
        <w:t>8. Counterexamples and the remaining research programme</w:t>
      </w:r>
    </w:p>
    <w:p>
      <w:pPr>
        <w:pStyle w:val="Normal.0"/>
        <w:spacing w:after="80" w:line="240" w:lineRule="atLeast"/>
      </w:pPr>
      <w:r>
        <w:rPr>
          <w:sz w:val="22"/>
          <w:szCs w:val="22"/>
          <w:rtl w:val="0"/>
          <w:lang w:val="en-US"/>
        </w:rPr>
        <w:t>The non-equivalence of successive stages can be documented by explicit controls.</w:t>
      </w:r>
    </w:p>
    <w:tbl>
      <w:tblPr>
        <w:tblW w:w="9524" w:type="dxa"/>
        <w:jc w:val="center"/>
        <w:tblInd w:w="2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381"/>
        <w:gridCol w:w="3714"/>
        <w:gridCol w:w="3429"/>
      </w:tblGrid>
      <w:tr>
        <w:tblPrEx>
          <w:shd w:val="clear" w:color="auto" w:fill="4f81bd"/>
        </w:tblPrEx>
        <w:trPr>
          <w:trHeight w:val="202" w:hRule="atLeast"/>
          <w:tblHeader/>
        </w:trPr>
        <w:tc>
          <w:tcPr>
            <w:tcW w:type="dxa" w:w="2381"/>
            <w:tcBorders>
              <w:top w:val="single" w:color="999999" w:sz="4" w:space="0" w:shadow="0" w:frame="0"/>
              <w:left w:val="nil"/>
              <w:bottom w:val="single" w:color="999999" w:sz="4" w:space="0" w:shadow="0" w:frame="0"/>
              <w:right w:val="nil"/>
            </w:tcBorders>
            <w:shd w:val="clear" w:color="auto" w:fill="f2f2f2"/>
            <w:tcMar>
              <w:top w:type="dxa" w:w="80"/>
              <w:left w:type="dxa" w:w="80"/>
              <w:bottom w:type="dxa" w:w="80"/>
              <w:right w:type="dxa" w:w="80"/>
            </w:tcMar>
            <w:vAlign w:val="top"/>
          </w:tcPr>
          <w:p>
            <w:pPr>
              <w:pStyle w:val="Table Text"/>
              <w:keepNext w:val="1"/>
              <w:spacing w:after="40" w:line="240" w:lineRule="auto"/>
            </w:pPr>
            <w:r>
              <w:rPr>
                <w:rFonts w:ascii="Times New Roman" w:hAnsi="Times New Roman"/>
                <w:b w:val="1"/>
                <w:bCs w:val="1"/>
                <w:rtl w:val="0"/>
                <w:lang w:val="en-US"/>
              </w:rPr>
              <w:t>Available structure</w:t>
            </w:r>
          </w:p>
        </w:tc>
        <w:tc>
          <w:tcPr>
            <w:tcW w:type="dxa" w:w="3714"/>
            <w:tcBorders>
              <w:top w:val="single" w:color="999999" w:sz="4" w:space="0" w:shadow="0" w:frame="0"/>
              <w:left w:val="nil"/>
              <w:bottom w:val="single" w:color="999999" w:sz="4" w:space="0" w:shadow="0" w:frame="0"/>
              <w:right w:val="nil"/>
            </w:tcBorders>
            <w:shd w:val="clear" w:color="auto" w:fill="f2f2f2"/>
            <w:tcMar>
              <w:top w:type="dxa" w:w="80"/>
              <w:left w:type="dxa" w:w="80"/>
              <w:bottom w:type="dxa" w:w="80"/>
              <w:right w:type="dxa" w:w="80"/>
            </w:tcMar>
            <w:vAlign w:val="top"/>
          </w:tcPr>
          <w:p>
            <w:pPr>
              <w:pStyle w:val="Table Text"/>
              <w:keepNext w:val="1"/>
              <w:spacing w:after="40" w:line="240" w:lineRule="auto"/>
            </w:pPr>
            <w:r>
              <w:rPr>
                <w:rFonts w:ascii="Times New Roman" w:hAnsi="Times New Roman"/>
                <w:b w:val="1"/>
                <w:bCs w:val="1"/>
                <w:rtl w:val="0"/>
                <w:lang w:val="en-US"/>
              </w:rPr>
              <w:t>Missing implication</w:t>
            </w:r>
          </w:p>
        </w:tc>
        <w:tc>
          <w:tcPr>
            <w:tcW w:type="dxa" w:w="3429"/>
            <w:tcBorders>
              <w:top w:val="single" w:color="999999" w:sz="4" w:space="0" w:shadow="0" w:frame="0"/>
              <w:left w:val="nil"/>
              <w:bottom w:val="single" w:color="999999" w:sz="4" w:space="0" w:shadow="0" w:frame="0"/>
              <w:right w:val="nil"/>
            </w:tcBorders>
            <w:shd w:val="clear" w:color="auto" w:fill="f2f2f2"/>
            <w:tcMar>
              <w:top w:type="dxa" w:w="80"/>
              <w:left w:type="dxa" w:w="80"/>
              <w:bottom w:type="dxa" w:w="80"/>
              <w:right w:type="dxa" w:w="80"/>
            </w:tcMar>
            <w:vAlign w:val="top"/>
          </w:tcPr>
          <w:p>
            <w:pPr>
              <w:pStyle w:val="Table Text"/>
              <w:keepNext w:val="1"/>
              <w:spacing w:after="40" w:line="240" w:lineRule="auto"/>
            </w:pPr>
            <w:r>
              <w:rPr>
                <w:rFonts w:ascii="Times New Roman" w:hAnsi="Times New Roman"/>
                <w:b w:val="1"/>
                <w:bCs w:val="1"/>
                <w:rtl w:val="0"/>
                <w:lang w:val="en-US"/>
              </w:rPr>
              <w:t>Counterexample or obstruction</w:t>
            </w:r>
          </w:p>
        </w:tc>
      </w:tr>
      <w:tr>
        <w:tblPrEx>
          <w:shd w:val="clear" w:color="auto" w:fill="ced7e7"/>
        </w:tblPrEx>
        <w:trPr>
          <w:trHeight w:val="402" w:hRule="atLeast"/>
        </w:trPr>
        <w:tc>
          <w:tcPr>
            <w:tcW w:type="dxa" w:w="2381"/>
            <w:tcBorders>
              <w:top w:val="single" w:color="999999" w:sz="4" w:space="0" w:shadow="0" w:frame="0"/>
              <w:left w:val="nil"/>
              <w:bottom w:val="single" w:color="999999" w:sz="4" w:space="0" w:shadow="0" w:frame="0"/>
              <w:right w:val="nil"/>
            </w:tcBorders>
            <w:shd w:val="clear" w:color="auto" w:fill="auto"/>
            <w:tcMar>
              <w:top w:type="dxa" w:w="80"/>
              <w:left w:type="dxa" w:w="80"/>
              <w:bottom w:type="dxa" w:w="80"/>
              <w:right w:type="dxa" w:w="80"/>
            </w:tcMar>
            <w:vAlign w:val="top"/>
          </w:tcPr>
          <w:p>
            <w:pPr>
              <w:pStyle w:val="Table Text"/>
              <w:spacing w:after="40" w:line="240" w:lineRule="auto"/>
            </w:pPr>
            <w:r>
              <w:rPr>
                <w:rFonts w:ascii="Times New Roman" w:hAnsi="Times New Roman"/>
                <w:rtl w:val="0"/>
                <w:lang w:val="en-US"/>
              </w:rPr>
              <w:t>Connected relation</w:t>
            </w:r>
          </w:p>
        </w:tc>
        <w:tc>
          <w:tcPr>
            <w:tcW w:type="dxa" w:w="3714"/>
            <w:tcBorders>
              <w:top w:val="single" w:color="999999" w:sz="4" w:space="0" w:shadow="0" w:frame="0"/>
              <w:left w:val="nil"/>
              <w:bottom w:val="single" w:color="999999" w:sz="4" w:space="0" w:shadow="0" w:frame="0"/>
              <w:right w:val="nil"/>
            </w:tcBorders>
            <w:shd w:val="clear" w:color="auto" w:fill="auto"/>
            <w:tcMar>
              <w:top w:type="dxa" w:w="80"/>
              <w:left w:type="dxa" w:w="80"/>
              <w:bottom w:type="dxa" w:w="80"/>
              <w:right w:type="dxa" w:w="80"/>
            </w:tcMar>
            <w:vAlign w:val="top"/>
          </w:tcPr>
          <w:p>
            <w:pPr>
              <w:pStyle w:val="Table Text"/>
              <w:spacing w:after="40" w:line="240" w:lineRule="auto"/>
            </w:pPr>
            <w:r>
              <w:rPr>
                <w:rFonts w:ascii="Times New Roman" w:hAnsi="Times New Roman"/>
                <w:rtl w:val="0"/>
                <w:lang w:val="en-US"/>
              </w:rPr>
              <w:t>Several separated slow sectors</w:t>
            </w:r>
          </w:p>
        </w:tc>
        <w:tc>
          <w:tcPr>
            <w:tcW w:type="dxa" w:w="3429"/>
            <w:tcBorders>
              <w:top w:val="single" w:color="999999" w:sz="4" w:space="0" w:shadow="0" w:frame="0"/>
              <w:left w:val="nil"/>
              <w:bottom w:val="single" w:color="999999" w:sz="4" w:space="0" w:shadow="0" w:frame="0"/>
              <w:right w:val="nil"/>
            </w:tcBorders>
            <w:shd w:val="clear" w:color="auto" w:fill="auto"/>
            <w:tcMar>
              <w:top w:type="dxa" w:w="80"/>
              <w:left w:type="dxa" w:w="80"/>
              <w:bottom w:type="dxa" w:w="80"/>
              <w:right w:type="dxa" w:w="80"/>
            </w:tcMar>
            <w:vAlign w:val="top"/>
          </w:tcPr>
          <w:p>
            <w:pPr>
              <w:pStyle w:val="Table Text"/>
              <w:spacing w:after="40" w:line="240" w:lineRule="auto"/>
            </w:pPr>
            <w:r>
              <w:rPr>
                <w:rFonts w:ascii="Times New Roman" w:hAnsi="Times New Roman"/>
                <w:rtl w:val="0"/>
                <w:lang w:val="en-US"/>
              </w:rPr>
              <w:t>Complete graph: only the constant mode is slow; the other eigenvalues coincide</w:t>
            </w:r>
          </w:p>
        </w:tc>
      </w:tr>
      <w:tr>
        <w:tblPrEx>
          <w:shd w:val="clear" w:color="auto" w:fill="ced7e7"/>
        </w:tblPrEx>
        <w:trPr>
          <w:trHeight w:val="602" w:hRule="atLeast"/>
        </w:trPr>
        <w:tc>
          <w:tcPr>
            <w:tcW w:type="dxa" w:w="2381"/>
            <w:tcBorders>
              <w:top w:val="single" w:color="999999" w:sz="4" w:space="0" w:shadow="0" w:frame="0"/>
              <w:left w:val="nil"/>
              <w:bottom w:val="single" w:color="999999" w:sz="4" w:space="0" w:shadow="0" w:frame="0"/>
              <w:right w:val="nil"/>
            </w:tcBorders>
            <w:shd w:val="clear" w:color="auto" w:fill="auto"/>
            <w:tcMar>
              <w:top w:type="dxa" w:w="80"/>
              <w:left w:type="dxa" w:w="80"/>
              <w:bottom w:type="dxa" w:w="80"/>
              <w:right w:type="dxa" w:w="80"/>
            </w:tcMar>
            <w:vAlign w:val="top"/>
          </w:tcPr>
          <w:p>
            <w:pPr>
              <w:pStyle w:val="Table Text"/>
              <w:spacing w:after="40" w:line="240" w:lineRule="auto"/>
            </w:pPr>
            <w:r>
              <w:rPr>
                <w:rFonts w:ascii="Times New Roman" w:hAnsi="Times New Roman"/>
                <w:rtl w:val="0"/>
                <w:lang w:val="en-US"/>
              </w:rPr>
              <w:t>Separated sectors</w:t>
            </w:r>
          </w:p>
        </w:tc>
        <w:tc>
          <w:tcPr>
            <w:tcW w:type="dxa" w:w="3714"/>
            <w:tcBorders>
              <w:top w:val="single" w:color="999999" w:sz="4" w:space="0" w:shadow="0" w:frame="0"/>
              <w:left w:val="nil"/>
              <w:bottom w:val="single" w:color="999999" w:sz="4" w:space="0" w:shadow="0" w:frame="0"/>
              <w:right w:val="nil"/>
            </w:tcBorders>
            <w:shd w:val="clear" w:color="auto" w:fill="auto"/>
            <w:tcMar>
              <w:top w:type="dxa" w:w="80"/>
              <w:left w:type="dxa" w:w="80"/>
              <w:bottom w:type="dxa" w:w="80"/>
              <w:right w:type="dxa" w:w="80"/>
            </w:tcMar>
            <w:vAlign w:val="top"/>
          </w:tcPr>
          <w:p>
            <w:pPr>
              <w:pStyle w:val="Table Text"/>
              <w:spacing w:after="40" w:line="240" w:lineRule="auto"/>
            </w:pPr>
            <w:r>
              <w:rPr>
                <w:rFonts w:ascii="Times New Roman" w:hAnsi="Times New Roman"/>
                <w:rtl w:val="0"/>
                <w:lang w:val="en-US"/>
              </w:rPr>
              <w:t>A selected temporal orientation</w:t>
            </w:r>
          </w:p>
        </w:tc>
        <w:tc>
          <w:tcPr>
            <w:tcW w:type="dxa" w:w="3429"/>
            <w:tcBorders>
              <w:top w:val="single" w:color="999999" w:sz="4" w:space="0" w:shadow="0" w:frame="0"/>
              <w:left w:val="nil"/>
              <w:bottom w:val="single" w:color="999999" w:sz="4" w:space="0" w:shadow="0" w:frame="0"/>
              <w:right w:val="nil"/>
            </w:tcBorders>
            <w:shd w:val="clear" w:color="auto" w:fill="auto"/>
            <w:tcMar>
              <w:top w:type="dxa" w:w="80"/>
              <w:left w:type="dxa" w:w="80"/>
              <w:bottom w:type="dxa" w:w="80"/>
              <w:right w:type="dxa" w:w="80"/>
            </w:tcMar>
            <w:vAlign w:val="top"/>
          </w:tcPr>
          <w:p>
            <w:pPr>
              <w:pStyle w:val="Table Text"/>
              <w:spacing w:after="40" w:line="240" w:lineRule="auto"/>
            </w:pPr>
            <w:r>
              <w:rPr>
                <w:rFonts w:ascii="Times New Roman" w:hAnsi="Times New Roman"/>
                <w:rtl w:val="0"/>
                <w:lang w:val="en-US"/>
              </w:rPr>
              <w:t>Two weakly coupled blocks with a symmetric operator and reversal-invariant data</w:t>
            </w:r>
          </w:p>
        </w:tc>
      </w:tr>
      <w:tr>
        <w:tblPrEx>
          <w:shd w:val="clear" w:color="auto" w:fill="ced7e7"/>
        </w:tblPrEx>
        <w:trPr>
          <w:trHeight w:val="402" w:hRule="atLeast"/>
        </w:trPr>
        <w:tc>
          <w:tcPr>
            <w:tcW w:type="dxa" w:w="2381"/>
            <w:tcBorders>
              <w:top w:val="single" w:color="999999" w:sz="4" w:space="0" w:shadow="0" w:frame="0"/>
              <w:left w:val="nil"/>
              <w:bottom w:val="single" w:color="999999" w:sz="4" w:space="0" w:shadow="0" w:frame="0"/>
              <w:right w:val="nil"/>
            </w:tcBorders>
            <w:shd w:val="clear" w:color="auto" w:fill="auto"/>
            <w:tcMar>
              <w:top w:type="dxa" w:w="80"/>
              <w:left w:type="dxa" w:w="80"/>
              <w:bottom w:type="dxa" w:w="80"/>
              <w:right w:type="dxa" w:w="80"/>
            </w:tcMar>
            <w:vAlign w:val="top"/>
          </w:tcPr>
          <w:p>
            <w:pPr>
              <w:pStyle w:val="Table Text"/>
              <w:spacing w:after="40" w:line="240" w:lineRule="auto"/>
            </w:pPr>
            <w:r>
              <w:rPr>
                <w:rFonts w:ascii="Times New Roman" w:hAnsi="Times New Roman"/>
                <w:rtl w:val="0"/>
                <w:lang w:val="en-US"/>
              </w:rPr>
              <w:t>Propagation</w:t>
            </w:r>
          </w:p>
        </w:tc>
        <w:tc>
          <w:tcPr>
            <w:tcW w:type="dxa" w:w="3714"/>
            <w:tcBorders>
              <w:top w:val="single" w:color="999999" w:sz="4" w:space="0" w:shadow="0" w:frame="0"/>
              <w:left w:val="nil"/>
              <w:bottom w:val="single" w:color="999999" w:sz="4" w:space="0" w:shadow="0" w:frame="0"/>
              <w:right w:val="nil"/>
            </w:tcBorders>
            <w:shd w:val="clear" w:color="auto" w:fill="auto"/>
            <w:tcMar>
              <w:top w:type="dxa" w:w="80"/>
              <w:left w:type="dxa" w:w="80"/>
              <w:bottom w:type="dxa" w:w="80"/>
              <w:right w:type="dxa" w:w="80"/>
            </w:tcMar>
            <w:vAlign w:val="top"/>
          </w:tcPr>
          <w:p>
            <w:pPr>
              <w:pStyle w:val="Table Text"/>
              <w:spacing w:after="40" w:line="240" w:lineRule="auto"/>
            </w:pPr>
            <w:r>
              <w:rPr>
                <w:rFonts w:ascii="Times New Roman" w:hAnsi="Times New Roman"/>
                <w:rtl w:val="0"/>
                <w:lang w:val="en-US"/>
              </w:rPr>
              <w:t>A common cone</w:t>
            </w:r>
          </w:p>
        </w:tc>
        <w:tc>
          <w:tcPr>
            <w:tcW w:type="dxa" w:w="3429"/>
            <w:tcBorders>
              <w:top w:val="single" w:color="999999" w:sz="4" w:space="0" w:shadow="0" w:frame="0"/>
              <w:left w:val="nil"/>
              <w:bottom w:val="single" w:color="999999" w:sz="4" w:space="0" w:shadow="0" w:frame="0"/>
              <w:right w:val="nil"/>
            </w:tcBorders>
            <w:shd w:val="clear" w:color="auto" w:fill="auto"/>
            <w:tcMar>
              <w:top w:type="dxa" w:w="80"/>
              <w:left w:type="dxa" w:w="80"/>
              <w:bottom w:type="dxa" w:w="80"/>
              <w:right w:type="dxa" w:w="80"/>
            </w:tcMar>
            <w:vAlign w:val="top"/>
          </w:tcPr>
          <w:p>
            <w:pPr>
              <w:pStyle w:val="Table Text"/>
              <w:spacing w:after="40" w:line="240" w:lineRule="auto"/>
            </w:pPr>
            <w:r>
              <w:rPr>
                <w:rFonts w:ascii="Times New Roman" w:hAnsi="Times New Roman"/>
                <w:rtl w:val="0"/>
                <w:lang w:val="en-US"/>
              </w:rPr>
              <w:t>Independent fields with unequal fixed kinetic ratios on one Laplacian</w:t>
            </w:r>
          </w:p>
        </w:tc>
      </w:tr>
      <w:tr>
        <w:tblPrEx>
          <w:shd w:val="clear" w:color="auto" w:fill="ced7e7"/>
        </w:tblPrEx>
        <w:trPr>
          <w:trHeight w:val="402" w:hRule="atLeast"/>
        </w:trPr>
        <w:tc>
          <w:tcPr>
            <w:tcW w:type="dxa" w:w="2381"/>
            <w:tcBorders>
              <w:top w:val="single" w:color="999999" w:sz="4" w:space="0" w:shadow="0" w:frame="0"/>
              <w:left w:val="nil"/>
              <w:bottom w:val="single" w:color="999999" w:sz="4" w:space="0" w:shadow="0" w:frame="0"/>
              <w:right w:val="nil"/>
            </w:tcBorders>
            <w:shd w:val="clear" w:color="auto" w:fill="auto"/>
            <w:tcMar>
              <w:top w:type="dxa" w:w="80"/>
              <w:left w:type="dxa" w:w="80"/>
              <w:bottom w:type="dxa" w:w="80"/>
              <w:right w:type="dxa" w:w="80"/>
            </w:tcMar>
            <w:vAlign w:val="top"/>
          </w:tcPr>
          <w:p>
            <w:pPr>
              <w:pStyle w:val="Table Text"/>
              <w:spacing w:after="40" w:line="240" w:lineRule="auto"/>
            </w:pPr>
            <w:r>
              <w:rPr>
                <w:rFonts w:ascii="Times New Roman" w:hAnsi="Times New Roman"/>
                <w:rtl w:val="0"/>
                <w:lang w:val="en-US"/>
              </w:rPr>
              <w:t>Common leading cone</w:t>
            </w:r>
          </w:p>
        </w:tc>
        <w:tc>
          <w:tcPr>
            <w:tcW w:type="dxa" w:w="3714"/>
            <w:tcBorders>
              <w:top w:val="single" w:color="999999" w:sz="4" w:space="0" w:shadow="0" w:frame="0"/>
              <w:left w:val="nil"/>
              <w:bottom w:val="single" w:color="999999" w:sz="4" w:space="0" w:shadow="0" w:frame="0"/>
              <w:right w:val="nil"/>
            </w:tcBorders>
            <w:shd w:val="clear" w:color="auto" w:fill="auto"/>
            <w:tcMar>
              <w:top w:type="dxa" w:w="80"/>
              <w:left w:type="dxa" w:w="80"/>
              <w:bottom w:type="dxa" w:w="80"/>
              <w:right w:type="dxa" w:w="80"/>
            </w:tcMar>
            <w:vAlign w:val="top"/>
          </w:tcPr>
          <w:p>
            <w:pPr>
              <w:pStyle w:val="Table Text"/>
              <w:spacing w:after="40" w:line="240" w:lineRule="auto"/>
            </w:pPr>
            <w:r>
              <w:rPr>
                <w:rFonts w:ascii="Times New Roman" w:hAnsi="Times New Roman"/>
                <w:rtl w:val="0"/>
                <w:lang w:val="en-US"/>
              </w:rPr>
              <w:t>Exact finite-network microcausality</w:t>
            </w:r>
          </w:p>
        </w:tc>
        <w:tc>
          <w:tcPr>
            <w:tcW w:type="dxa" w:w="3429"/>
            <w:tcBorders>
              <w:top w:val="single" w:color="999999" w:sz="4" w:space="0" w:shadow="0" w:frame="0"/>
              <w:left w:val="nil"/>
              <w:bottom w:val="single" w:color="999999" w:sz="4" w:space="0" w:shadow="0" w:frame="0"/>
              <w:right w:val="nil"/>
            </w:tcBorders>
            <w:shd w:val="clear" w:color="auto" w:fill="auto"/>
            <w:tcMar>
              <w:top w:type="dxa" w:w="80"/>
              <w:left w:type="dxa" w:w="80"/>
              <w:bottom w:type="dxa" w:w="80"/>
              <w:right w:type="dxa" w:w="80"/>
            </w:tcMar>
            <w:vAlign w:val="top"/>
          </w:tcPr>
          <w:p>
            <w:pPr>
              <w:pStyle w:val="Table Text"/>
              <w:spacing w:after="40" w:line="240" w:lineRule="auto"/>
            </w:pPr>
            <w:r>
              <w:rPr>
                <w:rFonts w:ascii="Times New Roman" w:hAnsi="Times New Roman"/>
                <w:rtl w:val="0"/>
                <w:lang w:val="en-US"/>
              </w:rPr>
              <w:t>A harmonic chain or the collective model with analytic tails</w:t>
            </w:r>
          </w:p>
        </w:tc>
      </w:tr>
      <w:tr>
        <w:tblPrEx>
          <w:shd w:val="clear" w:color="auto" w:fill="ced7e7"/>
        </w:tblPrEx>
        <w:trPr>
          <w:trHeight w:val="402" w:hRule="atLeast"/>
        </w:trPr>
        <w:tc>
          <w:tcPr>
            <w:tcW w:type="dxa" w:w="2381"/>
            <w:tcBorders>
              <w:top w:val="single" w:color="999999" w:sz="4" w:space="0" w:shadow="0" w:frame="0"/>
              <w:left w:val="nil"/>
              <w:bottom w:val="single" w:color="999999" w:sz="4" w:space="0" w:shadow="0" w:frame="0"/>
              <w:right w:val="nil"/>
            </w:tcBorders>
            <w:shd w:val="clear" w:color="auto" w:fill="auto"/>
            <w:tcMar>
              <w:top w:type="dxa" w:w="80"/>
              <w:left w:type="dxa" w:w="80"/>
              <w:bottom w:type="dxa" w:w="80"/>
              <w:right w:type="dxa" w:w="80"/>
            </w:tcMar>
            <w:vAlign w:val="top"/>
          </w:tcPr>
          <w:p>
            <w:pPr>
              <w:pStyle w:val="Table Text"/>
              <w:spacing w:after="40" w:line="240" w:lineRule="auto"/>
            </w:pPr>
            <w:r>
              <w:rPr>
                <w:rFonts w:ascii="Times New Roman" w:hAnsi="Times New Roman"/>
                <w:rtl w:val="0"/>
                <w:lang w:val="en-US"/>
              </w:rPr>
              <w:t>Exact local wave operator</w:t>
            </w:r>
          </w:p>
        </w:tc>
        <w:tc>
          <w:tcPr>
            <w:tcW w:type="dxa" w:w="3714"/>
            <w:tcBorders>
              <w:top w:val="single" w:color="999999" w:sz="4" w:space="0" w:shadow="0" w:frame="0"/>
              <w:left w:val="nil"/>
              <w:bottom w:val="single" w:color="999999" w:sz="4" w:space="0" w:shadow="0" w:frame="0"/>
              <w:right w:val="nil"/>
            </w:tcBorders>
            <w:shd w:val="clear" w:color="auto" w:fill="auto"/>
            <w:tcMar>
              <w:top w:type="dxa" w:w="80"/>
              <w:left w:type="dxa" w:w="80"/>
              <w:bottom w:type="dxa" w:w="80"/>
              <w:right w:type="dxa" w:w="80"/>
            </w:tcMar>
            <w:vAlign w:val="top"/>
          </w:tcPr>
          <w:p>
            <w:pPr>
              <w:pStyle w:val="Table Text"/>
              <w:spacing w:after="40" w:line="240" w:lineRule="auto"/>
            </w:pPr>
            <w:r>
              <w:rPr>
                <w:rFonts w:ascii="Times New Roman" w:hAnsi="Times New Roman"/>
                <w:rtl w:val="0"/>
                <w:lang w:val="en-US"/>
              </w:rPr>
              <w:t>Locality after a fixed IR cutoff</w:t>
            </w:r>
          </w:p>
        </w:tc>
        <w:tc>
          <w:tcPr>
            <w:tcW w:type="dxa" w:w="3429"/>
            <w:tcBorders>
              <w:top w:val="single" w:color="999999" w:sz="4" w:space="0" w:shadow="0" w:frame="0"/>
              <w:left w:val="nil"/>
              <w:bottom w:val="single" w:color="999999" w:sz="4" w:space="0" w:shadow="0" w:frame="0"/>
              <w:right w:val="nil"/>
            </w:tcBorders>
            <w:shd w:val="clear" w:color="auto" w:fill="auto"/>
            <w:tcMar>
              <w:top w:type="dxa" w:w="80"/>
              <w:left w:type="dxa" w:w="80"/>
              <w:bottom w:type="dxa" w:w="80"/>
              <w:right w:type="dxa" w:w="80"/>
            </w:tcMar>
            <w:vAlign w:val="top"/>
          </w:tcPr>
          <w:p>
            <w:pPr>
              <w:pStyle w:val="Table Text"/>
              <w:spacing w:after="40" w:line="240" w:lineRule="auto"/>
            </w:pPr>
            <w:r>
              <w:rPr>
                <w:rFonts w:ascii="Times New Roman" w:hAnsi="Times New Roman"/>
                <w:rtl w:val="0"/>
                <w:lang w:val="en-US"/>
              </w:rPr>
              <w:t>Proposition 4: a nonzero finite Fourier kernel cannot vanish on an open interval</w:t>
            </w:r>
          </w:p>
        </w:tc>
      </w:tr>
      <w:tr>
        <w:tblPrEx>
          <w:shd w:val="clear" w:color="auto" w:fill="ced7e7"/>
        </w:tblPrEx>
        <w:trPr>
          <w:trHeight w:val="402" w:hRule="atLeast"/>
        </w:trPr>
        <w:tc>
          <w:tcPr>
            <w:tcW w:type="dxa" w:w="2381"/>
            <w:tcBorders>
              <w:top w:val="single" w:color="999999" w:sz="4" w:space="0" w:shadow="0" w:frame="0"/>
              <w:left w:val="nil"/>
              <w:bottom w:val="single" w:color="999999" w:sz="4" w:space="0" w:shadow="0" w:frame="0"/>
              <w:right w:val="nil"/>
            </w:tcBorders>
            <w:shd w:val="clear" w:color="auto" w:fill="auto"/>
            <w:tcMar>
              <w:top w:type="dxa" w:w="80"/>
              <w:left w:type="dxa" w:w="80"/>
              <w:bottom w:type="dxa" w:w="80"/>
              <w:right w:type="dxa" w:w="80"/>
            </w:tcMar>
            <w:vAlign w:val="top"/>
          </w:tcPr>
          <w:p>
            <w:pPr>
              <w:pStyle w:val="Table Text"/>
              <w:spacing w:after="40" w:line="240" w:lineRule="auto"/>
            </w:pPr>
            <w:r>
              <w:rPr>
                <w:rFonts w:ascii="Times New Roman" w:hAnsi="Times New Roman"/>
                <w:rtl w:val="0"/>
                <w:lang w:val="en-US"/>
              </w:rPr>
              <w:t>Common local cones</w:t>
            </w:r>
          </w:p>
        </w:tc>
        <w:tc>
          <w:tcPr>
            <w:tcW w:type="dxa" w:w="3714"/>
            <w:tcBorders>
              <w:top w:val="single" w:color="999999" w:sz="4" w:space="0" w:shadow="0" w:frame="0"/>
              <w:left w:val="nil"/>
              <w:bottom w:val="single" w:color="999999" w:sz="4" w:space="0" w:shadow="0" w:frame="0"/>
              <w:right w:val="nil"/>
            </w:tcBorders>
            <w:shd w:val="clear" w:color="auto" w:fill="auto"/>
            <w:tcMar>
              <w:top w:type="dxa" w:w="80"/>
              <w:left w:type="dxa" w:w="80"/>
              <w:bottom w:type="dxa" w:w="80"/>
              <w:right w:type="dxa" w:w="80"/>
            </w:tcMar>
            <w:vAlign w:val="top"/>
          </w:tcPr>
          <w:p>
            <w:pPr>
              <w:pStyle w:val="Table Text"/>
              <w:spacing w:after="40" w:line="240" w:lineRule="auto"/>
            </w:pPr>
            <w:r>
              <w:rPr>
                <w:rFonts w:ascii="Times New Roman" w:hAnsi="Times New Roman"/>
                <w:rtl w:val="0"/>
                <w:lang w:val="en-US"/>
              </w:rPr>
              <w:t>A global causal partial order</w:t>
            </w:r>
          </w:p>
        </w:tc>
        <w:tc>
          <w:tcPr>
            <w:tcW w:type="dxa" w:w="3429"/>
            <w:tcBorders>
              <w:top w:val="single" w:color="999999" w:sz="4" w:space="0" w:shadow="0" w:frame="0"/>
              <w:left w:val="nil"/>
              <w:bottom w:val="single" w:color="999999" w:sz="4" w:space="0" w:shadow="0" w:frame="0"/>
              <w:right w:val="nil"/>
            </w:tcBorders>
            <w:shd w:val="clear" w:color="auto" w:fill="auto"/>
            <w:tcMar>
              <w:top w:type="dxa" w:w="80"/>
              <w:left w:type="dxa" w:w="80"/>
              <w:bottom w:type="dxa" w:w="80"/>
              <w:right w:type="dxa" w:w="80"/>
            </w:tcMar>
            <w:vAlign w:val="top"/>
          </w:tcPr>
          <w:p>
            <w:pPr>
              <w:pStyle w:val="Table Text"/>
              <w:spacing w:after="40" w:line="240" w:lineRule="auto"/>
            </w:pPr>
            <w:r>
              <w:rPr>
                <w:rFonts w:ascii="Times New Roman" w:hAnsi="Times New Roman"/>
                <w:rtl w:val="0"/>
                <w:lang w:val="en-US"/>
              </w:rPr>
              <w:t>Periodic identification of time creates closed timelike curves</w:t>
            </w:r>
          </w:p>
        </w:tc>
      </w:tr>
      <w:tr>
        <w:tblPrEx>
          <w:shd w:val="clear" w:color="auto" w:fill="ced7e7"/>
        </w:tblPrEx>
        <w:trPr>
          <w:trHeight w:val="402" w:hRule="atLeast"/>
        </w:trPr>
        <w:tc>
          <w:tcPr>
            <w:tcW w:type="dxa" w:w="2381"/>
            <w:tcBorders>
              <w:top w:val="single" w:color="999999" w:sz="4" w:space="0" w:shadow="0" w:frame="0"/>
              <w:left w:val="nil"/>
              <w:bottom w:val="single" w:color="999999" w:sz="4" w:space="0" w:shadow="0" w:frame="0"/>
              <w:right w:val="nil"/>
            </w:tcBorders>
            <w:shd w:val="clear" w:color="auto" w:fill="auto"/>
            <w:tcMar>
              <w:top w:type="dxa" w:w="80"/>
              <w:left w:type="dxa" w:w="80"/>
              <w:bottom w:type="dxa" w:w="80"/>
              <w:right w:type="dxa" w:w="80"/>
            </w:tcMar>
            <w:vAlign w:val="top"/>
          </w:tcPr>
          <w:p>
            <w:pPr>
              <w:pStyle w:val="Table Text"/>
              <w:keepNext w:val="1"/>
              <w:spacing w:after="40" w:line="240" w:lineRule="auto"/>
            </w:pPr>
            <w:r>
              <w:rPr>
                <w:rFonts w:ascii="Times New Roman" w:hAnsi="Times New Roman"/>
                <w:rtl w:val="0"/>
                <w:lang w:val="en-US"/>
              </w:rPr>
              <w:t>Zero anisotropy at one instant</w:t>
            </w:r>
          </w:p>
        </w:tc>
        <w:tc>
          <w:tcPr>
            <w:tcW w:type="dxa" w:w="3714"/>
            <w:tcBorders>
              <w:top w:val="single" w:color="999999" w:sz="4" w:space="0" w:shadow="0" w:frame="0"/>
              <w:left w:val="nil"/>
              <w:bottom w:val="single" w:color="999999" w:sz="4" w:space="0" w:shadow="0" w:frame="0"/>
              <w:right w:val="nil"/>
            </w:tcBorders>
            <w:shd w:val="clear" w:color="auto" w:fill="auto"/>
            <w:tcMar>
              <w:top w:type="dxa" w:w="80"/>
              <w:left w:type="dxa" w:w="80"/>
              <w:bottom w:type="dxa" w:w="80"/>
              <w:right w:type="dxa" w:w="80"/>
            </w:tcMar>
            <w:vAlign w:val="top"/>
          </w:tcPr>
          <w:p>
            <w:pPr>
              <w:pStyle w:val="Table Text"/>
              <w:keepNext w:val="1"/>
              <w:spacing w:after="40" w:line="240" w:lineRule="auto"/>
            </w:pPr>
            <w:r>
              <w:rPr>
                <w:rFonts w:ascii="Times New Roman" w:hAnsi="Times New Roman"/>
                <w:rtl w:val="0"/>
                <w:lang w:val="en-US"/>
              </w:rPr>
              <w:t>An invariant universality set</w:t>
            </w:r>
          </w:p>
        </w:tc>
        <w:tc>
          <w:tcPr>
            <w:tcW w:type="dxa" w:w="3429"/>
            <w:tcBorders>
              <w:top w:val="single" w:color="999999" w:sz="4" w:space="0" w:shadow="0" w:frame="0"/>
              <w:left w:val="nil"/>
              <w:bottom w:val="single" w:color="999999" w:sz="4" w:space="0" w:shadow="0" w:frame="0"/>
              <w:right w:val="nil"/>
            </w:tcBorders>
            <w:shd w:val="clear" w:color="auto" w:fill="auto"/>
            <w:tcMar>
              <w:top w:type="dxa" w:w="80"/>
              <w:left w:type="dxa" w:w="80"/>
              <w:bottom w:type="dxa" w:w="80"/>
              <w:right w:type="dxa" w:w="80"/>
            </w:tcMar>
            <w:vAlign w:val="top"/>
          </w:tcPr>
          <w:p>
            <w:pPr>
              <w:pStyle w:val="Table Text"/>
              <w:keepNext w:val="1"/>
              <w:spacing w:after="40" w:line="240" w:lineRule="auto"/>
            </w:pPr>
            <w:r>
              <w:rPr>
                <w:rFonts w:ascii="Times New Roman" w:hAnsi="Times New Roman"/>
                <w:rtl w:val="0"/>
                <w:lang w:val="en-US"/>
              </w:rPr>
              <w:t>q = 0 with nonzero conjugate momentum in Section 5.3</w:t>
            </w:r>
          </w:p>
        </w:tc>
      </w:tr>
    </w:tbl>
    <w:p>
      <w:pPr>
        <w:pStyle w:val="Normal.0"/>
        <w:widowControl w:val="0"/>
        <w:spacing w:after="80" w:line="240" w:lineRule="atLeast"/>
        <w:ind w:left="100" w:hanging="100"/>
        <w:jc w:val="center"/>
      </w:pPr>
    </w:p>
    <w:p>
      <w:pPr>
        <w:pStyle w:val="Table Citation"/>
        <w:keepLines w:val="1"/>
        <w:spacing w:before="60" w:after="120" w:line="240" w:lineRule="atLeast"/>
        <w:jc w:val="center"/>
      </w:pPr>
      <w:r>
        <w:rPr>
          <w:rFonts w:ascii="Times New Roman" w:hAnsi="Times New Roman"/>
          <w:sz w:val="22"/>
          <w:szCs w:val="22"/>
          <w:rtl w:val="0"/>
          <w:lang w:val="en-US"/>
        </w:rPr>
        <w:t>Table 2. Previous-stage data do not determine the next stage. These examples constrain the proposed transitions; they do not rule out transitions under additional hypotheses.</w:t>
      </w:r>
    </w:p>
    <w:p>
      <w:pPr>
        <w:pStyle w:val="Normal.0"/>
        <w:spacing w:after="80" w:line="240" w:lineRule="atLeast"/>
      </w:pPr>
      <w:r>
        <w:rPr>
          <w:sz w:val="22"/>
          <w:szCs w:val="22"/>
          <w:rtl w:val="0"/>
          <w:lang w:val="en-US"/>
        </w:rPr>
        <w:t>The central uncompleted step is selection of geometry. A genuinely pregeometric continuation needs a specified permutation-invariant law and state ensemble that produce a local regime from a sufficiently broad class of initial relations. Graphity-type models [3] give useful starting points, but the required claim must include control of eigenfunctions, localisation operations and response, not only a spectral dimension. The prescribed chains of this paper provide a benchmark against which such a result can be compared.</w:t>
      </w:r>
    </w:p>
    <w:p>
      <w:pPr>
        <w:pStyle w:val="Normal.0"/>
        <w:spacing w:after="80" w:line="240" w:lineRule="atLeast"/>
      </w:pPr>
      <w:r>
        <w:rPr>
          <w:sz w:val="22"/>
          <w:szCs w:val="22"/>
          <w:rtl w:val="0"/>
          <w:lang w:val="en-US"/>
        </w:rPr>
        <w:t>An internal observer can be specified operationally by an accessible algebra A</w:t>
      </w:r>
      <w:r>
        <w:rPr>
          <w:sz w:val="22"/>
          <w:szCs w:val="22"/>
          <w:vertAlign w:val="superscript"/>
          <w:rtl w:val="0"/>
          <w:lang w:val="en-US"/>
        </w:rPr>
        <w:t>O</w:t>
      </w:r>
      <w:r>
        <w:rPr>
          <w:sz w:val="22"/>
          <w:szCs w:val="22"/>
          <w:rtl w:val="0"/>
          <w:lang w:val="en-US"/>
        </w:rPr>
        <w:t>, a clock observable T</w:t>
      </w:r>
      <w:r>
        <w:rPr>
          <w:sz w:val="22"/>
          <w:szCs w:val="22"/>
          <w:vertAlign w:val="superscript"/>
          <w:rtl w:val="0"/>
          <w:lang w:val="en-US"/>
        </w:rPr>
        <w:t>O</w:t>
      </w:r>
      <w:r>
        <w:rPr>
          <w:sz w:val="22"/>
          <w:szCs w:val="22"/>
          <w:rtl w:val="0"/>
          <w:lang w:val="en-US"/>
        </w:rPr>
        <w:t xml:space="preserve">, a set of admissible controls and a preparation procedure. A relation A </w:t>
      </w:r>
      <w:r>
        <w:rPr>
          <w:rFonts w:ascii="Arial Unicode MS" w:cs="Arial Unicode MS" w:hAnsi="Arial Unicode MS" w:eastAsia="Arial Unicode MS" w:hint="default"/>
          <w:b w:val="0"/>
          <w:bCs w:val="0"/>
          <w:i w:val="0"/>
          <w:iCs w:val="0"/>
          <w:sz w:val="22"/>
          <w:szCs w:val="22"/>
          <w:rtl w:val="0"/>
          <w:lang w:val="en-US"/>
        </w:rPr>
        <w:t>↝</w:t>
      </w:r>
      <w:r>
        <w:rPr>
          <w:sz w:val="22"/>
          <w:szCs w:val="22"/>
          <w:rtl w:val="0"/>
          <w:lang w:val="en-US"/>
        </w:rPr>
        <w:t xml:space="preserve"> </w:t>
      </w:r>
      <w:r>
        <w:rPr>
          <w:sz w:val="22"/>
          <w:szCs w:val="22"/>
          <w:rtl w:val="0"/>
          <w:lang w:val="en-US"/>
        </w:rPr>
        <w:t>B then means that an allowed intervention at A changes later accessible statistics at B in that clock convention. The kernels used here describe ideal coordinate impulses and readouts. Whether those interventions can be implemented by an internal subsystem is an additional model question, not a consequence of a nonzero mathematical matrix entry.</w:t>
      </w:r>
    </w:p>
    <w:p>
      <w:pPr>
        <w:pStyle w:val="Normal.0"/>
        <w:spacing w:after="80" w:line="240" w:lineRule="atLeast"/>
      </w:pPr>
      <w:r>
        <w:rPr>
          <w:sz w:val="22"/>
          <w:szCs w:val="22"/>
          <w:rtl w:val="0"/>
          <w:lang w:val="en-US"/>
        </w:rPr>
        <w:t>For gauge fields and gravity, universality must be formulated on the physical degrees of freedom after constraints and gauge redundancy are treated. The desired condition is equality of physical characteristic sets, Char</w:t>
      </w:r>
      <w:r>
        <w:rPr>
          <w:sz w:val="22"/>
          <w:szCs w:val="22"/>
          <w:vertAlign w:val="subscript"/>
          <w:rtl w:val="0"/>
          <w:lang w:val="en-US"/>
        </w:rPr>
        <w:t>phys</w:t>
      </w:r>
      <w:r>
        <w:rPr>
          <w:sz w:val="22"/>
          <w:szCs w:val="22"/>
          <w:rtl w:val="0"/>
          <w:lang w:val="en-US"/>
        </w:rPr>
        <w:t>(P</w:t>
      </w:r>
      <w:r>
        <w:rPr>
          <w:sz w:val="22"/>
          <w:szCs w:val="22"/>
          <w:vertAlign w:val="subscript"/>
          <w:rtl w:val="0"/>
          <w:lang w:val="en-US"/>
        </w:rPr>
        <w:t>a</w:t>
      </w:r>
      <w:r>
        <w:rPr>
          <w:sz w:val="22"/>
          <w:szCs w:val="22"/>
          <w:rtl w:val="0"/>
          <w:lang w:val="en-US"/>
        </w:rPr>
        <w:t>) = N*, across sectors. A determinant with gauge-zero directions is not a physical cone test. The scalar compression D</w:t>
      </w:r>
      <w:r>
        <w:rPr>
          <w:sz w:val="22"/>
          <w:szCs w:val="22"/>
          <w:vertAlign w:val="subscript"/>
          <w:rtl w:val="0"/>
          <w:lang w:val="en-US"/>
        </w:rPr>
        <w:t>00</w:t>
      </w:r>
      <w:r>
        <w:rPr>
          <w:sz w:val="22"/>
          <w:szCs w:val="22"/>
          <w:rtl w:val="0"/>
          <w:lang w:val="en-US"/>
        </w:rPr>
        <w:t xml:space="preserve"> supplies a controlled model, while extensions to constrained principal symbols require separate analysis; analogous multicomponent media already show the importance of these distinctions [6].</w:t>
      </w:r>
    </w:p>
    <w:p>
      <w:pPr>
        <w:pStyle w:val="Normal.0"/>
        <w:spacing w:after="80" w:line="240" w:lineRule="atLeast"/>
      </w:pPr>
      <w:r>
        <w:rPr>
          <w:sz w:val="22"/>
          <w:szCs w:val="22"/>
          <w:rtl w:val="0"/>
          <w:lang w:val="en-US"/>
        </w:rPr>
        <w:t>Three further distinctions remain essential. A scale flow is not Hamiltonian time evolution. A stable invariant set need not attract nearby states. A common leading cone need not be stable under quantum corrections. Testing an interacting physical model requires its actual symmetries, regulator, effective operators and observable sectors, as emphasised by the radiative-stability problem [12]. No such interacting calculation is claimed here.</w:t>
      </w:r>
    </w:p>
    <w:p>
      <w:pPr>
        <w:pStyle w:val="Normal.0"/>
        <w:spacing w:after="80" w:line="240" w:lineRule="atLeast"/>
      </w:pPr>
      <w:r>
        <w:rPr>
          <w:sz w:val="22"/>
          <w:szCs w:val="22"/>
          <w:rtl w:val="0"/>
          <w:lang w:val="en-US"/>
        </w:rPr>
        <w:t>The remaining topics</w:t>
      </w:r>
      <w:r>
        <w:rPr>
          <w:sz w:val="22"/>
          <w:szCs w:val="22"/>
          <w:rtl w:val="0"/>
          <w:lang w:val="en-US"/>
        </w:rPr>
        <w:t>—</w:t>
      </w:r>
      <w:r>
        <w:rPr>
          <w:sz w:val="22"/>
          <w:szCs w:val="22"/>
          <w:rtl w:val="0"/>
          <w:lang w:val="en-US"/>
        </w:rPr>
        <w:t>vacuum selection, a dynamical relational description, topological restrictions, compactness and the gravity interface</w:t>
      </w:r>
      <w:r>
        <w:rPr>
          <w:sz w:val="22"/>
          <w:szCs w:val="22"/>
          <w:rtl w:val="0"/>
          <w:lang w:val="en-US"/>
        </w:rPr>
        <w:t>—</w:t>
      </w:r>
      <w:r>
        <w:rPr>
          <w:sz w:val="22"/>
          <w:szCs w:val="22"/>
          <w:rtl w:val="0"/>
          <w:lang w:val="en-US"/>
        </w:rPr>
        <w:t>should be attached to a specific missing transition rather than treated as independent explanations. Pregeometry is then a level of description on which the operations later interpreted as geometric and causal are not yet defined. Its content lies in invariants, admissible maps and conditions for transitions between levels, rather than in naming a final underlying substance.</w:t>
      </w:r>
    </w:p>
    <w:p>
      <w:pPr>
        <w:pStyle w:val="Заголовок 2"/>
        <w:spacing w:line="240" w:lineRule="atLeast"/>
      </w:pPr>
      <w:r>
        <w:rPr>
          <w:rtl w:val="0"/>
          <w:lang w:val="it-IT"/>
        </w:rPr>
        <w:t>9. Conclusion</w:t>
      </w:r>
    </w:p>
    <w:p>
      <w:pPr>
        <w:pStyle w:val="Normal.0"/>
        <w:spacing w:after="80" w:line="240" w:lineRule="atLeast"/>
        <w:rPr>
          <w:sz w:val="22"/>
          <w:szCs w:val="22"/>
        </w:rPr>
      </w:pPr>
      <w:r>
        <w:rPr>
          <w:sz w:val="22"/>
          <w:szCs w:val="22"/>
          <w:rtl w:val="0"/>
          <w:lang w:val="en-US"/>
        </w:rPr>
        <w:t xml:space="preserve">The first spectral criterion can be extended into a controlled response programme. On prescribed finite chains, physically normalised microscopic tails disappear uniformly outside every enlarged continuum cone, and several different hopping Hamiltonians approach the same local wave response. </w:t>
      </w:r>
    </w:p>
    <w:p>
      <w:pPr>
        <w:pStyle w:val="Normal.0"/>
        <w:spacing w:after="80" w:line="240" w:lineRule="atLeast"/>
      </w:pPr>
      <w:r>
        <w:rPr>
          <w:sz w:val="22"/>
          <w:szCs w:val="22"/>
          <w:rtl w:val="0"/>
          <w:lang w:val="en-US"/>
        </w:rPr>
        <w:t>Fourier and local cell reconstructions agree in the limit. A fixed infrared cutoff does not possess exact spatial support, and a large-gap estimate identifies one sufficient completion of collective-mode elimination.</w:t>
      </w:r>
    </w:p>
    <w:p>
      <w:pPr>
        <w:pStyle w:val="Normal.0"/>
        <w:spacing w:after="80" w:line="240" w:lineRule="atLeast"/>
      </w:pPr>
      <w:r>
        <w:rPr>
          <w:sz w:val="22"/>
          <w:szCs w:val="22"/>
          <w:rtl w:val="0"/>
          <w:lang w:val="en-US"/>
        </w:rPr>
        <w:t>Cone universality has a separate dynamical problem. Its basis-independent defect must be transported with the massless projection; a tangency condition tests invariance, while Hamiltonian recurrence obstructs a positive-measure attracting set under the stated finite-measure assumptions. Symmetry protection, attraction of reduced observables and scale-flow universality must therefore be investigated separately.</w:t>
      </w:r>
    </w:p>
    <w:p>
      <w:pPr>
        <w:pStyle w:val="Normal.0"/>
        <w:spacing w:after="80" w:line="240" w:lineRule="atLeast"/>
      </w:pPr>
      <w:r>
        <w:rPr>
          <w:sz w:val="22"/>
          <w:szCs w:val="22"/>
          <w:rtl w:val="0"/>
          <w:lang w:val="en-US"/>
        </w:rPr>
        <w:t>The limit supplies a propagation structure under explicit geometric and temporal identifications. It does not choose a future from reversal-invariant data, establish a global order without causal hypotheses, or fix a metric scale without measure data. These distinctions turn the next stage of the relational programme into three testable problems with stated mathematical boundaries.</w:t>
      </w:r>
    </w:p>
    <w:p>
      <w:pPr>
        <w:pStyle w:val="Заголовок"/>
        <w:spacing w:line="240" w:lineRule="atLeast"/>
      </w:pPr>
      <w:r>
        <w:rPr>
          <w:rtl w:val="0"/>
          <w:lang w:val="en-US"/>
        </w:rPr>
        <w:t>Part III. Universal null calibration</w:t>
      </w:r>
    </w:p>
    <w:p>
      <w:pPr>
        <w:pStyle w:val="Заголовок 2"/>
        <w:spacing w:line="240" w:lineRule="atLeast"/>
      </w:pPr>
      <w:r>
        <w:rPr>
          <w:rtl w:val="0"/>
          <w:lang w:val="en-US"/>
        </w:rPr>
        <w:t>1. From a dimensional number to a structural condition</w:t>
      </w:r>
    </w:p>
    <w:p>
      <w:pPr>
        <w:pStyle w:val="Текстовый блок"/>
        <w:spacing w:line="240" w:lineRule="atLeast"/>
      </w:pPr>
      <w:r>
        <w:rPr>
          <w:rtl w:val="0"/>
          <w:lang w:val="en-US"/>
        </w:rPr>
        <w:t xml:space="preserve">The proposed invariant is not the number </w:t>
      </w:r>
      <m:oMath>
        <m:r>
          <m:t>299792458</m:t>
        </m:r>
      </m:oMath>
      <w:r>
        <w:rPr>
          <w:rtl w:val="0"/>
          <w:lang w:val="en-US"/>
        </w:rPr>
        <w:t>. In the SI, that numerical value of the vacuum speed of light is exact because it enters the definition of the metre, together with the definition of the second [18]. The experimental content of relativistic propagation is not removed by that metrological choice. One still has to establish which physical sectors share a characteristic structure and whether their agreement survives changes of scale, state and description. The debate about dimensionful constants [19] usefully exposes the dependence on conventions; our results require no particular position in that broader debate.</w:t>
      </w:r>
    </w:p>
    <w:p>
      <w:pPr>
        <w:pStyle w:val="Текстовый блок"/>
        <w:spacing w:line="240" w:lineRule="atLeast"/>
      </w:pPr>
      <w:r>
        <w:rPr>
          <w:rtl w:val="0"/>
          <w:lang w:val="en-US"/>
        </w:rPr>
        <w:t>The preceding papers of this programme established a spectral common-cone criterion [15] and controlled response limits on prescribed chains [20]. The present article uses those results to answer a different question: what exactly is preserved when spatial and temporal measurements are calibrated against the same null structure? The earlier light papers [21</w:t>
      </w:r>
      <w:r>
        <w:rPr>
          <w:rtl w:val="0"/>
          <w:lang w:val="en-US"/>
        </w:rPr>
        <w:t>–</w:t>
      </w:r>
      <w:r>
        <w:rPr>
          <w:rtl w:val="0"/>
          <w:lang w:val="en-US"/>
        </w:rPr>
        <w:t>23] supplied compact geometric examples; the DRD framework [24] supplied the distinction between a carrier and structures preserved by specified morphisms. Neither body of work is taken as an independent proof of universality. Corrections to statements relevant here are given in Section 9 and the accompanying corpus audit.</w:t>
      </w:r>
    </w:p>
    <w:p>
      <w:pPr>
        <w:pStyle w:val="Текстовый блок"/>
        <w:spacing w:line="240" w:lineRule="atLeast"/>
      </w:pPr>
      <w:r>
        <w:rPr>
          <w:b w:val="1"/>
          <w:bCs w:val="1"/>
          <w:rtl w:val="0"/>
          <w:lang w:val="en-US"/>
        </w:rPr>
        <w:t>Hypothesis of the programme.</w:t>
      </w:r>
      <w:r>
        <w:rPr>
          <w:rtl w:val="0"/>
          <w:lang w:val="en-US"/>
        </w:rPr>
        <w:t xml:space="preserve"> Spatial and temporal measures may be effective calibrations compatible with a more primitive common response structure. This is a hypothesis about reconstruction. It is not an identification of a three-dimensional vector space with a one-dimensional time axis. Our precise, weaker object is a compatibility relation between positive length and time scales after an observer splitting and physical characteristics have been reconstructed.</w:t>
      </w:r>
    </w:p>
    <w:p>
      <w:pPr>
        <w:pStyle w:val="Текстовый блок"/>
        <w:spacing w:line="240" w:lineRule="atLeast"/>
      </w:pPr>
      <w:r>
        <w:rPr>
          <w:rtl w:val="0"/>
          <w:lang w:val="en-US"/>
        </w:rPr>
        <w:t>There are four main technical results. Theorem 1 separates common-cone physics from unit normalisation. Theorem 2 supplies a sufficient criterion for independence under specified reconstructions. Conditional Proposition 3 gives spectral length</w:t>
      </w:r>
      <w:r>
        <w:rPr>
          <w:rtl w:val="0"/>
          <w:lang w:val="en-US"/>
        </w:rPr>
        <w:t>–</w:t>
      </w:r>
      <w:r>
        <w:rPr>
          <w:rtl w:val="0"/>
          <w:lang w:val="en-US"/>
        </w:rPr>
        <w:t>time bounds. Theorem 4 lifts the harmonic control model to unitary quantum dynamics and a microcausal limit. Proposition 5 corrects a previous recurrence claim. None is presented as a new derivation of Lorentz symmetry for the Standard Model. The matrix, spectral-calculus and CCR methods are standard; the contribution is their explicit assembly, quantitative control and the identification of conditions under which the proposed invariant is meaningful.</w:t>
      </w:r>
    </w:p>
    <w:p>
      <w:pPr>
        <w:pStyle w:val="Заголовок 3"/>
        <w:spacing w:line="240" w:lineRule="atLeast"/>
      </w:pPr>
      <w:bookmarkStart w:name="Xbb4f1d6bd55828a2af8a0ce6b719e63e8c39e41" w:id="0"/>
      <w:r>
        <w:rPr>
          <w:rtl w:val="0"/>
          <w:lang w:val="en-US"/>
        </w:rPr>
        <w:t>1.1. The neutral level and the controlled level</w:t>
      </w:r>
    </w:p>
    <w:p>
      <w:pPr>
        <w:pStyle w:val="Текстовый блок"/>
        <w:spacing w:line="240" w:lineRule="atLeast"/>
      </w:pPr>
      <w:r>
        <w:rPr>
          <w:rtl w:val="0"/>
          <w:lang w:val="en-US"/>
        </w:rPr>
        <w:t xml:space="preserve">At the proposed microscopic level, let </w:t>
      </w:r>
      <m:oMath>
        <m:r>
          <m:t>R</m:t>
        </m:r>
      </m:oMath>
      <w:r>
        <w:rPr>
          <w:rtl w:val="0"/>
          <w:lang w:val="en-US"/>
        </w:rPr>
        <w:t xml:space="preserve"> denote a neutral relational structure, for example a symmetric weighted adjacency matrix considered up to vertex permutations. It is not called a causal relation. Before a metric reconstruction has been defined, </w:t>
      </w:r>
      <m:oMath>
        <m:r>
          <m:t>d</m:t>
        </m:r>
        <m:d>
          <m:e>
            <m:r>
              <m:t>A,B</m:t>
            </m:r>
          </m:e>
        </m:d>
      </m:oMath>
      <w:r>
        <w:rPr>
          <w:rtl w:val="0"/>
          <w:lang w:val="en-US"/>
        </w:rPr>
        <w:t xml:space="preserve"> is undefined, rather than zero. Before a physical clock has been constructed, the same applies to </w:t>
      </w:r>
      <m:oMath>
        <m:r>
          <m:t>Δt</m:t>
        </m:r>
        <m:d>
          <m:e>
            <m:r>
              <m:t>A,B</m:t>
            </m:r>
          </m:e>
        </m:d>
      </m:oMath>
      <w:r>
        <w:rPr>
          <w:rtl w:val="0"/>
          <w:lang w:val="en-US"/>
        </w:rPr>
        <w:t xml:space="preserve">. We assume neither a Planck grain nor </w:t>
      </w:r>
      <m:oMath>
        <m:sSup>
          <m:e>
            <m:r>
              <m:t>S</m:t>
            </m:r>
          </m:e>
          <m:sup>
            <m:r>
              <m:t>3</m:t>
            </m:r>
          </m:sup>
        </m:sSup>
      </m:oMath>
      <w:r>
        <w:rPr>
          <w:rtl w:val="0"/>
          <w:lang w:val="en-US"/>
        </w:rPr>
        <w:t>, compactness, a photon field or a future-directed order at this level.</w:t>
      </w:r>
    </w:p>
    <w:p>
      <w:pPr>
        <w:pStyle w:val="Текстовый блок"/>
        <w:spacing w:line="240" w:lineRule="atLeast"/>
      </w:pPr>
      <w:r>
        <w:rPr>
          <w:rtl w:val="0"/>
          <w:lang w:val="en-US"/>
        </w:rPr>
        <w:t xml:space="preserve">The theorems below begin at a later, explicitly controlled level. Positive quadratic dynamics, a parameter for evolution, Hilbert-space measures and candidate reconstruction maps are given. In the chain example, the circle and its refinement are prescribed. An evolution parameter used to prove a limit is not thereby a derived physical clock. Thus the results test an interface which a pregeometric model must eventually produce; they do not supply the missing transition from an arbitrary </w:t>
      </w:r>
      <m:oMath>
        <m:r>
          <m:t>R</m:t>
        </m:r>
      </m:oMath>
      <w:r>
        <w:rPr>
          <w:rtl w:val="0"/>
          <w:lang w:val="en-US"/>
        </w:rPr>
        <w:t xml:space="preserve"> to that interface.</w:t>
      </w:r>
      <w:bookmarkEnd w:id="0"/>
    </w:p>
    <w:p>
      <w:pPr>
        <w:pStyle w:val="Заголовок 3"/>
        <w:spacing w:line="240" w:lineRule="atLeast"/>
      </w:pPr>
      <w:bookmarkStart w:name="Xf17387aa70321315fce51d4e73a7d1626199e54" w:id="1"/>
      <w:r>
        <w:rPr>
          <w:rtl w:val="0"/>
          <w:lang w:val="en-US"/>
        </w:rPr>
        <w:t xml:space="preserve">1.2. Physical characteristics and the meaning of </w:t>
      </w:r>
      <w:r>
        <w:rPr>
          <w:rtl w:val="0"/>
          <w:lang w:val="en-US"/>
        </w:rPr>
        <w:t>“</w:t>
      </w:r>
      <w:r>
        <w:rPr>
          <w:rtl w:val="0"/>
        </w:rPr>
        <w:t>massless</w:t>
      </w:r>
      <w:r>
        <w:rPr>
          <w:rtl w:val="0"/>
          <w:lang w:val="en-US"/>
        </w:rPr>
        <w:t>”</w:t>
      </w:r>
    </w:p>
    <w:p>
      <w:pPr>
        <w:pStyle w:val="Текстовый блок"/>
        <w:spacing w:line="240" w:lineRule="atLeast"/>
      </w:pPr>
      <w:r>
        <w:rPr>
          <w:rtl w:val="0"/>
          <w:lang w:val="en-US"/>
        </w:rPr>
        <w:t xml:space="preserve">Let </w:t>
      </w:r>
      <m:oMath>
        <m:r>
          <m:t>M</m:t>
        </m:r>
      </m:oMath>
      <w:r>
        <w:rPr>
          <w:rtl w:val="0"/>
          <w:lang w:val="en-US"/>
        </w:rPr>
        <w:t xml:space="preserve"> be a smooth effective manifold. For each retained physical sector </w:t>
      </w:r>
      <m:oMath>
        <m:r>
          <m:t>a</m:t>
        </m:r>
      </m:oMath>
      <w:r>
        <w:rPr>
          <w:rtl w:val="0"/>
          <w:lang w:val="en-US"/>
        </w:rPr>
        <w:t xml:space="preserve">, let </w:t>
      </w:r>
      <m:oMath>
        <m:sSubSup>
          <m:e>
            <m:r>
              <m:t>P</m:t>
            </m:r>
          </m:e>
          <m:sub>
            <m:r>
              <m:t>a</m:t>
            </m:r>
          </m:sub>
          <m:sup>
            <m:r>
              <m:rPr>
                <m:sty m:val="p"/>
              </m:rPr>
              <m:t>phys</m:t>
            </m:r>
          </m:sup>
        </m:sSubSup>
        <m:d>
          <m:e>
            <m:r>
              <m:t>x,k</m:t>
            </m:r>
          </m:e>
        </m:d>
      </m:oMath>
      <w:r>
        <w:rPr>
          <w:rtl w:val="0"/>
          <w:lang w:val="en-US"/>
        </w:rPr>
        <w:t xml:space="preserve"> denote its principal symbol after constraints and gauge redundancy have been treated. We write</w:t>
      </w:r>
    </w:p>
    <w:p>
      <w:pPr>
        <w:pStyle w:val="Текстовый блок"/>
        <w:keepLines w:val="1"/>
        <w:spacing w:before="60" w:line="240" w:lineRule="atLeast"/>
        <w:jc w:val="center"/>
      </w:pPr>
      <m:oMathPara>
        <m:oMathParaPr>
          <m:jc m:val="center"/>
        </m:oMathParaPr>
        <m:oMath>
          <m:sSub>
            <m:e>
              <m:r>
                <m:rPr>
                  <m:sty m:val="p"/>
                </m:rPr>
                <m:t>Char</m:t>
              </m:r>
            </m:e>
            <m:sub>
              <m:r>
                <m:rPr>
                  <m:sty m:val="p"/>
                </m:rPr>
                <m:t>phys</m:t>
              </m:r>
            </m:sub>
          </m:sSub>
          <m:d>
            <m:e>
              <m:sSub>
                <m:e>
                  <m:r>
                    <m:t>P</m:t>
                  </m:r>
                </m:e>
                <m:sub>
                  <m:r>
                    <m:t>a</m:t>
                  </m:r>
                </m:sub>
              </m:sSub>
            </m:e>
          </m:d>
          <m:r>
            <m:t>={</m:t>
          </m:r>
          <m:d>
            <m:e>
              <m:r>
                <m:t>x,k</m:t>
              </m:r>
            </m:e>
          </m:d>
          <m:r>
            <m:t>∈</m:t>
          </m:r>
          <m:sSup>
            <m:e>
              <m:r>
                <m:t>T</m:t>
              </m:r>
            </m:e>
            <m:sup>
              <m:r>
                <m:rPr>
                  <m:sty m:val="p"/>
                </m:rPr>
                <m:t>*</m:t>
              </m:r>
            </m:sup>
          </m:sSup>
          <m:r>
            <m:t>M:k≠0,</m:t>
          </m:r>
          <m:sSub>
            <m:e>
              <m:r>
                <m:rPr>
                  <m:sty m:val="p"/>
                </m:rPr>
                <m:t>ker</m:t>
              </m:r>
            </m:e>
            <m:sub>
              <m:r>
                <m:rPr>
                  <m:sty m:val="p"/>
                </m:rPr>
                <m:t>phys</m:t>
              </m:r>
            </m:sub>
          </m:sSub>
          <m:sSub>
            <m:e>
              <m:r>
                <m:t>P</m:t>
              </m:r>
            </m:e>
            <m:sub>
              <m:r>
                <m:t>a</m:t>
              </m:r>
            </m:sub>
          </m:sSub>
          <m:d>
            <m:e>
              <m:r>
                <m:t>x,k</m:t>
              </m:r>
            </m:e>
          </m:d>
          <m:r>
            <m:t>≠{0}}.</m:t>
          </m:r>
          <m:r>
            <m:rPr>
              <m:nor/>
            </m:rPr>
            <m:t>(1)</m:t>
          </m:r>
        </m:oMath>
      </m:oMathPara>
    </w:p>
    <w:p>
      <w:pPr>
        <w:pStyle w:val="Текстовый блок"/>
        <w:spacing w:line="240" w:lineRule="atLeast"/>
      </w:pPr>
      <w:r>
        <w:rPr>
          <w:rtl w:val="0"/>
          <w:lang w:val="en-US"/>
        </w:rPr>
        <w:t xml:space="preserve">A gauge kernel present for every </w:t>
      </w:r>
      <m:oMath>
        <m:r>
          <m:t>k</m:t>
        </m:r>
      </m:oMath>
      <w:r>
        <w:rPr>
          <w:rtl w:val="0"/>
          <w:lang w:val="en-US"/>
        </w:rPr>
        <w:t xml:space="preserve"> is excluded from this definition. In a system with mixing, the sectors are the physical propagation branches, not the original field names. Our finite-dimensional proofs concern real symmetric positive kinetic and spatial forms; strong hyperbolicity is then automatic after diagonalisation. Equality of determinants in an arbitrary matrix system would not establish well-posedness.</w:t>
      </w:r>
    </w:p>
    <w:p>
      <w:pPr>
        <w:pStyle w:val="Текстовый блок"/>
        <w:spacing w:line="240" w:lineRule="atLeast"/>
      </w:pPr>
      <w:r>
        <w:rPr>
          <w:rtl w:val="0"/>
          <w:lang w:val="en-US"/>
        </w:rPr>
        <w:t>“</w:t>
      </w:r>
      <w:r>
        <w:rPr>
          <w:rtl w:val="0"/>
          <w:lang w:val="en-US"/>
        </w:rPr>
        <w:t>Massless</w:t>
      </w:r>
      <w:r>
        <w:rPr>
          <w:rtl w:val="0"/>
          <w:lang w:val="en-US"/>
        </w:rPr>
        <w:t>”</w:t>
      </w:r>
      <w:r>
        <w:rPr>
          <w:rtl w:val="0"/>
          <w:lang w:val="en-US"/>
        </w:rPr>
        <w:t xml:space="preserve"> denotes branches whose frequency tends to zero as the spatial spectral parameter tends to zero. A mass term in an already local relativistic equation is lower order and does not change its principal characteristics. Consequently, universality among massless sectors is a useful test but does not by itself establish universality of all matter. A single remaining massless branch is especially insufficient to test intersector agreement.</w:t>
      </w:r>
    </w:p>
    <w:p>
      <w:pPr>
        <w:pStyle w:val="Текстовый блок"/>
        <w:spacing w:line="240" w:lineRule="atLeast"/>
      </w:pPr>
      <w:r>
        <w:rPr>
          <w:b w:val="1"/>
          <w:bCs w:val="1"/>
          <w:rtl w:val="0"/>
          <w:lang w:val="en-US"/>
        </w:rPr>
        <w:t>Definition 1 (universal null calibration).</w:t>
      </w:r>
      <w:r>
        <w:rPr>
          <w:rtl w:val="0"/>
          <w:lang w:val="en-US"/>
        </w:rPr>
        <w:t xml:space="preserve"> A specified family of physical sectors admits universal null calibration on a region if their characteristic sets coincide with one smooth Lorentzian null cotangent cone </w:t>
      </w:r>
      <m:oMath>
        <m:sSup>
          <m:e>
            <m:r>
              <m:rPr>
                <m:scr m:val="script"/>
              </m:rPr>
              <m:t>N</m:t>
            </m:r>
          </m:e>
          <m:sup>
            <m:r>
              <m:rPr>
                <m:sty m:val="p"/>
              </m:rPr>
              <m:t>*</m:t>
            </m:r>
          </m:sup>
        </m:sSup>
      </m:oMath>
      <w:r>
        <w:rPr>
          <w:rtl w:val="0"/>
          <w:lang w:val="en-US"/>
        </w:rPr>
        <w:t>, and if local observer standards can be calibrated against its dual tangent cone using the same positive length</w:t>
      </w:r>
      <w:r>
        <w:rPr>
          <w:rtl w:val="0"/>
          <w:lang w:val="en-US"/>
        </w:rPr>
        <w:t>–</w:t>
      </w:r>
      <w:r>
        <w:rPr>
          <w:rtl w:val="0"/>
          <w:lang w:val="en-US"/>
        </w:rPr>
        <w:t>time conversion for every sector. No future component or conformal representative is included in this definition. The Lorentzian qualification is substantive: a common higher-degree characteristic variety need not be the cone of a metric [33].</w:t>
      </w:r>
    </w:p>
    <w:p>
      <w:pPr>
        <w:pStyle w:val="Текстовый блок"/>
        <w:spacing w:line="240" w:lineRule="atLeast"/>
      </w:pPr>
      <w:r>
        <w:rPr>
          <w:rtl w:val="0"/>
          <w:lang w:val="en-US"/>
        </w:rPr>
        <w:t xml:space="preserve">Here a calibration means a local frame and unit convention, not a globally integrable system of coordinates. This distinction is essential when coefficients vary. The standard formula </w:t>
      </w:r>
      <m:oMath>
        <m:r>
          <m:t>d</m:t>
        </m:r>
        <m:r>
          <m:rPr>
            <m:sty m:val="p"/>
          </m:rPr>
          <m:t>ℓ</m:t>
        </m:r>
        <m:r>
          <m:t>=cdτ</m:t>
        </m:r>
      </m:oMath>
      <w:r>
        <w:rPr>
          <w:rtl w:val="0"/>
          <w:lang w:val="en-US"/>
        </w:rPr>
        <w:t xml:space="preserve"> uses the time increment measured in an observer</w:t>
      </w:r>
      <w:r>
        <w:rPr>
          <w:rtl w:val="0"/>
          <w:lang w:val="en-US"/>
        </w:rPr>
        <w:t>’</w:t>
      </w:r>
      <w:r>
        <w:rPr>
          <w:rtl w:val="0"/>
          <w:lang w:val="en-US"/>
        </w:rPr>
        <w:t xml:space="preserve">s decomposition of a null displacement; </w:t>
      </w:r>
      <m:oMath>
        <m:r>
          <m:t>dτ</m:t>
        </m:r>
      </m:oMath>
      <w:r>
        <w:rPr>
          <w:rtl w:val="0"/>
          <w:lang w:val="en-US"/>
        </w:rPr>
        <w:t xml:space="preserve"> is not the proper time of the null curve itself.</w:t>
      </w:r>
      <w:bookmarkEnd w:id="1"/>
    </w:p>
    <w:p>
      <w:pPr>
        <w:pStyle w:val="Заголовок 2"/>
        <w:spacing w:line="240" w:lineRule="atLeast"/>
      </w:pPr>
      <w:bookmarkStart w:name="Xa37bc5b71ccbdd96db0f19091202a0dc9885cdd" w:id="2"/>
      <w:r>
        <w:rPr>
          <w:rtl w:val="0"/>
          <w:lang w:val="en-US"/>
        </w:rPr>
        <w:t>2. The common calibration theorem and a dimensionless defect</w:t>
      </w:r>
      <w:bookmarkEnd w:id="2"/>
    </w:p>
    <w:p>
      <w:pPr>
        <w:pStyle w:val="Заголовок 3"/>
        <w:spacing w:line="240" w:lineRule="atLeast"/>
      </w:pPr>
      <w:bookmarkStart w:name="modelclassandallowedtransformations" w:id="3"/>
      <w:r>
        <w:rPr>
          <w:rtl w:val="0"/>
          <w:lang w:val="en-US"/>
        </w:rPr>
        <w:t>2.1. Model class and allowed transformations</w:t>
      </w:r>
    </w:p>
    <w:p>
      <w:pPr>
        <w:pStyle w:val="Текстовый блок"/>
        <w:spacing w:line="240" w:lineRule="atLeast"/>
      </w:pPr>
      <w:r>
        <w:rPr>
          <w:rtl w:val="0"/>
          <w:lang w:val="en-US"/>
        </w:rPr>
        <w:t xml:space="preserve">Fix one positive spatial form </w:t>
      </w:r>
      <m:oMath>
        <m:sSup>
          <m:e>
            <m:r>
              <m:t>h</m:t>
            </m:r>
          </m:e>
          <m:sup>
            <m:r>
              <m:t>ij</m:t>
            </m:r>
          </m:sup>
        </m:sSup>
      </m:oMath>
      <w:r>
        <w:rPr>
          <w:rtl w:val="0"/>
          <w:lang w:val="en-US"/>
        </w:rPr>
        <w:t xml:space="preserve">. On a retained </w:t>
      </w:r>
      <m:oMath>
        <m:r>
          <m:t>r</m:t>
        </m:r>
      </m:oMath>
      <w:r>
        <w:rPr>
          <w:rtl w:val="0"/>
          <w:lang w:val="en-US"/>
        </w:rPr>
        <w:t xml:space="preserve">-dimensional massless space, let </w:t>
      </w:r>
      <m:oMath>
        <m:sSub>
          <m:e>
            <m:r>
              <m:t>A</m:t>
            </m:r>
          </m:e>
          <m:sub>
            <m:r>
              <m:t>0</m:t>
            </m:r>
          </m:sub>
        </m:sSub>
        <m:r>
          <m:t>=</m:t>
        </m:r>
        <m:sSubSup>
          <m:e>
            <m:r>
              <m:t>A</m:t>
            </m:r>
          </m:e>
          <m:sub>
            <m:r>
              <m:t>0</m:t>
            </m:r>
          </m:sub>
          <m:sup>
            <m:r>
              <m:rPr>
                <m:sty m:val="p"/>
                <m:scr m:val="sans-serif"/>
              </m:rPr>
              <m:t>T</m:t>
            </m:r>
          </m:sup>
        </m:sSubSup>
        <m:r>
          <m:t>&gt;0</m:t>
        </m:r>
      </m:oMath>
      <w:r>
        <w:rPr>
          <w:rtl w:val="0"/>
          <w:lang w:val="en-US"/>
        </w:rPr>
        <w:t xml:space="preserve"> and </w:t>
      </w:r>
      <m:oMath>
        <m:sSub>
          <m:e>
            <m:r>
              <m:t>B</m:t>
            </m:r>
          </m:e>
          <m:sub>
            <m:r>
              <m:t>0</m:t>
            </m:r>
          </m:sub>
        </m:sSub>
        <m:r>
          <m:t>=</m:t>
        </m:r>
        <m:sSubSup>
          <m:e>
            <m:r>
              <m:t>B</m:t>
            </m:r>
          </m:e>
          <m:sub>
            <m:r>
              <m:t>0</m:t>
            </m:r>
          </m:sub>
          <m:sup>
            <m:r>
              <m:rPr>
                <m:sty m:val="p"/>
                <m:scr m:val="sans-serif"/>
              </m:rPr>
              <m:t>T</m:t>
            </m:r>
          </m:sup>
        </m:sSubSup>
        <m:r>
          <m:t>&gt;0</m:t>
        </m:r>
      </m:oMath>
      <w:r>
        <w:rPr>
          <w:rtl w:val="0"/>
          <w:lang w:val="en-US"/>
        </w:rPr>
        <w:t>. The physical principal symbol is</w:t>
      </w:r>
    </w:p>
    <w:p>
      <w:pPr>
        <w:pStyle w:val="Текстовый блок"/>
        <w:keepLines w:val="1"/>
        <w:spacing w:before="60" w:line="240" w:lineRule="atLeast"/>
        <w:jc w:val="center"/>
      </w:pPr>
      <m:oMathPara>
        <m:oMathParaPr>
          <m:jc m:val="center"/>
        </m:oMathParaPr>
        <m:oMath>
          <m:r>
            <m:t>P</m:t>
          </m:r>
          <m:d>
            <m:e>
              <m:r>
                <m:t>ω,k</m:t>
              </m:r>
            </m:e>
          </m:d>
          <m:r>
            <m:t>=−</m:t>
          </m:r>
          <m:sSup>
            <m:e>
              <m:r>
                <m:t>ω</m:t>
              </m:r>
            </m:e>
            <m:sup>
              <m:r>
                <m:t>2</m:t>
              </m:r>
            </m:sup>
          </m:sSup>
          <m:sSub>
            <m:e>
              <m:r>
                <m:t>A</m:t>
              </m:r>
            </m:e>
            <m:sub>
              <m:r>
                <m:t>0</m:t>
              </m:r>
            </m:sub>
          </m:sSub>
          <m:r>
            <m:t>+</m:t>
          </m:r>
          <m:sSup>
            <m:e>
              <m:r>
                <m:t>h</m:t>
              </m:r>
            </m:e>
            <m:sup>
              <m:r>
                <m:t>ij</m:t>
              </m:r>
            </m:sup>
          </m:sSup>
          <m:sSub>
            <m:e>
              <m:r>
                <m:t>k</m:t>
              </m:r>
            </m:e>
            <m:sub>
              <m:r>
                <m:t>i</m:t>
              </m:r>
            </m:sub>
          </m:sSub>
          <m:sSub>
            <m:e>
              <m:r>
                <m:t>k</m:t>
              </m:r>
            </m:e>
            <m:sub>
              <m:r>
                <m:t>j</m:t>
              </m:r>
            </m:sub>
          </m:sSub>
          <m:sSub>
            <m:e>
              <m:r>
                <m:t>B</m:t>
              </m:r>
            </m:e>
            <m:sub>
              <m:r>
                <m:t>0</m:t>
              </m:r>
            </m:sub>
          </m:sSub>
          <m:r>
            <m:t>,</m:t>
          </m:r>
          <m:sSub>
            <m:e>
              <m:r>
                <m:t>D</m:t>
              </m:r>
            </m:e>
            <m:sub>
              <m:r>
                <m:t>0</m:t>
              </m:r>
            </m:sub>
          </m:sSub>
          <m:r>
            <m:t>=</m:t>
          </m:r>
          <m:sSubSup>
            <m:e>
              <m:r>
                <m:t>A</m:t>
              </m:r>
            </m:e>
            <m:sub>
              <m:r>
                <m:t>0</m:t>
              </m:r>
            </m:sub>
            <m:sup>
              <m:r>
                <m:t>−1/2</m:t>
              </m:r>
            </m:sup>
          </m:sSubSup>
          <m:sSub>
            <m:e>
              <m:r>
                <m:t>B</m:t>
              </m:r>
            </m:e>
            <m:sub>
              <m:r>
                <m:t>0</m:t>
              </m:r>
            </m:sub>
          </m:sSub>
          <m:sSubSup>
            <m:e>
              <m:r>
                <m:t>A</m:t>
              </m:r>
            </m:e>
            <m:sub>
              <m:r>
                <m:t>0</m:t>
              </m:r>
            </m:sub>
            <m:sup>
              <m:r>
                <m:t>−1/2</m:t>
              </m:r>
            </m:sup>
          </m:sSubSup>
          <m:r>
            <m:t>.</m:t>
          </m:r>
          <m:r>
            <m:rPr>
              <m:nor/>
            </m:rPr>
            <m:t>(2)</m:t>
          </m:r>
        </m:oMath>
      </m:oMathPara>
    </w:p>
    <w:p>
      <w:pPr>
        <w:pStyle w:val="Текстовый блок"/>
        <w:spacing w:line="240" w:lineRule="atLeast"/>
      </w:pPr>
      <w:r>
        <w:rPr>
          <w:rtl w:val="0"/>
          <w:lang w:val="en-US"/>
        </w:rPr>
        <w:t xml:space="preserve">The eigenvalues of </w:t>
      </w:r>
      <m:oMath>
        <m:sSub>
          <m:e>
            <m:r>
              <m:t>D</m:t>
            </m:r>
          </m:e>
          <m:sub>
            <m:r>
              <m:t>0</m:t>
            </m:r>
          </m:sub>
        </m:sSub>
      </m:oMath>
      <w:r>
        <w:rPr>
          <w:rtl w:val="0"/>
          <w:lang w:val="en-US"/>
        </w:rPr>
        <w:t xml:space="preserve"> are </w:t>
      </w:r>
      <m:oMath>
        <m:sSubSup>
          <m:e>
            <m:r>
              <m:t>v</m:t>
            </m:r>
          </m:e>
          <m:sub>
            <m:r>
              <m:t>j</m:t>
            </m:r>
          </m:sub>
          <m:sup>
            <m:r>
              <m:t>2</m:t>
            </m:r>
          </m:sup>
        </m:sSubSup>
        <m:r>
          <m:t>&gt;0</m:t>
        </m:r>
      </m:oMath>
      <w:r>
        <w:rPr>
          <w:rtl w:val="0"/>
          <w:lang w:val="en-US"/>
        </w:rPr>
        <w:t xml:space="preserve">. A common change of numerical coordinates </w:t>
      </w:r>
      <m:oMath>
        <m:r>
          <m:t>x′=αx</m:t>
        </m:r>
      </m:oMath>
      <w:r>
        <w:rPr>
          <w:rtl w:val="0"/>
        </w:rPr>
        <w:t xml:space="preserve">, </w:t>
      </w:r>
      <m:oMath>
        <m:r>
          <m:t>t′=βt</m:t>
        </m:r>
      </m:oMath>
      <w:r>
        <w:rPr>
          <w:rtl w:val="0"/>
          <w:lang w:val="en-US"/>
        </w:rPr>
        <w:t xml:space="preserve">, with </w:t>
      </w:r>
      <m:oMath>
        <m:r>
          <m:t>α,β&gt;0</m:t>
        </m:r>
      </m:oMath>
      <w:r>
        <w:rPr>
          <w:rtl w:val="0"/>
          <w:lang w:val="en-US"/>
        </w:rPr>
        <w:t xml:space="preserve">, sends all speeds to </w:t>
      </w:r>
      <m:oMath>
        <m:r>
          <m:t>v</m:t>
        </m:r>
        <m:sSub>
          <m:e>
            <m:r>
              <m:t>′</m:t>
            </m:r>
          </m:e>
          <m:sub>
            <m:r>
              <m:t>j</m:t>
            </m:r>
          </m:sub>
        </m:sSub>
        <m:r>
          <m:t>=ρ</m:t>
        </m:r>
        <m:sSub>
          <m:e>
            <m:r>
              <m:t>v</m:t>
            </m:r>
          </m:e>
          <m:sub>
            <m:r>
              <m:t>j</m:t>
            </m:r>
          </m:sub>
        </m:sSub>
      </m:oMath>
      <w:r>
        <w:rPr>
          <w:rtl w:val="0"/>
          <w:lang w:val="en-US"/>
        </w:rPr>
        <w:t xml:space="preserve">, where </w:t>
      </w:r>
      <m:oMath>
        <m:r>
          <m:t>ρ=α/β</m:t>
        </m:r>
      </m:oMath>
      <w:r>
        <w:rPr>
          <w:rtl w:val="0"/>
          <w:lang w:val="en-US"/>
        </w:rPr>
        <w:t>. Equivalently, changing the units of length and time multiplies every numerical speed by one common positive factor. A sector-specific clock change is not an allowed common recalibration.</w:t>
      </w:r>
    </w:p>
    <w:p>
      <w:pPr>
        <w:pStyle w:val="Текстовый блок"/>
        <w:spacing w:line="240" w:lineRule="atLeast"/>
      </w:pPr>
      <w:r>
        <w:rPr>
          <w:b w:val="1"/>
          <w:bCs w:val="1"/>
          <w:rtl w:val="0"/>
          <w:lang w:val="en-US"/>
        </w:rPr>
        <w:t>Theorem 1 (common calibration).</w:t>
      </w:r>
      <w:r>
        <w:rPr>
          <w:rtl w:val="0"/>
          <w:lang w:val="en-US"/>
        </w:rPr>
        <w:t xml:space="preserve"> In the class (2), the following are equivalent: all physical branch cones coincide; </w:t>
      </w:r>
      <m:oMath>
        <m:sSub>
          <m:e>
            <m:r>
              <m:t>B</m:t>
            </m:r>
          </m:e>
          <m:sub>
            <m:r>
              <m:t>0</m:t>
            </m:r>
          </m:sub>
        </m:sSub>
        <m:r>
          <m:t>=</m:t>
        </m:r>
        <m:sSup>
          <m:e>
            <m:r>
              <m:t>v</m:t>
            </m:r>
          </m:e>
          <m:sup>
            <m:r>
              <m:t>2</m:t>
            </m:r>
          </m:sup>
        </m:sSup>
        <m:sSub>
          <m:e>
            <m:r>
              <m:t>A</m:t>
            </m:r>
          </m:e>
          <m:sub>
            <m:r>
              <m:t>0</m:t>
            </m:r>
          </m:sub>
        </m:sSub>
      </m:oMath>
      <w:r>
        <w:rPr>
          <w:rtl w:val="0"/>
          <w:lang w:val="en-US"/>
        </w:rPr>
        <w:t xml:space="preserve"> for some </w:t>
      </w:r>
      <m:oMath>
        <m:r>
          <m:t>v&gt;0</m:t>
        </m:r>
      </m:oMath>
      <w:r>
        <w:rPr>
          <w:rtl w:val="0"/>
        </w:rPr>
        <w:t xml:space="preserve">; </w:t>
      </w:r>
      <m:oMath>
        <m:sSub>
          <m:e>
            <m:r>
              <m:t>D</m:t>
            </m:r>
          </m:e>
          <m:sub>
            <m:r>
              <m:t>0</m:t>
            </m:r>
          </m:sub>
        </m:sSub>
        <m:r>
          <m:t>=</m:t>
        </m:r>
        <m:sSup>
          <m:e>
            <m:r>
              <m:t>v</m:t>
            </m:r>
          </m:e>
          <m:sup>
            <m:r>
              <m:t>2</m:t>
            </m:r>
          </m:sup>
        </m:sSup>
        <m:sSub>
          <m:e>
            <m:r>
              <m:t>I</m:t>
            </m:r>
          </m:e>
          <m:sub>
            <m:r>
              <m:t>r</m:t>
            </m:r>
          </m:sub>
        </m:sSub>
      </m:oMath>
      <w:r>
        <w:rPr>
          <w:rtl w:val="0"/>
          <w:lang w:val="en-US"/>
        </w:rPr>
        <w:t xml:space="preserve">; and one common positive recalibration makes every branch speed equal to one. The necessary and sufficient recalibration has </w:t>
      </w:r>
      <m:oMath>
        <m:r>
          <m:t>ρ=1/v</m:t>
        </m:r>
      </m:oMath>
      <w:r>
        <w:rPr>
          <w:rtl w:val="0"/>
          <w:lang w:val="en-US"/>
        </w:rPr>
        <w:t xml:space="preserve">. Before that choice, </w:t>
      </w:r>
      <m:oMath>
        <m:sSub>
          <m:e>
            <m:r>
              <m:t>D</m:t>
            </m:r>
          </m:e>
          <m:sub>
            <m:r>
              <m:t>0</m:t>
            </m:r>
          </m:sub>
        </m:sSub>
        <m:r>
          <m:t>=</m:t>
        </m:r>
        <m:sSup>
          <m:e>
            <m:r>
              <m:t>v</m:t>
            </m:r>
          </m:e>
          <m:sup>
            <m:r>
              <m:t>2</m:t>
            </m:r>
          </m:sup>
        </m:sSup>
        <m:sSub>
          <m:e>
            <m:r>
              <m:t>I</m:t>
            </m:r>
          </m:e>
          <m:sub>
            <m:r>
              <m:t>r</m:t>
            </m:r>
          </m:sub>
        </m:sSub>
      </m:oMath>
      <w:r>
        <w:rPr>
          <w:rtl w:val="0"/>
          <w:lang w:val="en-US"/>
        </w:rPr>
        <w:t xml:space="preserve"> is the physical universality condition; afterwards, </w:t>
      </w:r>
      <m:oMath>
        <m:r>
          <m:t>D</m:t>
        </m:r>
        <m:sSub>
          <m:e>
            <m:r>
              <m:t>′</m:t>
            </m:r>
          </m:e>
          <m:sub>
            <m:r>
              <m:t>0</m:t>
            </m:r>
          </m:sub>
        </m:sSub>
        <m:r>
          <m:t>=</m:t>
        </m:r>
        <m:sSub>
          <m:e>
            <m:r>
              <m:t>I</m:t>
            </m:r>
          </m:e>
          <m:sub>
            <m:r>
              <m:t>r</m:t>
            </m:r>
          </m:sub>
        </m:sSub>
      </m:oMath>
      <w:r>
        <w:rPr>
          <w:rtl w:val="0"/>
          <w:lang w:val="en-US"/>
        </w:rPr>
        <w:t xml:space="preserve"> is its unit-normalised representation.</w:t>
      </w:r>
    </w:p>
    <w:p>
      <w:pPr>
        <w:pStyle w:val="Текстовый блок"/>
        <w:spacing w:line="240" w:lineRule="atLeast"/>
      </w:pPr>
      <w:r>
        <w:rPr>
          <w:rtl w:val="0"/>
          <w:lang w:val="en-US"/>
        </w:rPr>
        <w:t xml:space="preserve">For a smooth field of such systems the assertion is pointwise and yields smooth local calibrations wherever the forms remain positive and the rank is fixed. A single constant pair </w:t>
      </w:r>
      <m:oMath>
        <m:d>
          <m:e>
            <m:r>
              <m:t>α,β</m:t>
            </m:r>
          </m:e>
        </m:d>
      </m:oMath>
      <w:r>
        <w:rPr>
          <w:rtl w:val="0"/>
          <w:lang w:val="en-US"/>
        </w:rPr>
        <w:t xml:space="preserve"> on a whole region works only if the shared </w:t>
      </w:r>
      <m:oMath>
        <m:r>
          <m:t>v</m:t>
        </m:r>
        <m:d>
          <m:e>
            <m:r>
              <m:t>x</m:t>
            </m:r>
          </m:e>
        </m:d>
      </m:oMath>
      <w:r>
        <w:rPr>
          <w:rtl w:val="0"/>
          <w:lang w:val="en-US"/>
        </w:rPr>
        <w:t xml:space="preserve"> is constant in the initially chosen conventions.</w:t>
      </w:r>
    </w:p>
    <w:p>
      <w:pPr>
        <w:pStyle w:val="Текстовый блок"/>
        <w:spacing w:line="240" w:lineRule="atLeast"/>
      </w:pPr>
      <w:r>
        <w:rPr>
          <w:b w:val="1"/>
          <w:bCs w:val="1"/>
          <w:rtl w:val="0"/>
          <w:lang w:val="en-US"/>
        </w:rPr>
        <w:t>Proof.</w:t>
      </w:r>
      <w:r>
        <w:rPr>
          <w:rtl w:val="0"/>
          <w:lang w:val="en-US"/>
        </w:rPr>
        <w:t xml:space="preserve"> Kinetic normalisation and the spectral theorem give</w:t>
      </w:r>
    </w:p>
    <w:p>
      <w:pPr>
        <w:pStyle w:val="Текстовый блок"/>
        <w:keepLines w:val="1"/>
        <w:spacing w:before="60" w:line="240" w:lineRule="atLeast"/>
        <w:jc w:val="center"/>
      </w:pPr>
      <m:oMathPara>
        <m:oMathParaPr>
          <m:jc m:val="center"/>
        </m:oMathParaPr>
        <m:oMath>
          <m:r>
            <m:rPr>
              <m:sty m:val="p"/>
            </m:rPr>
            <m:t>det</m:t>
          </m:r>
          <m:d>
            <m:e>
              <m:sSubSup>
                <m:e>
                  <m:r>
                    <m:t>A</m:t>
                  </m:r>
                </m:e>
                <m:sub>
                  <m:r>
                    <m:t>0</m:t>
                  </m:r>
                </m:sub>
                <m:sup>
                  <m:r>
                    <m:t>−1/2</m:t>
                  </m:r>
                </m:sup>
              </m:sSubSup>
              <m:r>
                <m:t>P</m:t>
              </m:r>
              <m:sSubSup>
                <m:e>
                  <m:r>
                    <m:t>A</m:t>
                  </m:r>
                </m:e>
                <m:sub>
                  <m:r>
                    <m:t>0</m:t>
                  </m:r>
                </m:sub>
                <m:sup>
                  <m:r>
                    <m:t>−1/2</m:t>
                  </m:r>
                </m:sup>
              </m:sSubSup>
            </m:e>
          </m:d>
          <m:r>
            <m:t>=</m:t>
          </m:r>
          <m:nary>
            <m:naryPr>
              <m:chr m:val="∏"/>
              <m:limLoc m:val="undOvr"/>
              <m:grow m:val="0"/>
              <m:subHide m:val="off"/>
              <m:supHide m:val="off"/>
            </m:naryPr>
            <m:sub>
              <m:r>
                <m:t>j=1</m:t>
              </m:r>
            </m:sub>
            <m:sup>
              <m:r>
                <m:t>r</m:t>
              </m:r>
            </m:sup>
            <m:e>
              <m:d>
                <m:e>
                  <m:r>
                    <m:t>−</m:t>
                  </m:r>
                  <m:sSup>
                    <m:e>
                      <m:r>
                        <m:t>ω</m:t>
                      </m:r>
                    </m:e>
                    <m:sup>
                      <m:r>
                        <m:t>2</m:t>
                      </m:r>
                    </m:sup>
                  </m:sSup>
                  <m:r>
                    <m:t>+</m:t>
                  </m:r>
                  <m:sSubSup>
                    <m:e>
                      <m:r>
                        <m:t>v</m:t>
                      </m:r>
                    </m:e>
                    <m:sub>
                      <m:r>
                        <m:t>j</m:t>
                      </m:r>
                    </m:sub>
                    <m:sup>
                      <m:r>
                        <m:t>2</m:t>
                      </m:r>
                    </m:sup>
                  </m:sSubSup>
                  <m:sSup>
                    <m:e>
                      <m:r>
                        <m:t>h</m:t>
                      </m:r>
                    </m:e>
                    <m:sup>
                      <m:r>
                        <m:t>ij</m:t>
                      </m:r>
                    </m:sup>
                  </m:sSup>
                  <m:sSub>
                    <m:e>
                      <m:r>
                        <m:t>k</m:t>
                      </m:r>
                    </m:e>
                    <m:sub>
                      <m:r>
                        <m:t>i</m:t>
                      </m:r>
                    </m:sub>
                  </m:sSub>
                  <m:sSub>
                    <m:e>
                      <m:r>
                        <m:t>k</m:t>
                      </m:r>
                    </m:e>
                    <m:sub>
                      <m:r>
                        <m:t>j</m:t>
                      </m:r>
                    </m:sub>
                  </m:sSub>
                </m:e>
              </m:d>
            </m:e>
          </m:nary>
          <m:r>
            <m:t>.</m:t>
          </m:r>
          <m:r>
            <m:rPr>
              <m:nor/>
            </m:rPr>
            <m:t>(3)</m:t>
          </m:r>
        </m:oMath>
      </m:oMathPara>
    </w:p>
    <w:p>
      <w:pPr>
        <w:pStyle w:val="Текстовый блок"/>
        <w:spacing w:line="240" w:lineRule="atLeast"/>
      </w:pPr>
      <w:r>
        <w:rPr>
          <w:rtl w:val="0"/>
          <w:lang w:val="en-US"/>
        </w:rPr>
        <w:t xml:space="preserve">Choose any nonzero spatial covector. Positivity of </w:t>
      </w:r>
      <m:oMath>
        <m:r>
          <m:t>h</m:t>
        </m:r>
      </m:oMath>
      <w:r>
        <w:rPr>
          <w:rtl w:val="0"/>
          <w:lang w:val="en-US"/>
        </w:rPr>
        <w:t xml:space="preserve"> implies that two factors have the same zero set exactly when their positive speeds coincide. A real symmetric matrix with only one eigenvalue is scalar. Finally </w:t>
      </w:r>
      <m:oMath>
        <m:r>
          <m:t>D</m:t>
        </m:r>
        <m:sSub>
          <m:e>
            <m:r>
              <m:t>′</m:t>
            </m:r>
          </m:e>
          <m:sub>
            <m:r>
              <m:t>0</m:t>
            </m:r>
          </m:sub>
        </m:sSub>
        <m:r>
          <m:t>=</m:t>
        </m:r>
        <m:sSup>
          <m:e>
            <m:r>
              <m:t>ρ</m:t>
            </m:r>
          </m:e>
          <m:sup>
            <m:r>
              <m:t>2</m:t>
            </m:r>
          </m:sup>
        </m:sSup>
        <m:sSub>
          <m:e>
            <m:r>
              <m:t>D</m:t>
            </m:r>
          </m:e>
          <m:sub>
            <m:r>
              <m:t>0</m:t>
            </m:r>
          </m:sub>
        </m:sSub>
      </m:oMath>
      <w:r>
        <w:rPr>
          <w:rtl w:val="0"/>
          <w:lang w:val="en-US"/>
        </w:rPr>
        <w:t xml:space="preserve">, so </w:t>
      </w:r>
      <m:oMath>
        <m:r>
          <m:t>D</m:t>
        </m:r>
        <m:sSub>
          <m:e>
            <m:r>
              <m:t>′</m:t>
            </m:r>
          </m:e>
          <m:sub>
            <m:r>
              <m:t>0</m:t>
            </m:r>
          </m:sub>
        </m:sSub>
        <m:r>
          <m:t>=</m:t>
        </m:r>
        <m:sSub>
          <m:e>
            <m:r>
              <m:t>I</m:t>
            </m:r>
          </m:e>
          <m:sub>
            <m:r>
              <m:t>r</m:t>
            </m:r>
          </m:sub>
        </m:sSub>
      </m:oMath>
      <w:r>
        <w:rPr>
          <w:rtl w:val="0"/>
          <w:lang w:val="en-US"/>
        </w:rPr>
        <w:t xml:space="preserve"> exactly when </w:t>
      </w:r>
      <m:oMath>
        <m:sSub>
          <m:e>
            <m:r>
              <m:t>D</m:t>
            </m:r>
          </m:e>
          <m:sub>
            <m:r>
              <m:t>0</m:t>
            </m:r>
          </m:sub>
        </m:sSub>
        <m:r>
          <m:t>=</m:t>
        </m:r>
        <m:sSup>
          <m:e>
            <m:r>
              <m:t>ρ</m:t>
            </m:r>
          </m:e>
          <m:sup>
            <m:r>
              <m:t>−2</m:t>
            </m:r>
          </m:sup>
        </m:sSup>
        <m:sSub>
          <m:e>
            <m:r>
              <m:t>I</m:t>
            </m:r>
          </m:e>
          <m:sub>
            <m:r>
              <m:t>r</m:t>
            </m:r>
          </m:sub>
        </m:sSub>
      </m:oMath>
      <w:r>
        <w:rPr>
          <w:rtl w:val="0"/>
          <w:lang w:val="en-US"/>
        </w:rPr>
        <w:t xml:space="preserve">. The pointwise statement follows by the same argument, and the assertion about a constant recalibration follows from </w:t>
      </w:r>
      <m:oMath>
        <m:r>
          <m:t>ρv</m:t>
        </m:r>
        <m:d>
          <m:e>
            <m:r>
              <m:t>x</m:t>
            </m:r>
          </m:e>
        </m:d>
        <m:r>
          <m:t>=1</m:t>
        </m:r>
      </m:oMath>
      <w:r>
        <w:rPr>
          <w:rtl w:val="0"/>
        </w:rPr>
        <w:t xml:space="preserve">. </w:t>
      </w:r>
      <m:oMath>
        <m:r>
          <m:rPr>
            <m:sty m:val="p"/>
          </m:rPr>
          <m:t>▫</m:t>
        </m:r>
      </m:oMath>
    </w:p>
    <w:p>
      <w:pPr>
        <w:pStyle w:val="Текстовый блок"/>
        <w:spacing w:line="240" w:lineRule="atLeast"/>
      </w:pPr>
      <w:r>
        <w:rPr>
          <w:rtl w:val="0"/>
          <w:lang w:val="en-US"/>
        </w:rPr>
        <w:t xml:space="preserve">The common spatial-form assumption cannot be omitted from the claim about scalar unit changes. For example </w:t>
      </w:r>
      <m:oMath>
        <m:r>
          <m:t>−</m:t>
        </m:r>
        <m:sSup>
          <m:e>
            <m:r>
              <m:t>ω</m:t>
            </m:r>
          </m:e>
          <m:sup>
            <m:r>
              <m:t>2</m:t>
            </m:r>
          </m:sup>
        </m:sSup>
        <m:r>
          <m:t>+</m:t>
        </m:r>
        <m:sSubSup>
          <m:e>
            <m:r>
              <m:t>k</m:t>
            </m:r>
          </m:e>
          <m:sub>
            <m:r>
              <m:t>x</m:t>
            </m:r>
          </m:sub>
          <m:sup>
            <m:r>
              <m:t>2</m:t>
            </m:r>
          </m:sup>
        </m:sSubSup>
        <m:r>
          <m:t>+4</m:t>
        </m:r>
        <m:sSubSup>
          <m:e>
            <m:r>
              <m:t>k</m:t>
            </m:r>
          </m:e>
          <m:sub>
            <m:r>
              <m:t>y</m:t>
            </m:r>
          </m:sub>
          <m:sup>
            <m:r>
              <m:t>2</m:t>
            </m:r>
          </m:sup>
        </m:sSubSup>
      </m:oMath>
      <w:r>
        <w:rPr>
          <w:rtl w:val="0"/>
          <w:lang w:val="en-US"/>
        </w:rPr>
        <w:t xml:space="preserve"> may already be the common symbol of every sector, yet isotropic unit rescaling does not make it </w:t>
      </w:r>
      <m:oMath>
        <m:r>
          <m:t>−ω</m:t>
        </m:r>
        <m:sSup>
          <m:e>
            <m:r>
              <m:t>′</m:t>
            </m:r>
          </m:e>
          <m:sup>
            <m:r>
              <m:t>2</m:t>
            </m:r>
          </m:sup>
        </m:sSup>
        <m:r>
          <m:t>+</m:t>
        </m:r>
        <m:sSup>
          <m:e>
            <m:d>
              <m:dPr>
                <m:begChr m:val="|"/>
                <m:endChr m:val="|"/>
              </m:dPr>
              <m:e>
                <m:r>
                  <m:t>k′</m:t>
                </m:r>
              </m:e>
            </m:d>
          </m:e>
          <m:sup>
            <m:r>
              <m:t>2</m:t>
            </m:r>
          </m:sup>
        </m:sSup>
      </m:oMath>
      <w:r>
        <w:rPr>
          <w:rtl w:val="0"/>
          <w:lang w:val="en-US"/>
        </w:rPr>
        <w:t xml:space="preserve">. One additionally needs a common spatial frame adapted to </w:t>
      </w:r>
      <m:oMath>
        <m:r>
          <m:t>h</m:t>
        </m:r>
      </m:oMath>
      <w:r>
        <w:rPr>
          <w:rtl w:val="0"/>
          <w:lang w:val="en-US"/>
        </w:rPr>
        <w:t>. This is a frame change, not a physical equalisation mechanism.</w:t>
      </w:r>
    </w:p>
    <w:p>
      <w:pPr>
        <w:pStyle w:val="Текстовый блок"/>
        <w:spacing w:line="240" w:lineRule="atLeast"/>
      </w:pPr>
      <w:r>
        <w:rPr>
          <w:rtl w:val="0"/>
          <w:lang w:val="en-US"/>
        </w:rPr>
        <w:t xml:space="preserve">More generally, at a point in spacetime dimension at least three, two Lorentzian quadratic forms of the same signature have the same null set if and only if they are positively proportional. To see this, put one form in Minkowski form and evaluate the other on </w:t>
      </w:r>
      <m:oMath>
        <m:d>
          <m:e>
            <m:r>
              <m:t>1,±</m:t>
            </m:r>
            <m:sSub>
              <m:e>
                <m:r>
                  <m:t>e</m:t>
                </m:r>
              </m:e>
              <m:sub>
                <m:r>
                  <m:t>i</m:t>
                </m:r>
              </m:sub>
            </m:sSub>
          </m:e>
        </m:d>
      </m:oMath>
      <w:r>
        <w:rPr>
          <w:rtl w:val="0"/>
          <w:lang w:val="en-US"/>
        </w:rPr>
        <w:t>: mixed time</w:t>
      </w:r>
      <w:r>
        <w:rPr>
          <w:rtl w:val="0"/>
          <w:lang w:val="en-US"/>
        </w:rPr>
        <w:t>–</w:t>
      </w:r>
      <w:r>
        <w:rPr>
          <w:rtl w:val="0"/>
          <w:lang w:val="en-US"/>
        </w:rPr>
        <w:t xml:space="preserve">space coefficients vanish and the spatial diagonal entries are equal to minus the time coefficient. Evaluation on </w:t>
      </w:r>
      <m:oMath>
        <m:d>
          <m:e>
            <m:r>
              <m:t>1,</m:t>
            </m:r>
            <m:d>
              <m:e>
                <m:sSub>
                  <m:e>
                    <m:r>
                      <m:t>e</m:t>
                    </m:r>
                  </m:e>
                  <m:sub>
                    <m:r>
                      <m:t>i</m:t>
                    </m:r>
                  </m:sub>
                </m:sSub>
                <m:r>
                  <m:t>+</m:t>
                </m:r>
                <m:sSub>
                  <m:e>
                    <m:r>
                      <m:t>e</m:t>
                    </m:r>
                  </m:e>
                  <m:sub>
                    <m:r>
                      <m:t>j</m:t>
                    </m:r>
                  </m:sub>
                </m:sSub>
              </m:e>
            </m:d>
            <m:r>
              <m:t>/</m:t>
            </m:r>
            <m:rad>
              <m:radPr>
                <m:degHide m:val="on"/>
              </m:radPr>
              <m:deg/>
              <m:e>
                <m:r>
                  <m:t>2</m:t>
                </m:r>
              </m:e>
            </m:rad>
          </m:e>
        </m:d>
      </m:oMath>
      <w:r>
        <w:rPr>
          <w:rtl w:val="0"/>
          <w:lang w:val="en-US"/>
        </w:rPr>
        <w:t xml:space="preserve"> removes the remaining cross terms. The signature fixes the positive factor. A common Lorentzian frame therefore normalises all such cones locally. In dimension two the same argument requires a common choice of which complementary directions are timelike; that datum is already fixed by the positive wave class (2). These algebraic statements are distinct from global causal-reconstruction theorems [1, 25</w:t>
      </w:r>
      <w:r>
        <w:rPr>
          <w:rtl w:val="0"/>
          <w:lang w:val="en-US"/>
        </w:rPr>
        <w:t>–</w:t>
      </w:r>
      <w:r>
        <w:rPr>
          <w:rtl w:val="0"/>
          <w:lang w:val="pt-PT"/>
        </w:rPr>
        <w:t>29].</w:t>
      </w:r>
      <w:bookmarkEnd w:id="3"/>
    </w:p>
    <w:p>
      <w:pPr>
        <w:pStyle w:val="Заголовок 3"/>
        <w:spacing w:line="240" w:lineRule="atLeast"/>
      </w:pPr>
      <w:bookmarkStart w:name="Xf34cfa037bf2379a1a704e67342eca3299e2518" w:id="4"/>
      <w:r>
        <w:rPr>
          <w:rtl w:val="0"/>
          <w:lang w:val="en-US"/>
        </w:rPr>
        <w:t>2.2. Defect, optimal normalisation and basis independence</w:t>
      </w:r>
    </w:p>
    <w:p>
      <w:pPr>
        <w:pStyle w:val="Текстовый блок"/>
        <w:spacing w:line="240" w:lineRule="atLeast"/>
      </w:pPr>
      <w:r>
        <w:rPr>
          <w:b w:val="1"/>
          <w:bCs w:val="1"/>
          <w:rtl w:val="0"/>
          <w:lang w:val="en-US"/>
        </w:rPr>
        <w:t>Definition 2 (relative calibration defect).</w:t>
      </w:r>
      <w:r>
        <w:rPr>
          <w:rtl w:val="0"/>
          <w:lang w:val="en-US"/>
        </w:rPr>
        <w:t xml:space="preserve"> For the positive pencil </w:t>
      </w:r>
      <m:oMath>
        <m:d>
          <m:e>
            <m:sSub>
              <m:e>
                <m:r>
                  <m:t>B</m:t>
                </m:r>
              </m:e>
              <m:sub>
                <m:r>
                  <m:t>0</m:t>
                </m:r>
              </m:sub>
            </m:sSub>
            <m:r>
              <m:t>,</m:t>
            </m:r>
            <m:sSub>
              <m:e>
                <m:r>
                  <m:t>A</m:t>
                </m:r>
              </m:e>
              <m:sub>
                <m:r>
                  <m:t>0</m:t>
                </m:r>
              </m:sub>
            </m:sSub>
          </m:e>
        </m:d>
      </m:oMath>
      <w:r>
        <w:rPr>
          <w:rtl w:val="0"/>
          <w:lang w:val="it-IT"/>
        </w:rPr>
        <w:t xml:space="preserve"> define</w:t>
      </w:r>
    </w:p>
    <w:p>
      <w:pPr>
        <w:pStyle w:val="Текстовый блок"/>
        <w:keepLines w:val="1"/>
        <w:spacing w:before="60" w:line="240" w:lineRule="atLeast"/>
        <w:jc w:val="center"/>
      </w:pPr>
      <m:oMathPara>
        <m:oMathParaPr>
          <m:jc m:val="center"/>
        </m:oMathParaPr>
        <m:oMath>
          <m:sSub>
            <m:e>
              <m:r>
                <m:t>Δ</m:t>
              </m:r>
            </m:e>
            <m:sub>
              <m:r>
                <m:t>c</m:t>
              </m:r>
            </m:sub>
          </m:sSub>
          <m:r>
            <m:t>=</m:t>
          </m:r>
          <m:limLow>
            <m:e>
              <m:r>
                <m:rPr>
                  <m:sty m:val="p"/>
                </m:rPr>
                <m:t>max</m:t>
              </m:r>
            </m:e>
            <m:lim>
              <m:r>
                <m:t>i,j</m:t>
              </m:r>
            </m:lim>
          </m:limLow>
          <m:d>
            <m:dPr>
              <m:begChr m:val="|"/>
              <m:endChr m:val="|"/>
            </m:dPr>
            <m:e>
              <m:r>
                <m:rPr>
                  <m:sty m:val="p"/>
                </m:rPr>
                <m:t>log</m:t>
              </m:r>
              <m:f>
                <m:fPr>
                  <m:type m:val="bar"/>
                </m:fPr>
                <m:num>
                  <m:sSub>
                    <m:e>
                      <m:r>
                        <m:t>v</m:t>
                      </m:r>
                    </m:e>
                    <m:sub>
                      <m:r>
                        <m:t>i</m:t>
                      </m:r>
                    </m:sub>
                  </m:sSub>
                </m:num>
                <m:den>
                  <m:sSub>
                    <m:e>
                      <m:r>
                        <m:t>v</m:t>
                      </m:r>
                    </m:e>
                    <m:sub>
                      <m:r>
                        <m:t>j</m:t>
                      </m:r>
                    </m:sub>
                  </m:sSub>
                </m:den>
              </m:f>
            </m:e>
          </m:d>
          <m:r>
            <m:t>=</m:t>
          </m:r>
          <m:f>
            <m:fPr>
              <m:type m:val="bar"/>
            </m:fPr>
            <m:num>
              <m:r>
                <m:t>1</m:t>
              </m:r>
            </m:num>
            <m:den>
              <m:r>
                <m:t>2</m:t>
              </m:r>
            </m:den>
          </m:f>
          <m:r>
            <m:rPr>
              <m:sty m:val="p"/>
            </m:rPr>
            <m:t>log</m:t>
          </m:r>
          <m:f>
            <m:fPr>
              <m:type m:val="bar"/>
            </m:fPr>
            <m:num>
              <m:sSub>
                <m:e>
                  <m:r>
                    <m:t>λ</m:t>
                  </m:r>
                </m:e>
                <m:sub>
                  <m:r>
                    <m:rPr>
                      <m:sty m:val="p"/>
                    </m:rPr>
                    <m:t>max</m:t>
                  </m:r>
                </m:sub>
              </m:sSub>
              <m:d>
                <m:e>
                  <m:sSub>
                    <m:e>
                      <m:r>
                        <m:t>D</m:t>
                      </m:r>
                    </m:e>
                    <m:sub>
                      <m:r>
                        <m:t>0</m:t>
                      </m:r>
                    </m:sub>
                  </m:sSub>
                </m:e>
              </m:d>
            </m:num>
            <m:den>
              <m:sSub>
                <m:e>
                  <m:r>
                    <m:t>λ</m:t>
                  </m:r>
                </m:e>
                <m:sub>
                  <m:r>
                    <m:rPr>
                      <m:sty m:val="p"/>
                    </m:rPr>
                    <m:t>min</m:t>
                  </m:r>
                </m:sub>
              </m:sSub>
              <m:d>
                <m:e>
                  <m:sSub>
                    <m:e>
                      <m:r>
                        <m:t>D</m:t>
                      </m:r>
                    </m:e>
                    <m:sub>
                      <m:r>
                        <m:t>0</m:t>
                      </m:r>
                    </m:sub>
                  </m:sSub>
                </m:e>
              </m:d>
            </m:den>
          </m:f>
          <m:r>
            <m:t>.</m:t>
          </m:r>
          <m:r>
            <m:rPr>
              <m:nor/>
            </m:rPr>
            <m:t>(4)</m:t>
          </m:r>
        </m:oMath>
      </m:oMathPara>
    </w:p>
    <w:p>
      <w:pPr>
        <w:pStyle w:val="Текстовый блок"/>
        <w:spacing w:line="240" w:lineRule="atLeast"/>
      </w:pPr>
      <w:r>
        <w:rPr>
          <w:rtl w:val="0"/>
          <w:lang w:val="en-US"/>
        </w:rPr>
        <w:t xml:space="preserve">It vanishes exactly at the common-cone condition. It is invariant under a common unit rescaling, orthogonal changes of normalised basis, and arbitrary changes of the original basis when both forms are transformed by the same congruence. In the latter case these are generalised eigenvalues of </w:t>
      </w:r>
      <m:oMath>
        <m:sSub>
          <m:e>
            <m:r>
              <m:t>B</m:t>
            </m:r>
          </m:e>
          <m:sub>
            <m:r>
              <m:t>0</m:t>
            </m:r>
          </m:sub>
        </m:sSub>
        <m:r>
          <m:t>z=λ</m:t>
        </m:r>
        <m:sSub>
          <m:e>
            <m:r>
              <m:t>A</m:t>
            </m:r>
          </m:e>
          <m:sub>
            <m:r>
              <m:t>0</m:t>
            </m:r>
          </m:sub>
        </m:sSub>
        <m:r>
          <m:t>z</m:t>
        </m:r>
      </m:oMath>
      <w:r>
        <w:rPr>
          <w:rtl w:val="0"/>
          <w:lang w:val="en-US"/>
        </w:rPr>
        <w:t xml:space="preserve">, rather than ordinary eigenvalues of the coordinate matrix </w:t>
      </w:r>
      <m:oMath>
        <m:sSub>
          <m:e>
            <m:r>
              <m:t>B</m:t>
            </m:r>
          </m:e>
          <m:sub>
            <m:r>
              <m:t>0</m:t>
            </m:r>
          </m:sub>
        </m:sSub>
      </m:oMath>
      <w:r>
        <w:rPr>
          <w:rtl w:val="0"/>
          <w:lang w:val="de-DE"/>
        </w:rPr>
        <w:t xml:space="preserve">. Under </w:t>
      </w:r>
      <m:oMath>
        <m:r>
          <m:t>r=1</m:t>
        </m:r>
      </m:oMath>
      <w:r>
        <w:rPr>
          <w:rtl w:val="0"/>
        </w:rPr>
        <w:t xml:space="preserve">, </w:t>
      </w:r>
      <m:oMath>
        <m:sSub>
          <m:e>
            <m:r>
              <m:t>Δ</m:t>
            </m:r>
          </m:e>
          <m:sub>
            <m:r>
              <m:t>c</m:t>
            </m:r>
          </m:sub>
        </m:sSub>
        <m:r>
          <m:t>=0</m:t>
        </m:r>
      </m:oMath>
      <w:r>
        <w:rPr>
          <w:rtl w:val="0"/>
          <w:lang w:val="en-US"/>
        </w:rPr>
        <w:t xml:space="preserve"> is automatic and cannot certify universality beyond that branch.</w:t>
      </w:r>
    </w:p>
    <w:p>
      <w:pPr>
        <w:pStyle w:val="Текстовый блок"/>
        <w:spacing w:line="240" w:lineRule="atLeast"/>
      </w:pPr>
      <w:r>
        <w:rPr>
          <w:rtl w:val="0"/>
          <w:lang w:val="en-US"/>
        </w:rPr>
        <w:t>The best common calibration in a worst-case logarithmic sense is explicit:</w:t>
      </w:r>
    </w:p>
    <w:p>
      <w:pPr>
        <w:pStyle w:val="Текстовый блок"/>
        <w:keepLines w:val="1"/>
        <w:spacing w:before="60" w:line="240" w:lineRule="atLeast"/>
        <w:jc w:val="center"/>
      </w:pPr>
      <m:oMathPara>
        <m:oMathParaPr>
          <m:jc m:val="center"/>
        </m:oMathParaPr>
        <m:oMath>
          <m:limLow>
            <m:e>
              <m:r>
                <m:rPr>
                  <m:sty m:val="p"/>
                </m:rPr>
                <m:t>inf</m:t>
              </m:r>
            </m:e>
            <m:lim>
              <m:r>
                <m:t>ρ&gt;0</m:t>
              </m:r>
            </m:lim>
          </m:limLow>
          <m:limLow>
            <m:e>
              <m:r>
                <m:rPr>
                  <m:sty m:val="p"/>
                </m:rPr>
                <m:t>max</m:t>
              </m:r>
            </m:e>
            <m:lim>
              <m:r>
                <m:t>j</m:t>
              </m:r>
            </m:lim>
          </m:limLow>
          <m:d>
            <m:dPr>
              <m:begChr m:val="|"/>
              <m:endChr m:val="|"/>
            </m:dPr>
            <m:e>
              <m:r>
                <m:rPr>
                  <m:sty m:val="p"/>
                </m:rPr>
                <m:t>log</m:t>
              </m:r>
              <m:d>
                <m:e>
                  <m:r>
                    <m:t>ρ</m:t>
                  </m:r>
                  <m:sSub>
                    <m:e>
                      <m:r>
                        <m:t>v</m:t>
                      </m:r>
                    </m:e>
                    <m:sub>
                      <m:r>
                        <m:t>j</m:t>
                      </m:r>
                    </m:sub>
                  </m:sSub>
                </m:e>
              </m:d>
            </m:e>
          </m:d>
          <m:r>
            <m:t>=</m:t>
          </m:r>
          <m:f>
            <m:fPr>
              <m:type m:val="bar"/>
            </m:fPr>
            <m:num>
              <m:sSub>
                <m:e>
                  <m:r>
                    <m:t>Δ</m:t>
                  </m:r>
                </m:e>
                <m:sub>
                  <m:r>
                    <m:t>c</m:t>
                  </m:r>
                </m:sub>
              </m:sSub>
            </m:num>
            <m:den>
              <m:r>
                <m:t>2</m:t>
              </m:r>
            </m:den>
          </m:f>
          <m:r>
            <m:t>,</m:t>
          </m:r>
          <m:sSub>
            <m:e>
              <m:r>
                <m:t>ρ</m:t>
              </m:r>
            </m:e>
            <m:sub>
              <m:r>
                <m:rPr>
                  <m:sty m:val="p"/>
                </m:rPr>
                <m:t>*</m:t>
              </m:r>
            </m:sub>
          </m:sSub>
          <m:r>
            <m:t>=</m:t>
          </m:r>
          <m:sSup>
            <m:e>
              <m:d>
                <m:e>
                  <m:sSub>
                    <m:e>
                      <m:r>
                        <m:t>v</m:t>
                      </m:r>
                    </m:e>
                    <m:sub>
                      <m:r>
                        <m:rPr>
                          <m:sty m:val="p"/>
                        </m:rPr>
                        <m:t>min</m:t>
                      </m:r>
                    </m:sub>
                  </m:sSub>
                  <m:sSub>
                    <m:e>
                      <m:r>
                        <m:t>v</m:t>
                      </m:r>
                    </m:e>
                    <m:sub>
                      <m:r>
                        <m:rPr>
                          <m:sty m:val="p"/>
                        </m:rPr>
                        <m:t>max</m:t>
                      </m:r>
                    </m:sub>
                  </m:sSub>
                </m:e>
              </m:d>
            </m:e>
            <m:sup>
              <m:r>
                <m:t>−1/2</m:t>
              </m:r>
            </m:sup>
          </m:sSup>
          <m:r>
            <m:t>.</m:t>
          </m:r>
          <m:r>
            <m:rPr>
              <m:nor/>
            </m:rPr>
            <m:t>(5)</m:t>
          </m:r>
        </m:oMath>
      </m:oMathPara>
    </w:p>
    <w:p>
      <w:pPr>
        <w:pStyle w:val="Текстовый блок"/>
        <w:spacing w:line="240" w:lineRule="atLeast"/>
      </w:pPr>
      <w:r>
        <w:rPr>
          <w:rtl w:val="0"/>
          <w:lang w:val="en-US"/>
        </w:rPr>
        <w:t xml:space="preserve">Indeed adding </w:t>
      </w:r>
      <m:oMath>
        <m:r>
          <m:rPr>
            <m:sty m:val="p"/>
          </m:rPr>
          <m:t>log</m:t>
        </m:r>
        <m:r>
          <m:t>ρ</m:t>
        </m:r>
      </m:oMath>
      <w:r>
        <w:rPr>
          <w:rtl w:val="0"/>
          <w:lang w:val="en-US"/>
        </w:rPr>
        <w:t xml:space="preserve"> translates the interval </w:t>
      </w:r>
      <m:oMath>
        <m:d>
          <m:dPr>
            <m:begChr m:val="["/>
            <m:endChr m:val="]"/>
          </m:dPr>
          <m:e>
            <m:r>
              <m:rPr>
                <m:sty m:val="p"/>
              </m:rPr>
              <m:t>log</m:t>
            </m:r>
            <m:sSub>
              <m:e>
                <m:r>
                  <m:t>v</m:t>
                </m:r>
              </m:e>
              <m:sub>
                <m:r>
                  <m:rPr>
                    <m:sty m:val="p"/>
                  </m:rPr>
                  <m:t>min</m:t>
                </m:r>
              </m:sub>
            </m:sSub>
            <m:r>
              <m:t>,</m:t>
            </m:r>
            <m:r>
              <m:rPr>
                <m:sty m:val="p"/>
              </m:rPr>
              <m:t>log</m:t>
            </m:r>
            <m:sSub>
              <m:e>
                <m:r>
                  <m:t>v</m:t>
                </m:r>
              </m:e>
              <m:sub>
                <m:r>
                  <m:rPr>
                    <m:sty m:val="p"/>
                  </m:rPr>
                  <m:t>max</m:t>
                </m:r>
              </m:sub>
            </m:sSub>
          </m:e>
        </m:d>
      </m:oMath>
      <w:r>
        <w:rPr>
          <w:rtl w:val="0"/>
          <w:lang w:val="en-US"/>
        </w:rPr>
        <w:t xml:space="preserve">; its smallest centred radius is half its length. The irreducible residual is positive whenever two cones differ. Thus the convention </w:t>
      </w:r>
      <m:oMath>
        <m:r>
          <m:t>c=1</m:t>
        </m:r>
      </m:oMath>
      <w:r>
        <w:rPr>
          <w:rtl w:val="0"/>
          <w:lang w:val="en-US"/>
        </w:rPr>
        <w:t xml:space="preserve"> cannot hide a relative-speed defect.</w:t>
      </w:r>
    </w:p>
    <w:p>
      <w:pPr>
        <w:pStyle w:val="Текстовый блок"/>
        <w:spacing w:line="240" w:lineRule="atLeast"/>
      </w:pPr>
      <w:r>
        <w:rPr>
          <w:rtl w:val="0"/>
          <w:lang w:val="en-US"/>
        </w:rPr>
        <w:t xml:space="preserve">The link to [15, 20] is direct. With </w:t>
      </w:r>
      <m:oMath>
        <m:r>
          <m:t>T=</m:t>
        </m:r>
        <m:sSup>
          <m:e>
            <m:r>
              <m:t>A</m:t>
            </m:r>
          </m:e>
          <m:sup>
            <m:r>
              <m:t>−1/2</m:t>
            </m:r>
          </m:sup>
        </m:sSup>
        <m:r>
          <m:t>U</m:t>
        </m:r>
        <m:sSup>
          <m:e>
            <m:r>
              <m:t>A</m:t>
            </m:r>
          </m:e>
          <m:sup>
            <m:r>
              <m:t>−1/2</m:t>
            </m:r>
          </m:sup>
        </m:sSup>
      </m:oMath>
      <w:r>
        <w:rPr>
          <w:rtl w:val="0"/>
        </w:rPr>
        <w:t xml:space="preserve">, </w:t>
      </w:r>
      <m:oMath>
        <m:r>
          <m:t>D=</m:t>
        </m:r>
        <m:sSup>
          <m:e>
            <m:r>
              <m:t>A</m:t>
            </m:r>
          </m:e>
          <m:sup>
            <m:r>
              <m:t>−1/2</m:t>
            </m:r>
          </m:sup>
        </m:sSup>
        <m:r>
          <m:t>B</m:t>
        </m:r>
        <m:sSup>
          <m:e>
            <m:r>
              <m:t>A</m:t>
            </m:r>
          </m:e>
          <m:sup>
            <m:r>
              <m:t>−1/2</m:t>
            </m:r>
          </m:sup>
        </m:sSup>
      </m:oMath>
      <w:r>
        <w:rPr>
          <w:rtl w:val="0"/>
          <w:lang w:val="en-US"/>
        </w:rPr>
        <w:t xml:space="preserve"> and </w:t>
      </w:r>
      <m:oMath>
        <m:r>
          <m:t>Z</m:t>
        </m:r>
      </m:oMath>
      <w:r>
        <w:rPr>
          <w:rtl w:val="0"/>
          <w:lang w:val="en-US"/>
        </w:rPr>
        <w:t xml:space="preserve"> an orthonormal basis of </w:t>
      </w:r>
      <m:oMath>
        <m:r>
          <m:rPr>
            <m:sty m:val="p"/>
          </m:rPr>
          <m:t>ker</m:t>
        </m:r>
        <m:r>
          <m:t>T</m:t>
        </m:r>
      </m:oMath>
      <w:r>
        <w:rPr>
          <w:rtl w:val="0"/>
          <w:lang w:val="en-US"/>
        </w:rPr>
        <w:t xml:space="preserve">, the relevant matrix is </w:t>
      </w:r>
      <m:oMath>
        <m:sSub>
          <m:e>
            <m:r>
              <m:t>D</m:t>
            </m:r>
          </m:e>
          <m:sub>
            <m:r>
              <m:t>00</m:t>
            </m:r>
          </m:sub>
        </m:sSub>
        <m:r>
          <m:t>=</m:t>
        </m:r>
        <m:sSup>
          <m:e>
            <m:r>
              <m:t>Z</m:t>
            </m:r>
          </m:e>
          <m:sup>
            <m:r>
              <m:rPr>
                <m:sty m:val="p"/>
                <m:scr m:val="sans-serif"/>
              </m:rPr>
              <m:t>T</m:t>
            </m:r>
          </m:sup>
        </m:sSup>
        <m:r>
          <m:t>DZ</m:t>
        </m:r>
      </m:oMath>
      <w:r>
        <w:rPr>
          <w:rtl w:val="0"/>
          <w:lang w:val="en-US"/>
        </w:rPr>
        <w:t xml:space="preserve">. Formula (4) applied to </w:t>
      </w:r>
      <m:oMath>
        <m:sSub>
          <m:e>
            <m:r>
              <m:t>D</m:t>
            </m:r>
          </m:e>
          <m:sub>
            <m:r>
              <m:t>00</m:t>
            </m:r>
          </m:sub>
        </m:sSub>
      </m:oMath>
      <w:r>
        <w:rPr>
          <w:rtl w:val="0"/>
          <w:lang w:val="en-US"/>
        </w:rPr>
        <w:t xml:space="preserve"> removes the scale dependence of the earlier norm defect. If </w:t>
      </w:r>
      <m:oMath>
        <m:sSup>
          <m:e>
            <m:limUpp>
              <m:e>
                <m:r>
                  <m:t>v</m:t>
                </m:r>
              </m:e>
              <m:lim>
                <m:r>
                  <m:rPr>
                    <m:sty m:val="p"/>
                  </m:rPr>
                  <m:t>‾</m:t>
                </m:r>
              </m:lim>
            </m:limUpp>
          </m:e>
          <m:sup>
            <m:r>
              <m:t>2</m:t>
            </m:r>
          </m:sup>
        </m:sSup>
        <m:r>
          <m:t>=</m:t>
        </m:r>
        <m:r>
          <m:rPr>
            <m:sty m:val="p"/>
          </m:rPr>
          <m:t>tr</m:t>
        </m:r>
        <m:sSub>
          <m:e>
            <m:r>
              <m:t>D</m:t>
            </m:r>
          </m:e>
          <m:sub>
            <m:r>
              <m:t>00</m:t>
            </m:r>
          </m:sub>
        </m:sSub>
        <m:r>
          <m:t>/r</m:t>
        </m:r>
      </m:oMath>
      <w:r>
        <w:rPr>
          <w:rtl w:val="0"/>
          <w:lang w:val="en-US"/>
        </w:rPr>
        <w:t xml:space="preserve"> and </w:t>
      </w:r>
      <m:oMath>
        <m:r>
          <m:t>ε=∥</m:t>
        </m:r>
        <m:sSub>
          <m:e>
            <m:r>
              <m:t>D</m:t>
            </m:r>
          </m:e>
          <m:sub>
            <m:r>
              <m:t>00</m:t>
            </m:r>
          </m:sub>
        </m:sSub>
        <m:r>
          <m:t>−</m:t>
        </m:r>
        <m:sSup>
          <m:e>
            <m:limUpp>
              <m:e>
                <m:r>
                  <m:t>v</m:t>
                </m:r>
              </m:e>
              <m:lim>
                <m:r>
                  <m:rPr>
                    <m:sty m:val="p"/>
                  </m:rPr>
                  <m:t>‾</m:t>
                </m:r>
              </m:lim>
            </m:limUpp>
          </m:e>
          <m:sup>
            <m:r>
              <m:t>2</m:t>
            </m:r>
          </m:sup>
        </m:sSup>
        <m:r>
          <m:t>I∥/</m:t>
        </m:r>
        <m:sSup>
          <m:e>
            <m:limUpp>
              <m:e>
                <m:r>
                  <m:t>v</m:t>
                </m:r>
              </m:e>
              <m:lim>
                <m:r>
                  <m:rPr>
                    <m:sty m:val="p"/>
                  </m:rPr>
                  <m:t>‾</m:t>
                </m:r>
              </m:lim>
            </m:limUpp>
          </m:e>
          <m:sup>
            <m:r>
              <m:t>2</m:t>
            </m:r>
          </m:sup>
        </m:sSup>
        <m:r>
          <m:t>&lt;1</m:t>
        </m:r>
      </m:oMath>
      <w:r>
        <w:rPr>
          <w:rtl w:val="0"/>
          <w:lang w:val="en-US"/>
        </w:rPr>
        <w:t>, then</w:t>
      </w:r>
    </w:p>
    <w:p>
      <w:pPr>
        <w:pStyle w:val="Текстовый блок"/>
        <w:keepLines w:val="1"/>
        <w:spacing w:before="60" w:line="240" w:lineRule="atLeast"/>
        <w:jc w:val="center"/>
      </w:pPr>
      <m:oMathPara>
        <m:oMathParaPr>
          <m:jc m:val="center"/>
        </m:oMathParaPr>
        <m:oMath>
          <m:sSub>
            <m:e>
              <m:r>
                <m:t>Δ</m:t>
              </m:r>
            </m:e>
            <m:sub>
              <m:r>
                <m:t>c</m:t>
              </m:r>
            </m:sub>
          </m:sSub>
          <m:r>
            <m:t>≤</m:t>
          </m:r>
          <m:f>
            <m:fPr>
              <m:type m:val="bar"/>
            </m:fPr>
            <m:num>
              <m:r>
                <m:t>1</m:t>
              </m:r>
            </m:num>
            <m:den>
              <m:r>
                <m:t>2</m:t>
              </m:r>
            </m:den>
          </m:f>
          <m:r>
            <m:rPr>
              <m:sty m:val="p"/>
            </m:rPr>
            <m:t>log</m:t>
          </m:r>
          <m:f>
            <m:fPr>
              <m:type m:val="bar"/>
            </m:fPr>
            <m:num>
              <m:r>
                <m:t>1+ε</m:t>
              </m:r>
            </m:num>
            <m:den>
              <m:r>
                <m:t>1−ε</m:t>
              </m:r>
            </m:den>
          </m:f>
          <m:r>
            <m:t>.</m:t>
          </m:r>
          <m:r>
            <m:rPr>
              <m:nor/>
            </m:rPr>
            <m:t>(6)</m:t>
          </m:r>
        </m:oMath>
      </m:oMathPara>
    </w:p>
    <w:p>
      <w:pPr>
        <w:pStyle w:val="Текстовый блок"/>
        <w:spacing w:line="240" w:lineRule="atLeast"/>
      </w:pPr>
      <w:r>
        <w:rPr>
          <w:rtl w:val="0"/>
          <w:lang w:val="en-US"/>
        </w:rPr>
        <w:t xml:space="preserve">This follows by bounding the extremal eigenvalues. It is a continuity estimate, not a relaxation law. On a moving gapped massless space, the invariance test remains the trace-free part of </w:t>
      </w:r>
      <m:oMath>
        <m:sSup>
          <m:e>
            <m:r>
              <m:t>Z</m:t>
            </m:r>
          </m:e>
          <m:sup>
            <m:r>
              <m:rPr>
                <m:sty m:val="p"/>
                <m:scr m:val="sans-serif"/>
              </m:rPr>
              <m:t>T</m:t>
            </m:r>
          </m:sup>
        </m:sSup>
        <m:d>
          <m:e>
            <m:limUpp>
              <m:e>
                <m:r>
                  <m:t>D</m:t>
                </m:r>
              </m:e>
              <m:lim>
                <m:r>
                  <m:rPr>
                    <m:sty m:val="p"/>
                  </m:rPr>
                  <m:t>˙</m:t>
                </m:r>
              </m:lim>
            </m:limUpp>
            <m:r>
              <m:t>+</m:t>
            </m:r>
            <m:limUpp>
              <m:e>
                <m:r>
                  <m:t>P</m:t>
                </m:r>
              </m:e>
              <m:lim>
                <m:r>
                  <m:rPr>
                    <m:sty m:val="p"/>
                  </m:rPr>
                  <m:t>˙</m:t>
                </m:r>
              </m:lim>
            </m:limUpp>
            <m:r>
              <m:t>D+D</m:t>
            </m:r>
            <m:limUpp>
              <m:e>
                <m:r>
                  <m:t>P</m:t>
                </m:r>
              </m:e>
              <m:lim>
                <m:r>
                  <m:rPr>
                    <m:sty m:val="p"/>
                  </m:rPr>
                  <m:t>˙</m:t>
                </m:r>
              </m:lim>
            </m:limUpp>
          </m:e>
        </m:d>
        <m:r>
          <m:t>Z</m:t>
        </m:r>
      </m:oMath>
      <w:r>
        <w:rPr>
          <w:rtl w:val="0"/>
          <w:lang w:val="en-US"/>
        </w:rPr>
        <w:t xml:space="preserve">, with </w:t>
      </w:r>
      <m:oMath>
        <m:r>
          <m:t>P=Z</m:t>
        </m:r>
        <m:sSup>
          <m:e>
            <m:r>
              <m:t>Z</m:t>
            </m:r>
          </m:e>
          <m:sup>
            <m:r>
              <m:rPr>
                <m:sty m:val="p"/>
                <m:scr m:val="sans-serif"/>
              </m:rPr>
              <m:t>T</m:t>
            </m:r>
          </m:sup>
        </m:sSup>
      </m:oMath>
      <w:r>
        <w:rPr>
          <w:rtl w:val="0"/>
          <w:lang w:val="en-US"/>
        </w:rPr>
        <w:t xml:space="preserve"> and horizontal transport of </w:t>
      </w:r>
      <m:oMath>
        <m:r>
          <m:t>Z</m:t>
        </m:r>
      </m:oMath>
      <w:r>
        <w:rPr>
          <w:rtl w:val="0"/>
          <w:lang w:val="en-US"/>
        </w:rPr>
        <w:t xml:space="preserve"> [20]. Internal symmetry may protect a scalar compression on a symmetric background. It need not unify inequivalent representations or attract generic states. The finite-invariant-measure Hamiltonian recurrence obstruction of [20] continues to apply under its stated hypotheses.</w:t>
      </w:r>
    </w:p>
    <w:p>
      <w:pPr>
        <w:pStyle w:val="Captioned Figure"/>
        <w:spacing w:after="80" w:line="240" w:lineRule="atLeast"/>
      </w:pPr>
      <w:r>
        <w:drawing>
          <wp:inline distT="0" distB="0" distL="0" distR="0">
            <wp:extent cx="5892800" cy="2317726"/>
            <wp:effectExtent l="0" t="0" r="0" b="0"/>
            <wp:docPr id="1073741831" name="officeArt object" descr="Figure 1. Common unit changes multiply the three speeds together. The nonzero calibration defect remains fixed, while the smallest worst-case logarithmic residual equals half that defect. The curves illustrate Theorem 1 and equation (5); they are not a fit to physical sectors."/>
            <wp:cNvGraphicFramePr/>
            <a:graphic xmlns:a="http://schemas.openxmlformats.org/drawingml/2006/main">
              <a:graphicData uri="http://schemas.openxmlformats.org/drawingml/2006/picture">
                <pic:pic xmlns:pic="http://schemas.openxmlformats.org/drawingml/2006/picture">
                  <pic:nvPicPr>
                    <pic:cNvPr id="1073741831" name="Figure 1. Common unit changes multiply the three speeds together. The nonzero calibration defect remains fixed, while the smallest worst-case logarithmic residual equals half that defect. The curves illustrate Theorem 1 and equation (5); they are not a fit to physical sectors." descr="Figure 1. Common unit changes multiply the three speeds together. The nonzero calibration defect remains fixed, while the smallest worst-case logarithmic residual equals half that defect. The curves illustrate Theorem 1 and equation (5); they are not a fit to physical sectors."/>
                    <pic:cNvPicPr>
                      <a:picLocks noChangeAspect="1"/>
                    </pic:cNvPicPr>
                  </pic:nvPicPr>
                  <pic:blipFill>
                    <a:blip r:embed="rId10">
                      <a:extLst/>
                    </a:blip>
                    <a:stretch>
                      <a:fillRect/>
                    </a:stretch>
                  </pic:blipFill>
                  <pic:spPr>
                    <a:xfrm>
                      <a:off x="0" y="0"/>
                      <a:ext cx="5892800" cy="2317726"/>
                    </a:xfrm>
                    <a:prstGeom prst="rect">
                      <a:avLst/>
                    </a:prstGeom>
                    <a:ln w="12700" cap="flat">
                      <a:noFill/>
                      <a:miter lim="400000"/>
                    </a:ln>
                    <a:effectLst/>
                  </pic:spPr>
                </pic:pic>
              </a:graphicData>
            </a:graphic>
          </wp:inline>
        </w:drawing>
      </w:r>
    </w:p>
    <w:p>
      <w:pPr>
        <w:pStyle w:val="caption"/>
        <w:spacing w:before="60" w:after="120" w:line="240" w:lineRule="atLeast"/>
      </w:pPr>
      <w:r>
        <w:rPr>
          <w:rtl w:val="0"/>
          <w:lang w:val="en-US"/>
        </w:rPr>
        <w:t>Figure 1. Common unit changes multiply the three speeds together. The nonzero calibration defect remains fixed, while the smallest worst-case logarithmic residual equals half that defect. The curves illustrate Theorem 1 and equation (5); they are not a fit to physical sectors.</w:t>
      </w:r>
      <w:bookmarkEnd w:id="4"/>
    </w:p>
    <w:p>
      <w:pPr>
        <w:pStyle w:val="Заголовок 3"/>
        <w:spacing w:line="240" w:lineRule="atLeast"/>
      </w:pPr>
      <w:bookmarkStart w:name="whatkindofinvariantisobtained" w:id="5"/>
      <w:r>
        <w:rPr>
          <w:rtl w:val="0"/>
          <w:lang w:val="en-US"/>
        </w:rPr>
        <w:t>2.3. What kind of invariant is obtained?</w:t>
      </w:r>
    </w:p>
    <w:p>
      <w:pPr>
        <w:pStyle w:val="Текстовый блок"/>
        <w:spacing w:line="240" w:lineRule="atLeast"/>
      </w:pPr>
      <w:r>
        <w:rPr>
          <w:rtl w:val="0"/>
          <w:lang w:val="en-US"/>
        </w:rPr>
        <w:t xml:space="preserve">The cone is a geometric subset of the cotangent bundle </w:t>
      </w:r>
      <m:oMath>
        <m:sSup>
          <m:e>
            <m:r>
              <m:t>T</m:t>
            </m:r>
          </m:e>
          <m:sup>
            <m:r>
              <m:rPr>
                <m:sty m:val="p"/>
              </m:rPr>
              <m:t>*</m:t>
            </m:r>
          </m:sup>
        </m:sSup>
        <m:r>
          <m:t>M</m:t>
        </m:r>
      </m:oMath>
      <w:r>
        <w:rPr>
          <w:rtl w:val="0"/>
          <w:lang w:val="en-US"/>
        </w:rPr>
        <w:t xml:space="preserve"> with its zero section removed, transforming covariantly under diffeomorphisms. Equality of cones is invariant under a common diffeomorphism, invertible physical field redefinitions and positive conformal changes. The numbers </w:t>
      </w:r>
      <m:oMath>
        <m:sSub>
          <m:e>
            <m:r>
              <m:t>v</m:t>
            </m:r>
          </m:e>
          <m:sub>
            <m:r>
              <m:t>i</m:t>
            </m:r>
          </m:sub>
        </m:sSub>
        <m:r>
          <m:t>/</m:t>
        </m:r>
        <m:sSub>
          <m:e>
            <m:r>
              <m:t>v</m:t>
            </m:r>
          </m:e>
          <m:sub>
            <m:r>
              <m:t>j</m:t>
            </m:r>
          </m:sub>
        </m:sSub>
      </m:oMath>
      <w:r>
        <w:rPr>
          <w:rtl w:val="0"/>
          <w:lang w:val="en-US"/>
        </w:rPr>
        <w:t xml:space="preserve"> and </w:t>
      </w:r>
      <m:oMath>
        <m:sSub>
          <m:e>
            <m:r>
              <m:t>Δ</m:t>
            </m:r>
          </m:e>
          <m:sub>
            <m:r>
              <m:t>c</m:t>
            </m:r>
          </m:sub>
        </m:sSub>
      </m:oMath>
      <w:r>
        <w:rPr>
          <w:rtl w:val="0"/>
          <w:lang w:val="en-US"/>
        </w:rPr>
        <w:t xml:space="preserve"> have the stated invariant meaning in the common spatial-form and common observer splitting of (2); they are not general Lorentz-boost-invariant scalars for arbitrary nonuniversal cones. Under a change of observer the nonzero value can change, even though failure of cone equality cannot disappear. In anisotropic or mixed-order systems, the primary object is the family of physical characteristic sets. A numerical distance between such sets needs an additional normalisation or background norm.</w:t>
      </w:r>
    </w:p>
    <w:p>
      <w:pPr>
        <w:pStyle w:val="Текстовый блок"/>
        <w:spacing w:line="240" w:lineRule="atLeast"/>
      </w:pPr>
      <w:r>
        <w:rPr>
          <w:rtl w:val="0"/>
          <w:lang w:val="en-US"/>
        </w:rPr>
        <w:t>Likewise, a positive conformal rescaling preserves the vanishing of the universal-calibration defect, but generally changes spectra and response amplitudes. The several invariances must therefore be named separately. The strongest carrier-independent claim proved here will be invariance within the reconstruction class of Theorem 2, rather than under every imaginable coarse-graining.</w:t>
      </w:r>
      <w:bookmarkEnd w:id="5"/>
    </w:p>
    <w:p>
      <w:pPr>
        <w:pStyle w:val="Заголовок 2"/>
        <w:spacing w:line="240" w:lineRule="atLeast"/>
      </w:pPr>
      <w:bookmarkStart w:name="Xa85b8504b3a8aceb3d79f0cd47b9c887bf9c1b6" w:id="6"/>
      <w:r>
        <w:rPr>
          <w:rtl w:val="0"/>
          <w:lang w:val="en-US"/>
        </w:rPr>
        <w:t>3. Admissible reconstruction and a sufficient invariance theorem</w:t>
      </w:r>
      <w:bookmarkEnd w:id="6"/>
    </w:p>
    <w:p>
      <w:pPr>
        <w:pStyle w:val="Заголовок 3"/>
        <w:spacing w:line="240" w:lineRule="atLeast"/>
      </w:pPr>
      <w:bookmarkStart w:name="X4ca734c7aa5627c0292162b2e1c91c32745d69c" w:id="7"/>
      <w:r>
        <w:rPr>
          <w:rtl w:val="0"/>
          <w:lang w:val="en-US"/>
        </w:rPr>
        <w:t>3.1. State, measure, localisation and operator data</w:t>
      </w:r>
    </w:p>
    <w:p>
      <w:pPr>
        <w:pStyle w:val="Текстовый блок"/>
        <w:spacing w:line="240" w:lineRule="atLeast"/>
      </w:pPr>
      <w:r>
        <w:rPr>
          <w:rtl w:val="0"/>
          <w:lang w:val="en-US"/>
        </w:rPr>
        <w:t xml:space="preserve">For clarity this section uses time-independent coefficients on a prescribed effective spatial manifold </w:t>
      </w:r>
      <m:oMath>
        <m:r>
          <m:t>Σ</m:t>
        </m:r>
      </m:oMath>
      <w:r>
        <w:rPr>
          <w:rtl w:val="0"/>
          <w:lang w:val="en-US"/>
        </w:rPr>
        <w:t xml:space="preserve">. Let </w:t>
      </w:r>
      <m:oMath>
        <m:sSub>
          <m:e>
            <m:r>
              <m:rPr>
                <m:scr m:val="script"/>
              </m:rPr>
              <m:t>H</m:t>
            </m:r>
          </m:e>
          <m:sub>
            <m:r>
              <m:t>n</m:t>
            </m:r>
          </m:sub>
        </m:sSub>
      </m:oMath>
      <w:r>
        <w:rPr>
          <w:rtl w:val="0"/>
          <w:lang w:val="en-US"/>
        </w:rPr>
        <w:t xml:space="preserve"> be real Hilbert spaces, </w:t>
      </w:r>
      <m:oMath>
        <m:sSub>
          <m:e>
            <m:r>
              <m:t>K</m:t>
            </m:r>
          </m:e>
          <m:sub>
            <m:r>
              <m:t>n</m:t>
            </m:r>
          </m:sub>
        </m:sSub>
        <m:r>
          <m:t>≥0</m:t>
        </m:r>
      </m:oMath>
      <w:r>
        <w:rPr>
          <w:rtl w:val="0"/>
          <w:lang w:val="en-US"/>
        </w:rPr>
        <w:t xml:space="preserve"> self-adjoint, and </w:t>
      </w:r>
      <m:oMath>
        <m:r>
          <m:rPr>
            <m:scr m:val="script"/>
          </m:rPr>
          <m:t>H</m:t>
        </m:r>
        <m:r>
          <m:t>=</m:t>
        </m:r>
        <m:sSup>
          <m:e>
            <m:r>
              <m:t>L</m:t>
            </m:r>
          </m:e>
          <m:sup>
            <m:r>
              <m:t>2</m:t>
            </m:r>
          </m:sup>
        </m:sSup>
        <m:d>
          <m:e>
            <m:r>
              <m:t>Σ,dμ;</m:t>
            </m:r>
            <m:sSup>
              <m:e>
                <m:r>
                  <m:rPr>
                    <m:sty m:val="p"/>
                    <m:scr m:val="double-struck"/>
                  </m:rPr>
                  <m:t>R</m:t>
                </m:r>
              </m:e>
              <m:sup>
                <m:r>
                  <m:t>r</m:t>
                </m:r>
              </m:sup>
            </m:sSup>
          </m:e>
        </m:d>
      </m:oMath>
      <w:r>
        <w:rPr>
          <w:rtl w:val="0"/>
          <w:lang w:val="en-US"/>
        </w:rPr>
        <w:t xml:space="preserve">. Complexification is understood when spectral calculus requires it. A reconstruction contains </w:t>
      </w:r>
      <m:oMath>
        <m:sSub>
          <m:e>
            <m:r>
              <m:t>J</m:t>
            </m:r>
          </m:e>
          <m:sub>
            <m:r>
              <m:t>n</m:t>
            </m:r>
          </m:sub>
        </m:sSub>
        <m:r>
          <m:t>:</m:t>
        </m:r>
        <m:sSub>
          <m:e>
            <m:r>
              <m:rPr>
                <m:scr m:val="script"/>
              </m:rPr>
              <m:t>H</m:t>
            </m:r>
          </m:e>
          <m:sub>
            <m:r>
              <m:t>n</m:t>
            </m:r>
          </m:sub>
        </m:sSub>
        <m:r>
          <m:t>→</m:t>
        </m:r>
        <m:r>
          <m:rPr>
            <m:scr m:val="script"/>
          </m:rPr>
          <m:t>H</m:t>
        </m:r>
      </m:oMath>
      <w:r>
        <w:rPr>
          <w:rtl w:val="0"/>
          <w:lang w:val="en-US"/>
        </w:rPr>
        <w:t xml:space="preserve">, its adjoint </w:t>
      </w:r>
      <m:oMath>
        <m:sSub>
          <m:e>
            <m:r>
              <m:t>Q</m:t>
            </m:r>
          </m:e>
          <m:sub>
            <m:r>
              <m:t>n</m:t>
            </m:r>
          </m:sub>
        </m:sSub>
        <m:r>
          <m:t>=</m:t>
        </m:r>
        <m:sSubSup>
          <m:e>
            <m:r>
              <m:t>J</m:t>
            </m:r>
          </m:e>
          <m:sub>
            <m:r>
              <m:t>n</m:t>
            </m:r>
          </m:sub>
          <m:sup>
            <m:r>
              <m:rPr>
                <m:sty m:val="p"/>
              </m:rPr>
              <m:t>*</m:t>
            </m:r>
          </m:sup>
        </m:sSubSup>
      </m:oMath>
      <w:r>
        <w:rPr>
          <w:rtl w:val="0"/>
          <w:lang w:val="en-US"/>
        </w:rPr>
        <w:t xml:space="preserve">, a physical measure, and localisation operators. We use isometric </w:t>
      </w:r>
      <m:oMath>
        <m:sSub>
          <m:e>
            <m:r>
              <m:t>J</m:t>
            </m:r>
          </m:e>
          <m:sub>
            <m:r>
              <m:t>n</m:t>
            </m:r>
          </m:sub>
        </m:sSub>
      </m:oMath>
      <w:r>
        <w:rPr>
          <w:rtl w:val="0"/>
          <w:lang w:val="en-US"/>
        </w:rPr>
        <w:t xml:space="preserve">, with </w:t>
      </w:r>
      <m:oMath>
        <m:sSub>
          <m:e>
            <m:r>
              <m:t>J</m:t>
            </m:r>
          </m:e>
          <m:sub>
            <m:r>
              <m:t>n</m:t>
            </m:r>
          </m:sub>
        </m:sSub>
        <m:sSub>
          <m:e>
            <m:r>
              <m:t>Q</m:t>
            </m:r>
          </m:e>
          <m:sub>
            <m:r>
              <m:t>n</m:t>
            </m:r>
          </m:sub>
        </m:sSub>
        <m:r>
          <m:t>→I</m:t>
        </m:r>
      </m:oMath>
      <w:r>
        <w:rPr>
          <w:rtl w:val="0"/>
          <w:lang w:val="en-US"/>
        </w:rPr>
        <w:t xml:space="preserve"> strongly.</w:t>
      </w:r>
    </w:p>
    <w:p>
      <w:pPr>
        <w:pStyle w:val="Текстовый блок"/>
        <w:spacing w:line="240" w:lineRule="atLeast"/>
      </w:pPr>
      <w:r>
        <w:rPr>
          <w:b w:val="1"/>
          <w:bCs w:val="1"/>
          <w:rtl w:val="0"/>
          <w:lang w:val="en-US"/>
        </w:rPr>
        <w:t>Definition 3 (admissibility in the static control class).</w:t>
      </w:r>
      <w:r>
        <w:rPr>
          <w:rtl w:val="0"/>
          <w:lang w:val="en-US"/>
        </w:rPr>
        <w:t xml:space="preserve"> The reconstruction is admissible if the preceding state and measure conditions hold, microscopic multiplication operations converge to the declared effective multiplication algebra, and the identified resolvents converge strongly:</w:t>
      </w:r>
    </w:p>
    <w:p>
      <w:pPr>
        <w:pStyle w:val="Текстовый блок"/>
        <w:keepLines w:val="1"/>
        <w:spacing w:before="60" w:line="240" w:lineRule="atLeast"/>
        <w:jc w:val="center"/>
      </w:pPr>
      <m:oMathPara>
        <m:oMathParaPr>
          <m:jc m:val="center"/>
        </m:oMathParaPr>
        <m:oMath>
          <m:m>
            <m:mPr>
              <m:baseJc m:val="center"/>
              <m:plcHide m:val="on"/>
              <m:mcs>
                <m:mc>
                  <m:mcPr>
                    <m:count m:val="2"/>
                    <m:mcJc m:val="center"/>
                  </m:mcPr>
                </m:mc>
              </m:mcs>
            </m:mPr>
            <m:mr>
              <m:e>
                <m:sSub>
                  <m:e>
                    <m:r>
                      <m:t>J</m:t>
                    </m:r>
                  </m:e>
                  <m:sub>
                    <m:r>
                      <m:t>n</m:t>
                    </m:r>
                  </m:sub>
                </m:sSub>
                <m:sSub>
                  <m:e>
                    <m:r>
                      <m:t>M</m:t>
                    </m:r>
                  </m:e>
                  <m:sub>
                    <m:r>
                      <m:t>χ,n</m:t>
                    </m:r>
                  </m:sub>
                </m:sSub>
                <m:sSub>
                  <m:e>
                    <m:r>
                      <m:t>Q</m:t>
                    </m:r>
                  </m:e>
                  <m:sub>
                    <m:r>
                      <m:t>n</m:t>
                    </m:r>
                  </m:sub>
                </m:sSub>
                <m:r>
                  <m:t>f</m:t>
                </m:r>
              </m:e>
              <m:e>
                <m:r>
                  <m:t>→</m:t>
                </m:r>
                <m:sSub>
                  <m:e>
                    <m:r>
                      <m:t>M</m:t>
                    </m:r>
                  </m:e>
                  <m:sub>
                    <m:r>
                      <m:t>χ</m:t>
                    </m:r>
                  </m:sub>
                </m:sSub>
                <m:r>
                  <m:t>f,</m:t>
                </m:r>
              </m:e>
            </m:mr>
            <m:mr>
              <m:e>
                <m:sSub>
                  <m:e>
                    <m:r>
                      <m:t>J</m:t>
                    </m:r>
                  </m:e>
                  <m:sub>
                    <m:r>
                      <m:t>n</m:t>
                    </m:r>
                  </m:sub>
                </m:sSub>
                <m:sSup>
                  <m:e>
                    <m:d>
                      <m:e>
                        <m:sSub>
                          <m:e>
                            <m:r>
                              <m:t>K</m:t>
                            </m:r>
                          </m:e>
                          <m:sub>
                            <m:r>
                              <m:t>n</m:t>
                            </m:r>
                          </m:sub>
                        </m:sSub>
                        <m:r>
                          <m:t>+z</m:t>
                        </m:r>
                      </m:e>
                    </m:d>
                  </m:e>
                  <m:sup>
                    <m:r>
                      <m:t>−1</m:t>
                    </m:r>
                  </m:sup>
                </m:sSup>
                <m:sSub>
                  <m:e>
                    <m:r>
                      <m:t>Q</m:t>
                    </m:r>
                  </m:e>
                  <m:sub>
                    <m:r>
                      <m:t>n</m:t>
                    </m:r>
                  </m:sub>
                </m:sSub>
                <m:r>
                  <m:t>f</m:t>
                </m:r>
              </m:e>
              <m:e>
                <m:r>
                  <m:t>→</m:t>
                </m:r>
                <m:sSup>
                  <m:e>
                    <m:d>
                      <m:e>
                        <m:r>
                          <m:t>K+z</m:t>
                        </m:r>
                      </m:e>
                    </m:d>
                  </m:e>
                  <m:sup>
                    <m:r>
                      <m:t>−1</m:t>
                    </m:r>
                  </m:sup>
                </m:sSup>
                <m:r>
                  <m:t>f</m:t>
                </m:r>
                <m:d>
                  <m:e>
                    <m:r>
                      <m:t>z&gt;0</m:t>
                    </m:r>
                  </m:e>
                </m:d>
                <m:r>
                  <m:t>.</m:t>
                </m:r>
              </m:e>
            </m:mr>
          </m:m>
          <m:r>
            <m:t/>
          </m:r>
          <m:r>
            <m:rPr>
              <m:nor/>
            </m:rPr>
            <m:t>(7)</m:t>
          </m:r>
        </m:oMath>
      </m:oMathPara>
    </w:p>
    <w:p>
      <w:pPr>
        <w:pStyle w:val="Текстовый блок"/>
        <w:spacing w:line="240" w:lineRule="atLeast"/>
      </w:pPr>
      <w:r>
        <w:rPr>
          <w:rtl w:val="0"/>
          <w:lang w:val="en-US"/>
        </w:rPr>
        <w:t xml:space="preserve">Here </w:t>
      </w:r>
      <m:oMath>
        <m:r>
          <m:t>χ</m:t>
        </m:r>
      </m:oMath>
      <w:r>
        <w:rPr>
          <w:rtl w:val="0"/>
          <w:lang w:val="en-US"/>
        </w:rPr>
        <w:t xml:space="preserve"> is a bounded smooth local test function and </w:t>
      </w:r>
      <m:oMath>
        <m:r>
          <m:t>K</m:t>
        </m:r>
      </m:oMath>
      <w:r>
        <w:rPr>
          <w:rtl w:val="0"/>
          <w:lang w:val="en-US"/>
        </w:rPr>
        <w:t xml:space="preserve"> is a nonnegative self-adjoint realisation of a local second-order spatial differential operator. Its physical wave system must have the positive hyperbolic form under investigation. Neither a common cone nor </w:t>
      </w:r>
      <m:oMath>
        <m:sSub>
          <m:e>
            <m:r>
              <m:t>Δ</m:t>
            </m:r>
          </m:e>
          <m:sub>
            <m:r>
              <m:t>c</m:t>
            </m:r>
          </m:sub>
        </m:sSub>
        <m:r>
          <m:t>=0</m:t>
        </m:r>
      </m:oMath>
      <w:r>
        <w:rPr>
          <w:rtl w:val="0"/>
          <w:lang w:val="en-US"/>
        </w:rPr>
        <w:t xml:space="preserve"> is assumed in admissibility. For wave limits outside this static positive class, the topology and well-posedness assumptions must be replaced explicitly.</w:t>
      </w:r>
    </w:p>
    <w:p>
      <w:pPr>
        <w:pStyle w:val="Текстовый блок"/>
        <w:spacing w:line="240" w:lineRule="atLeast"/>
      </w:pPr>
    </w:p>
    <w:p>
      <w:pPr>
        <w:pStyle w:val="Текстовый блок"/>
        <w:spacing w:line="240" w:lineRule="atLeast"/>
      </w:pPr>
    </w:p>
    <w:p>
      <w:pPr>
        <w:pStyle w:val="Текстовый блок"/>
        <w:spacing w:line="240" w:lineRule="atLeast"/>
      </w:pPr>
    </w:p>
    <w:p>
      <w:pPr>
        <w:pStyle w:val="Текстовый блок"/>
        <w:spacing w:line="240" w:lineRule="atLeast"/>
      </w:pPr>
    </w:p>
    <w:p>
      <w:pPr>
        <w:pStyle w:val="Текстовый блок"/>
        <w:spacing w:line="240" w:lineRule="atLeast"/>
      </w:pPr>
      <w:r>
        <w:rPr>
          <w:rtl w:val="0"/>
          <w:lang w:val="en-US"/>
        </w:rPr>
        <w:t xml:space="preserve">Resolvent convergence in (7) gives, for every fixed </w:t>
      </w:r>
      <m:oMath>
        <m:r>
          <m:t>f</m:t>
        </m:r>
      </m:oMath>
      <w:r>
        <w:rPr>
          <w:rtl w:val="0"/>
        </w:rPr>
        <w:t>,</w:t>
      </w:r>
    </w:p>
    <w:p>
      <w:pPr>
        <w:pStyle w:val="Текстовый блок"/>
        <w:keepLines w:val="1"/>
        <w:spacing w:before="60" w:line="240" w:lineRule="atLeast"/>
        <w:jc w:val="center"/>
      </w:pPr>
      <m:oMathPara>
        <m:oMathParaPr>
          <m:jc m:val="center"/>
        </m:oMathParaPr>
        <m:oMath>
          <m:m>
            <m:mPr>
              <m:baseJc m:val="center"/>
              <m:plcHide m:val="on"/>
              <m:mcs>
                <m:mc>
                  <m:mcPr>
                    <m:count m:val="2"/>
                    <m:mcJc m:val="center"/>
                  </m:mcPr>
                </m:mc>
              </m:mcs>
            </m:mPr>
            <m:mr>
              <m:e>
                <m:sSub>
                  <m:e>
                    <m:r>
                      <m:t>S</m:t>
                    </m:r>
                  </m:e>
                  <m:sub>
                    <m:r>
                      <m:t>n</m:t>
                    </m:r>
                  </m:sub>
                </m:sSub>
                <m:d>
                  <m:e>
                    <m:r>
                      <m:t>t</m:t>
                    </m:r>
                  </m:e>
                </m:d>
              </m:e>
              <m:e>
                <m:r>
                  <m:t>=</m:t>
                </m:r>
                <m:f>
                  <m:fPr>
                    <m:type m:val="bar"/>
                  </m:fPr>
                  <m:num>
                    <m:r>
                      <m:rPr>
                        <m:sty m:val="p"/>
                      </m:rPr>
                      <m:t>sin</m:t>
                    </m:r>
                    <m:d>
                      <m:e>
                        <m:r>
                          <m:t>t</m:t>
                        </m:r>
                        <m:rad>
                          <m:radPr>
                            <m:degHide m:val="on"/>
                          </m:radPr>
                          <m:deg/>
                          <m:e>
                            <m:sSub>
                              <m:e>
                                <m:r>
                                  <m:t>K</m:t>
                                </m:r>
                              </m:e>
                              <m:sub>
                                <m:r>
                                  <m:t>n</m:t>
                                </m:r>
                              </m:sub>
                            </m:sSub>
                          </m:e>
                        </m:rad>
                      </m:e>
                    </m:d>
                  </m:num>
                  <m:den>
                    <m:rad>
                      <m:radPr>
                        <m:degHide m:val="on"/>
                      </m:radPr>
                      <m:deg/>
                      <m:e>
                        <m:sSub>
                          <m:e>
                            <m:r>
                              <m:t>K</m:t>
                            </m:r>
                          </m:e>
                          <m:sub>
                            <m:r>
                              <m:t>n</m:t>
                            </m:r>
                          </m:sub>
                        </m:sSub>
                      </m:e>
                    </m:rad>
                  </m:den>
                </m:f>
                <m:r>
                  <m:t>,</m:t>
                </m:r>
                <m:sSub>
                  <m:e>
                    <m:r>
                      <m:t>S</m:t>
                    </m:r>
                  </m:e>
                  <m:sub>
                    <m:r>
                      <m:t>n</m:t>
                    </m:r>
                  </m:sub>
                </m:sSub>
                <m:d>
                  <m:e>
                    <m:r>
                      <m:t>t</m:t>
                    </m:r>
                  </m:e>
                </m:d>
                <m:sSub>
                  <m:e>
                    <m:r>
                      <m:t>|</m:t>
                    </m:r>
                  </m:e>
                  <m:sub>
                    <m:r>
                      <m:rPr>
                        <m:sty m:val="p"/>
                      </m:rPr>
                      <m:t>ker</m:t>
                    </m:r>
                    <m:sSub>
                      <m:e>
                        <m:r>
                          <m:t>K</m:t>
                        </m:r>
                      </m:e>
                      <m:sub>
                        <m:r>
                          <m:t>n</m:t>
                        </m:r>
                      </m:sub>
                    </m:sSub>
                  </m:sub>
                </m:sSub>
                <m:r>
                  <m:t>=tI,</m:t>
                </m:r>
              </m:e>
            </m:mr>
            <m:mr>
              <m:e>
                <m:limLow>
                  <m:e>
                    <m:r>
                      <m:rPr>
                        <m:sty m:val="p"/>
                      </m:rPr>
                      <m:t>sup</m:t>
                    </m:r>
                  </m:e>
                  <m:lim>
                    <m:d>
                      <m:dPr>
                        <m:begChr m:val="|"/>
                        <m:endChr m:val="|"/>
                      </m:dPr>
                      <m:e>
                        <m:r>
                          <m:t>t</m:t>
                        </m:r>
                      </m:e>
                    </m:d>
                    <m:r>
                      <m:t>≤T</m:t>
                    </m:r>
                  </m:lim>
                </m:limLow>
                <m:r>
                  <m:t>∥</m:t>
                </m:r>
                <m:sSub>
                  <m:e>
                    <m:r>
                      <m:t>J</m:t>
                    </m:r>
                  </m:e>
                  <m:sub>
                    <m:r>
                      <m:t>n</m:t>
                    </m:r>
                  </m:sub>
                </m:sSub>
                <m:sSub>
                  <m:e>
                    <m:r>
                      <m:t>S</m:t>
                    </m:r>
                  </m:e>
                  <m:sub>
                    <m:r>
                      <m:t>n</m:t>
                    </m:r>
                  </m:sub>
                </m:sSub>
                <m:d>
                  <m:e>
                    <m:r>
                      <m:t>t</m:t>
                    </m:r>
                  </m:e>
                </m:d>
                <m:sSub>
                  <m:e>
                    <m:r>
                      <m:t>Q</m:t>
                    </m:r>
                  </m:e>
                  <m:sub>
                    <m:r>
                      <m:t>n</m:t>
                    </m:r>
                  </m:sub>
                </m:sSub>
                <m:r>
                  <m:t>f−S</m:t>
                </m:r>
                <m:d>
                  <m:e>
                    <m:r>
                      <m:t>t</m:t>
                    </m:r>
                  </m:e>
                </m:d>
                <m:r>
                  <m:t>f∥</m:t>
                </m:r>
              </m:e>
              <m:e>
                <m:r>
                  <m:t>→0.</m:t>
                </m:r>
              </m:e>
            </m:mr>
          </m:m>
          <m:r>
            <m:t/>
          </m:r>
          <m:r>
            <m:rPr>
              <m:nor/>
            </m:rPr>
            <m:t>(8)</m:t>
          </m:r>
        </m:oMath>
      </m:oMathPara>
    </w:p>
    <w:p>
      <w:pPr>
        <w:pStyle w:val="Текстовый блок"/>
        <w:spacing w:line="240" w:lineRule="atLeast"/>
      </w:pPr>
      <w:r>
        <w:rPr>
          <w:rtl w:val="0"/>
          <w:lang w:val="en-US"/>
        </w:rPr>
        <w:t xml:space="preserve">For completeness, </w:t>
      </w:r>
      <m:oMath>
        <m:r>
          <m:t>s↦</m:t>
        </m:r>
        <m:r>
          <m:rPr>
            <m:sty m:val="p"/>
          </m:rPr>
          <m:t>sin</m:t>
        </m:r>
        <m:d>
          <m:e>
            <m:r>
              <m:t>t</m:t>
            </m:r>
            <m:rad>
              <m:radPr>
                <m:degHide m:val="on"/>
              </m:radPr>
              <m:deg/>
              <m:e>
                <m:r>
                  <m:t>s</m:t>
                </m:r>
              </m:e>
            </m:rad>
          </m:e>
        </m:d>
        <m:r>
          <m:t>/</m:t>
        </m:r>
        <m:rad>
          <m:radPr>
            <m:degHide m:val="on"/>
          </m:radPr>
          <m:deg/>
          <m:e>
            <m:r>
              <m:t>s</m:t>
            </m:r>
          </m:e>
        </m:rad>
      </m:oMath>
      <w:r>
        <w:rPr>
          <w:rtl w:val="0"/>
          <w:lang w:val="en-US"/>
        </w:rPr>
        <w:t xml:space="preserve"> is continuous on </w:t>
      </w:r>
      <m:oMath>
        <m:r>
          <m:t>[0,</m:t>
        </m:r>
        <m:r>
          <m:rPr>
            <m:sty m:val="p"/>
          </m:rPr>
          <m:t>∞</m:t>
        </m:r>
        <m:r>
          <m:t>)</m:t>
        </m:r>
      </m:oMath>
      <w:r>
        <w:rPr>
          <w:rtl w:val="0"/>
          <w:lang w:val="en-US"/>
        </w:rPr>
        <w:t xml:space="preserve">, vanishes at infinity and has value </w:t>
      </w:r>
      <m:oMath>
        <m:r>
          <m:t>t</m:t>
        </m:r>
      </m:oMath>
      <w:r>
        <w:rPr>
          <w:rtl w:val="0"/>
          <w:lang w:val="en-US"/>
        </w:rPr>
        <w:t xml:space="preserve"> at zero. Strong resolvent convergence therefore implies convergence of this function of the operators, by uniform approximation with resolvent functions. Also </w:t>
      </w:r>
      <m:oMath>
        <m:r>
          <m:t>∥</m:t>
        </m:r>
        <m:sSub>
          <m:e>
            <m:r>
              <m:t>S</m:t>
            </m:r>
          </m:e>
          <m:sub>
            <m:r>
              <m:t>n</m:t>
            </m:r>
          </m:sub>
        </m:sSub>
        <m:d>
          <m:e>
            <m:r>
              <m:t>t</m:t>
            </m:r>
          </m:e>
        </m:d>
        <m:r>
          <m:t>−</m:t>
        </m:r>
        <m:sSub>
          <m:e>
            <m:r>
              <m:t>S</m:t>
            </m:r>
          </m:e>
          <m:sub>
            <m:r>
              <m:t>n</m:t>
            </m:r>
          </m:sub>
        </m:sSub>
        <m:d>
          <m:e>
            <m:r>
              <m:t>s</m:t>
            </m:r>
          </m:e>
        </m:d>
        <m:r>
          <m:t>∥≤</m:t>
        </m:r>
        <m:d>
          <m:dPr>
            <m:begChr m:val="|"/>
            <m:endChr m:val="|"/>
          </m:dPr>
          <m:e>
            <m:r>
              <m:t>t−s</m:t>
            </m:r>
          </m:e>
        </m:d>
      </m:oMath>
      <w:r>
        <w:rPr>
          <w:rtl w:val="0"/>
          <w:lang w:val="en-US"/>
        </w:rPr>
        <w:t>. A finite time mesh upgrades pointwise convergence to (8). This is an application of the spectral-convergence framework [16], not a claim of operator-norm convergence on all unit vectors.</w:t>
      </w:r>
    </w:p>
    <w:p>
      <w:pPr>
        <w:pStyle w:val="Текстовый блок"/>
        <w:spacing w:line="240" w:lineRule="atLeast"/>
      </w:pPr>
      <w:r>
        <w:rPr>
          <w:rtl w:val="0"/>
          <w:lang w:val="en-US"/>
        </w:rPr>
        <w:t>Localisation is independent input. An arbitrary nonlocal unitary conjugation preserves spectra but changes the association between states and places. Resolvent or response convergence without that association cannot by itself reconstruct physical distance.</w:t>
      </w:r>
      <w:bookmarkEnd w:id="7"/>
    </w:p>
    <w:p>
      <w:pPr>
        <w:pStyle w:val="Заголовок 3"/>
        <w:spacing w:line="240" w:lineRule="atLeast"/>
      </w:pPr>
      <w:bookmarkStart w:name="X4a410bb17d716cb617ed30311093a641358a3b9" w:id="8"/>
      <w:r>
        <w:rPr>
          <w:rtl w:val="0"/>
          <w:lang w:val="en-US"/>
        </w:rPr>
        <w:t>3.2. Comparison without presupposing the limiting cone</w:t>
      </w:r>
    </w:p>
    <w:p>
      <w:pPr>
        <w:pStyle w:val="Текстовый блок"/>
        <w:spacing w:line="240" w:lineRule="atLeast"/>
      </w:pPr>
      <w:r>
        <w:rPr>
          <w:rtl w:val="0"/>
          <w:lang w:val="en-US"/>
        </w:rPr>
        <w:t xml:space="preserve">Consider two isometric reconstructions </w:t>
      </w:r>
      <m:oMath>
        <m:sSubSup>
          <m:e>
            <m:r>
              <m:t>J</m:t>
            </m:r>
          </m:e>
          <m:sub>
            <m:r>
              <m:t>n</m:t>
            </m:r>
          </m:sub>
          <m:sup>
            <m:d>
              <m:e>
                <m:r>
                  <m:t>i</m:t>
                </m:r>
              </m:e>
            </m:d>
          </m:sup>
        </m:sSubSup>
        <m:r>
          <m:t>:</m:t>
        </m:r>
        <m:sSub>
          <m:e>
            <m:r>
              <m:rPr>
                <m:scr m:val="script"/>
              </m:rPr>
              <m:t>H</m:t>
            </m:r>
          </m:e>
          <m:sub>
            <m:r>
              <m:t>n</m:t>
            </m:r>
          </m:sub>
        </m:sSub>
        <m:r>
          <m:t>→</m:t>
        </m:r>
        <m:sSup>
          <m:e>
            <m:r>
              <m:rPr>
                <m:scr m:val="script"/>
              </m:rPr>
              <m:t>H</m:t>
            </m:r>
          </m:e>
          <m:sup>
            <m:d>
              <m:e>
                <m:r>
                  <m:t>i</m:t>
                </m:r>
              </m:e>
            </m:d>
          </m:sup>
        </m:sSup>
      </m:oMath>
      <w:r>
        <w:rPr>
          <w:rtl w:val="0"/>
        </w:rPr>
        <w:t xml:space="preserve">, </w:t>
      </w:r>
      <m:oMath>
        <m:r>
          <m:t>i=1,2</m:t>
        </m:r>
      </m:oMath>
      <w:r>
        <w:rPr>
          <w:rtl w:val="0"/>
          <w:lang w:val="en-US"/>
        </w:rPr>
        <w:t xml:space="preserve">, of the same microscopic family. Let </w:t>
      </w:r>
      <m:oMath>
        <m:r>
          <m:t>V:</m:t>
        </m:r>
        <m:sSup>
          <m:e>
            <m:r>
              <m:rPr>
                <m:scr m:val="script"/>
              </m:rPr>
              <m:t>H</m:t>
            </m:r>
          </m:e>
          <m:sup>
            <m:d>
              <m:e>
                <m:r>
                  <m:t>1</m:t>
                </m:r>
              </m:e>
            </m:d>
          </m:sup>
        </m:sSup>
        <m:r>
          <m:t>→</m:t>
        </m:r>
        <m:sSup>
          <m:e>
            <m:r>
              <m:rPr>
                <m:scr m:val="script"/>
              </m:rPr>
              <m:t>H</m:t>
            </m:r>
          </m:e>
          <m:sup>
            <m:d>
              <m:e>
                <m:r>
                  <m:t>2</m:t>
                </m:r>
              </m:e>
            </m:d>
          </m:sup>
        </m:sSup>
      </m:oMath>
      <w:r>
        <w:rPr>
          <w:rtl w:val="0"/>
          <w:lang w:val="en-US"/>
        </w:rPr>
        <w:t xml:space="preserve"> be unitary, induced by one smooth spatial diffeomorphism and a smooth orthogonal physical-bundle map, with the density factor required by the measures. Thus it intertwines the local multiplication algebras. The time convention is initially the same in both descriptions.</w:t>
      </w:r>
    </w:p>
    <w:p>
      <w:pPr>
        <w:pStyle w:val="Текстовый блок"/>
        <w:spacing w:line="240" w:lineRule="atLeast"/>
      </w:pPr>
      <w:r>
        <w:rPr>
          <w:b w:val="1"/>
          <w:bCs w:val="1"/>
          <w:rtl w:val="0"/>
          <w:lang w:val="en-US"/>
        </w:rPr>
        <w:t>Theorem 2 (reconstruction invariance from bounded-energy agreement).</w:t>
      </w:r>
      <w:r>
        <w:rPr>
          <w:rtl w:val="0"/>
          <w:lang w:val="en-US"/>
        </w:rPr>
        <w:t xml:space="preserve"> Suppose reconstruction 1 has limit (8). On a dense subspace </w:t>
      </w:r>
      <m:oMath>
        <m:r>
          <m:rPr>
            <m:scr m:val="script"/>
          </m:rPr>
          <m:t>D</m:t>
        </m:r>
        <m:r>
          <m:t>⊂</m:t>
        </m:r>
        <m:sSup>
          <m:e>
            <m:r>
              <m:rPr>
                <m:scr m:val="script"/>
              </m:rPr>
              <m:t>H</m:t>
            </m:r>
          </m:e>
          <m:sup>
            <m:d>
              <m:e>
                <m:r>
                  <m:t>1</m:t>
                </m:r>
              </m:e>
            </m:d>
          </m:sup>
        </m:sSup>
      </m:oMath>
      <w:r>
        <w:rPr>
          <w:rtl w:val="0"/>
          <w:lang w:val="pt-PT"/>
        </w:rPr>
        <w:t>, assume</w:t>
      </w:r>
    </w:p>
    <w:p>
      <w:pPr>
        <w:pStyle w:val="Текстовый блок"/>
        <w:keepLines w:val="1"/>
        <w:spacing w:before="60" w:line="240" w:lineRule="atLeast"/>
        <w:jc w:val="center"/>
      </w:pPr>
      <m:oMathPara>
        <m:oMathParaPr>
          <m:jc m:val="center"/>
        </m:oMathParaPr>
        <m:oMath>
          <m:r>
            <m:t>∥</m:t>
          </m:r>
          <m:sSubSup>
            <m:e>
              <m:r>
                <m:t>Q</m:t>
              </m:r>
            </m:e>
            <m:sub>
              <m:r>
                <m:t>n</m:t>
              </m:r>
            </m:sub>
            <m:sup>
              <m:d>
                <m:e>
                  <m:r>
                    <m:t>2</m:t>
                  </m:r>
                </m:e>
              </m:d>
            </m:sup>
          </m:sSubSup>
          <m:r>
            <m:t>Vf−</m:t>
          </m:r>
          <m:sSubSup>
            <m:e>
              <m:r>
                <m:t>Q</m:t>
              </m:r>
            </m:e>
            <m:sub>
              <m:r>
                <m:t>n</m:t>
              </m:r>
            </m:sub>
            <m:sup>
              <m:d>
                <m:e>
                  <m:r>
                    <m:t>1</m:t>
                  </m:r>
                </m:e>
              </m:d>
            </m:sup>
          </m:sSubSup>
          <m:r>
            <m:t>f∥→0,</m:t>
          </m:r>
          <m:sSub>
            <m:e>
              <m:r>
                <m:t>C</m:t>
              </m:r>
            </m:e>
            <m:sub>
              <m:r>
                <m:t>f</m:t>
              </m:r>
            </m:sub>
          </m:sSub>
          <m:r>
            <m:t>:=</m:t>
          </m:r>
          <m:limLow>
            <m:e>
              <m:r>
                <m:rPr>
                  <m:sty m:val="p"/>
                </m:rPr>
                <m:t>sup</m:t>
              </m:r>
            </m:e>
            <m:lim>
              <m:r>
                <m:t>n</m:t>
              </m:r>
            </m:lim>
          </m:limLow>
          <m:r>
            <m:t>∥</m:t>
          </m:r>
          <m:sSubSup>
            <m:e>
              <m:r>
                <m:t>K</m:t>
              </m:r>
            </m:e>
            <m:sub>
              <m:r>
                <m:t>n</m:t>
              </m:r>
            </m:sub>
            <m:sup>
              <m:f>
                <m:fPr>
                  <m:type m:val="lin"/>
                </m:fPr>
                <m:num>
                  <m:r>
                    <m:t>1</m:t>
                  </m:r>
                </m:num>
                <m:den>
                  <m:r>
                    <m:t>2</m:t>
                  </m:r>
                </m:den>
              </m:f>
            </m:sup>
          </m:sSubSup>
          <m:sSubSup>
            <m:e>
              <m:r>
                <m:t>Q</m:t>
              </m:r>
            </m:e>
            <m:sub>
              <m:r>
                <m:t>n</m:t>
              </m:r>
            </m:sub>
            <m:sup>
              <m:d>
                <m:e>
                  <m:r>
                    <m:t>1</m:t>
                  </m:r>
                </m:e>
              </m:d>
            </m:sup>
          </m:sSubSup>
          <m:r>
            <m:t>f∥&lt;</m:t>
          </m:r>
          <m:r>
            <m:rPr>
              <m:sty m:val="p"/>
            </m:rPr>
            <m:t>∞</m:t>
          </m:r>
          <m:r>
            <m:t>.</m:t>
          </m:r>
          <m:r>
            <m:rPr>
              <m:nor/>
            </m:rPr>
            <m:t>(9)</m:t>
          </m:r>
        </m:oMath>
      </m:oMathPara>
    </w:p>
    <w:p>
      <w:pPr>
        <w:pStyle w:val="Текстовый блок"/>
        <w:spacing w:line="240" w:lineRule="atLeast"/>
      </w:pPr>
      <w:r>
        <w:rPr>
          <w:rtl w:val="0"/>
          <w:lang w:val="en-US"/>
        </w:rPr>
        <w:t xml:space="preserve">For every finite </w:t>
      </w:r>
      <m:oMath>
        <m:r>
          <m:t>E</m:t>
        </m:r>
      </m:oMath>
      <w:r>
        <w:rPr>
          <w:rtl w:val="0"/>
          <w:lang w:val="en-US"/>
        </w:rPr>
        <w:t>, suppose also</w:t>
      </w:r>
    </w:p>
    <w:p>
      <w:pPr>
        <w:pStyle w:val="Текстовый блок"/>
        <w:keepLines w:val="1"/>
        <w:spacing w:before="60" w:line="240" w:lineRule="atLeast"/>
        <w:jc w:val="center"/>
      </w:pPr>
      <m:oMathPara>
        <m:oMathParaPr>
          <m:jc m:val="center"/>
        </m:oMathParaPr>
        <m:oMath>
          <m:sSub>
            <m:e>
              <m:r>
                <m:t>η</m:t>
              </m:r>
            </m:e>
            <m:sub>
              <m:r>
                <m:t>n</m:t>
              </m:r>
            </m:sub>
          </m:sSub>
          <m:d>
            <m:e>
              <m:r>
                <m:t>E</m:t>
              </m:r>
            </m:e>
          </m:d>
          <m:r>
            <m:t>:=∥</m:t>
          </m:r>
          <m:d>
            <m:e>
              <m:sSubSup>
                <m:e>
                  <m:r>
                    <m:t>J</m:t>
                  </m:r>
                </m:e>
                <m:sub>
                  <m:r>
                    <m:t>n</m:t>
                  </m:r>
                </m:sub>
                <m:sup>
                  <m:d>
                    <m:e>
                      <m:r>
                        <m:t>2</m:t>
                      </m:r>
                    </m:e>
                  </m:d>
                </m:sup>
              </m:sSubSup>
              <m:r>
                <m:t>−V</m:t>
              </m:r>
              <m:sSubSup>
                <m:e>
                  <m:r>
                    <m:t>J</m:t>
                  </m:r>
                </m:e>
                <m:sub>
                  <m:r>
                    <m:t>n</m:t>
                  </m:r>
                </m:sub>
                <m:sup>
                  <m:d>
                    <m:e>
                      <m:r>
                        <m:t>1</m:t>
                      </m:r>
                    </m:e>
                  </m:d>
                </m:sup>
              </m:sSubSup>
            </m:e>
          </m:d>
          <m:sSub>
            <m:e>
              <m:r>
                <m:t>1</m:t>
              </m:r>
            </m:e>
            <m:sub>
              <m:d>
                <m:dPr>
                  <m:begChr m:val="["/>
                  <m:endChr m:val="]"/>
                </m:dPr>
                <m:e>
                  <m:r>
                    <m:t>0,E</m:t>
                  </m:r>
                </m:e>
              </m:d>
            </m:sub>
          </m:sSub>
          <m:d>
            <m:e>
              <m:sSub>
                <m:e>
                  <m:r>
                    <m:t>K</m:t>
                  </m:r>
                </m:e>
                <m:sub>
                  <m:r>
                    <m:t>n</m:t>
                  </m:r>
                </m:sub>
              </m:sSub>
            </m:e>
          </m:d>
          <m:r>
            <m:t>∥→0.</m:t>
          </m:r>
          <m:r>
            <m:rPr>
              <m:nor/>
            </m:rPr>
            <m:t>(10)</m:t>
          </m:r>
        </m:oMath>
      </m:oMathPara>
    </w:p>
    <w:p>
      <w:pPr>
        <w:pStyle w:val="Текстовый блок"/>
        <w:spacing w:line="240" w:lineRule="atLeast"/>
      </w:pPr>
      <w:r>
        <w:rPr>
          <w:rtl w:val="0"/>
          <w:lang w:val="en-US"/>
        </w:rPr>
        <w:t xml:space="preserve">Then reconstruction 2 has the response limit </w:t>
      </w:r>
      <m:oMath>
        <m:r>
          <m:t>VS</m:t>
        </m:r>
        <m:d>
          <m:e>
            <m:r>
              <m:t>t</m:t>
            </m:r>
          </m:e>
        </m:d>
        <m:sSup>
          <m:e>
            <m:r>
              <m:t>V</m:t>
            </m:r>
          </m:e>
          <m:sup>
            <m:r>
              <m:rPr>
                <m:sty m:val="p"/>
              </m:rPr>
              <m:t>*</m:t>
            </m:r>
          </m:sup>
        </m:sSup>
      </m:oMath>
      <w:r>
        <w:rPr>
          <w:rtl w:val="0"/>
          <w:lang w:val="en-US"/>
        </w:rPr>
        <w:t xml:space="preserve">, uniformly on compact time intervals in the strong topology. If its effective local operator is denoted </w:t>
      </w:r>
      <m:oMath>
        <m:sSup>
          <m:e>
            <m:r>
              <m:t>K</m:t>
            </m:r>
          </m:e>
          <m:sup>
            <m:d>
              <m:e>
                <m:r>
                  <m:t>2</m:t>
                </m:r>
              </m:e>
            </m:d>
          </m:sup>
        </m:sSup>
      </m:oMath>
      <w:r>
        <w:rPr>
          <w:rtl w:val="0"/>
          <w:lang w:val="en-US"/>
        </w:rPr>
        <w:t xml:space="preserve">, it equals </w:t>
      </w:r>
      <m:oMath>
        <m:r>
          <m:t>V</m:t>
        </m:r>
        <m:sSup>
          <m:e>
            <m:r>
              <m:t>K</m:t>
            </m:r>
          </m:e>
          <m:sup>
            <m:d>
              <m:e>
                <m:r>
                  <m:t>1</m:t>
                </m:r>
              </m:e>
            </m:d>
          </m:sup>
        </m:sSup>
        <m:sSup>
          <m:e>
            <m:r>
              <m:t>V</m:t>
            </m:r>
          </m:e>
          <m:sup>
            <m:r>
              <m:rPr>
                <m:sty m:val="p"/>
              </m:rPr>
              <m:t>*</m:t>
            </m:r>
          </m:sup>
        </m:sSup>
      </m:oMath>
      <w:r>
        <w:rPr>
          <w:rtl w:val="0"/>
          <w:lang w:val="en-US"/>
        </w:rPr>
        <w:t>. Its physical characteristic sets are the common cotangent transform of those in reconstruction 1. Consequently universal null calibration is preserved. No equality of limiting cones is assumed in (9)</w:t>
      </w:r>
      <w:r>
        <w:rPr>
          <w:rtl w:val="0"/>
          <w:lang w:val="en-US"/>
        </w:rPr>
        <w:t>–</w:t>
      </w:r>
      <w:r>
        <w:rPr>
          <w:rtl w:val="0"/>
        </w:rPr>
        <w:t>(10).</w:t>
      </w:r>
    </w:p>
    <w:p>
      <w:pPr>
        <w:pStyle w:val="Текстовый блок"/>
        <w:spacing w:line="240" w:lineRule="atLeast"/>
      </w:pPr>
      <w:r>
        <w:rPr>
          <w:b w:val="1"/>
          <w:bCs w:val="1"/>
          <w:rtl w:val="0"/>
          <w:lang w:val="en-US"/>
        </w:rPr>
        <w:t>Proof.</w:t>
      </w:r>
      <w:r>
        <w:rPr>
          <w:rtl w:val="0"/>
          <w:lang w:val="en-US"/>
        </w:rPr>
        <w:t xml:space="preserve"> Put </w:t>
      </w:r>
      <m:oMath>
        <m:sSub>
          <m:e>
            <m:r>
              <m:t>A</m:t>
            </m:r>
          </m:e>
          <m:sub>
            <m:r>
              <m:t>n</m:t>
            </m:r>
          </m:sub>
        </m:sSub>
        <m:r>
          <m:t>=</m:t>
        </m:r>
        <m:sSubSup>
          <m:e>
            <m:r>
              <m:t>J</m:t>
            </m:r>
          </m:e>
          <m:sub>
            <m:r>
              <m:t>n</m:t>
            </m:r>
          </m:sub>
          <m:sup>
            <m:d>
              <m:e>
                <m:r>
                  <m:t>2</m:t>
                </m:r>
              </m:e>
            </m:d>
          </m:sup>
        </m:sSubSup>
        <m:r>
          <m:t>−V</m:t>
        </m:r>
        <m:sSubSup>
          <m:e>
            <m:r>
              <m:t>J</m:t>
            </m:r>
          </m:e>
          <m:sub>
            <m:r>
              <m:t>n</m:t>
            </m:r>
          </m:sub>
          <m:sup>
            <m:d>
              <m:e>
                <m:r>
                  <m:t>1</m:t>
                </m:r>
              </m:e>
            </m:d>
          </m:sup>
        </m:sSubSup>
      </m:oMath>
      <w:r>
        <w:rPr>
          <w:rtl w:val="0"/>
          <w:lang w:val="en-US"/>
        </w:rPr>
        <w:t xml:space="preserve">, so </w:t>
      </w:r>
      <m:oMath>
        <m:r>
          <m:t>∥</m:t>
        </m:r>
        <m:sSub>
          <m:e>
            <m:r>
              <m:t>A</m:t>
            </m:r>
          </m:e>
          <m:sub>
            <m:r>
              <m:t>n</m:t>
            </m:r>
          </m:sub>
        </m:sSub>
        <m:r>
          <m:t>∥≤2</m:t>
        </m:r>
      </m:oMath>
      <w:r>
        <w:rPr>
          <w:rtl w:val="0"/>
          <w:lang w:val="en-US"/>
        </w:rPr>
        <w:t xml:space="preserve">, and split the difference of the reconstructed responses into an input mismatch and </w:t>
      </w:r>
      <m:oMath>
        <m:sSub>
          <m:e>
            <m:r>
              <m:t>A</m:t>
            </m:r>
          </m:e>
          <m:sub>
            <m:r>
              <m:t>n</m:t>
            </m:r>
          </m:sub>
        </m:sSub>
        <m:sSub>
          <m:e>
            <m:r>
              <m:t>S</m:t>
            </m:r>
          </m:e>
          <m:sub>
            <m:r>
              <m:t>n</m:t>
            </m:r>
          </m:sub>
        </m:sSub>
        <m:d>
          <m:e>
            <m:r>
              <m:t>t</m:t>
            </m:r>
          </m:e>
        </m:d>
        <m:sSubSup>
          <m:e>
            <m:r>
              <m:t>Q</m:t>
            </m:r>
          </m:e>
          <m:sub>
            <m:r>
              <m:t>n</m:t>
            </m:r>
          </m:sub>
          <m:sup>
            <m:d>
              <m:e>
                <m:r>
                  <m:t>1</m:t>
                </m:r>
              </m:e>
            </m:d>
          </m:sup>
        </m:sSubSup>
        <m:r>
          <m:t>f</m:t>
        </m:r>
      </m:oMath>
      <w:r>
        <w:rPr>
          <w:rtl w:val="0"/>
          <w:lang w:val="en-US"/>
        </w:rPr>
        <w:t xml:space="preserve">. Write </w:t>
      </w:r>
      <m:oMath>
        <m:sSubSup>
          <m:e>
            <m:r>
              <m:rPr>
                <m:scr m:val="script"/>
              </m:rPr>
              <m:t>R</m:t>
            </m:r>
          </m:e>
          <m:sub>
            <m:r>
              <m:t>n</m:t>
            </m:r>
          </m:sub>
          <m:sup>
            <m:d>
              <m:e>
                <m:r>
                  <m:t>i</m:t>
                </m:r>
              </m:e>
            </m:d>
          </m:sup>
        </m:sSubSup>
        <m:d>
          <m:e>
            <m:r>
              <m:t>t</m:t>
            </m:r>
          </m:e>
        </m:d>
        <m:r>
          <m:t>=</m:t>
        </m:r>
        <m:sSubSup>
          <m:e>
            <m:r>
              <m:t>J</m:t>
            </m:r>
          </m:e>
          <m:sub>
            <m:r>
              <m:t>n</m:t>
            </m:r>
          </m:sub>
          <m:sup>
            <m:d>
              <m:e>
                <m:r>
                  <m:t>i</m:t>
                </m:r>
              </m:e>
            </m:d>
          </m:sup>
        </m:sSubSup>
        <m:sSub>
          <m:e>
            <m:r>
              <m:t>S</m:t>
            </m:r>
          </m:e>
          <m:sub>
            <m:r>
              <m:t>n</m:t>
            </m:r>
          </m:sub>
        </m:sSub>
        <m:d>
          <m:e>
            <m:r>
              <m:t>t</m:t>
            </m:r>
          </m:e>
        </m:d>
        <m:sSubSup>
          <m:e>
            <m:r>
              <m:t>Q</m:t>
            </m:r>
          </m:e>
          <m:sub>
            <m:r>
              <m:t>n</m:t>
            </m:r>
          </m:sub>
          <m:sup>
            <m:d>
              <m:e>
                <m:r>
                  <m:t>i</m:t>
                </m:r>
              </m:e>
            </m:d>
          </m:sup>
        </m:sSubSup>
      </m:oMath>
      <w:r>
        <w:rPr>
          <w:rtl w:val="0"/>
          <w:lang w:val="en-US"/>
        </w:rPr>
        <w:t xml:space="preserve">. Since </w:t>
      </w:r>
      <m:oMath>
        <m:sSub>
          <m:e>
            <m:r>
              <m:t>S</m:t>
            </m:r>
          </m:e>
          <m:sub>
            <m:r>
              <m:t>n</m:t>
            </m:r>
          </m:sub>
        </m:sSub>
      </m:oMath>
      <w:r>
        <w:rPr>
          <w:rtl w:val="0"/>
          <w:lang w:val="en-US"/>
        </w:rPr>
        <w:t xml:space="preserve"> commutes with the spectral projections, for </w:t>
      </w:r>
      <m:oMath>
        <m:r>
          <m:t>f∈</m:t>
        </m:r>
        <m:r>
          <m:rPr>
            <m:scr m:val="script"/>
          </m:rPr>
          <m:t>D</m:t>
        </m:r>
      </m:oMath>
      <w:r>
        <w:rPr>
          <w:rtl w:val="0"/>
          <w:lang w:val="en-US"/>
        </w:rPr>
        <w:t xml:space="preserve"> and </w:t>
      </w:r>
      <m:oMath>
        <m:r>
          <m:t>E&gt;0</m:t>
        </m:r>
      </m:oMath>
      <w:r>
        <w:rPr>
          <w:rtl w:val="0"/>
        </w:rPr>
        <w:t>,</w:t>
      </w:r>
    </w:p>
    <w:p>
      <w:pPr>
        <w:pStyle w:val="Текстовый блок"/>
        <w:keepLines w:val="1"/>
        <w:spacing w:before="60" w:line="240" w:lineRule="atLeast"/>
        <w:jc w:val="center"/>
      </w:pPr>
      <m:oMathPara>
        <m:oMathParaPr>
          <m:jc m:val="center"/>
        </m:oMathParaPr>
        <m:oMath>
          <m:m>
            <m:mPr>
              <m:baseJc m:val="center"/>
              <m:plcHide m:val="on"/>
              <m:mcs>
                <m:mc>
                  <m:mcPr>
                    <m:count m:val="2"/>
                    <m:mcJc m:val="center"/>
                  </m:mcPr>
                </m:mc>
              </m:mcs>
            </m:mPr>
            <m:mr>
              <m:e>
                <m:sSub>
                  <m:e>
                    <m:r>
                      <m:t>e</m:t>
                    </m:r>
                  </m:e>
                  <m:sub>
                    <m:r>
                      <m:t>n</m:t>
                    </m:r>
                  </m:sub>
                </m:sSub>
                <m:d>
                  <m:e>
                    <m:r>
                      <m:t>T,f</m:t>
                    </m:r>
                  </m:e>
                </m:d>
              </m:e>
              <m:e>
                <m:r>
                  <m:t>:=</m:t>
                </m:r>
                <m:limLow>
                  <m:e>
                    <m:r>
                      <m:rPr>
                        <m:sty m:val="p"/>
                      </m:rPr>
                      <m:t>sup</m:t>
                    </m:r>
                  </m:e>
                  <m:lim>
                    <m:d>
                      <m:dPr>
                        <m:begChr m:val="|"/>
                        <m:endChr m:val="|"/>
                      </m:dPr>
                      <m:e>
                        <m:r>
                          <m:t>t</m:t>
                        </m:r>
                      </m:e>
                    </m:d>
                    <m:r>
                      <m:t>≤T</m:t>
                    </m:r>
                  </m:lim>
                </m:limLow>
                <m:r>
                  <m:t>∥</m:t>
                </m:r>
                <m:sSubSup>
                  <m:e>
                    <m:r>
                      <m:rPr>
                        <m:scr m:val="script"/>
                      </m:rPr>
                      <m:t>R</m:t>
                    </m:r>
                  </m:e>
                  <m:sub>
                    <m:r>
                      <m:t>n</m:t>
                    </m:r>
                  </m:sub>
                  <m:sup>
                    <m:d>
                      <m:e>
                        <m:r>
                          <m:t>2</m:t>
                        </m:r>
                      </m:e>
                    </m:d>
                  </m:sup>
                </m:sSubSup>
                <m:d>
                  <m:e>
                    <m:r>
                      <m:t>t</m:t>
                    </m:r>
                  </m:e>
                </m:d>
                <m:r>
                  <m:t>Vf−V</m:t>
                </m:r>
                <m:sSubSup>
                  <m:e>
                    <m:r>
                      <m:rPr>
                        <m:scr m:val="script"/>
                      </m:rPr>
                      <m:t>R</m:t>
                    </m:r>
                  </m:e>
                  <m:sub>
                    <m:r>
                      <m:t>n</m:t>
                    </m:r>
                  </m:sub>
                  <m:sup>
                    <m:d>
                      <m:e>
                        <m:r>
                          <m:t>1</m:t>
                        </m:r>
                      </m:e>
                    </m:d>
                  </m:sup>
                </m:sSubSup>
                <m:d>
                  <m:e>
                    <m:r>
                      <m:t>t</m:t>
                    </m:r>
                  </m:e>
                </m:d>
                <m:r>
                  <m:t>f∥,</m:t>
                </m:r>
              </m:e>
            </m:mr>
            <m:mr>
              <m:e>
                <m:sSub>
                  <m:e>
                    <m:r>
                      <m:t>e</m:t>
                    </m:r>
                  </m:e>
                  <m:sub>
                    <m:r>
                      <m:t>n</m:t>
                    </m:r>
                  </m:sub>
                </m:sSub>
                <m:d>
                  <m:e>
                    <m:r>
                      <m:t>T,f</m:t>
                    </m:r>
                  </m:e>
                </m:d>
              </m:e>
              <m:e>
                <m:r>
                  <m:t>≤T∥</m:t>
                </m:r>
                <m:sSubSup>
                  <m:e>
                    <m:r>
                      <m:t>Q</m:t>
                    </m:r>
                  </m:e>
                  <m:sub>
                    <m:r>
                      <m:t>n</m:t>
                    </m:r>
                  </m:sub>
                  <m:sup>
                    <m:d>
                      <m:e>
                        <m:r>
                          <m:t>2</m:t>
                        </m:r>
                      </m:e>
                    </m:d>
                  </m:sup>
                </m:sSubSup>
                <m:r>
                  <m:t>Vf−</m:t>
                </m:r>
                <m:sSubSup>
                  <m:e>
                    <m:r>
                      <m:t>Q</m:t>
                    </m:r>
                  </m:e>
                  <m:sub>
                    <m:r>
                      <m:t>n</m:t>
                    </m:r>
                  </m:sub>
                  <m:sup>
                    <m:d>
                      <m:e>
                        <m:r>
                          <m:t>1</m:t>
                        </m:r>
                      </m:e>
                    </m:d>
                  </m:sup>
                </m:sSubSup>
                <m:r>
                  <m:t>f∥+T</m:t>
                </m:r>
                <m:sSub>
                  <m:e>
                    <m:r>
                      <m:t>η</m:t>
                    </m:r>
                  </m:e>
                  <m:sub>
                    <m:r>
                      <m:t>n</m:t>
                    </m:r>
                  </m:sub>
                </m:sSub>
                <m:d>
                  <m:e>
                    <m:r>
                      <m:t>E</m:t>
                    </m:r>
                  </m:e>
                </m:d>
                <m:r>
                  <m:t>∥f∥+</m:t>
                </m:r>
                <m:f>
                  <m:fPr>
                    <m:type m:val="bar"/>
                  </m:fPr>
                  <m:num>
                    <m:r>
                      <m:t>2T</m:t>
                    </m:r>
                    <m:sSub>
                      <m:e>
                        <m:r>
                          <m:t>C</m:t>
                        </m:r>
                      </m:e>
                      <m:sub>
                        <m:r>
                          <m:t>f</m:t>
                        </m:r>
                      </m:sub>
                    </m:sSub>
                  </m:num>
                  <m:den>
                    <m:rad>
                      <m:radPr>
                        <m:degHide m:val="on"/>
                      </m:radPr>
                      <m:deg/>
                      <m:e>
                        <m:r>
                          <m:t>E</m:t>
                        </m:r>
                      </m:e>
                    </m:rad>
                  </m:den>
                </m:f>
                <m:r>
                  <m:t>.</m:t>
                </m:r>
              </m:e>
            </m:mr>
          </m:m>
          <m:r>
            <m:t/>
          </m:r>
          <m:r>
            <m:rPr>
              <m:nor/>
            </m:rPr>
            <m:t>(11)</m:t>
          </m:r>
        </m:oMath>
      </m:oMathPara>
    </w:p>
    <w:p>
      <w:pPr>
        <w:pStyle w:val="Текстовый блок"/>
        <w:spacing w:line="240" w:lineRule="atLeast"/>
      </w:pPr>
      <w:r>
        <w:rPr>
          <w:rtl w:val="0"/>
          <w:lang w:val="en-US"/>
        </w:rPr>
        <w:t xml:space="preserve">The last term follows from the energy bound on the input and </w:t>
      </w:r>
      <m:oMath>
        <m:r>
          <m:t>∥</m:t>
        </m:r>
        <m:sSub>
          <m:e>
            <m:r>
              <m:t>S</m:t>
            </m:r>
          </m:e>
          <m:sub>
            <m:r>
              <m:t>n</m:t>
            </m:r>
          </m:sub>
        </m:sSub>
        <m:d>
          <m:e>
            <m:r>
              <m:t>t</m:t>
            </m:r>
          </m:e>
        </m:d>
        <m:r>
          <m:t>∥≤T</m:t>
        </m:r>
      </m:oMath>
      <w:r>
        <w:rPr>
          <w:rtl w:val="0"/>
          <w:lang w:val="en-US"/>
        </w:rPr>
        <w:t xml:space="preserve">. First take </w:t>
      </w:r>
      <m:oMath>
        <m:r>
          <m:t>n→</m:t>
        </m:r>
        <m:r>
          <m:rPr>
            <m:sty m:val="p"/>
          </m:rPr>
          <m:t>∞</m:t>
        </m:r>
      </m:oMath>
      <w:r>
        <w:rPr>
          <w:rtl w:val="0"/>
          <w:lang w:val="en-US"/>
        </w:rPr>
        <w:t xml:space="preserve"> at fixed </w:t>
      </w:r>
      <m:oMath>
        <m:r>
          <m:t>E</m:t>
        </m:r>
      </m:oMath>
      <w:r>
        <w:rPr>
          <w:rtl w:val="0"/>
          <w:lang w:val="en-US"/>
        </w:rPr>
        <w:t xml:space="preserve">, then </w:t>
      </w:r>
      <m:oMath>
        <m:r>
          <m:t>E→</m:t>
        </m:r>
        <m:r>
          <m:rPr>
            <m:sty m:val="p"/>
          </m:rPr>
          <m:t>∞</m:t>
        </m:r>
      </m:oMath>
      <w:r>
        <w:rPr>
          <w:rtl w:val="0"/>
          <w:lang w:val="en-US"/>
        </w:rPr>
        <w:t xml:space="preserve">. Uniform boundedness and density extend convergence to every </w:t>
      </w:r>
      <m:oMath>
        <m:r>
          <m:t>f</m:t>
        </m:r>
      </m:oMath>
      <w:r>
        <w:rPr>
          <w:rtl w:val="0"/>
          <w:lang w:val="en-US"/>
        </w:rPr>
        <w:t xml:space="preserve">. For </w:t>
      </w:r>
      <m:oMath>
        <m:r>
          <m:t>s&gt;0</m:t>
        </m:r>
      </m:oMath>
      <w:r>
        <w:rPr>
          <w:rtl w:val="0"/>
          <w:lang w:val="en-US"/>
        </w:rPr>
        <w:t xml:space="preserve">, the Laplace transform of the response is </w:t>
      </w:r>
      <m:oMath>
        <m:sSup>
          <m:e>
            <m:d>
              <m:e>
                <m:r>
                  <m:t>K+</m:t>
                </m:r>
                <m:sSup>
                  <m:e>
                    <m:r>
                      <m:t>s</m:t>
                    </m:r>
                  </m:e>
                  <m:sup>
                    <m:r>
                      <m:t>2</m:t>
                    </m:r>
                  </m:sup>
                </m:sSup>
              </m:e>
            </m:d>
          </m:e>
          <m:sup>
            <m:r>
              <m:t>−1</m:t>
            </m:r>
          </m:sup>
        </m:sSup>
      </m:oMath>
      <w:r>
        <w:rPr>
          <w:rtl w:val="0"/>
          <w:lang w:val="en-US"/>
        </w:rPr>
        <w:t xml:space="preserve">. The bound </w:t>
      </w:r>
      <m:oMath>
        <m:r>
          <m:t>∥S</m:t>
        </m:r>
        <m:d>
          <m:e>
            <m:r>
              <m:t>t</m:t>
            </m:r>
          </m:e>
        </m:d>
        <m:r>
          <m:t>∥≤t</m:t>
        </m:r>
      </m:oMath>
      <w:r>
        <w:rPr>
          <w:rtl w:val="0"/>
          <w:lang w:val="en-US"/>
        </w:rPr>
        <w:t xml:space="preserve"> permits dominated integration, so equality of the responses identifies the resolvents and hence the self-adjoint operators. A smooth local unitary induced by a diffeomorphism transforms a differential principal symbol by its cotangent map and conjugation in the physical fibre; invertible conjugation cannot create or remove characteristic covectors. </w:t>
      </w:r>
      <m:oMath>
        <m:r>
          <m:rPr>
            <m:sty m:val="p"/>
          </m:rPr>
          <m:t>▫</m:t>
        </m:r>
      </m:oMath>
    </w:p>
    <w:p>
      <w:pPr>
        <w:pStyle w:val="Текстовый блок"/>
        <w:spacing w:line="240" w:lineRule="atLeast"/>
      </w:pPr>
      <w:r>
        <w:rPr>
          <w:rtl w:val="0"/>
          <w:lang w:val="en-US"/>
        </w:rPr>
        <w:t xml:space="preserve">The theorem is a sufficient condition, not a classification of every admissible reconstruction. Condition (10) is deliberately imposed only on bounded-energy subspaces; requiring global operator-norm agreement would unnecessarily exclude natural discretisations. It does not imply that </w:t>
      </w:r>
      <m:oMath>
        <m:sSub>
          <m:e>
            <m:r>
              <m:t>Δ</m:t>
            </m:r>
          </m:e>
          <m:sub>
            <m:r>
              <m:t>c</m:t>
            </m:r>
          </m:sub>
        </m:sSub>
      </m:oMath>
      <w:r>
        <w:rPr>
          <w:rtl w:val="0"/>
          <w:lang w:val="en-US"/>
        </w:rPr>
        <w:t xml:space="preserve"> is invariant under discarding a physical sector. The retained sector content is part of the object being compared.</w:t>
      </w:r>
      <w:bookmarkEnd w:id="8"/>
    </w:p>
    <w:p>
      <w:pPr>
        <w:pStyle w:val="Заголовок 3"/>
        <w:spacing w:line="240" w:lineRule="atLeast"/>
      </w:pPr>
      <w:bookmarkStart w:name="X29f2608e07586c2eb71c9278383205f214652c9" w:id="9"/>
      <w:r>
        <w:rPr>
          <w:rtl w:val="0"/>
          <w:lang w:val="en-US"/>
        </w:rPr>
        <w:t>3.3. Fourier and cell maps satisfy the criterion</w:t>
      </w:r>
    </w:p>
    <w:p>
      <w:pPr>
        <w:pStyle w:val="Текстовый блок"/>
        <w:spacing w:line="240" w:lineRule="atLeast"/>
      </w:pPr>
      <w:r>
        <w:rPr>
          <w:rtl w:val="0"/>
          <w:lang w:val="en-US"/>
        </w:rPr>
        <w:t xml:space="preserve">Take a circle of circumference </w:t>
      </w:r>
      <m:oMath>
        <m:r>
          <m:rPr>
            <m:scr m:val="script"/>
          </m:rPr>
          <m:t>L</m:t>
        </m:r>
      </m:oMath>
      <w:r>
        <w:rPr>
          <w:rtl w:val="0"/>
        </w:rPr>
        <w:t xml:space="preserve">, odd </w:t>
      </w:r>
      <m:oMath>
        <m:r>
          <m:t>N</m:t>
        </m:r>
      </m:oMath>
      <w:r>
        <w:rPr>
          <w:rtl w:val="0"/>
          <w:lang w:val="en-US"/>
        </w:rPr>
        <w:t xml:space="preserve">, spacing </w:t>
      </w:r>
      <m:oMath>
        <m:r>
          <m:t>a=</m:t>
        </m:r>
        <m:r>
          <m:rPr>
            <m:scr m:val="script"/>
          </m:rPr>
          <m:t>L</m:t>
        </m:r>
        <m:r>
          <m:t>/N</m:t>
        </m:r>
      </m:oMath>
      <w:r>
        <w:rPr>
          <w:rtl w:val="0"/>
          <w:lang w:val="en-US"/>
        </w:rPr>
        <w:t xml:space="preserve"> and microscopic norm </w:t>
      </w:r>
      <m:oMath>
        <m:r>
          <m:t>∥q</m:t>
        </m:r>
        <m:sSubSup>
          <m:e>
            <m:r>
              <m:t>∥</m:t>
            </m:r>
          </m:e>
          <m:sub>
            <m:r>
              <m:t>a</m:t>
            </m:r>
          </m:sub>
          <m:sup>
            <m:r>
              <m:t>2</m:t>
            </m:r>
          </m:sup>
        </m:sSubSup>
        <m:r>
          <m:t>=a</m:t>
        </m:r>
        <m:nary>
          <m:naryPr>
            <m:chr m:val="∑"/>
            <m:limLoc m:val="undOvr"/>
            <m:grow m:val="0"/>
            <m:subHide m:val="off"/>
            <m:supHide m:val="on"/>
          </m:naryPr>
          <m:sub>
            <m:r>
              <m:t>j</m:t>
            </m:r>
          </m:sub>
          <m:sup/>
          <m:e>
            <m:sSup>
              <m:e>
                <m:d>
                  <m:dPr>
                    <m:begChr m:val="|"/>
                    <m:endChr m:val="|"/>
                  </m:dPr>
                  <m:e>
                    <m:sSub>
                      <m:e>
                        <m:r>
                          <m:t>q</m:t>
                        </m:r>
                      </m:e>
                      <m:sub>
                        <m:r>
                          <m:t>j</m:t>
                        </m:r>
                      </m:sub>
                    </m:sSub>
                  </m:e>
                </m:d>
              </m:e>
              <m:sup>
                <m:r>
                  <m:t>2</m:t>
                </m:r>
              </m:sup>
            </m:sSup>
          </m:e>
        </m:nary>
      </m:oMath>
      <w:r>
        <w:rPr>
          <w:rtl w:val="0"/>
          <w:lang w:val="it-IT"/>
        </w:rPr>
        <w:t xml:space="preserve">. Trigonometric interpolation </w:t>
      </w:r>
      <m:oMath>
        <m:sSub>
          <m:e>
            <m:r>
              <m:t>J</m:t>
            </m:r>
          </m:e>
          <m:sub>
            <m:r>
              <m:t>a</m:t>
            </m:r>
          </m:sub>
        </m:sSub>
      </m:oMath>
      <w:r>
        <w:rPr>
          <w:rtl w:val="0"/>
          <w:lang w:val="en-US"/>
        </w:rPr>
        <w:t xml:space="preserve"> uses modes </w:t>
      </w:r>
      <m:oMath>
        <m:r>
          <m:t>k=2πn/</m:t>
        </m:r>
        <m:r>
          <m:rPr>
            <m:scr m:val="script"/>
          </m:rPr>
          <m:t>L</m:t>
        </m:r>
      </m:oMath>
      <w:r>
        <w:rPr>
          <w:rtl w:val="0"/>
        </w:rPr>
        <w:t xml:space="preserve">, </w:t>
      </w:r>
      <m:oMath>
        <m:d>
          <m:dPr>
            <m:begChr m:val="|"/>
            <m:endChr m:val="|"/>
          </m:dPr>
          <m:e>
            <m:r>
              <m:t>n</m:t>
            </m:r>
          </m:e>
        </m:d>
        <m:r>
          <m:t>≤</m:t>
        </m:r>
        <m:d>
          <m:e>
            <m:r>
              <m:t>N−1</m:t>
            </m:r>
          </m:e>
        </m:d>
        <m:r>
          <m:t>/2</m:t>
        </m:r>
      </m:oMath>
      <w:r>
        <w:rPr>
          <w:rtl w:val="0"/>
        </w:rPr>
        <w:t xml:space="preserve">; </w:t>
      </w:r>
      <m:oMath>
        <m:sSub>
          <m:e>
            <m:r>
              <m:t>Q</m:t>
            </m:r>
          </m:e>
          <m:sub>
            <m:r>
              <m:t>a</m:t>
            </m:r>
          </m:sub>
        </m:sSub>
        <m:r>
          <m:t>=</m:t>
        </m:r>
        <m:sSubSup>
          <m:e>
            <m:r>
              <m:t>J</m:t>
            </m:r>
          </m:e>
          <m:sub>
            <m:r>
              <m:t>a</m:t>
            </m:r>
          </m:sub>
          <m:sup>
            <m:r>
              <m:rPr>
                <m:sty m:val="p"/>
              </m:rPr>
              <m:t>*</m:t>
            </m:r>
          </m:sup>
        </m:sSubSup>
      </m:oMath>
      <w:r>
        <w:rPr>
          <w:rtl w:val="0"/>
          <w:lang w:val="en-US"/>
        </w:rPr>
        <w:t xml:space="preserve"> samples the Fourier projection of the input. The local map </w:t>
      </w:r>
      <m:oMath>
        <m:sSub>
          <m:e>
            <m:r>
              <m:t>E</m:t>
            </m:r>
          </m:e>
          <m:sub>
            <m:r>
              <m:t>a</m:t>
            </m:r>
          </m:sub>
        </m:sSub>
      </m:oMath>
      <w:r>
        <w:rPr>
          <w:rtl w:val="0"/>
          <w:lang w:val="en-US"/>
        </w:rPr>
        <w:t xml:space="preserve"> assigns </w:t>
      </w:r>
      <m:oMath>
        <m:sSub>
          <m:e>
            <m:r>
              <m:t>q</m:t>
            </m:r>
          </m:e>
          <m:sub>
            <m:r>
              <m:t>j</m:t>
            </m:r>
          </m:sub>
        </m:sSub>
      </m:oMath>
      <w:r>
        <w:rPr>
          <w:rtl w:val="0"/>
          <w:lang w:val="en-US"/>
        </w:rPr>
        <w:t xml:space="preserve"> to the centred cell of width </w:t>
      </w:r>
      <m:oMath>
        <m:r>
          <m:t>a</m:t>
        </m:r>
      </m:oMath>
      <w:r>
        <w:rPr>
          <w:rtl w:val="0"/>
          <w:lang w:val="en-US"/>
        </w:rPr>
        <w:t xml:space="preserve">, with adjoint </w:t>
      </w:r>
      <m:oMath>
        <m:sSub>
          <m:e>
            <m:r>
              <m:t>F</m:t>
            </m:r>
          </m:e>
          <m:sub>
            <m:r>
              <m:t>a</m:t>
            </m:r>
          </m:sub>
        </m:sSub>
      </m:oMath>
      <w:r>
        <w:rPr>
          <w:rtl w:val="0"/>
          <w:lang w:val="en-US"/>
        </w:rPr>
        <w:t xml:space="preserve"> given by cell averages. Both are isometries into </w:t>
      </w:r>
      <m:oMath>
        <m:sSup>
          <m:e>
            <m:r>
              <m:t>L</m:t>
            </m:r>
          </m:e>
          <m:sup>
            <m:r>
              <m:t>2</m:t>
            </m:r>
          </m:sup>
        </m:sSup>
        <m:d>
          <m:e>
            <m:sSup>
              <m:e>
                <m:r>
                  <m:t>S</m:t>
                </m:r>
              </m:e>
              <m:sup>
                <m:r>
                  <m:t>1</m:t>
                </m:r>
              </m:sup>
            </m:sSup>
            <m:r>
              <m:t>,dx</m:t>
            </m:r>
          </m:e>
        </m:d>
      </m:oMath>
      <w:r>
        <w:rPr>
          <w:rtl w:val="0"/>
        </w:rPr>
        <w:t>.</w:t>
      </w:r>
    </w:p>
    <w:p>
      <w:pPr>
        <w:pStyle w:val="Текстовый блок"/>
        <w:spacing w:line="240" w:lineRule="atLeast"/>
      </w:pPr>
      <w:r>
        <w:rPr>
          <w:rtl w:val="0"/>
          <w:lang w:val="en-US"/>
        </w:rPr>
        <w:t xml:space="preserve">For the nearest-neighbour unit-speed operator </w:t>
      </w:r>
      <m:oMath>
        <m:sSub>
          <m:e>
            <m:r>
              <m:t>L</m:t>
            </m:r>
          </m:e>
          <m:sub>
            <m:r>
              <m:t>a</m:t>
            </m:r>
          </m:sub>
        </m:sSub>
      </m:oMath>
      <w:r>
        <w:rPr>
          <w:rtl w:val="0"/>
          <w:lang w:val="en-US"/>
        </w:rPr>
        <w:t>, its eigenvalue and elementary bounds are</w:t>
      </w:r>
    </w:p>
    <w:p>
      <w:pPr>
        <w:pStyle w:val="Текстовый блок"/>
        <w:keepLines w:val="1"/>
        <w:spacing w:before="60" w:line="240" w:lineRule="atLeast"/>
        <w:jc w:val="center"/>
      </w:pPr>
      <m:oMathPara>
        <m:oMathParaPr>
          <m:jc m:val="center"/>
        </m:oMathParaPr>
        <m:oMath>
          <m:sSub>
            <m:e>
              <m:r>
                <m:t>ν</m:t>
              </m:r>
            </m:e>
            <m:sub>
              <m:r>
                <m:t>a</m:t>
              </m:r>
            </m:sub>
          </m:sSub>
          <m:d>
            <m:e>
              <m:r>
                <m:t>k</m:t>
              </m:r>
            </m:e>
          </m:d>
          <m:r>
            <m:t>=</m:t>
          </m:r>
          <m:f>
            <m:fPr>
              <m:type m:val="bar"/>
            </m:fPr>
            <m:num>
              <m:r>
                <m:t>4</m:t>
              </m:r>
            </m:num>
            <m:den>
              <m:sSup>
                <m:e>
                  <m:r>
                    <m:t>a</m:t>
                  </m:r>
                </m:e>
                <m:sup>
                  <m:r>
                    <m:t>2</m:t>
                  </m:r>
                </m:sup>
              </m:sSup>
            </m:den>
          </m:f>
          <m:sSup>
            <m:e>
              <m:r>
                <m:rPr>
                  <m:sty m:val="p"/>
                </m:rPr>
                <m:t>sin</m:t>
              </m:r>
            </m:e>
            <m:sup>
              <m:r>
                <m:t>2</m:t>
              </m:r>
            </m:sup>
          </m:sSup>
          <m:f>
            <m:fPr>
              <m:type m:val="bar"/>
            </m:fPr>
            <m:num>
              <m:r>
                <m:t>ak</m:t>
              </m:r>
            </m:num>
            <m:den>
              <m:r>
                <m:t>2</m:t>
              </m:r>
            </m:den>
          </m:f>
          <m:r>
            <m:t>,</m:t>
          </m:r>
          <m:f>
            <m:fPr>
              <m:type m:val="bar"/>
            </m:fPr>
            <m:num>
              <m:r>
                <m:t>4</m:t>
              </m:r>
            </m:num>
            <m:den>
              <m:sSup>
                <m:e>
                  <m:r>
                    <m:t>π</m:t>
                  </m:r>
                </m:e>
                <m:sup>
                  <m:r>
                    <m:t>2</m:t>
                  </m:r>
                </m:sup>
              </m:sSup>
            </m:den>
          </m:f>
          <m:sSup>
            <m:e>
              <m:r>
                <m:t>k</m:t>
              </m:r>
            </m:e>
            <m:sup>
              <m:r>
                <m:t>2</m:t>
              </m:r>
            </m:sup>
          </m:sSup>
          <m:r>
            <m:t>≤</m:t>
          </m:r>
          <m:sSub>
            <m:e>
              <m:r>
                <m:t>ν</m:t>
              </m:r>
            </m:e>
            <m:sub>
              <m:r>
                <m:t>a</m:t>
              </m:r>
            </m:sub>
          </m:sSub>
          <m:d>
            <m:e>
              <m:r>
                <m:t>k</m:t>
              </m:r>
            </m:e>
          </m:d>
          <m:r>
            <m:t>≤</m:t>
          </m:r>
          <m:sSup>
            <m:e>
              <m:r>
                <m:t>k</m:t>
              </m:r>
            </m:e>
            <m:sup>
              <m:r>
                <m:t>2</m:t>
              </m:r>
            </m:sup>
          </m:sSup>
          <m:r>
            <m:t/>
          </m:r>
          <m:d>
            <m:e>
              <m:d>
                <m:dPr>
                  <m:begChr m:val="|"/>
                  <m:endChr m:val="|"/>
                </m:dPr>
                <m:e>
                  <m:r>
                    <m:t>ak</m:t>
                  </m:r>
                </m:e>
              </m:d>
              <m:r>
                <m:t>≤π</m:t>
              </m:r>
            </m:e>
          </m:d>
          <m:r>
            <m:t>.</m:t>
          </m:r>
          <m:r>
            <m:rPr>
              <m:nor/>
            </m:rPr>
            <m:t>(12)</m:t>
          </m:r>
        </m:oMath>
      </m:oMathPara>
    </w:p>
    <w:p>
      <w:pPr>
        <w:pStyle w:val="Текстовый блок"/>
        <w:spacing w:line="240" w:lineRule="atLeast"/>
      </w:pPr>
      <w:r>
        <w:rPr>
          <w:rtl w:val="0"/>
          <w:lang w:val="en-US"/>
        </w:rPr>
        <w:t xml:space="preserve">The cell estimate </w:t>
      </w:r>
      <m:oMath>
        <m:r>
          <m:t>∥</m:t>
        </m:r>
        <m:d>
          <m:e>
            <m:sSub>
              <m:e>
                <m:r>
                  <m:t>E</m:t>
                </m:r>
              </m:e>
              <m:sub>
                <m:r>
                  <m:t>a</m:t>
                </m:r>
              </m:sub>
            </m:sSub>
            <m:r>
              <m:t>−</m:t>
            </m:r>
            <m:sSub>
              <m:e>
                <m:r>
                  <m:t>J</m:t>
                </m:r>
              </m:e>
              <m:sub>
                <m:r>
                  <m:t>a</m:t>
                </m:r>
              </m:sub>
            </m:sSub>
          </m:e>
        </m:d>
        <m:r>
          <m:t>q</m:t>
        </m:r>
        <m:sSub>
          <m:e>
            <m:r>
              <m:t>∥</m:t>
            </m:r>
          </m:e>
          <m:sub>
            <m:r>
              <m:t>2</m:t>
            </m:r>
          </m:sub>
        </m:sSub>
        <m:r>
          <m:t>≤</m:t>
        </m:r>
        <m:d>
          <m:e>
            <m:f>
              <m:fPr>
                <m:type m:val="lin"/>
              </m:fPr>
              <m:num>
                <m:r>
                  <m:t>a</m:t>
                </m:r>
              </m:num>
              <m:den>
                <m:r>
                  <m:t>2</m:t>
                </m:r>
              </m:den>
            </m:f>
          </m:e>
        </m:d>
        <m:r>
          <m:t>∥</m:t>
        </m:r>
        <m:sSub>
          <m:e>
            <m:r>
              <m:t>∂</m:t>
            </m:r>
          </m:e>
          <m:sub>
            <m:r>
              <m:t>x</m:t>
            </m:r>
          </m:sub>
        </m:sSub>
        <m:sSub>
          <m:e>
            <m:r>
              <m:t>J</m:t>
            </m:r>
          </m:e>
          <m:sub>
            <m:r>
              <m:t>a</m:t>
            </m:r>
          </m:sub>
        </m:sSub>
        <m:r>
          <m:t>q</m:t>
        </m:r>
        <m:sSub>
          <m:e>
            <m:r>
              <m:t>∥</m:t>
            </m:r>
          </m:e>
          <m:sub>
            <m:r>
              <m:t>2</m:t>
            </m:r>
          </m:sub>
        </m:sSub>
      </m:oMath>
      <w:r>
        <w:rPr>
          <w:rtl w:val="0"/>
          <w:lang w:val="en-US"/>
        </w:rPr>
        <w:t xml:space="preserve"> from [20] therefore yields</w:t>
      </w:r>
    </w:p>
    <w:p>
      <w:pPr>
        <w:pStyle w:val="Текстовый блок"/>
        <w:keepLines w:val="1"/>
        <w:spacing w:before="60" w:line="240" w:lineRule="atLeast"/>
        <w:jc w:val="center"/>
      </w:pPr>
      <m:oMathPara>
        <m:oMathParaPr>
          <m:jc m:val="center"/>
        </m:oMathParaPr>
        <m:oMath>
          <m:r>
            <m:t>∥</m:t>
          </m:r>
          <m:d>
            <m:e>
              <m:sSub>
                <m:e>
                  <m:r>
                    <m:t>E</m:t>
                  </m:r>
                </m:e>
                <m:sub>
                  <m:r>
                    <m:t>a</m:t>
                  </m:r>
                </m:sub>
              </m:sSub>
              <m:r>
                <m:t>−</m:t>
              </m:r>
              <m:sSub>
                <m:e>
                  <m:r>
                    <m:t>J</m:t>
                  </m:r>
                </m:e>
                <m:sub>
                  <m:r>
                    <m:t>a</m:t>
                  </m:r>
                </m:sub>
              </m:sSub>
            </m:e>
          </m:d>
          <m:sSub>
            <m:e>
              <m:r>
                <m:t>1</m:t>
              </m:r>
            </m:e>
            <m:sub>
              <m:d>
                <m:dPr>
                  <m:begChr m:val="["/>
                  <m:endChr m:val="]"/>
                </m:dPr>
                <m:e>
                  <m:r>
                    <m:t>0,E</m:t>
                  </m:r>
                </m:e>
              </m:d>
            </m:sub>
          </m:sSub>
          <m:d>
            <m:e>
              <m:sSub>
                <m:e>
                  <m:r>
                    <m:t>L</m:t>
                  </m:r>
                </m:e>
                <m:sub>
                  <m:r>
                    <m:t>a</m:t>
                  </m:r>
                </m:sub>
              </m:sSub>
            </m:e>
          </m:d>
          <m:r>
            <m:t>∥≤</m:t>
          </m:r>
          <m:f>
            <m:fPr>
              <m:type m:val="bar"/>
            </m:fPr>
            <m:num>
              <m:r>
                <m:t>πa</m:t>
              </m:r>
              <m:rad>
                <m:radPr>
                  <m:degHide m:val="on"/>
                </m:radPr>
                <m:deg/>
                <m:e>
                  <m:r>
                    <m:t>E</m:t>
                  </m:r>
                </m:e>
              </m:rad>
            </m:num>
            <m:den>
              <m:r>
                <m:t>4</m:t>
              </m:r>
            </m:den>
          </m:f>
          <m:r>
            <m:t>.</m:t>
          </m:r>
          <m:r>
            <m:rPr>
              <m:nor/>
            </m:rPr>
            <m:t>(13)</m:t>
          </m:r>
        </m:oMath>
      </m:oMathPara>
    </w:p>
    <w:p>
      <w:pPr>
        <w:pStyle w:val="Текстовый блок"/>
        <w:spacing w:line="240" w:lineRule="atLeast"/>
      </w:pPr>
      <w:r>
        <w:rPr>
          <w:rtl w:val="0"/>
          <w:lang w:val="en-US"/>
        </w:rPr>
        <w:t xml:space="preserve">For </w:t>
      </w:r>
      <m:oMath>
        <m:r>
          <m:t>f∈</m:t>
        </m:r>
        <m:sSup>
          <m:e>
            <m:r>
              <m:t>H</m:t>
            </m:r>
          </m:e>
          <m:sup>
            <m:r>
              <m:t>1</m:t>
            </m:r>
          </m:sup>
        </m:sSup>
      </m:oMath>
      <w:r>
        <w:rPr>
          <w:rtl w:val="0"/>
        </w:rPr>
        <w:t xml:space="preserve">, </w:t>
      </w:r>
      <m:oMath>
        <m:r>
          <m:t>∥</m:t>
        </m:r>
        <m:sSub>
          <m:e>
            <m:r>
              <m:t>F</m:t>
            </m:r>
          </m:e>
          <m:sub>
            <m:r>
              <m:t>a</m:t>
            </m:r>
          </m:sub>
        </m:sSub>
        <m:r>
          <m:t>f−</m:t>
        </m:r>
        <m:sSub>
          <m:e>
            <m:r>
              <m:t>Q</m:t>
            </m:r>
          </m:e>
          <m:sub>
            <m:r>
              <m:t>a</m:t>
            </m:r>
          </m:sub>
        </m:sSub>
        <m:r>
          <m:t>f</m:t>
        </m:r>
        <m:sSub>
          <m:e>
            <m:r>
              <m:t>∥</m:t>
            </m:r>
          </m:e>
          <m:sub>
            <m:r>
              <m:t>a</m:t>
            </m:r>
          </m:sub>
        </m:sSub>
        <m:r>
          <m:t>≤a</m:t>
        </m:r>
        <m:d>
          <m:e>
            <m:r>
              <m:t>1/π+1/2</m:t>
            </m:r>
          </m:e>
        </m:d>
        <m:r>
          <m:t>∥f′</m:t>
        </m:r>
        <m:sSub>
          <m:e>
            <m:r>
              <m:t>∥</m:t>
            </m:r>
          </m:e>
          <m:sub>
            <m:r>
              <m:t>2</m:t>
            </m:r>
          </m:sub>
        </m:sSub>
      </m:oMath>
      <w:r>
        <w:rPr>
          <w:rtl w:val="0"/>
          <w:lang w:val="en-US"/>
        </w:rPr>
        <w:t xml:space="preserve"> and </w:t>
      </w:r>
      <m:oMath>
        <m:r>
          <m:t>∥</m:t>
        </m:r>
        <m:sSubSup>
          <m:e>
            <m:r>
              <m:t>L</m:t>
            </m:r>
          </m:e>
          <m:sub>
            <m:r>
              <m:t>a</m:t>
            </m:r>
          </m:sub>
          <m:sup>
            <m:f>
              <m:fPr>
                <m:type m:val="lin"/>
              </m:fPr>
              <m:num>
                <m:r>
                  <m:t>1</m:t>
                </m:r>
              </m:num>
              <m:den>
                <m:r>
                  <m:t>2</m:t>
                </m:r>
              </m:den>
            </m:f>
          </m:sup>
        </m:sSubSup>
        <m:sSub>
          <m:e>
            <m:r>
              <m:t>Q</m:t>
            </m:r>
          </m:e>
          <m:sub>
            <m:r>
              <m:t>a</m:t>
            </m:r>
          </m:sub>
        </m:sSub>
        <m:r>
          <m:t>f</m:t>
        </m:r>
        <m:sSub>
          <m:e>
            <m:r>
              <m:t>∥</m:t>
            </m:r>
          </m:e>
          <m:sub>
            <m:r>
              <m:t>a</m:t>
            </m:r>
          </m:sub>
        </m:sSub>
        <m:r>
          <m:t>≤∥f′</m:t>
        </m:r>
        <m:sSub>
          <m:e>
            <m:r>
              <m:t>∥</m:t>
            </m:r>
          </m:e>
          <m:sub>
            <m:r>
              <m:t>2</m:t>
            </m:r>
          </m:sub>
        </m:sSub>
      </m:oMath>
      <w:r>
        <w:rPr>
          <w:rtl w:val="0"/>
        </w:rPr>
        <w:t>. Thus (9)</w:t>
      </w:r>
      <w:r>
        <w:rPr>
          <w:rtl w:val="0"/>
          <w:lang w:val="en-US"/>
        </w:rPr>
        <w:t>–</w:t>
      </w:r>
      <w:r>
        <w:rPr>
          <w:rtl w:val="0"/>
          <w:lang w:val="en-US"/>
        </w:rPr>
        <w:t xml:space="preserve">(10) hold with </w:t>
      </w:r>
      <m:oMath>
        <m:r>
          <m:t>V=I</m:t>
        </m:r>
      </m:oMath>
      <w:r>
        <w:rPr>
          <w:rtl w:val="0"/>
          <w:lang w:val="en-US"/>
        </w:rPr>
        <w:t xml:space="preserve">. For </w:t>
      </w:r>
      <m:oMath>
        <m:sSub>
          <m:e>
            <m:r>
              <m:t>K</m:t>
            </m:r>
          </m:e>
          <m:sub>
            <m:r>
              <m:t>a</m:t>
            </m:r>
          </m:sub>
        </m:sSub>
        <m:r>
          <m:t>=</m:t>
        </m:r>
        <m:sSub>
          <m:e>
            <m:r>
              <m:t>L</m:t>
            </m:r>
          </m:e>
          <m:sub>
            <m:r>
              <m:t>a</m:t>
            </m:r>
          </m:sub>
        </m:sSub>
        <m:r>
          <m:t>⊗</m:t>
        </m:r>
        <m:sSub>
          <m:e>
            <m:r>
              <m:t>D</m:t>
            </m:r>
          </m:e>
          <m:sub>
            <m:r>
              <m:t>0</m:t>
            </m:r>
          </m:sub>
        </m:sSub>
      </m:oMath>
      <w:r>
        <w:rPr>
          <w:rtl w:val="0"/>
          <w:lang w:val="en-US"/>
        </w:rPr>
        <w:t xml:space="preserve"> one uses the positive lower eigenvalue of </w:t>
      </w:r>
      <m:oMath>
        <m:sSub>
          <m:e>
            <m:r>
              <m:t>D</m:t>
            </m:r>
          </m:e>
          <m:sub>
            <m:r>
              <m:t>0</m:t>
            </m:r>
          </m:sub>
        </m:sSub>
      </m:oMath>
      <w:r>
        <w:rPr>
          <w:rtl w:val="0"/>
          <w:lang w:val="en-US"/>
        </w:rPr>
        <w:t xml:space="preserve"> in the energy bound. Multiplication by sampled smooth </w:t>
      </w:r>
      <m:oMath>
        <m:r>
          <m:t>χ</m:t>
        </m:r>
      </m:oMath>
      <w:r>
        <w:rPr>
          <w:rtl w:val="0"/>
          <w:lang w:val="en-US"/>
        </w:rPr>
        <w:t xml:space="preserve"> has the same local limit for both maps: for cells this follows from uniform continuity; for Fourier interpolation it follows first on fixed trigonometric polynomials and then by density and uniform boundedness. The resolvent limit for Fourier maps follows directly from (12), and for cells from the same bounded-energy comparison applied to resolvents. Hence both are admissible.</w:t>
      </w:r>
    </w:p>
    <w:p>
      <w:pPr>
        <w:pStyle w:val="Текстовый блок"/>
        <w:spacing w:line="240" w:lineRule="atLeast"/>
      </w:pPr>
      <w:r>
        <w:rPr>
          <w:rtl w:val="0"/>
          <w:lang w:val="en-US"/>
        </w:rPr>
        <w:t>This also states precisely what is reconstruction independent: the common limiting response and its local characteristics. Finite-spacing response amplitudes and approximation rates need not coincide. A fixed finite spectral cutoff is excluded from a strict local completion: its nonzero trigonometric response kernel cannot vanish on an open interval [20]. Removing the cutoff, with a controlled limit, is part of recovering strict support.</w:t>
      </w:r>
    </w:p>
    <w:p>
      <w:pPr>
        <w:pStyle w:val="Текстовый блок"/>
        <w:spacing w:line="240" w:lineRule="atLeast"/>
      </w:pPr>
      <w:r>
        <w:rPr>
          <w:rtl w:val="0"/>
          <w:lang w:val="en-US"/>
        </w:rPr>
        <w:t xml:space="preserve">A restricted change of microscopic carrier is also controlled. Replace nearest-neighbour weights by fixed finite-range weights </w:t>
      </w:r>
      <m:oMath>
        <m:sSub>
          <m:e>
            <m:r>
              <m:t>w</m:t>
            </m:r>
          </m:e>
          <m:sub>
            <m:r>
              <m:t>s</m:t>
            </m:r>
          </m:sub>
        </m:sSub>
        <m:r>
          <m:t>≥0</m:t>
        </m:r>
      </m:oMath>
      <w:r>
        <w:rPr>
          <w:rtl w:val="0"/>
          <w:lang w:val="en-US"/>
        </w:rPr>
        <w:t xml:space="preserve">, with </w:t>
      </w:r>
      <m:oMath>
        <m:sSub>
          <m:e>
            <m:r>
              <m:t>w</m:t>
            </m:r>
          </m:e>
          <m:sub>
            <m:r>
              <m:t>1</m:t>
            </m:r>
          </m:sub>
        </m:sSub>
        <m:r>
          <m:t>&gt;0</m:t>
        </m:r>
      </m:oMath>
      <w:r>
        <w:rPr>
          <w:rtl w:val="0"/>
          <w:lang w:val="en-US"/>
        </w:rPr>
        <w:t xml:space="preserve"> and </w:t>
      </w:r>
      <m:oMath>
        <m:nary>
          <m:naryPr>
            <m:chr m:val="∑"/>
            <m:limLoc m:val="undOvr"/>
            <m:grow m:val="0"/>
            <m:subHide m:val="off"/>
            <m:supHide m:val="on"/>
          </m:naryPr>
          <m:sub>
            <m:r>
              <m:t>s</m:t>
            </m:r>
          </m:sub>
          <m:sup/>
          <m:e>
            <m:sSub>
              <m:e>
                <m:r>
                  <m:t>w</m:t>
                </m:r>
              </m:e>
              <m:sub>
                <m:r>
                  <m:t>s</m:t>
                </m:r>
              </m:sub>
            </m:sSub>
          </m:e>
        </m:nary>
        <m:sSup>
          <m:e>
            <m:r>
              <m:t>s</m:t>
            </m:r>
          </m:e>
          <m:sup>
            <m:r>
              <m:t>2</m:t>
            </m:r>
          </m:sup>
        </m:sSup>
        <m:r>
          <m:t>=1</m:t>
        </m:r>
      </m:oMath>
      <w:r>
        <w:rPr>
          <w:rtl w:val="0"/>
          <w:lang w:val="en-US"/>
        </w:rPr>
        <w:t xml:space="preserve">. The spatial eigenvalue becomes </w:t>
      </w:r>
      <m:oMath>
        <m:sSubSup>
          <m:e>
            <m:r>
              <m:t>ν</m:t>
            </m:r>
          </m:e>
          <m:sub>
            <m:r>
              <m:t>a</m:t>
            </m:r>
          </m:sub>
          <m:sup>
            <m:r>
              <m:t>w</m:t>
            </m:r>
          </m:sup>
        </m:sSubSup>
        <m:d>
          <m:e>
            <m:r>
              <m:t>k</m:t>
            </m:r>
          </m:e>
        </m:d>
        <m:r>
          <m:t>=4</m:t>
        </m:r>
        <m:sSup>
          <m:e>
            <m:r>
              <m:t>a</m:t>
            </m:r>
          </m:e>
          <m:sup>
            <m:r>
              <m:t>−2</m:t>
            </m:r>
          </m:sup>
        </m:sSup>
        <m:nary>
          <m:naryPr>
            <m:chr m:val="∑"/>
            <m:limLoc m:val="undOvr"/>
            <m:grow m:val="0"/>
            <m:subHide m:val="off"/>
            <m:supHide m:val="on"/>
          </m:naryPr>
          <m:sub>
            <m:r>
              <m:t>s</m:t>
            </m:r>
          </m:sub>
          <m:sup/>
          <m:e>
            <m:sSub>
              <m:e>
                <m:r>
                  <m:t>w</m:t>
                </m:r>
              </m:e>
              <m:sub>
                <m:r>
                  <m:t>s</m:t>
                </m:r>
              </m:sub>
            </m:sSub>
          </m:e>
        </m:nary>
        <m:sSup>
          <m:e>
            <m:r>
              <m:rPr>
                <m:sty m:val="p"/>
              </m:rPr>
              <m:t>sin</m:t>
            </m:r>
          </m:e>
          <m:sup>
            <m:r>
              <m:t>2</m:t>
            </m:r>
          </m:sup>
        </m:sSup>
        <m:d>
          <m:e>
            <m:r>
              <m:t>sak/2</m:t>
            </m:r>
          </m:e>
        </m:d>
      </m:oMath>
      <w:r>
        <w:rPr>
          <w:rtl w:val="0"/>
          <w:lang w:val="en-US"/>
        </w:rPr>
        <w:t xml:space="preserve">. On the retained Fourier band it obeys </w:t>
      </w:r>
      <m:oMath>
        <m:r>
          <m:t>4</m:t>
        </m:r>
        <m:sSub>
          <m:e>
            <m:r>
              <m:t>w</m:t>
            </m:r>
          </m:e>
          <m:sub>
            <m:r>
              <m:t>1</m:t>
            </m:r>
          </m:sub>
        </m:sSub>
        <m:sSup>
          <m:e>
            <m:r>
              <m:t>k</m:t>
            </m:r>
          </m:e>
          <m:sup>
            <m:r>
              <m:t>2</m:t>
            </m:r>
          </m:sup>
        </m:sSup>
        <m:r>
          <m:t>/</m:t>
        </m:r>
        <m:sSup>
          <m:e>
            <m:r>
              <m:t>π</m:t>
            </m:r>
          </m:e>
          <m:sup>
            <m:r>
              <m:t>2</m:t>
            </m:r>
          </m:sup>
        </m:sSup>
        <m:r>
          <m:t>≤</m:t>
        </m:r>
        <m:sSubSup>
          <m:e>
            <m:r>
              <m:t>ν</m:t>
            </m:r>
          </m:e>
          <m:sub>
            <m:r>
              <m:t>a</m:t>
            </m:r>
          </m:sub>
          <m:sup>
            <m:r>
              <m:t>w</m:t>
            </m:r>
          </m:sup>
        </m:sSubSup>
        <m:d>
          <m:e>
            <m:r>
              <m:t>k</m:t>
            </m:r>
          </m:e>
        </m:d>
        <m:r>
          <m:t>≤</m:t>
        </m:r>
        <m:sSup>
          <m:e>
            <m:r>
              <m:t>k</m:t>
            </m:r>
          </m:e>
          <m:sup>
            <m:r>
              <m:t>2</m:t>
            </m:r>
          </m:sup>
        </m:sSup>
      </m:oMath>
      <w:r>
        <w:rPr>
          <w:rtl w:val="0"/>
          <w:lang w:val="en-US"/>
        </w:rPr>
        <w:t xml:space="preserve"> and </w:t>
      </w:r>
      <m:oMath>
        <m:r>
          <m:t>0≤</m:t>
        </m:r>
        <m:sSup>
          <m:e>
            <m:r>
              <m:t>k</m:t>
            </m:r>
          </m:e>
          <m:sup>
            <m:r>
              <m:t>2</m:t>
            </m:r>
          </m:sup>
        </m:sSup>
        <m:r>
          <m:t>−</m:t>
        </m:r>
        <m:sSubSup>
          <m:e>
            <m:r>
              <m:t>ν</m:t>
            </m:r>
          </m:e>
          <m:sub>
            <m:r>
              <m:t>a</m:t>
            </m:r>
          </m:sub>
          <m:sup>
            <m:r>
              <m:t>w</m:t>
            </m:r>
          </m:sup>
        </m:sSubSup>
        <m:d>
          <m:e>
            <m:r>
              <m:t>k</m:t>
            </m:r>
          </m:e>
        </m:d>
        <m:r>
          <m:t>≤</m:t>
        </m:r>
        <m:d>
          <m:e>
            <m:sSup>
              <m:e>
                <m:r>
                  <m:t>a</m:t>
                </m:r>
              </m:e>
              <m:sup>
                <m:r>
                  <m:t>2</m:t>
                </m:r>
              </m:sup>
            </m:sSup>
            <m:sSup>
              <m:e>
                <m:r>
                  <m:t>k</m:t>
                </m:r>
              </m:e>
              <m:sup>
                <m:r>
                  <m:t>4</m:t>
                </m:r>
              </m:sup>
            </m:sSup>
            <m:r>
              <m:t>/12</m:t>
            </m:r>
          </m:e>
        </m:d>
        <m:nary>
          <m:naryPr>
            <m:chr m:val="∑"/>
            <m:limLoc m:val="undOvr"/>
            <m:grow m:val="0"/>
            <m:subHide m:val="off"/>
            <m:supHide m:val="on"/>
          </m:naryPr>
          <m:sub>
            <m:r>
              <m:t>s</m:t>
            </m:r>
          </m:sub>
          <m:sup/>
          <m:e>
            <m:sSub>
              <m:e>
                <m:r>
                  <m:t>w</m:t>
                </m:r>
              </m:e>
              <m:sub>
                <m:r>
                  <m:t>s</m:t>
                </m:r>
              </m:sub>
            </m:sSub>
          </m:e>
        </m:nary>
        <m:sSup>
          <m:e>
            <m:r>
              <m:t>s</m:t>
            </m:r>
          </m:e>
          <m:sup>
            <m:r>
              <m:t>4</m:t>
            </m:r>
          </m:sup>
        </m:sSup>
      </m:oMath>
      <w:r>
        <w:rPr>
          <w:rtl w:val="0"/>
        </w:rPr>
        <w:t>. Taylor</w:t>
      </w:r>
      <w:r>
        <w:rPr>
          <w:rtl w:val="0"/>
          <w:lang w:val="en-US"/>
        </w:rPr>
        <w:t>’</w:t>
      </w:r>
      <w:r>
        <w:rPr>
          <w:rtl w:val="0"/>
          <w:lang w:val="en-US"/>
        </w:rPr>
        <w:t xml:space="preserve">s bound and the preceding spectral-calculus argument therefore give the same local response for fixed positive </w:t>
      </w:r>
      <m:oMath>
        <m:sSub>
          <m:e>
            <m:r>
              <m:t>D</m:t>
            </m:r>
          </m:e>
          <m:sub>
            <m:r>
              <m:t>0</m:t>
            </m:r>
          </m:sub>
        </m:sSub>
      </m:oMath>
      <w:r>
        <w:rPr>
          <w:rtl w:val="0"/>
          <w:lang w:val="en-US"/>
        </w:rPr>
        <w:t xml:space="preserve"> and either reconstruction. These weights form a concrete universality class with the same second moment and different finite-spacing corrections. This does not establish universality under arbitrary graph rewiring or a change of physical sector content.</w:t>
      </w:r>
      <w:bookmarkEnd w:id="9"/>
    </w:p>
    <w:p>
      <w:pPr>
        <w:pStyle w:val="Заголовок 3"/>
        <w:spacing w:line="240" w:lineRule="atLeast"/>
      </w:pPr>
      <w:bookmarkStart w:name="alimitedcategoricalformulation" w:id="10"/>
      <w:r>
        <w:rPr>
          <w:rtl w:val="0"/>
          <w:lang w:val="en-US"/>
        </w:rPr>
        <w:t>3.4. A limited categorical formulation</w:t>
      </w:r>
    </w:p>
    <w:p>
      <w:pPr>
        <w:pStyle w:val="Текстовый блок"/>
        <w:spacing w:line="240" w:lineRule="atLeast"/>
      </w:pPr>
      <w:r>
        <w:rPr>
          <w:rtl w:val="0"/>
          <w:lang w:val="en-US"/>
        </w:rPr>
        <w:t xml:space="preserve">Consider the groupoid whose objects are the effective local response systems just specified, including their measures, local observable algebras and physical sector content. Arrows are smooth local unitaries </w:t>
      </w:r>
      <m:oMath>
        <m:r>
          <m:t>V</m:t>
        </m:r>
      </m:oMath>
      <w:r>
        <w:rPr>
          <w:rtl w:val="0"/>
          <w:lang w:val="en-US"/>
        </w:rPr>
        <w:t xml:space="preserve"> intertwining the responses; a common positive time-unit change may be included as </w:t>
      </w:r>
      <m:oMath>
        <m:sSup>
          <m:e>
            <m:r>
              <m:t>K</m:t>
            </m:r>
          </m:e>
          <m:sup>
            <m:d>
              <m:e>
                <m:r>
                  <m:t>2</m:t>
                </m:r>
              </m:e>
            </m:d>
          </m:sup>
        </m:sSup>
        <m:r>
          <m:t>=</m:t>
        </m:r>
        <m:sSup>
          <m:e>
            <m:r>
              <m:t>β</m:t>
            </m:r>
          </m:e>
          <m:sup>
            <m:r>
              <m:t>−2</m:t>
            </m:r>
          </m:sup>
        </m:sSup>
        <m:r>
          <m:t>V</m:t>
        </m:r>
        <m:sSup>
          <m:e>
            <m:r>
              <m:t>K</m:t>
            </m:r>
          </m:e>
          <m:sup>
            <m:d>
              <m:e>
                <m:r>
                  <m:t>1</m:t>
                </m:r>
              </m:e>
            </m:d>
          </m:sup>
        </m:sSup>
        <m:sSup>
          <m:e>
            <m:r>
              <m:t>V</m:t>
            </m:r>
          </m:e>
          <m:sup>
            <m:r>
              <m:rPr>
                <m:sty m:val="p"/>
              </m:rPr>
              <m:t>*</m:t>
            </m:r>
          </m:sup>
        </m:sSup>
      </m:oMath>
      <w:r>
        <w:rPr>
          <w:rtl w:val="0"/>
          <w:lang w:val="en-US"/>
        </w:rPr>
        <w:t>. Identities, inverses and composition preserve these conditions. Assignment of the physical characteristic family is a functor to the groupoid of cone families with their induced common cotangent maps. Equality of all sector cones is preserved by this functor.</w:t>
      </w:r>
    </w:p>
    <w:p>
      <w:pPr>
        <w:pStyle w:val="Текстовый блок"/>
        <w:spacing w:line="240" w:lineRule="atLeast"/>
      </w:pPr>
      <w:r>
        <w:rPr>
          <w:rtl w:val="0"/>
          <w:lang w:val="en-US"/>
        </w:rPr>
        <w:t xml:space="preserve">Two admissible reconstructions are equivalent when their limiting systems are isomorphic in this groupoid. Theorem 2 gives a checkable sufficient condition for such equivalence. This is the precise DRD interface used here: carrier, morphism and preserved structure are specified separately [24]. It neither identifies a DRD profile with the null cone nor imports a suspension chain, Planck cutoff or </w:t>
      </w:r>
      <m:oMath>
        <m:sSup>
          <m:e>
            <m:r>
              <m:t>S</m:t>
            </m:r>
          </m:e>
          <m:sup>
            <m:r>
              <m:t>3</m:t>
            </m:r>
          </m:sup>
        </m:sSup>
      </m:oMath>
      <w:r>
        <w:rPr>
          <w:rtl w:val="0"/>
          <w:lang w:val="en-US"/>
        </w:rPr>
        <w:t xml:space="preserve"> topology. General noninvertible coarse-grainings are not arrows of this groupoid; a larger category would require explicit rules for loss of sectors and localisation data.</w:t>
      </w:r>
      <w:bookmarkEnd w:id="10"/>
    </w:p>
    <w:p>
      <w:pPr>
        <w:pStyle w:val="Заголовок 2"/>
        <w:spacing w:line="240" w:lineRule="atLeast"/>
      </w:pPr>
      <w:bookmarkStart w:name="X2c631eee540d57e2fdc92e3d0728a25283081e8" w:id="11"/>
      <w:r>
        <w:rPr>
          <w:rtl w:val="0"/>
          <w:lang w:val="en-US"/>
        </w:rPr>
        <w:t>4. Spectral length</w:t>
      </w:r>
      <w:r>
        <w:rPr>
          <w:rtl w:val="0"/>
          <w:lang w:val="en-US"/>
        </w:rPr>
        <w:t>–</w:t>
      </w:r>
      <w:r>
        <w:rPr>
          <w:rtl w:val="0"/>
          <w:lang w:val="en-US"/>
        </w:rPr>
        <w:t>time correspondence with error control</w:t>
      </w:r>
      <w:bookmarkEnd w:id="11"/>
    </w:p>
    <w:p>
      <w:pPr>
        <w:pStyle w:val="Заголовок 3"/>
        <w:spacing w:line="240" w:lineRule="atLeast"/>
      </w:pPr>
      <w:bookmarkStart w:name="X3dc443fb4bf41badc486f870358086f592d0304" w:id="12"/>
      <w:r>
        <w:rPr>
          <w:rtl w:val="0"/>
          <w:lang w:val="en-US"/>
        </w:rPr>
        <w:t>4.1. Two spatial scales and a non-circular comparison</w:t>
      </w:r>
    </w:p>
    <w:p>
      <w:pPr>
        <w:pStyle w:val="Текстовый блок"/>
        <w:spacing w:line="240" w:lineRule="atLeast"/>
      </w:pPr>
      <w:r>
        <w:rPr>
          <w:rtl w:val="0"/>
          <w:lang w:val="en-US"/>
        </w:rPr>
        <w:t xml:space="preserve">Let </w:t>
      </w:r>
      <m:oMath>
        <m:r>
          <m:t>L</m:t>
        </m:r>
        <m:sSub>
          <m:e>
            <m:r>
              <m:t>ϕ</m:t>
            </m:r>
          </m:e>
          <m:sub>
            <m:r>
              <m:t>n</m:t>
            </m:r>
          </m:sub>
        </m:sSub>
        <m:r>
          <m:t>=</m:t>
        </m:r>
        <m:sSub>
          <m:e>
            <m:r>
              <m:t>λ</m:t>
            </m:r>
          </m:e>
          <m:sub>
            <m:r>
              <m:t>n</m:t>
            </m:r>
          </m:sub>
        </m:sSub>
        <m:sSub>
          <m:e>
            <m:r>
              <m:t>ϕ</m:t>
            </m:r>
          </m:e>
          <m:sub>
            <m:r>
              <m:t>n</m:t>
            </m:r>
          </m:sub>
        </m:sSub>
      </m:oMath>
      <w:r>
        <w:rPr>
          <w:rtl w:val="0"/>
          <w:lang w:val="en-US"/>
        </w:rPr>
        <w:t xml:space="preserve"> be a spatial spectral problem with a specified measure and localisation map. For </w:t>
      </w:r>
      <m:oMath>
        <m:sSub>
          <m:e>
            <m:r>
              <m:t>λ</m:t>
            </m:r>
          </m:e>
          <m:sub>
            <m:r>
              <m:t>n</m:t>
            </m:r>
          </m:sub>
        </m:sSub>
        <m:r>
          <m:t>&gt;0</m:t>
        </m:r>
      </m:oMath>
      <w:r>
        <w:rPr>
          <w:rtl w:val="0"/>
          <w:lang w:val="it-IT"/>
        </w:rPr>
        <w:t xml:space="preserve"> define </w:t>
      </w:r>
      <m:oMath>
        <m:sSubSup>
          <m:e>
            <m:r>
              <m:rPr>
                <m:sty m:val="p"/>
              </m:rPr>
              <m:t>ℓ</m:t>
            </m:r>
          </m:e>
          <m:sub>
            <m:r>
              <m:t>n</m:t>
            </m:r>
          </m:sub>
          <m:sup>
            <m:r>
              <m:rPr>
                <m:sty m:val="p"/>
              </m:rPr>
              <m:t>spec</m:t>
            </m:r>
          </m:sup>
        </m:sSubSup>
        <m:r>
          <m:t>=</m:t>
        </m:r>
        <m:sSubSup>
          <m:e>
            <m:r>
              <m:t>λ</m:t>
            </m:r>
          </m:e>
          <m:sub>
            <m:r>
              <m:t>n</m:t>
            </m:r>
          </m:sub>
          <m:sup>
            <m:r>
              <m:t>−1/2</m:t>
            </m:r>
          </m:sup>
        </m:sSubSup>
      </m:oMath>
      <w:r>
        <w:rPr>
          <w:rtl w:val="0"/>
          <w:lang w:val="en-US"/>
        </w:rPr>
        <w:t xml:space="preserve">; for a positive angular frequency define </w:t>
      </w:r>
      <m:oMath>
        <m:sSubSup>
          <m:e>
            <m:r>
              <m:t>τ</m:t>
            </m:r>
          </m:e>
          <m:sub>
            <m:r>
              <m:t>j,n</m:t>
            </m:r>
          </m:sub>
          <m:sup>
            <m:r>
              <m:rPr>
                <m:sty m:val="p"/>
              </m:rPr>
              <m:t>dyn</m:t>
            </m:r>
          </m:sup>
        </m:sSubSup>
        <m:r>
          <m:t>=</m:t>
        </m:r>
        <m:sSubSup>
          <m:e>
            <m:r>
              <m:t>ω</m:t>
            </m:r>
          </m:e>
          <m:sub>
            <m:r>
              <m:t>j,n</m:t>
            </m:r>
          </m:sub>
          <m:sup>
            <m:r>
              <m:t>−1</m:t>
            </m:r>
          </m:sup>
        </m:sSubSup>
      </m:oMath>
      <w:r>
        <w:rPr>
          <w:rtl w:val="0"/>
          <w:lang w:val="en-US"/>
        </w:rPr>
        <w:t xml:space="preserve">. These are reduced spectral scales, not a geodesic distance and a full oscillation period. Choosing full wavelengths and periods inserts the same factor </w:t>
      </w:r>
      <m:oMath>
        <m:r>
          <m:t>2π</m:t>
        </m:r>
      </m:oMath>
      <w:r>
        <w:rPr>
          <w:rtl w:val="0"/>
          <w:lang w:val="en-US"/>
        </w:rPr>
        <w:t xml:space="preserve"> into both. Zero modes have no finite inverse-frequency scales and are excluded from these definitions, but not from the dynamics.</w:t>
      </w:r>
    </w:p>
    <w:p>
      <w:pPr>
        <w:pStyle w:val="Текстовый блок"/>
        <w:spacing w:line="240" w:lineRule="atLeast"/>
      </w:pPr>
      <w:r>
        <w:rPr>
          <w:rtl w:val="0"/>
          <w:lang w:val="en-US"/>
        </w:rPr>
        <w:t xml:space="preserve">If one defines </w:t>
      </w:r>
      <m:oMath>
        <m:sSub>
          <m:e>
            <m:r>
              <m:t>λ</m:t>
            </m:r>
          </m:e>
          <m:sub>
            <m:r>
              <m:t>n</m:t>
            </m:r>
          </m:sub>
        </m:sSub>
        <m:r>
          <m:t>:=</m:t>
        </m:r>
        <m:sSubSup>
          <m:e>
            <m:r>
              <m:t>ω</m:t>
            </m:r>
          </m:e>
          <m:sub>
            <m:r>
              <m:t>n</m:t>
            </m:r>
          </m:sub>
          <m:sup>
            <m:r>
              <m:t>2</m:t>
            </m:r>
          </m:sup>
        </m:sSubSup>
        <m:r>
          <m:t>/</m:t>
        </m:r>
        <m:sSup>
          <m:e>
            <m:r>
              <m:t>c</m:t>
            </m:r>
          </m:e>
          <m:sup>
            <m:r>
              <m:t>2</m:t>
            </m:r>
          </m:sup>
        </m:sSup>
      </m:oMath>
      <w:r>
        <w:rPr>
          <w:rtl w:val="0"/>
          <w:lang w:val="en-US"/>
        </w:rPr>
        <w:t xml:space="preserve"> from the outset, </w:t>
      </w:r>
      <m:oMath>
        <m:sSub>
          <m:e>
            <m:r>
              <m:rPr>
                <m:sty m:val="p"/>
              </m:rPr>
              <m:t>ℓ</m:t>
            </m:r>
          </m:e>
          <m:sub>
            <m:r>
              <m:t>n</m:t>
            </m:r>
          </m:sub>
        </m:sSub>
        <m:r>
          <m:t>/</m:t>
        </m:r>
        <m:sSub>
          <m:e>
            <m:r>
              <m:t>τ</m:t>
            </m:r>
          </m:e>
          <m:sub>
            <m:r>
              <m:t>n</m:t>
            </m:r>
          </m:sub>
        </m:sSub>
        <m:r>
          <m:t>=c</m:t>
        </m:r>
      </m:oMath>
      <w:r>
        <w:rPr>
          <w:rtl w:val="0"/>
          <w:lang w:val="en-US"/>
        </w:rPr>
        <w:t xml:space="preserve"> is an identity. The following result instead starts with an independently specified spatial operator, separate kinetic/stiffness data and an explicit approximation regime.</w:t>
      </w:r>
    </w:p>
    <w:p>
      <w:pPr>
        <w:pStyle w:val="Текстовый блок"/>
        <w:keepNext w:val="1"/>
        <w:spacing w:line="240" w:lineRule="atLeast"/>
      </w:pPr>
      <w:r>
        <w:rPr>
          <w:b w:val="1"/>
          <w:bCs w:val="1"/>
          <w:rtl w:val="0"/>
          <w:lang w:val="en-US"/>
        </w:rPr>
        <w:t>Conditional Proposition 3 (spectral correspondence).</w:t>
      </w:r>
      <w:r>
        <w:rPr>
          <w:rtl w:val="0"/>
        </w:rPr>
        <w:t xml:space="preserve"> Let</w:t>
      </w:r>
    </w:p>
    <w:p>
      <w:pPr>
        <w:pStyle w:val="Текстовый блок"/>
        <w:keepLines w:val="1"/>
        <w:spacing w:before="60" w:line="240" w:lineRule="atLeast"/>
        <w:jc w:val="center"/>
      </w:pPr>
      <m:oMathPara>
        <m:oMathParaPr>
          <m:jc m:val="center"/>
        </m:oMathParaPr>
        <m:oMath>
          <m:sSub>
            <m:e>
              <m:r>
                <m:t>T</m:t>
              </m:r>
            </m:e>
            <m:sub>
              <m:r>
                <m:t>g</m:t>
              </m:r>
            </m:sub>
          </m:sSub>
          <m:r>
            <m:t>=</m:t>
          </m:r>
          <m:d>
            <m:e>
              <m:m>
                <m:mPr>
                  <m:baseJc m:val="center"/>
                  <m:plcHide m:val="on"/>
                  <m:mcs>
                    <m:mc>
                      <m:mcPr>
                        <m:count m:val="2"/>
                        <m:mcJc m:val="center"/>
                      </m:mcPr>
                    </m:mc>
                  </m:mcs>
                </m:mPr>
                <m:mr>
                  <m:e>
                    <m:r>
                      <m:t>0</m:t>
                    </m:r>
                  </m:e>
                  <m:e>
                    <m:r>
                      <m:t>0</m:t>
                    </m:r>
                  </m:e>
                </m:mr>
                <m:mr>
                  <m:e>
                    <m:r>
                      <m:t>0</m:t>
                    </m:r>
                  </m:e>
                  <m:e>
                    <m:sSub>
                      <m:e>
                        <m:r>
                          <m:t>T</m:t>
                        </m:r>
                      </m:e>
                      <m:sub>
                        <m:r>
                          <m:t>11</m:t>
                        </m:r>
                      </m:sub>
                    </m:sSub>
                  </m:e>
                </m:mr>
              </m:m>
            </m:e>
          </m:d>
          <m:r>
            <m:t>,</m:t>
          </m:r>
          <m:sSub>
            <m:e>
              <m:r>
                <m:t>T</m:t>
              </m:r>
            </m:e>
            <m:sub>
              <m:r>
                <m:t>11</m:t>
              </m:r>
            </m:sub>
          </m:sSub>
          <m:r>
            <m:t>≥</m:t>
          </m:r>
          <m:sSup>
            <m:e>
              <m:r>
                <m:t>g</m:t>
              </m:r>
            </m:e>
            <m:sup>
              <m:r>
                <m:t>2</m:t>
              </m:r>
            </m:sup>
          </m:sSup>
          <m:r>
            <m:t>I,D=</m:t>
          </m:r>
          <m:d>
            <m:e>
              <m:m>
                <m:mPr>
                  <m:baseJc m:val="center"/>
                  <m:plcHide m:val="on"/>
                  <m:mcs>
                    <m:mc>
                      <m:mcPr>
                        <m:count m:val="2"/>
                        <m:mcJc m:val="center"/>
                      </m:mcPr>
                    </m:mc>
                  </m:mcs>
                </m:mPr>
                <m:mr>
                  <m:e>
                    <m:sSub>
                      <m:e>
                        <m:r>
                          <m:t>D</m:t>
                        </m:r>
                      </m:e>
                      <m:sub>
                        <m:r>
                          <m:t>00</m:t>
                        </m:r>
                      </m:sub>
                    </m:sSub>
                  </m:e>
                  <m:e>
                    <m:sSub>
                      <m:e>
                        <m:r>
                          <m:t>D</m:t>
                        </m:r>
                      </m:e>
                      <m:sub>
                        <m:r>
                          <m:t>01</m:t>
                        </m:r>
                      </m:sub>
                    </m:sSub>
                  </m:e>
                </m:mr>
                <m:mr>
                  <m:e>
                    <m:sSub>
                      <m:e>
                        <m:r>
                          <m:t>D</m:t>
                        </m:r>
                      </m:e>
                      <m:sub>
                        <m:r>
                          <m:t>10</m:t>
                        </m:r>
                      </m:sub>
                    </m:sSub>
                  </m:e>
                  <m:e>
                    <m:sSub>
                      <m:e>
                        <m:r>
                          <m:t>D</m:t>
                        </m:r>
                      </m:e>
                      <m:sub>
                        <m:r>
                          <m:t>11</m:t>
                        </m:r>
                      </m:sub>
                    </m:sSub>
                  </m:e>
                </m:mr>
              </m:m>
            </m:e>
          </m:d>
          <m:r>
            <m:t>&gt;0.</m:t>
          </m:r>
          <m:r>
            <m:rPr>
              <m:nor/>
            </m:rPr>
            <m:t>(14)</m:t>
          </m:r>
        </m:oMath>
      </m:oMathPara>
    </w:p>
    <w:p>
      <w:pPr>
        <w:pStyle w:val="Текстовый блок"/>
        <w:spacing w:line="240" w:lineRule="atLeast"/>
      </w:pPr>
      <w:r>
        <w:rPr>
          <w:rtl w:val="0"/>
          <w:lang w:val="en-US"/>
        </w:rPr>
        <w:t xml:space="preserve">Write </w:t>
      </w:r>
      <m:oMath>
        <m:sSub>
          <m:e>
            <m:r>
              <m:t>d</m:t>
            </m:r>
          </m:e>
          <m:sub>
            <m:r>
              <m:t>1</m:t>
            </m:r>
          </m:sub>
        </m:sSub>
        <m:r>
          <m:t>≤⋯≤</m:t>
        </m:r>
        <m:sSub>
          <m:e>
            <m:r>
              <m:t>d</m:t>
            </m:r>
          </m:e>
          <m:sub>
            <m:r>
              <m:t>r</m:t>
            </m:r>
          </m:sub>
        </m:sSub>
      </m:oMath>
      <w:r>
        <w:rPr>
          <w:rtl w:val="0"/>
          <w:lang w:val="en-US"/>
        </w:rPr>
        <w:t xml:space="preserve"> for the eigenvalues of </w:t>
      </w:r>
      <m:oMath>
        <m:sSub>
          <m:e>
            <m:r>
              <m:t>D</m:t>
            </m:r>
          </m:e>
          <m:sub>
            <m:r>
              <m:t>00</m:t>
            </m:r>
          </m:sub>
        </m:sSub>
      </m:oMath>
      <w:r>
        <w:rPr>
          <w:rtl w:val="0"/>
        </w:rPr>
        <w:t xml:space="preserve">, </w:t>
      </w:r>
      <m:oMath>
        <m:sSub>
          <m:e>
            <m:r>
              <m:t>v</m:t>
            </m:r>
          </m:e>
          <m:sub>
            <m:r>
              <m:t>j</m:t>
            </m:r>
          </m:sub>
        </m:sSub>
        <m:r>
          <m:t>=</m:t>
        </m:r>
        <m:rad>
          <m:radPr>
            <m:degHide m:val="on"/>
          </m:radPr>
          <m:deg/>
          <m:e>
            <m:sSub>
              <m:e>
                <m:r>
                  <m:t>d</m:t>
                </m:r>
              </m:e>
              <m:sub>
                <m:r>
                  <m:t>j</m:t>
                </m:r>
              </m:sub>
            </m:sSub>
          </m:e>
        </m:rad>
      </m:oMath>
      <w:r>
        <w:rPr>
          <w:rtl w:val="0"/>
        </w:rPr>
        <w:t xml:space="preserve">, </w:t>
      </w:r>
      <m:oMath>
        <m:r>
          <m:t>b=∥</m:t>
        </m:r>
        <m:sSub>
          <m:e>
            <m:r>
              <m:t>D</m:t>
            </m:r>
          </m:e>
          <m:sub>
            <m:r>
              <m:t>01</m:t>
            </m:r>
          </m:sub>
        </m:sSub>
        <m:r>
          <m:t>∥</m:t>
        </m:r>
      </m:oMath>
      <w:r>
        <w:rPr>
          <w:rtl w:val="0"/>
          <w:lang w:val="en-US"/>
        </w:rPr>
        <w:t xml:space="preserve">, and </w:t>
      </w:r>
      <m:oMath>
        <m:sSub>
          <m:e>
            <m:r>
              <m:t>d</m:t>
            </m:r>
          </m:e>
          <m:sub>
            <m:r>
              <m:rPr>
                <m:sty m:val="p"/>
              </m:rPr>
              <m:t>*</m:t>
            </m:r>
          </m:sub>
        </m:sSub>
        <m:r>
          <m:t>=∥D∥</m:t>
        </m:r>
      </m:oMath>
      <w:r>
        <w:rPr>
          <w:rtl w:val="0"/>
          <w:lang w:val="en-US"/>
        </w:rPr>
        <w:t xml:space="preserve">. If </w:t>
      </w:r>
      <m:oMath>
        <m:r>
          <m:t>ν&gt;0</m:t>
        </m:r>
      </m:oMath>
      <w:r>
        <w:rPr>
          <w:rtl w:val="0"/>
          <w:lang w:val="en-US"/>
        </w:rPr>
        <w:t xml:space="preserve"> and </w:t>
      </w:r>
      <m:oMath>
        <m:r>
          <m:t>ν</m:t>
        </m:r>
        <m:sSub>
          <m:e>
            <m:r>
              <m:t>d</m:t>
            </m:r>
          </m:e>
          <m:sub>
            <m:r>
              <m:rPr>
                <m:sty m:val="p"/>
              </m:rPr>
              <m:t>*</m:t>
            </m:r>
          </m:sub>
        </m:sSub>
        <m:r>
          <m:t>≤</m:t>
        </m:r>
        <m:sSup>
          <m:e>
            <m:r>
              <m:t>g</m:t>
            </m:r>
          </m:e>
          <m:sup>
            <m:r>
              <m:t>2</m:t>
            </m:r>
          </m:sup>
        </m:sSup>
        <m:r>
          <m:t>/2</m:t>
        </m:r>
      </m:oMath>
      <w:r>
        <w:rPr>
          <w:rtl w:val="0"/>
          <w:lang w:val="en-US"/>
        </w:rPr>
        <w:t xml:space="preserve">, the lowest </w:t>
      </w:r>
      <m:oMath>
        <m:r>
          <m:t>r</m:t>
        </m:r>
      </m:oMath>
      <w:r>
        <w:rPr>
          <w:rtl w:val="0"/>
          <w:lang w:val="nl-NL"/>
        </w:rPr>
        <w:t xml:space="preserve"> eigenvalues </w:t>
      </w:r>
      <m:oMath>
        <m:sSub>
          <m:e>
            <m:r>
              <m:t>z</m:t>
            </m:r>
          </m:e>
          <m:sub>
            <m:r>
              <m:t>j</m:t>
            </m:r>
          </m:sub>
        </m:sSub>
        <m:d>
          <m:e>
            <m:r>
              <m:t>ν</m:t>
            </m:r>
          </m:e>
        </m:d>
        <m:r>
          <m:t>=</m:t>
        </m:r>
        <m:sSubSup>
          <m:e>
            <m:r>
              <m:t>ω</m:t>
            </m:r>
          </m:e>
          <m:sub>
            <m:r>
              <m:t>j</m:t>
            </m:r>
          </m:sub>
          <m:sup>
            <m:r>
              <m:t>2</m:t>
            </m:r>
          </m:sup>
        </m:sSubSup>
        <m:d>
          <m:e>
            <m:r>
              <m:t>ν</m:t>
            </m:r>
          </m:e>
        </m:d>
      </m:oMath>
      <w:r>
        <w:rPr>
          <w:rtl w:val="0"/>
          <w:lang w:val="en-US"/>
        </w:rPr>
        <w:t xml:space="preserve"> of </w:t>
      </w:r>
      <m:oMath>
        <m:sSub>
          <m:e>
            <m:r>
              <m:t>T</m:t>
            </m:r>
          </m:e>
          <m:sub>
            <m:r>
              <m:t>g</m:t>
            </m:r>
          </m:sub>
        </m:sSub>
        <m:r>
          <m:t>+νD</m:t>
        </m:r>
      </m:oMath>
      <w:r>
        <w:rPr>
          <w:rtl w:val="0"/>
        </w:rPr>
        <w:t xml:space="preserve"> obey</w:t>
      </w:r>
    </w:p>
    <w:p>
      <w:pPr>
        <w:pStyle w:val="Текстовый блок"/>
        <w:keepLines w:val="1"/>
        <w:spacing w:before="60" w:line="240" w:lineRule="atLeast"/>
        <w:jc w:val="center"/>
      </w:pPr>
      <m:oMathPara>
        <m:oMathParaPr>
          <m:jc m:val="center"/>
        </m:oMathParaPr>
        <m:oMath>
          <m:r>
            <m:t>0≤ν</m:t>
          </m:r>
          <m:sSub>
            <m:e>
              <m:r>
                <m:t>d</m:t>
              </m:r>
            </m:e>
            <m:sub>
              <m:r>
                <m:t>j</m:t>
              </m:r>
            </m:sub>
          </m:sSub>
          <m:r>
            <m:t>−</m:t>
          </m:r>
          <m:sSub>
            <m:e>
              <m:r>
                <m:t>z</m:t>
              </m:r>
            </m:e>
            <m:sub>
              <m:r>
                <m:t>j</m:t>
              </m:r>
            </m:sub>
          </m:sSub>
          <m:d>
            <m:e>
              <m:r>
                <m:t>ν</m:t>
              </m:r>
            </m:e>
          </m:d>
          <m:r>
            <m:t>≤</m:t>
          </m:r>
          <m:f>
            <m:fPr>
              <m:type m:val="bar"/>
            </m:fPr>
            <m:num>
              <m:r>
                <m:t>2</m:t>
              </m:r>
              <m:sSup>
                <m:e>
                  <m:r>
                    <m:t>ν</m:t>
                  </m:r>
                </m:e>
                <m:sup>
                  <m:r>
                    <m:t>2</m:t>
                  </m:r>
                </m:sup>
              </m:sSup>
              <m:sSup>
                <m:e>
                  <m:r>
                    <m:t>b</m:t>
                  </m:r>
                </m:e>
                <m:sup>
                  <m:r>
                    <m:t>2</m:t>
                  </m:r>
                </m:sup>
              </m:sSup>
            </m:num>
            <m:den>
              <m:sSup>
                <m:e>
                  <m:r>
                    <m:t>g</m:t>
                  </m:r>
                </m:e>
                <m:sup>
                  <m:r>
                    <m:t>2</m:t>
                  </m:r>
                </m:sup>
              </m:sSup>
            </m:den>
          </m:f>
          <m:r>
            <m:t>,0≤</m:t>
          </m:r>
          <m:sSub>
            <m:e>
              <m:r>
                <m:t>v</m:t>
              </m:r>
            </m:e>
            <m:sub>
              <m:r>
                <m:t>j</m:t>
              </m:r>
            </m:sub>
          </m:sSub>
          <m:r>
            <m:t>−</m:t>
          </m:r>
          <m:f>
            <m:fPr>
              <m:type m:val="bar"/>
            </m:fPr>
            <m:num>
              <m:sSub>
                <m:e>
                  <m:r>
                    <m:t>ω</m:t>
                  </m:r>
                </m:e>
                <m:sub>
                  <m:r>
                    <m:t>j</m:t>
                  </m:r>
                </m:sub>
              </m:sSub>
              <m:d>
                <m:e>
                  <m:r>
                    <m:t>ν</m:t>
                  </m:r>
                </m:e>
              </m:d>
            </m:num>
            <m:den>
              <m:rad>
                <m:radPr>
                  <m:degHide m:val="on"/>
                </m:radPr>
                <m:deg/>
                <m:e>
                  <m:r>
                    <m:t>ν</m:t>
                  </m:r>
                </m:e>
              </m:rad>
            </m:den>
          </m:f>
          <m:r>
            <m:t>≤</m:t>
          </m:r>
          <m:f>
            <m:fPr>
              <m:type m:val="bar"/>
            </m:fPr>
            <m:num>
              <m:r>
                <m:t>2ν</m:t>
              </m:r>
              <m:sSup>
                <m:e>
                  <m:r>
                    <m:t>b</m:t>
                  </m:r>
                </m:e>
                <m:sup>
                  <m:r>
                    <m:t>2</m:t>
                  </m:r>
                </m:sup>
              </m:sSup>
            </m:num>
            <m:den>
              <m:sSup>
                <m:e>
                  <m:r>
                    <m:t>g</m:t>
                  </m:r>
                </m:e>
                <m:sup>
                  <m:r>
                    <m:t>2</m:t>
                  </m:r>
                </m:sup>
              </m:sSup>
              <m:sSub>
                <m:e>
                  <m:r>
                    <m:t>v</m:t>
                  </m:r>
                </m:e>
                <m:sub>
                  <m:r>
                    <m:t>j</m:t>
                  </m:r>
                </m:sub>
              </m:sSub>
            </m:den>
          </m:f>
          <m:r>
            <m:t>.</m:t>
          </m:r>
          <m:r>
            <m:rPr>
              <m:nor/>
            </m:rPr>
            <m:t>(15)</m:t>
          </m:r>
        </m:oMath>
      </m:oMathPara>
    </w:p>
    <w:p>
      <w:pPr>
        <w:pStyle w:val="Текстовый блок"/>
        <w:spacing w:line="240" w:lineRule="atLeast"/>
      </w:pPr>
      <w:r>
        <w:rPr>
          <w:rtl w:val="0"/>
          <w:lang w:val="en-US"/>
        </w:rPr>
        <w:t xml:space="preserve">On the prescribed nearest-neighbour chain, use </w:t>
      </w:r>
      <m:oMath>
        <m:r>
          <m:t>ν=</m:t>
        </m:r>
        <m:sSub>
          <m:e>
            <m:r>
              <m:t>ν</m:t>
            </m:r>
          </m:e>
          <m:sub>
            <m:r>
              <m:t>a</m:t>
            </m:r>
          </m:sub>
        </m:sSub>
        <m:d>
          <m:e>
            <m:r>
              <m:t>k</m:t>
            </m:r>
          </m:e>
        </m:d>
      </m:oMath>
      <w:r>
        <w:rPr>
          <w:rtl w:val="0"/>
          <w:lang w:val="en-US"/>
        </w:rPr>
        <w:t xml:space="preserve"> from (12), with </w:t>
      </w:r>
      <m:oMath>
        <m:r>
          <m:t>k≠0</m:t>
        </m:r>
      </m:oMath>
      <w:r>
        <w:rPr>
          <w:rtl w:val="0"/>
          <w:lang w:val="en-US"/>
        </w:rPr>
        <w:t xml:space="preserve">. The spectral scale is </w:t>
      </w:r>
      <m:oMath>
        <m:sSub>
          <m:e>
            <m:r>
              <m:t>ν</m:t>
            </m:r>
          </m:e>
          <m:sub>
            <m:r>
              <m:t>a</m:t>
            </m:r>
          </m:sub>
        </m:sSub>
        <m:sSup>
          <m:e>
            <m:d>
              <m:e>
                <m:r>
                  <m:t>k</m:t>
                </m:r>
              </m:e>
            </m:d>
          </m:e>
          <m:sup>
            <m:r>
              <m:t>−1/2</m:t>
            </m:r>
          </m:sup>
        </m:sSup>
      </m:oMath>
      <w:r>
        <w:rPr>
          <w:rtl w:val="0"/>
          <w:lang w:val="en-US"/>
        </w:rPr>
        <w:t xml:space="preserve">; the independently reconstructed Fourier scale is </w:t>
      </w:r>
      <m:oMath>
        <m:sSup>
          <m:e>
            <m:d>
              <m:dPr>
                <m:begChr m:val="|"/>
                <m:endChr m:val="|"/>
              </m:dPr>
              <m:e>
                <m:r>
                  <m:t>k</m:t>
                </m:r>
              </m:e>
            </m:d>
          </m:e>
          <m:sup>
            <m:r>
              <m:t>−1</m:t>
            </m:r>
          </m:sup>
        </m:sSup>
      </m:oMath>
      <w:r>
        <w:rPr>
          <w:rtl w:val="0"/>
          <w:lang w:val="en-US"/>
        </w:rPr>
        <w:t>. They satisfy</w:t>
      </w:r>
    </w:p>
    <w:p>
      <w:pPr>
        <w:pStyle w:val="Текстовый блок"/>
        <w:keepLines w:val="1"/>
        <w:spacing w:before="60" w:line="240" w:lineRule="atLeast"/>
        <w:jc w:val="center"/>
      </w:pPr>
      <m:oMathPara>
        <m:oMathParaPr>
          <m:jc m:val="center"/>
        </m:oMathParaPr>
        <m:oMath>
          <m:r>
            <m:t>0≤</m:t>
          </m:r>
          <m:sSub>
            <m:e>
              <m:r>
                <m:t>v</m:t>
              </m:r>
            </m:e>
            <m:sub>
              <m:r>
                <m:t>j</m:t>
              </m:r>
            </m:sub>
          </m:sSub>
          <m:r>
            <m:t>−</m:t>
          </m:r>
          <m:f>
            <m:fPr>
              <m:type m:val="bar"/>
            </m:fPr>
            <m:num>
              <m:sSub>
                <m:e>
                  <m:r>
                    <m:t>ω</m:t>
                  </m:r>
                </m:e>
                <m:sub>
                  <m:r>
                    <m:t>j</m:t>
                  </m:r>
                </m:sub>
              </m:sSub>
              <m:d>
                <m:e>
                  <m:sSub>
                    <m:e>
                      <m:r>
                        <m:t>ν</m:t>
                      </m:r>
                    </m:e>
                    <m:sub>
                      <m:r>
                        <m:t>a</m:t>
                      </m:r>
                    </m:sub>
                  </m:sSub>
                  <m:d>
                    <m:e>
                      <m:r>
                        <m:t>k</m:t>
                      </m:r>
                    </m:e>
                  </m:d>
                </m:e>
              </m:d>
            </m:num>
            <m:den>
              <m:d>
                <m:dPr>
                  <m:begChr m:val="|"/>
                  <m:endChr m:val="|"/>
                </m:dPr>
                <m:e>
                  <m:r>
                    <m:t>k</m:t>
                  </m:r>
                </m:e>
              </m:d>
            </m:den>
          </m:f>
          <m:r>
            <m:t>≤</m:t>
          </m:r>
          <m:f>
            <m:fPr>
              <m:type m:val="bar"/>
            </m:fPr>
            <m:num>
              <m:sSub>
                <m:e>
                  <m:r>
                    <m:t>v</m:t>
                  </m:r>
                </m:e>
                <m:sub>
                  <m:r>
                    <m:t>j</m:t>
                  </m:r>
                </m:sub>
              </m:sSub>
              <m:sSup>
                <m:e>
                  <m:r>
                    <m:t>a</m:t>
                  </m:r>
                </m:e>
                <m:sup>
                  <m:r>
                    <m:t>2</m:t>
                  </m:r>
                </m:sup>
              </m:sSup>
              <m:sSup>
                <m:e>
                  <m:r>
                    <m:t>k</m:t>
                  </m:r>
                </m:e>
                <m:sup>
                  <m:r>
                    <m:t>2</m:t>
                  </m:r>
                </m:sup>
              </m:sSup>
            </m:num>
            <m:den>
              <m:r>
                <m:t>12</m:t>
              </m:r>
            </m:den>
          </m:f>
          <m:r>
            <m:t>+</m:t>
          </m:r>
          <m:f>
            <m:fPr>
              <m:type m:val="bar"/>
            </m:fPr>
            <m:num>
              <m:r>
                <m:t>2</m:t>
              </m:r>
              <m:sSup>
                <m:e>
                  <m:r>
                    <m:t>k</m:t>
                  </m:r>
                </m:e>
                <m:sup>
                  <m:r>
                    <m:t>2</m:t>
                  </m:r>
                </m:sup>
              </m:sSup>
              <m:sSup>
                <m:e>
                  <m:r>
                    <m:t>b</m:t>
                  </m:r>
                </m:e>
                <m:sup>
                  <m:r>
                    <m:t>2</m:t>
                  </m:r>
                </m:sup>
              </m:sSup>
            </m:num>
            <m:den>
              <m:sSup>
                <m:e>
                  <m:r>
                    <m:t>g</m:t>
                  </m:r>
                </m:e>
                <m:sup>
                  <m:r>
                    <m:t>2</m:t>
                  </m:r>
                </m:sup>
              </m:sSup>
              <m:sSub>
                <m:e>
                  <m:r>
                    <m:t>v</m:t>
                  </m:r>
                </m:e>
                <m:sub>
                  <m:r>
                    <m:t>j</m:t>
                  </m:r>
                </m:sub>
              </m:sSub>
            </m:den>
          </m:f>
          <m:r>
            <m:t>.</m:t>
          </m:r>
          <m:r>
            <m:rPr>
              <m:nor/>
            </m:rPr>
            <m:t>(16)</m:t>
          </m:r>
        </m:oMath>
      </m:oMathPara>
    </w:p>
    <w:p>
      <w:pPr>
        <w:pStyle w:val="Текстовый блок"/>
        <w:spacing w:line="240" w:lineRule="atLeast"/>
      </w:pPr>
      <w:r>
        <w:rPr>
          <w:rtl w:val="0"/>
          <w:lang w:val="en-US"/>
        </w:rPr>
        <w:t xml:space="preserve">In particular, if </w:t>
      </w:r>
      <m:oMath>
        <m:sSub>
          <m:e>
            <m:r>
              <m:t>D</m:t>
            </m:r>
          </m:e>
          <m:sub>
            <m:r>
              <m:t>00</m:t>
            </m:r>
          </m:sub>
        </m:sSub>
        <m:r>
          <m:t>=</m:t>
        </m:r>
        <m:sSup>
          <m:e>
            <m:r>
              <m:t>v</m:t>
            </m:r>
          </m:e>
          <m:sup>
            <m:r>
              <m:t>2</m:t>
            </m:r>
          </m:sup>
        </m:sSup>
        <m:sSub>
          <m:e>
            <m:r>
              <m:t>I</m:t>
            </m:r>
          </m:e>
          <m:sub>
            <m:r>
              <m:t>r</m:t>
            </m:r>
          </m:sub>
        </m:sSub>
      </m:oMath>
      <w:r>
        <w:rPr>
          <w:rtl w:val="0"/>
          <w:lang w:val="en-US"/>
        </w:rPr>
        <w:t>, every retained branch has the same limiting length</w:t>
      </w:r>
      <w:r>
        <w:rPr>
          <w:rtl w:val="0"/>
          <w:lang w:val="en-US"/>
        </w:rPr>
        <w:t>–</w:t>
      </w:r>
      <w:r>
        <w:rPr>
          <w:rtl w:val="0"/>
          <w:lang w:val="en-US"/>
        </w:rPr>
        <w:t xml:space="preserve">time ratio </w:t>
      </w:r>
      <m:oMath>
        <m:r>
          <m:t>v</m:t>
        </m:r>
      </m:oMath>
      <w:r>
        <w:rPr>
          <w:rtl w:val="0"/>
          <w:lang w:val="en-US"/>
        </w:rPr>
        <w:t xml:space="preserve">, and the same common recalibration makes those ratios tend to one. The convergence is uniform on </w:t>
      </w:r>
      <m:oMath>
        <m:r>
          <m:t>0&lt;</m:t>
        </m:r>
        <m:d>
          <m:dPr>
            <m:begChr m:val="|"/>
            <m:endChr m:val="|"/>
          </m:dPr>
          <m:e>
            <m:r>
              <m:t>k</m:t>
            </m:r>
          </m:e>
        </m:d>
        <m:r>
          <m:t>≤Λ</m:t>
        </m:r>
      </m:oMath>
      <w:r>
        <w:rPr>
          <w:rtl w:val="0"/>
          <w:lang w:val="en-US"/>
        </w:rPr>
        <w:t xml:space="preserve"> whenever </w:t>
      </w:r>
      <m:oMath>
        <m:r>
          <m:t>aΛ→0</m:t>
        </m:r>
      </m:oMath>
      <w:r>
        <w:rPr>
          <w:rtl w:val="0"/>
        </w:rPr>
        <w:t xml:space="preserve">, </w:t>
      </w:r>
      <m:oMath>
        <m:r>
          <m:t>Λ/g→0</m:t>
        </m:r>
      </m:oMath>
      <w:r>
        <w:rPr>
          <w:rtl w:val="0"/>
          <w:lang w:val="en-US"/>
        </w:rPr>
        <w:t xml:space="preserve">, and </w:t>
      </w:r>
      <m:oMath>
        <m:r>
          <m:t>D</m:t>
        </m:r>
      </m:oMath>
      <w:r>
        <w:rPr>
          <w:rtl w:val="0"/>
          <w:lang w:val="en-US"/>
        </w:rPr>
        <w:t xml:space="preserve"> remains fixed. These spectral conditions are weaker than bounds needed for some response norms; they do not replace a response-convergence theorem.</w:t>
      </w:r>
    </w:p>
    <w:p>
      <w:pPr>
        <w:pStyle w:val="Текстовый блок"/>
        <w:spacing w:line="240" w:lineRule="atLeast"/>
      </w:pPr>
      <w:r>
        <w:rPr>
          <w:b w:val="1"/>
          <w:bCs w:val="1"/>
          <w:rtl w:val="0"/>
          <w:lang w:val="en-US"/>
        </w:rPr>
        <w:t>Proof.</w:t>
      </w:r>
      <w:r>
        <w:rPr>
          <w:rtl w:val="0"/>
          <w:lang w:val="en-US"/>
        </w:rPr>
        <w:t xml:space="preserve"> Restricting the Rayleigh quotient to the first block gives </w:t>
      </w:r>
      <m:oMath>
        <m:sSub>
          <m:e>
            <m:r>
              <m:t>z</m:t>
            </m:r>
          </m:e>
          <m:sub>
            <m:r>
              <m:t>j</m:t>
            </m:r>
          </m:sub>
        </m:sSub>
        <m:r>
          <m:t>≤ν</m:t>
        </m:r>
        <m:sSub>
          <m:e>
            <m:r>
              <m:t>d</m:t>
            </m:r>
          </m:e>
          <m:sub>
            <m:r>
              <m:t>j</m:t>
            </m:r>
          </m:sub>
        </m:sSub>
      </m:oMath>
      <w:r>
        <w:rPr>
          <w:rtl w:val="0"/>
          <w:lang w:val="en-US"/>
        </w:rPr>
        <w:t xml:space="preserve"> by the min</w:t>
      </w:r>
      <w:r>
        <w:rPr>
          <w:rtl w:val="0"/>
          <w:lang w:val="en-US"/>
        </w:rPr>
        <w:t>–</w:t>
      </w:r>
      <w:r>
        <w:rPr>
          <w:rtl w:val="0"/>
          <w:lang w:val="fr-FR"/>
        </w:rPr>
        <w:t xml:space="preserve">max principle. For </w:t>
      </w:r>
      <m:oMath>
        <m:r>
          <m:t>x</m:t>
        </m:r>
      </m:oMath>
      <w:r>
        <w:rPr>
          <w:rtl w:val="0"/>
          <w:lang w:val="en-US"/>
        </w:rPr>
        <w:t xml:space="preserve"> in that block and </w:t>
      </w:r>
      <m:oMath>
        <m:r>
          <m:t>y</m:t>
        </m:r>
      </m:oMath>
      <w:r>
        <w:rPr>
          <w:rtl w:val="0"/>
          <w:lang w:val="en-US"/>
        </w:rPr>
        <w:t xml:space="preserve"> in its complement, Young</w:t>
      </w:r>
      <w:r>
        <w:rPr>
          <w:rtl w:val="0"/>
          <w:lang w:val="en-US"/>
        </w:rPr>
        <w:t>’</w:t>
      </w:r>
      <w:r>
        <w:rPr>
          <w:rtl w:val="0"/>
          <w:lang w:val="en-US"/>
        </w:rPr>
        <w:t>s inequality gives</w:t>
      </w:r>
    </w:p>
    <w:p>
      <w:pPr>
        <w:pStyle w:val="Текстовый блок"/>
        <w:keepLines w:val="1"/>
        <w:spacing w:before="60" w:line="240" w:lineRule="atLeast"/>
        <w:jc w:val="center"/>
      </w:pPr>
      <m:oMathPara>
        <m:oMathParaPr>
          <m:jc m:val="center"/>
        </m:oMathParaPr>
        <m:oMath>
          <m:r>
            <m:t>2ν</m:t>
          </m:r>
          <m:d>
            <m:dPr>
              <m:begChr m:val="|"/>
              <m:endChr m:val="|"/>
            </m:dPr>
            <m:e>
              <m:r>
                <m:t>⟨x,</m:t>
              </m:r>
              <m:sSub>
                <m:e>
                  <m:r>
                    <m:t>D</m:t>
                  </m:r>
                </m:e>
                <m:sub>
                  <m:r>
                    <m:t>01</m:t>
                  </m:r>
                </m:sub>
              </m:sSub>
              <m:r>
                <m:t>y⟩</m:t>
              </m:r>
            </m:e>
          </m:d>
          <m:r>
            <m:t>≤</m:t>
          </m:r>
          <m:f>
            <m:fPr>
              <m:type m:val="bar"/>
            </m:fPr>
            <m:num>
              <m:r>
                <m:t>2</m:t>
              </m:r>
              <m:sSup>
                <m:e>
                  <m:r>
                    <m:t>ν</m:t>
                  </m:r>
                </m:e>
                <m:sup>
                  <m:r>
                    <m:t>2</m:t>
                  </m:r>
                </m:sup>
              </m:sSup>
              <m:sSup>
                <m:e>
                  <m:r>
                    <m:t>b</m:t>
                  </m:r>
                </m:e>
                <m:sup>
                  <m:r>
                    <m:t>2</m:t>
                  </m:r>
                </m:sup>
              </m:sSup>
            </m:num>
            <m:den>
              <m:sSup>
                <m:e>
                  <m:r>
                    <m:t>g</m:t>
                  </m:r>
                </m:e>
                <m:sup>
                  <m:r>
                    <m:t>2</m:t>
                  </m:r>
                </m:sup>
              </m:sSup>
            </m:den>
          </m:f>
          <m:r>
            <m:t>∥x</m:t>
          </m:r>
          <m:sSup>
            <m:e>
              <m:r>
                <m:t>∥</m:t>
              </m:r>
            </m:e>
            <m:sup>
              <m:r>
                <m:t>2</m:t>
              </m:r>
            </m:sup>
          </m:sSup>
          <m:r>
            <m:t>+</m:t>
          </m:r>
          <m:f>
            <m:fPr>
              <m:type m:val="bar"/>
            </m:fPr>
            <m:num>
              <m:sSup>
                <m:e>
                  <m:r>
                    <m:t>g</m:t>
                  </m:r>
                </m:e>
                <m:sup>
                  <m:r>
                    <m:t>2</m:t>
                  </m:r>
                </m:sup>
              </m:sSup>
            </m:num>
            <m:den>
              <m:r>
                <m:t>2</m:t>
              </m:r>
            </m:den>
          </m:f>
          <m:r>
            <m:t>∥y</m:t>
          </m:r>
          <m:sSup>
            <m:e>
              <m:r>
                <m:t>∥</m:t>
              </m:r>
            </m:e>
            <m:sup>
              <m:r>
                <m:t>2</m:t>
              </m:r>
            </m:sup>
          </m:sSup>
          <m:r>
            <m:t>.</m:t>
          </m:r>
          <m:r>
            <m:rPr>
              <m:nor/>
            </m:rPr>
            <m:t>(17)</m:t>
          </m:r>
        </m:oMath>
      </m:oMathPara>
    </w:p>
    <w:p>
      <w:pPr>
        <w:pStyle w:val="Текстовый блок"/>
        <w:spacing w:line="240" w:lineRule="atLeast"/>
      </w:pPr>
      <w:r>
        <w:rPr>
          <w:rtl w:val="0"/>
          <w:lang w:val="en-US"/>
        </w:rPr>
        <w:t xml:space="preserve">Thus </w:t>
      </w:r>
      <m:oMath>
        <m:sSub>
          <m:e>
            <m:r>
              <m:t>T</m:t>
            </m:r>
          </m:e>
          <m:sub>
            <m:r>
              <m:t>g</m:t>
            </m:r>
          </m:sub>
        </m:sSub>
        <m:r>
          <m:t>+νD</m:t>
        </m:r>
      </m:oMath>
      <w:r>
        <w:rPr>
          <w:rtl w:val="0"/>
          <w:lang w:val="en-US"/>
        </w:rPr>
        <w:t xml:space="preserve"> is bounded below in quadratic-form order by the block diagonal matrix with blocks </w:t>
      </w:r>
      <m:oMath>
        <m:r>
          <m:t>ν</m:t>
        </m:r>
        <m:sSub>
          <m:e>
            <m:r>
              <m:t>D</m:t>
            </m:r>
          </m:e>
          <m:sub>
            <m:r>
              <m:t>00</m:t>
            </m:r>
          </m:sub>
        </m:sSub>
        <m:r>
          <m:t>−2</m:t>
        </m:r>
        <m:sSup>
          <m:e>
            <m:r>
              <m:t>ν</m:t>
            </m:r>
          </m:e>
          <m:sup>
            <m:r>
              <m:t>2</m:t>
            </m:r>
          </m:sup>
        </m:sSup>
        <m:sSup>
          <m:e>
            <m:r>
              <m:t>b</m:t>
            </m:r>
          </m:e>
          <m:sup>
            <m:r>
              <m:t>2</m:t>
            </m:r>
          </m:sup>
        </m:sSup>
        <m:sSup>
          <m:e>
            <m:r>
              <m:t>g</m:t>
            </m:r>
          </m:e>
          <m:sup>
            <m:r>
              <m:t>−2</m:t>
            </m:r>
          </m:sup>
        </m:sSup>
        <m:r>
          <m:t>I</m:t>
        </m:r>
      </m:oMath>
      <w:r>
        <w:rPr>
          <w:rtl w:val="0"/>
          <w:lang w:val="en-US"/>
        </w:rPr>
        <w:t xml:space="preserve"> and </w:t>
      </w:r>
      <m:oMath>
        <m:d>
          <m:e>
            <m:f>
              <m:fPr>
                <m:type m:val="lin"/>
              </m:fPr>
              <m:num>
                <m:sSup>
                  <m:e>
                    <m:r>
                      <m:t>g</m:t>
                    </m:r>
                  </m:e>
                  <m:sup>
                    <m:r>
                      <m:t>2</m:t>
                    </m:r>
                  </m:sup>
                </m:sSup>
              </m:num>
              <m:den>
                <m:r>
                  <m:t>2</m:t>
                </m:r>
              </m:den>
            </m:f>
          </m:e>
        </m:d>
        <m:r>
          <m:t>I</m:t>
        </m:r>
      </m:oMath>
      <w:r>
        <w:rPr>
          <w:rtl w:val="0"/>
          <w:lang w:val="en-US"/>
        </w:rPr>
        <w:t xml:space="preserve">. All eigenvalues of its first block are at most </w:t>
      </w:r>
      <m:oMath>
        <m:sSup>
          <m:e>
            <m:r>
              <m:t>g</m:t>
            </m:r>
          </m:e>
          <m:sup>
            <m:r>
              <m:t>2</m:t>
            </m:r>
          </m:sup>
        </m:sSup>
        <m:r>
          <m:t>/2</m:t>
        </m:r>
      </m:oMath>
      <w:r>
        <w:rPr>
          <w:rtl w:val="0"/>
          <w:lang w:val="en-US"/>
        </w:rPr>
        <w:t>, by the assumed smallness condition. Min</w:t>
      </w:r>
      <w:r>
        <w:rPr>
          <w:rtl w:val="0"/>
          <w:lang w:val="en-US"/>
        </w:rPr>
        <w:t>–</w:t>
      </w:r>
      <w:r>
        <w:rPr>
          <w:rtl w:val="0"/>
          <w:lang w:val="en-US"/>
        </w:rPr>
        <w:t xml:space="preserve">max gives the lower bound in (15); positivity of </w:t>
      </w:r>
      <m:oMath>
        <m:sSub>
          <m:e>
            <m:r>
              <m:t>T</m:t>
            </m:r>
          </m:e>
          <m:sub>
            <m:r>
              <m:t>g</m:t>
            </m:r>
          </m:sub>
        </m:sSub>
        <m:r>
          <m:t>+νD</m:t>
        </m:r>
      </m:oMath>
      <w:r>
        <w:rPr>
          <w:rtl w:val="0"/>
          <w:lang w:val="en-US"/>
        </w:rPr>
        <w:t xml:space="preserve"> ensures positive frequencies. Dividing the difference of squares by </w:t>
      </w:r>
      <m:oMath>
        <m:sSub>
          <m:e>
            <m:r>
              <m:t>v</m:t>
            </m:r>
          </m:e>
          <m:sub>
            <m:r>
              <m:t>j</m:t>
            </m:r>
          </m:sub>
        </m:sSub>
        <m:r>
          <m:t>+</m:t>
        </m:r>
        <m:sSub>
          <m:e>
            <m:r>
              <m:t>ω</m:t>
            </m:r>
          </m:e>
          <m:sub>
            <m:r>
              <m:t>j</m:t>
            </m:r>
          </m:sub>
        </m:sSub>
        <m:r>
          <m:t>/</m:t>
        </m:r>
        <m:rad>
          <m:radPr>
            <m:degHide m:val="on"/>
          </m:radPr>
          <m:deg/>
          <m:e>
            <m:r>
              <m:t>ν</m:t>
            </m:r>
          </m:e>
        </m:rad>
        <m:r>
          <m:t>≥</m:t>
        </m:r>
        <m:sSub>
          <m:e>
            <m:r>
              <m:t>v</m:t>
            </m:r>
          </m:e>
          <m:sub>
            <m:r>
              <m:t>j</m:t>
            </m:r>
          </m:sub>
        </m:sSub>
      </m:oMath>
      <w:r>
        <w:rPr>
          <w:rtl w:val="0"/>
          <w:lang w:val="en-US"/>
        </w:rPr>
        <w:t xml:space="preserve"> gives the frequency estimate.</w:t>
      </w:r>
    </w:p>
    <w:p>
      <w:pPr>
        <w:pStyle w:val="Текстовый блок"/>
        <w:spacing w:line="240" w:lineRule="atLeast"/>
      </w:pPr>
      <w:r>
        <w:rPr>
          <w:rtl w:val="0"/>
        </w:rPr>
        <w:t>Taylor</w:t>
      </w:r>
      <w:r>
        <w:rPr>
          <w:rtl w:val="0"/>
          <w:lang w:val="en-US"/>
        </w:rPr>
        <w:t>’</w:t>
      </w:r>
      <w:r>
        <w:rPr>
          <w:rtl w:val="0"/>
          <w:lang w:val="en-US"/>
        </w:rPr>
        <w:t xml:space="preserve">s inequality gives </w:t>
      </w:r>
      <m:oMath>
        <m:r>
          <m:t>0≤</m:t>
        </m:r>
        <m:sSup>
          <m:e>
            <m:r>
              <m:t>k</m:t>
            </m:r>
          </m:e>
          <m:sup>
            <m:r>
              <m:t>2</m:t>
            </m:r>
          </m:sup>
        </m:sSup>
        <m:r>
          <m:t>−</m:t>
        </m:r>
        <m:sSub>
          <m:e>
            <m:r>
              <m:t>ν</m:t>
            </m:r>
          </m:e>
          <m:sub>
            <m:r>
              <m:t>a</m:t>
            </m:r>
          </m:sub>
        </m:sSub>
        <m:d>
          <m:e>
            <m:r>
              <m:t>k</m:t>
            </m:r>
          </m:e>
        </m:d>
        <m:r>
          <m:t>≤</m:t>
        </m:r>
        <m:sSup>
          <m:e>
            <m:r>
              <m:t>a</m:t>
            </m:r>
          </m:e>
          <m:sup>
            <m:r>
              <m:t>2</m:t>
            </m:r>
          </m:sup>
        </m:sSup>
        <m:sSup>
          <m:e>
            <m:r>
              <m:t>k</m:t>
            </m:r>
          </m:e>
          <m:sup>
            <m:r>
              <m:t>4</m:t>
            </m:r>
          </m:sup>
        </m:sSup>
        <m:r>
          <m:t>/12</m:t>
        </m:r>
      </m:oMath>
      <w:r>
        <w:rPr>
          <w:rtl w:val="0"/>
          <w:lang w:val="en-US"/>
        </w:rPr>
        <w:t xml:space="preserve">, and hence </w:t>
      </w:r>
      <m:oMath>
        <m:r>
          <m:t>0≤1−</m:t>
        </m:r>
        <m:rad>
          <m:radPr>
            <m:degHide m:val="on"/>
          </m:radPr>
          <m:deg/>
          <m:e>
            <m:sSub>
              <m:e>
                <m:r>
                  <m:t>ν</m:t>
                </m:r>
              </m:e>
              <m:sub>
                <m:r>
                  <m:t>a</m:t>
                </m:r>
              </m:sub>
            </m:sSub>
            <m:d>
              <m:e>
                <m:r>
                  <m:t>k</m:t>
                </m:r>
              </m:e>
            </m:d>
          </m:e>
        </m:rad>
        <m:r>
          <m:t>/</m:t>
        </m:r>
        <m:d>
          <m:dPr>
            <m:begChr m:val="|"/>
            <m:endChr m:val="|"/>
          </m:dPr>
          <m:e>
            <m:r>
              <m:t>k</m:t>
            </m:r>
          </m:e>
        </m:d>
        <m:r>
          <m:t>≤</m:t>
        </m:r>
        <m:sSup>
          <m:e>
            <m:r>
              <m:t>a</m:t>
            </m:r>
          </m:e>
          <m:sup>
            <m:r>
              <m:t>2</m:t>
            </m:r>
          </m:sup>
        </m:sSup>
        <m:sSup>
          <m:e>
            <m:r>
              <m:t>k</m:t>
            </m:r>
          </m:e>
          <m:sup>
            <m:r>
              <m:t>2</m:t>
            </m:r>
          </m:sup>
        </m:sSup>
        <m:r>
          <m:t>/12</m:t>
        </m:r>
      </m:oMath>
      <w:r>
        <w:rPr>
          <w:rtl w:val="0"/>
        </w:rPr>
        <w:t xml:space="preserve">. Split </w:t>
      </w:r>
      <m:oMath>
        <m:sSub>
          <m:e>
            <m:r>
              <m:t>v</m:t>
            </m:r>
          </m:e>
          <m:sub>
            <m:r>
              <m:t>j</m:t>
            </m:r>
          </m:sub>
        </m:sSub>
        <m:r>
          <m:t>−</m:t>
        </m:r>
        <m:sSub>
          <m:e>
            <m:r>
              <m:t>ω</m:t>
            </m:r>
          </m:e>
          <m:sub>
            <m:r>
              <m:t>j</m:t>
            </m:r>
          </m:sub>
        </m:sSub>
        <m:r>
          <m:t>/</m:t>
        </m:r>
        <m:d>
          <m:dPr>
            <m:begChr m:val="|"/>
            <m:endChr m:val="|"/>
          </m:dPr>
          <m:e>
            <m:r>
              <m:t>k</m:t>
            </m:r>
          </m:e>
        </m:d>
      </m:oMath>
      <w:r>
        <w:rPr>
          <w:rtl w:val="0"/>
          <w:lang w:val="en-US"/>
        </w:rPr>
        <w:t xml:space="preserve"> into the lattice contribution and the gap contribution, and use </w:t>
      </w:r>
      <m:oMath>
        <m:sSub>
          <m:e>
            <m:r>
              <m:t>ν</m:t>
            </m:r>
          </m:e>
          <m:sub>
            <m:r>
              <m:t>a</m:t>
            </m:r>
          </m:sub>
        </m:sSub>
        <m:d>
          <m:e>
            <m:r>
              <m:t>k</m:t>
            </m:r>
          </m:e>
        </m:d>
        <m:r>
          <m:t>≤</m:t>
        </m:r>
        <m:sSup>
          <m:e>
            <m:r>
              <m:t>k</m:t>
            </m:r>
          </m:e>
          <m:sup>
            <m:r>
              <m:t>2</m:t>
            </m:r>
          </m:sup>
        </m:sSup>
      </m:oMath>
      <w:r>
        <w:rPr>
          <w:rtl w:val="0"/>
          <w:lang w:val="en-US"/>
        </w:rPr>
        <w:t xml:space="preserve">. This proves (16) and its uniform consequence. </w:t>
      </w:r>
      <m:oMath>
        <m:r>
          <m:rPr>
            <m:sty m:val="p"/>
          </m:rPr>
          <m:t>▫</m:t>
        </m:r>
      </m:oMath>
    </w:p>
    <w:p>
      <w:pPr>
        <w:pStyle w:val="Текстовый блок"/>
        <w:spacing w:line="240" w:lineRule="atLeast"/>
      </w:pPr>
      <w:r>
        <w:rPr>
          <w:rtl w:val="0"/>
          <w:lang w:val="en-US"/>
        </w:rPr>
        <w:t xml:space="preserve">At fixed finite </w:t>
      </w:r>
      <m:oMath>
        <m:r>
          <m:t>g</m:t>
        </m:r>
      </m:oMath>
      <w:r>
        <w:rPr>
          <w:rtl w:val="0"/>
          <w:lang w:val="en-US"/>
        </w:rPr>
        <w:t xml:space="preserve"> on a fixed circle, refinement alone need not eliminate the second term. Either the gap must increase or a genuine long-wavelength family must make </w:t>
      </w:r>
      <m:oMath>
        <m:d>
          <m:dPr>
            <m:begChr m:val="|"/>
            <m:endChr m:val="|"/>
          </m:dPr>
          <m:e>
            <m:r>
              <m:t>k</m:t>
            </m:r>
          </m:e>
        </m:d>
        <m:r>
          <m:t>/g</m:t>
        </m:r>
      </m:oMath>
      <w:r>
        <w:rPr>
          <w:rtl w:val="0"/>
          <w:lang w:val="en-US"/>
        </w:rPr>
        <w:t xml:space="preserve"> small. A fixed circle has a smallest nonzero Fourier mode; saying </w:t>
      </w:r>
      <w:r>
        <w:rPr>
          <w:rtl w:val="0"/>
          <w:lang w:val="en-US"/>
        </w:rPr>
        <w:t>“</w:t>
      </w:r>
      <m:oMath>
        <m:r>
          <m:t>k→0</m:t>
        </m:r>
      </m:oMath>
      <w:r>
        <w:rPr>
          <w:rtl w:val="0"/>
          <w:lang w:val="en-US"/>
        </w:rPr>
        <w:t>”</w:t>
      </w:r>
      <w:r>
        <w:rPr>
          <w:rtl w:val="0"/>
          <w:lang w:val="en-US"/>
        </w:rPr>
        <w:t xml:space="preserve"> without changing the family is insufficient. If </w:t>
      </w:r>
      <m:oMath>
        <m:sSub>
          <m:e>
            <m:r>
              <m:t>D</m:t>
            </m:r>
          </m:e>
          <m:sub>
            <m:r>
              <m:t>01</m:t>
            </m:r>
          </m:sub>
        </m:sSub>
        <m:r>
          <m:t>=0</m:t>
        </m:r>
      </m:oMath>
      <w:r>
        <w:rPr>
          <w:rtl w:val="0"/>
          <w:lang w:val="en-US"/>
        </w:rPr>
        <w:t>, the gap correction vanishes identically. Different positive finite-range chains with the same second moment have the same limit, while their fourth moments modify the lattice term [20].</w:t>
      </w:r>
    </w:p>
    <w:p>
      <w:pPr>
        <w:pStyle w:val="Captioned Figure"/>
        <w:spacing w:after="80" w:line="240" w:lineRule="atLeast"/>
      </w:pPr>
      <w:r>
        <w:drawing>
          <wp:inline distT="0" distB="0" distL="0" distR="0">
            <wp:extent cx="5892800" cy="2379995"/>
            <wp:effectExtent l="0" t="0" r="0" b="0"/>
            <wp:docPr id="1073741832" name="officeArt object" descr="Figure 2. A: independently defined spectral lengths and calibrated dynamical times for two low branches at finite spacing. B: refinement with g=4/a makes both Fourier length–time ratios approach v=1.3, within the bound of Proposition 3. The two branches have a common leading cone and different finite-scale dispersions."/>
            <wp:cNvGraphicFramePr/>
            <a:graphic xmlns:a="http://schemas.openxmlformats.org/drawingml/2006/main">
              <a:graphicData uri="http://schemas.openxmlformats.org/drawingml/2006/picture">
                <pic:pic xmlns:pic="http://schemas.openxmlformats.org/drawingml/2006/picture">
                  <pic:nvPicPr>
                    <pic:cNvPr id="1073741832" name="Figure 2. A: independently defined spectral lengths and calibrated dynamical times for two low branches at finite spacing. B: refinement with g=4/a makes both Fourier length–time ratios approach v=1.3, within the bound of Proposition 3. The two branches have a common leading cone and different finite-scale dispersions." descr="Figure 2. A: independently defined spectral lengths and calibrated dynamical times for two low branches at finite spacing. B: refinement with g=4/a makes both Fourier length–time ratios approach v=1.3, within the bound of Proposition 3. The two branches have a common leading cone and different finite-scale dispersions."/>
                    <pic:cNvPicPr>
                      <a:picLocks noChangeAspect="1"/>
                    </pic:cNvPicPr>
                  </pic:nvPicPr>
                  <pic:blipFill>
                    <a:blip r:embed="rId11">
                      <a:extLst/>
                    </a:blip>
                    <a:stretch>
                      <a:fillRect/>
                    </a:stretch>
                  </pic:blipFill>
                  <pic:spPr>
                    <a:xfrm>
                      <a:off x="0" y="0"/>
                      <a:ext cx="5892800" cy="2379995"/>
                    </a:xfrm>
                    <a:prstGeom prst="rect">
                      <a:avLst/>
                    </a:prstGeom>
                    <a:ln w="12700" cap="flat">
                      <a:noFill/>
                      <a:miter lim="400000"/>
                    </a:ln>
                    <a:effectLst/>
                  </pic:spPr>
                </pic:pic>
              </a:graphicData>
            </a:graphic>
          </wp:inline>
        </w:drawing>
      </w:r>
    </w:p>
    <w:p>
      <w:pPr>
        <w:pStyle w:val="caption"/>
        <w:spacing w:before="60" w:after="120" w:line="240" w:lineRule="atLeast"/>
      </w:pPr>
      <w:r>
        <w:rPr>
          <w:rtl w:val="0"/>
          <w:lang w:val="en-US"/>
        </w:rPr>
        <w:t xml:space="preserve">Figure 2. A: independently defined spectral lengths and calibrated dynamical times for two low branches at finite spacing. B: refinement with </w:t>
      </w:r>
      <m:oMath>
        <m:r>
          <m:t>g=4/a</m:t>
        </m:r>
      </m:oMath>
      <w:r>
        <w:rPr>
          <w:rtl w:val="0"/>
          <w:lang w:val="en-US"/>
        </w:rPr>
        <w:t xml:space="preserve"> makes both Fourier length</w:t>
      </w:r>
      <w:r>
        <w:rPr>
          <w:rtl w:val="0"/>
          <w:lang w:val="en-US"/>
        </w:rPr>
        <w:t>–</w:t>
      </w:r>
      <w:r>
        <w:rPr>
          <w:rtl w:val="0"/>
          <w:lang w:val="en-US"/>
        </w:rPr>
        <w:t xml:space="preserve">time ratios approach </w:t>
      </w:r>
      <m:oMath>
        <m:r>
          <m:t>v=1.3</m:t>
        </m:r>
      </m:oMath>
      <w:r>
        <w:rPr>
          <w:rtl w:val="0"/>
          <w:lang w:val="en-US"/>
        </w:rPr>
        <w:t>, within the bound of Proposition 3. The two branches have a common leading cone and different finite-scale dispersions.</w:t>
      </w:r>
      <w:bookmarkEnd w:id="12"/>
    </w:p>
    <w:p>
      <w:pPr>
        <w:pStyle w:val="Заголовок 3"/>
        <w:spacing w:line="240" w:lineRule="atLeast"/>
      </w:pPr>
      <w:bookmarkStart w:name="Xdc29c5ac877b389198c86edebda9ec276924f7b" w:id="13"/>
      <w:r>
        <w:rPr>
          <w:rtl w:val="0"/>
          <w:lang w:val="en-US"/>
        </w:rPr>
        <w:t>4.2. What survives reconstruction and what is operational?</w:t>
      </w:r>
    </w:p>
    <w:p>
      <w:pPr>
        <w:pStyle w:val="Текстовый блок"/>
        <w:spacing w:line="240" w:lineRule="atLeast"/>
      </w:pPr>
      <w:r>
        <w:rPr>
          <w:rtl w:val="0"/>
          <w:lang w:val="en-US"/>
        </w:rPr>
        <w:t xml:space="preserve">Changing </w:t>
      </w:r>
      <m:oMath>
        <m:sSub>
          <m:e>
            <m:r>
              <m:t>J</m:t>
            </m:r>
          </m:e>
          <m:sub>
            <m:r>
              <m:t>a</m:t>
            </m:r>
          </m:sub>
        </m:sSub>
      </m:oMath>
      <w:r>
        <w:rPr>
          <w:rtl w:val="0"/>
          <w:lang w:val="en-US"/>
        </w:rPr>
        <w:t xml:space="preserve"> to </w:t>
      </w:r>
      <m:oMath>
        <m:sSub>
          <m:e>
            <m:r>
              <m:t>E</m:t>
            </m:r>
          </m:e>
          <m:sub>
            <m:r>
              <m:t>a</m:t>
            </m:r>
          </m:sub>
        </m:sSub>
      </m:oMath>
      <w:r>
        <w:rPr>
          <w:rtl w:val="0"/>
          <w:lang w:val="en-US"/>
        </w:rPr>
        <w:t xml:space="preserve"> does not change the finite-dimensional frequencies or spatial eigenvalues. It changes their representation as effective fields. Under the general response isomorphisms of Section 3, the dynamical operators are unitarily equivalent after a common time recalibration. A separate spatial operator </w:t>
      </w:r>
      <m:oMath>
        <m:r>
          <m:t>L</m:t>
        </m:r>
      </m:oMath>
      <w:r>
        <w:rPr>
          <w:rtl w:val="0"/>
          <w:lang w:val="en-US"/>
        </w:rPr>
        <w:t xml:space="preserve"> and its spectral scales are preserved only if that operator is also part of the intertwined data. Cone equality alone does not imply isospectrality; arbitrary conformal changes are a counterexample.</w:t>
      </w:r>
    </w:p>
    <w:p>
      <w:pPr>
        <w:pStyle w:val="Текстовый блок"/>
        <w:spacing w:line="240" w:lineRule="atLeast"/>
      </w:pPr>
      <w:r>
        <w:rPr>
          <w:rtl w:val="0"/>
          <w:lang w:val="en-US"/>
        </w:rPr>
        <w:t>For a local wave equation on a specified ultrastatic geometry, signal travel and an observer</w:t>
      </w:r>
      <w:r>
        <w:rPr>
          <w:rtl w:val="0"/>
          <w:lang w:val="en-US"/>
        </w:rPr>
        <w:t>’</w:t>
      </w:r>
      <w:r>
        <w:rPr>
          <w:rtl w:val="0"/>
          <w:lang w:val="en-US"/>
        </w:rPr>
        <w:t xml:space="preserve">s clock can operationally calibrate length. On the circle, the earliest causal travel time between two points is </w:t>
      </w:r>
      <m:oMath>
        <m:sSub>
          <m:e>
            <m:r>
              <m:t>d</m:t>
            </m:r>
          </m:e>
          <m:sub>
            <m:sSup>
              <m:e>
                <m:r>
                  <m:t>S</m:t>
                </m:r>
              </m:e>
              <m:sup>
                <m:r>
                  <m:t>1</m:t>
                </m:r>
              </m:sup>
            </m:sSup>
          </m:sub>
        </m:sSub>
        <m:d>
          <m:e>
            <m:r>
              <m:t>x,y</m:t>
            </m:r>
          </m:e>
        </m:d>
        <m:r>
          <m:t>/v</m:t>
        </m:r>
      </m:oMath>
      <w:r>
        <w:rPr>
          <w:rtl w:val="0"/>
          <w:lang w:val="en-US"/>
        </w:rPr>
        <w:t xml:space="preserve">; a local round-trip experiment measures distance as half the round-trip time times </w:t>
      </w:r>
      <m:oMath>
        <m:r>
          <m:t>v</m:t>
        </m:r>
      </m:oMath>
      <w:r>
        <w:rPr>
          <w:rtl w:val="0"/>
          <w:lang w:val="en-US"/>
        </w:rPr>
        <w:t xml:space="preserve">. This uses the reconstructed metric, an orientation and controllable emission and detection. Proposition 3 alone establishes a spectral correspondence. It does not turn </w:t>
      </w:r>
      <m:oMath>
        <m:sSubSup>
          <m:e>
            <m:r>
              <m:t>λ</m:t>
            </m:r>
          </m:e>
          <m:sub>
            <m:r>
              <m:t>n</m:t>
            </m:r>
          </m:sub>
          <m:sup>
            <m:r>
              <m:t>−1/2</m:t>
            </m:r>
          </m:sup>
        </m:sSubSup>
      </m:oMath>
      <w:r>
        <w:rPr>
          <w:rtl w:val="0"/>
          <w:lang w:val="en-US"/>
        </w:rPr>
        <w:t xml:space="preserve"> into the distance between two arbitrary events or construct a measuring observer from </w:t>
      </w:r>
      <m:oMath>
        <m:r>
          <m:t>R</m:t>
        </m:r>
      </m:oMath>
      <w:r>
        <w:rPr>
          <w:rtl w:val="0"/>
        </w:rPr>
        <w:t>.</w:t>
      </w:r>
      <w:bookmarkEnd w:id="13"/>
    </w:p>
    <w:p>
      <w:pPr>
        <w:pStyle w:val="Заголовок 2"/>
        <w:spacing w:line="240" w:lineRule="atLeast"/>
      </w:pPr>
      <w:bookmarkStart w:name="X458854ef2d5f55f250bc3fb11aa54bc97afc51f" w:id="14"/>
      <w:r>
        <w:rPr>
          <w:rtl w:val="0"/>
          <w:lang w:val="en-US"/>
        </w:rPr>
        <w:t>5. Quantum dynamics and emergent microcausality</w:t>
      </w:r>
      <w:bookmarkEnd w:id="14"/>
    </w:p>
    <w:p>
      <w:pPr>
        <w:pStyle w:val="Заголовок 3"/>
        <w:spacing w:line="240" w:lineRule="atLeast"/>
      </w:pPr>
      <w:bookmarkStart w:name="X8d74ec7344957c19e8c79c59cc215392c7ef023" w:id="15"/>
      <w:r>
        <w:rPr>
          <w:rtl w:val="0"/>
          <w:lang w:val="en-US"/>
        </w:rPr>
        <w:t>5.1. Canonical normalisation, including the zero mode</w:t>
      </w:r>
    </w:p>
    <w:p>
      <w:pPr>
        <w:pStyle w:val="Текстовый блок"/>
        <w:spacing w:line="240" w:lineRule="atLeast"/>
      </w:pPr>
      <w:r>
        <w:rPr>
          <w:rtl w:val="0"/>
          <w:lang w:val="en-US"/>
        </w:rPr>
        <w:t xml:space="preserve">Consider the nearest-neighbour chain on </w:t>
      </w:r>
      <m:oMath>
        <m:sSup>
          <m:e>
            <m:r>
              <m:t>S</m:t>
            </m:r>
          </m:e>
          <m:sup>
            <m:r>
              <m:t>1</m:t>
            </m:r>
          </m:sup>
        </m:sSup>
      </m:oMath>
      <w:r>
        <w:rPr>
          <w:rtl w:val="0"/>
          <w:lang w:val="en-US"/>
        </w:rPr>
        <w:t xml:space="preserve"> with speed </w:t>
      </w:r>
      <m:oMath>
        <m:r>
          <m:t>c&gt;0</m:t>
        </m:r>
      </m:oMath>
      <w:r>
        <w:rPr>
          <w:rtl w:val="0"/>
        </w:rPr>
        <w:t xml:space="preserve">, </w:t>
      </w:r>
      <m:oMath>
        <m:sSub>
          <m:e>
            <m:r>
              <m:t>K</m:t>
            </m:r>
          </m:e>
          <m:sub>
            <m:r>
              <m:t>a</m:t>
            </m:r>
          </m:sub>
        </m:sSub>
        <m:r>
          <m:t>=</m:t>
        </m:r>
        <m:sSup>
          <m:e>
            <m:r>
              <m:t>c</m:t>
            </m:r>
          </m:e>
          <m:sup>
            <m:r>
              <m:t>2</m:t>
            </m:r>
          </m:sup>
        </m:sSup>
        <m:sSub>
          <m:e>
            <m:r>
              <m:t>L</m:t>
            </m:r>
          </m:e>
          <m:sub>
            <m:r>
              <m:t>a</m:t>
            </m:r>
          </m:sub>
        </m:sSub>
      </m:oMath>
      <w:r>
        <w:rPr>
          <w:rtl w:val="0"/>
          <w:lang w:val="en-US"/>
        </w:rPr>
        <w:t>, and canonical Hamiltonian</w:t>
      </w:r>
    </w:p>
    <w:p>
      <w:pPr>
        <w:pStyle w:val="Текстовый блок"/>
        <w:keepLines w:val="1"/>
        <w:spacing w:before="60" w:line="240" w:lineRule="atLeast"/>
        <w:jc w:val="center"/>
      </w:pPr>
      <m:oMathPara>
        <m:oMathParaPr>
          <m:jc m:val="center"/>
        </m:oMathParaPr>
        <m:oMath>
          <m:sSub>
            <m:e>
              <m:r>
                <m:t>H</m:t>
              </m:r>
            </m:e>
            <m:sub>
              <m:r>
                <m:t>a</m:t>
              </m:r>
            </m:sub>
          </m:sSub>
          <m:r>
            <m:t>=</m:t>
          </m:r>
          <m:nary>
            <m:naryPr>
              <m:chr m:val="∑"/>
              <m:limLoc m:val="undOvr"/>
              <m:grow m:val="0"/>
              <m:subHide m:val="off"/>
              <m:supHide m:val="on"/>
            </m:naryPr>
            <m:sub>
              <m:r>
                <m:t>j</m:t>
              </m:r>
            </m:sub>
            <m:sup/>
            <m:e>
              <m:f>
                <m:fPr>
                  <m:type m:val="bar"/>
                </m:fPr>
                <m:num>
                  <m:sSubSup>
                    <m:e>
                      <m:r>
                        <m:t>π</m:t>
                      </m:r>
                    </m:e>
                    <m:sub>
                      <m:r>
                        <m:t>j</m:t>
                      </m:r>
                    </m:sub>
                    <m:sup>
                      <m:r>
                        <m:t>2</m:t>
                      </m:r>
                    </m:sup>
                  </m:sSubSup>
                </m:num>
                <m:den>
                  <m:r>
                    <m:t>2a</m:t>
                  </m:r>
                </m:den>
              </m:f>
            </m:e>
          </m:nary>
          <m:r>
            <m:t>+</m:t>
          </m:r>
          <m:f>
            <m:fPr>
              <m:type m:val="bar"/>
            </m:fPr>
            <m:num>
              <m:sSup>
                <m:e>
                  <m:r>
                    <m:t>c</m:t>
                  </m:r>
                </m:e>
                <m:sup>
                  <m:r>
                    <m:t>2</m:t>
                  </m:r>
                </m:sup>
              </m:sSup>
            </m:num>
            <m:den>
              <m:r>
                <m:t>2a</m:t>
              </m:r>
            </m:den>
          </m:f>
          <m:nary>
            <m:naryPr>
              <m:chr m:val="∑"/>
              <m:limLoc m:val="undOvr"/>
              <m:grow m:val="0"/>
              <m:subHide m:val="off"/>
              <m:supHide m:val="on"/>
            </m:naryPr>
            <m:sub>
              <m:r>
                <m:t>j</m:t>
              </m:r>
            </m:sub>
            <m:sup/>
            <m:e>
              <m:sSup>
                <m:e>
                  <m:d>
                    <m:e>
                      <m:sSub>
                        <m:e>
                          <m:r>
                            <m:t>q</m:t>
                          </m:r>
                        </m:e>
                        <m:sub>
                          <m:r>
                            <m:t>j+1</m:t>
                          </m:r>
                        </m:sub>
                      </m:sSub>
                      <m:r>
                        <m:t>−</m:t>
                      </m:r>
                      <m:sSub>
                        <m:e>
                          <m:r>
                            <m:t>q</m:t>
                          </m:r>
                        </m:e>
                        <m:sub>
                          <m:r>
                            <m:t>j</m:t>
                          </m:r>
                        </m:sub>
                      </m:sSub>
                    </m:e>
                  </m:d>
                </m:e>
                <m:sup>
                  <m:r>
                    <m:t>2</m:t>
                  </m:r>
                </m:sup>
              </m:sSup>
            </m:e>
          </m:nary>
          <m:r>
            <m:t>,</m:t>
          </m:r>
          <m:d>
            <m:dPr>
              <m:begChr m:val="["/>
              <m:endChr m:val="]"/>
            </m:dPr>
            <m:e>
              <m:sSub>
                <m:e>
                  <m:r>
                    <m:t>q</m:t>
                  </m:r>
                </m:e>
                <m:sub>
                  <m:r>
                    <m:t>i</m:t>
                  </m:r>
                </m:sub>
              </m:sSub>
              <m:r>
                <m:t>,</m:t>
              </m:r>
              <m:sSub>
                <m:e>
                  <m:r>
                    <m:t>π</m:t>
                  </m:r>
                </m:e>
                <m:sub>
                  <m:r>
                    <m:t>j</m:t>
                  </m:r>
                </m:sub>
              </m:sSub>
            </m:e>
          </m:d>
          <m:r>
            <m:t>=i</m:t>
          </m:r>
          <m:r>
            <m:rPr>
              <m:sty m:val="p"/>
            </m:rPr>
            <m:t>ℏ</m:t>
          </m:r>
          <m:sSub>
            <m:e>
              <m:r>
                <m:t>δ</m:t>
              </m:r>
            </m:e>
            <m:sub>
              <m:r>
                <m:t>ij</m:t>
              </m:r>
            </m:sub>
          </m:sSub>
          <m:r>
            <m:t>I.</m:t>
          </m:r>
          <m:r>
            <m:rPr>
              <m:nor/>
            </m:rPr>
            <m:t>(18)</m:t>
          </m:r>
        </m:oMath>
      </m:oMathPara>
    </w:p>
    <w:p>
      <w:pPr>
        <w:pStyle w:val="Текстовый блок"/>
        <w:spacing w:line="240" w:lineRule="atLeast"/>
      </w:pPr>
      <w:r>
        <w:rPr>
          <w:rtl w:val="0"/>
          <w:lang w:val="en-US"/>
        </w:rPr>
        <w:t xml:space="preserve">Thus </w:t>
      </w:r>
      <m:oMath>
        <m:sSub>
          <m:e>
            <m:limUpp>
              <m:e>
                <m:r>
                  <m:t>q</m:t>
                </m:r>
              </m:e>
              <m:lim>
                <m:r>
                  <m:rPr>
                    <m:sty m:val="p"/>
                  </m:rPr>
                  <m:t>˙</m:t>
                </m:r>
              </m:lim>
            </m:limUpp>
          </m:e>
          <m:sub>
            <m:r>
              <m:t>j</m:t>
            </m:r>
          </m:sub>
        </m:sSub>
        <m:r>
          <m:t>=</m:t>
        </m:r>
        <m:sSub>
          <m:e>
            <m:r>
              <m:t>π</m:t>
            </m:r>
          </m:e>
          <m:sub>
            <m:r>
              <m:t>j</m:t>
            </m:r>
          </m:sub>
        </m:sSub>
        <m:r>
          <m:t>/a</m:t>
        </m:r>
      </m:oMath>
      <w:r>
        <w:rPr>
          <w:rtl w:val="0"/>
          <w:lang w:val="fr-FR"/>
        </w:rPr>
        <w:t xml:space="preserve">. On </w:t>
      </w:r>
      <m:oMath>
        <m:sSup>
          <m:e>
            <m:r>
              <m:t>L</m:t>
            </m:r>
          </m:e>
          <m:sup>
            <m:r>
              <m:t>2</m:t>
            </m:r>
          </m:sup>
        </m:sSup>
        <m:d>
          <m:e>
            <m:sSup>
              <m:e>
                <m:r>
                  <m:rPr>
                    <m:sty m:val="p"/>
                    <m:scr m:val="double-struck"/>
                  </m:rPr>
                  <m:t>R</m:t>
                </m:r>
              </m:e>
              <m:sup>
                <m:r>
                  <m:t>N</m:t>
                </m:r>
              </m:sup>
            </m:sSup>
            <m:r>
              <m:t>,dq</m:t>
            </m:r>
          </m:e>
        </m:d>
      </m:oMath>
      <w:r>
        <w:rPr>
          <w:rtl w:val="0"/>
          <w:lang w:val="en-US"/>
        </w:rPr>
        <w:t>, with the usual Schr</w:t>
      </w:r>
      <w:r>
        <w:rPr>
          <w:rtl w:val="0"/>
          <w:lang w:val="en-US"/>
        </w:rPr>
        <w:t>ö</w:t>
      </w:r>
      <w:r>
        <w:rPr>
          <w:rtl w:val="0"/>
          <w:lang w:val="en-US"/>
        </w:rPr>
        <w:t xml:space="preserve">dinger representation, first use the canonical rescaling </w:t>
      </w:r>
      <m:oMath>
        <m:sSub>
          <m:e>
            <m:r>
              <m:t>y</m:t>
            </m:r>
          </m:e>
          <m:sub>
            <m:r>
              <m:t>j</m:t>
            </m:r>
          </m:sub>
        </m:sSub>
        <m:r>
          <m:t>=</m:t>
        </m:r>
        <m:rad>
          <m:radPr>
            <m:degHide m:val="on"/>
          </m:radPr>
          <m:deg/>
          <m:e>
            <m:r>
              <m:t>a</m:t>
            </m:r>
          </m:e>
        </m:rad>
        <m:r>
          <m:t/>
        </m:r>
        <m:sSub>
          <m:e>
            <m:r>
              <m:t>q</m:t>
            </m:r>
          </m:e>
          <m:sub>
            <m:r>
              <m:t>j</m:t>
            </m:r>
          </m:sub>
        </m:sSub>
      </m:oMath>
      <w:r>
        <w:rPr>
          <w:rtl w:val="0"/>
        </w:rPr>
        <w:t xml:space="preserve">, </w:t>
      </w:r>
      <m:oMath>
        <m:sSub>
          <m:e>
            <m:r>
              <m:t>p</m:t>
            </m:r>
          </m:e>
          <m:sub>
            <m:r>
              <m:t>j</m:t>
            </m:r>
          </m:sub>
        </m:sSub>
        <m:r>
          <m:t>=</m:t>
        </m:r>
        <m:sSub>
          <m:e>
            <m:r>
              <m:t>π</m:t>
            </m:r>
          </m:e>
          <m:sub>
            <m:r>
              <m:t>j</m:t>
            </m:r>
          </m:sub>
        </m:sSub>
        <m:r>
          <m:t>/</m:t>
        </m:r>
        <m:rad>
          <m:radPr>
            <m:degHide m:val="on"/>
          </m:radPr>
          <m:deg/>
          <m:e>
            <m:r>
              <m:t>a</m:t>
            </m:r>
          </m:e>
        </m:rad>
      </m:oMath>
      <w:r>
        <w:rPr>
          <w:rtl w:val="0"/>
          <w:lang w:val="en-US"/>
        </w:rPr>
        <w:t xml:space="preserve">. A real orthogonal normal-mode transformation then reduces </w:t>
      </w:r>
      <m:oMath>
        <m:sSub>
          <m:e>
            <m:r>
              <m:t>H</m:t>
            </m:r>
          </m:e>
          <m:sub>
            <m:r>
              <m:t>a</m:t>
            </m:r>
          </m:sub>
        </m:sSub>
      </m:oMath>
      <w:r>
        <w:rPr>
          <w:rtl w:val="0"/>
          <w:lang w:val="en-US"/>
        </w:rPr>
        <w:t xml:space="preserve"> to one unit-mass free particle and </w:t>
      </w:r>
      <m:oMath>
        <m:r>
          <m:t>N−1</m:t>
        </m:r>
      </m:oMath>
      <w:r>
        <w:rPr>
          <w:rtl w:val="0"/>
          <w:lang w:val="en-US"/>
        </w:rPr>
        <w:t xml:space="preserve"> positive-frequency oscillators. The resulting nonnegative self-adjoint Hamiltonian generates a strongly continuous unitary group. Essential self-adjointness can also be read directly on the Schwartz core in these normal coordinates. No oscillator vacuum is assigned to the free mode.</w:t>
      </w:r>
    </w:p>
    <w:p>
      <w:pPr>
        <w:pStyle w:val="Текстовый блок"/>
        <w:spacing w:line="240" w:lineRule="atLeast"/>
      </w:pPr>
      <w:r>
        <w:rPr>
          <w:rtl w:val="0"/>
          <w:lang w:val="en-US"/>
        </w:rPr>
        <w:t xml:space="preserve">Let </w:t>
      </w:r>
      <m:oMath>
        <m:sSub>
          <m:e>
            <m:r>
              <m:t>e</m:t>
            </m:r>
          </m:e>
          <m:sub>
            <m:r>
              <m:t>0</m:t>
            </m:r>
          </m:sub>
        </m:sSub>
        <m:r>
          <m:t>=</m:t>
        </m:r>
        <m:sSup>
          <m:e>
            <m:r>
              <m:rPr>
                <m:scr m:val="script"/>
              </m:rPr>
              <m:t>L</m:t>
            </m:r>
          </m:e>
          <m:sup>
            <m:r>
              <m:t>−1/2</m:t>
            </m:r>
          </m:sup>
        </m:sSup>
      </m:oMath>
      <w:r>
        <w:rPr>
          <w:rtl w:val="0"/>
          <w:lang w:val="en-US"/>
        </w:rPr>
        <w:t xml:space="preserve"> and </w:t>
      </w:r>
      <m:oMath>
        <m:sSub>
          <m:e>
            <m:r>
              <m:t>e</m:t>
            </m:r>
          </m:e>
          <m:sub>
            <m:r>
              <m:t>n,σ</m:t>
            </m:r>
          </m:sub>
        </m:sSub>
      </m:oMath>
      <w:r>
        <w:rPr>
          <w:rtl w:val="0"/>
          <w:lang w:val="en-US"/>
        </w:rPr>
        <w:t xml:space="preserve"> be the real orthonormal sine/cosine basis, with </w:t>
      </w:r>
      <m:oMath>
        <m:r>
          <m:t>n≥1</m:t>
        </m:r>
      </m:oMath>
      <w:r>
        <w:rPr>
          <w:rtl w:val="0"/>
          <w:lang w:val="en-US"/>
        </w:rPr>
        <w:t xml:space="preserve"> and </w:t>
      </w:r>
      <m:oMath>
        <m:r>
          <m:t>σ</m:t>
        </m:r>
      </m:oMath>
      <w:r>
        <w:rPr>
          <w:rtl w:val="0"/>
          <w:lang w:val="en-US"/>
        </w:rPr>
        <w:t xml:space="preserve"> labelling sine and cosine. Define </w:t>
      </w:r>
      <m:oMath>
        <m:sSub>
          <m:e>
            <m:r>
              <m:t>Q</m:t>
            </m:r>
          </m:e>
          <m:sub>
            <m:r>
              <m:t>0</m:t>
            </m:r>
          </m:sub>
        </m:sSub>
        <m:r>
          <m:t>=⟨</m:t>
        </m:r>
        <m:sSub>
          <m:e>
            <m:r>
              <m:t>e</m:t>
            </m:r>
          </m:e>
          <m:sub>
            <m:r>
              <m:t>0</m:t>
            </m:r>
          </m:sub>
        </m:sSub>
        <m:r>
          <m:t>,q</m:t>
        </m:r>
        <m:sSub>
          <m:e>
            <m:r>
              <m:t>⟩</m:t>
            </m:r>
          </m:e>
          <m:sub>
            <m:r>
              <m:t>a</m:t>
            </m:r>
          </m:sub>
        </m:sSub>
      </m:oMath>
      <w:r>
        <w:rPr>
          <w:rtl w:val="0"/>
          <w:lang w:val="en-US"/>
        </w:rPr>
        <w:t xml:space="preserve"> and </w:t>
      </w:r>
      <m:oMath>
        <m:sSub>
          <m:e>
            <m:r>
              <m:t>P</m:t>
            </m:r>
          </m:e>
          <m:sub>
            <m:r>
              <m:t>0</m:t>
            </m:r>
          </m:sub>
        </m:sSub>
        <m:r>
          <m:t>=⟨</m:t>
        </m:r>
        <m:sSub>
          <m:e>
            <m:r>
              <m:t>e</m:t>
            </m:r>
          </m:e>
          <m:sub>
            <m:r>
              <m:t>0</m:t>
            </m:r>
          </m:sub>
        </m:sSub>
        <m:r>
          <m:t>,</m:t>
        </m:r>
        <m:limUpp>
          <m:e>
            <m:r>
              <m:t>q</m:t>
            </m:r>
          </m:e>
          <m:lim>
            <m:r>
              <m:rPr>
                <m:sty m:val="p"/>
              </m:rPr>
              <m:t>˙</m:t>
            </m:r>
          </m:lim>
        </m:limUpp>
        <m:sSub>
          <m:e>
            <m:r>
              <m:t>⟩</m:t>
            </m:r>
          </m:e>
          <m:sub>
            <m:r>
              <m:t>a</m:t>
            </m:r>
          </m:sub>
        </m:sSub>
      </m:oMath>
      <w:r>
        <w:rPr>
          <w:rtl w:val="0"/>
          <w:lang w:val="en-US"/>
        </w:rPr>
        <w:t xml:space="preserve">. Then </w:t>
      </w:r>
      <m:oMath>
        <m:d>
          <m:dPr>
            <m:begChr m:val="["/>
            <m:endChr m:val="]"/>
          </m:dPr>
          <m:e>
            <m:sSub>
              <m:e>
                <m:r>
                  <m:t>Q</m:t>
                </m:r>
              </m:e>
              <m:sub>
                <m:r>
                  <m:t>0</m:t>
                </m:r>
              </m:sub>
            </m:sSub>
            <m:r>
              <m:t>,</m:t>
            </m:r>
            <m:sSub>
              <m:e>
                <m:r>
                  <m:t>P</m:t>
                </m:r>
              </m:e>
              <m:sub>
                <m:r>
                  <m:t>0</m:t>
                </m:r>
              </m:sub>
            </m:sSub>
          </m:e>
        </m:d>
        <m:r>
          <m:t>=i</m:t>
        </m:r>
        <m:r>
          <m:rPr>
            <m:sty m:val="p"/>
          </m:rPr>
          <m:t>ℏ</m:t>
        </m:r>
      </m:oMath>
      <w:r>
        <w:rPr>
          <w:rtl w:val="0"/>
          <w:lang w:val="en-US"/>
        </w:rPr>
        <w:t xml:space="preserve"> and </w:t>
      </w:r>
      <m:oMath>
        <m:sSub>
          <m:e>
            <m:r>
              <m:t>Q</m:t>
            </m:r>
          </m:e>
          <m:sub>
            <m:r>
              <m:t>0</m:t>
            </m:r>
          </m:sub>
        </m:sSub>
        <m:d>
          <m:e>
            <m:r>
              <m:t>t</m:t>
            </m:r>
          </m:e>
        </m:d>
        <m:r>
          <m:t>=</m:t>
        </m:r>
        <m:sSub>
          <m:e>
            <m:r>
              <m:t>Q</m:t>
            </m:r>
          </m:e>
          <m:sub>
            <m:r>
              <m:t>0</m:t>
            </m:r>
          </m:sub>
        </m:sSub>
        <m:r>
          <m:t>+t</m:t>
        </m:r>
        <m:sSub>
          <m:e>
            <m:r>
              <m:t>P</m:t>
            </m:r>
          </m:e>
          <m:sub>
            <m:r>
              <m:t>0</m:t>
            </m:r>
          </m:sub>
        </m:sSub>
      </m:oMath>
      <w:r>
        <w:rPr>
          <w:rtl w:val="0"/>
          <w:lang w:val="en-US"/>
        </w:rPr>
        <w:t>. Nonzero frequencies are</w:t>
      </w:r>
    </w:p>
    <w:p>
      <w:pPr>
        <w:pStyle w:val="Текстовый блок"/>
        <w:keepLines w:val="1"/>
        <w:spacing w:before="60" w:line="240" w:lineRule="atLeast"/>
        <w:jc w:val="center"/>
      </w:pPr>
      <m:oMathPara>
        <m:oMathParaPr>
          <m:jc m:val="center"/>
        </m:oMathParaPr>
        <m:oMath>
          <m:sSub>
            <m:e>
              <m:r>
                <m:t>ω</m:t>
              </m:r>
            </m:e>
            <m:sub>
              <m:r>
                <m:t>a,n</m:t>
              </m:r>
            </m:sub>
          </m:sSub>
          <m:r>
            <m:t>=</m:t>
          </m:r>
          <m:f>
            <m:fPr>
              <m:type m:val="bar"/>
            </m:fPr>
            <m:num>
              <m:r>
                <m:t>2c</m:t>
              </m:r>
            </m:num>
            <m:den>
              <m:r>
                <m:t>a</m:t>
              </m:r>
            </m:den>
          </m:f>
          <m:r>
            <m:rPr>
              <m:sty m:val="p"/>
            </m:rPr>
            <m:t>sin</m:t>
          </m:r>
          <m:f>
            <m:fPr>
              <m:type m:val="bar"/>
            </m:fPr>
            <m:num>
              <m:r>
                <m:t>a</m:t>
              </m:r>
              <m:sSub>
                <m:e>
                  <m:r>
                    <m:t>k</m:t>
                  </m:r>
                </m:e>
                <m:sub>
                  <m:r>
                    <m:t>n</m:t>
                  </m:r>
                </m:sub>
              </m:sSub>
            </m:num>
            <m:den>
              <m:r>
                <m:t>2</m:t>
              </m:r>
            </m:den>
          </m:f>
          <m:r>
            <m:t>,</m:t>
          </m:r>
          <m:sSub>
            <m:e>
              <m:r>
                <m:t>k</m:t>
              </m:r>
            </m:e>
            <m:sub>
              <m:r>
                <m:t>n</m:t>
              </m:r>
            </m:sub>
          </m:sSub>
          <m:r>
            <m:t>=</m:t>
          </m:r>
          <m:f>
            <m:fPr>
              <m:type m:val="bar"/>
            </m:fPr>
            <m:num>
              <m:r>
                <m:t>2πn</m:t>
              </m:r>
            </m:num>
            <m:den>
              <m:r>
                <m:rPr>
                  <m:scr m:val="script"/>
                </m:rPr>
                <m:t>L</m:t>
              </m:r>
            </m:den>
          </m:f>
          <m:r>
            <m:t>,1≤n≤</m:t>
          </m:r>
          <m:f>
            <m:fPr>
              <m:type m:val="bar"/>
            </m:fPr>
            <m:num>
              <m:r>
                <m:t>N−1</m:t>
              </m:r>
            </m:num>
            <m:den>
              <m:r>
                <m:t>2</m:t>
              </m:r>
            </m:den>
          </m:f>
          <m:r>
            <m:t>;</m:t>
          </m:r>
          <m:sSub>
            <m:e>
              <m:r>
                <m:t>ω</m:t>
              </m:r>
            </m:e>
            <m:sub>
              <m:r>
                <m:t>n</m:t>
              </m:r>
            </m:sub>
          </m:sSub>
          <m:r>
            <m:t>=c</m:t>
          </m:r>
          <m:sSub>
            <m:e>
              <m:r>
                <m:t>k</m:t>
              </m:r>
            </m:e>
            <m:sub>
              <m:r>
                <m:t>n</m:t>
              </m:r>
            </m:sub>
          </m:sSub>
          <m:r>
            <m:t>.</m:t>
          </m:r>
          <m:r>
            <m:rPr>
              <m:nor/>
            </m:rPr>
            <m:t>(19)</m:t>
          </m:r>
        </m:oMath>
      </m:oMathPara>
    </w:p>
    <w:p>
      <w:pPr>
        <w:pStyle w:val="Текстовый блок"/>
        <w:spacing w:line="240" w:lineRule="atLeast"/>
      </w:pPr>
    </w:p>
    <w:p>
      <w:pPr>
        <w:pStyle w:val="Текстовый блок"/>
        <w:spacing w:line="240" w:lineRule="atLeast"/>
      </w:pPr>
    </w:p>
    <w:p>
      <w:pPr>
        <w:pStyle w:val="Текстовый блок"/>
        <w:spacing w:line="240" w:lineRule="atLeast"/>
      </w:pPr>
    </w:p>
    <w:p>
      <w:pPr>
        <w:pStyle w:val="Текстовый блок"/>
        <w:spacing w:line="240" w:lineRule="atLeast"/>
      </w:pPr>
      <w:r>
        <w:rPr>
          <w:rtl w:val="0"/>
          <w:lang w:val="en-US"/>
        </w:rPr>
        <w:t>One convenient common Hilbert space is</w:t>
      </w:r>
    </w:p>
    <w:p>
      <w:pPr>
        <w:pStyle w:val="Текстовый блок"/>
        <w:keepLines w:val="1"/>
        <w:spacing w:before="60" w:line="240" w:lineRule="atLeast"/>
        <w:jc w:val="center"/>
      </w:pPr>
      <m:oMathPara>
        <m:oMathParaPr>
          <m:jc m:val="center"/>
        </m:oMathParaPr>
        <m:oMath>
          <m:r>
            <m:rPr>
              <m:scr m:val="script"/>
            </m:rPr>
            <m:t>H</m:t>
          </m:r>
          <m:r>
            <m:t>=</m:t>
          </m:r>
          <m:sSup>
            <m:e>
              <m:r>
                <m:t>L</m:t>
              </m:r>
            </m:e>
            <m:sup>
              <m:r>
                <m:t>2</m:t>
              </m:r>
            </m:sup>
          </m:sSup>
          <m:d>
            <m:e>
              <m:r>
                <m:rPr>
                  <m:sty m:val="p"/>
                  <m:scr m:val="double-struck"/>
                </m:rPr>
                <m:t>R</m:t>
              </m:r>
              <m:r>
                <m:t>,d</m:t>
              </m:r>
              <m:sSub>
                <m:e>
                  <m:r>
                    <m:t>Q</m:t>
                  </m:r>
                </m:e>
                <m:sub>
                  <m:r>
                    <m:t>0</m:t>
                  </m:r>
                </m:sub>
              </m:sSub>
            </m:e>
          </m:d>
          <m:r>
            <m:t>⊗</m:t>
          </m:r>
          <m:sSub>
            <m:e>
              <m:r>
                <m:rPr>
                  <m:scr m:val="script"/>
                </m:rPr>
                <m:t>F</m:t>
              </m:r>
            </m:e>
            <m:sub>
              <m:r>
                <m:t>s</m:t>
              </m:r>
            </m:sub>
          </m:sSub>
          <m:d>
            <m:e>
              <m:sSup>
                <m:e>
                  <m:r>
                    <m:rPr>
                      <m:sty m:val="p"/>
                    </m:rPr>
                    <m:t>ℓ</m:t>
                  </m:r>
                </m:e>
                <m:sup>
                  <m:r>
                    <m:t>2</m:t>
                  </m:r>
                </m:sup>
              </m:sSup>
              <m:r>
                <m:t>{</m:t>
              </m:r>
              <m:d>
                <m:e>
                  <m:r>
                    <m:t>n,σ</m:t>
                  </m:r>
                </m:e>
              </m:d>
              <m:r>
                <m:t>:n≥1}</m:t>
              </m:r>
            </m:e>
          </m:d>
          <m:r>
            <m:t>.</m:t>
          </m:r>
          <m:r>
            <m:rPr>
              <m:nor/>
            </m:rPr>
            <m:t>(20)</m:t>
          </m:r>
        </m:oMath>
      </m:oMathPara>
    </w:p>
    <w:p>
      <w:pPr>
        <w:pStyle w:val="Текстовый блок"/>
        <w:spacing w:line="240" w:lineRule="atLeast"/>
      </w:pPr>
      <w:r>
        <w:rPr>
          <w:rtl w:val="0"/>
          <w:lang w:val="en-US"/>
        </w:rPr>
        <w:t>Each finite oscillator space embeds by placing the omitted modes in their vacuum. The identification uses the creation operators of the corresponding finite frequencies; it is specified, not inferred from an arbitrary abstract Hilbert-space isomorphism. On (20) extend the normal-ordered finite generator by leaving omitted modes dynamically idle:</w:t>
      </w:r>
    </w:p>
    <w:p>
      <w:pPr>
        <w:pStyle w:val="Текстовый блок"/>
        <w:keepLines w:val="1"/>
        <w:spacing w:before="60" w:line="240" w:lineRule="atLeast"/>
        <w:jc w:val="center"/>
      </w:pPr>
      <m:oMathPara>
        <m:oMathParaPr>
          <m:jc m:val="center"/>
        </m:oMathParaPr>
        <m:oMath>
          <m:m>
            <m:mPr>
              <m:baseJc m:val="center"/>
              <m:plcHide m:val="on"/>
              <m:mcs>
                <m:mc>
                  <m:mcPr>
                    <m:count m:val="2"/>
                    <m:mcJc m:val="center"/>
                  </m:mcPr>
                </m:mc>
              </m:mcs>
            </m:mPr>
            <m:mr>
              <m:e>
                <m:sSub>
                  <m:e>
                    <m:bar>
                      <m:barPr>
                        <m:pos m:val="top"/>
                      </m:barPr>
                      <m:e>
                        <m:r>
                          <m:t>H</m:t>
                        </m:r>
                      </m:e>
                    </m:bar>
                  </m:e>
                  <m:sub>
                    <m:r>
                      <m:t>a</m:t>
                    </m:r>
                  </m:sub>
                </m:sSub>
              </m:e>
              <m:e>
                <m:r>
                  <m:t>=</m:t>
                </m:r>
                <m:f>
                  <m:fPr>
                    <m:type m:val="bar"/>
                  </m:fPr>
                  <m:num>
                    <m:sSubSup>
                      <m:e>
                        <m:r>
                          <m:t>P</m:t>
                        </m:r>
                      </m:e>
                      <m:sub>
                        <m:r>
                          <m:t>0</m:t>
                        </m:r>
                      </m:sub>
                      <m:sup>
                        <m:r>
                          <m:t>2</m:t>
                        </m:r>
                      </m:sup>
                    </m:sSubSup>
                  </m:num>
                  <m:den>
                    <m:r>
                      <m:t>2</m:t>
                    </m:r>
                  </m:den>
                </m:f>
                <m:r>
                  <m:t>+</m:t>
                </m:r>
                <m:nary>
                  <m:naryPr>
                    <m:chr m:val="∑"/>
                    <m:limLoc m:val="undOvr"/>
                    <m:grow m:val="0"/>
                    <m:subHide m:val="off"/>
                    <m:supHide m:val="on"/>
                  </m:naryPr>
                  <m:sub>
                    <m:r>
                      <m:t>n≤</m:t>
                    </m:r>
                    <m:d>
                      <m:e>
                        <m:r>
                          <m:t>N−1</m:t>
                        </m:r>
                      </m:e>
                    </m:d>
                    <m:r>
                      <m:t>/2,σ</m:t>
                    </m:r>
                  </m:sub>
                  <m:sup/>
                  <m:e>
                    <m:r>
                      <m:rPr>
                        <m:sty m:val="p"/>
                      </m:rPr>
                      <m:t>ℏ</m:t>
                    </m:r>
                  </m:e>
                </m:nary>
                <m:sSub>
                  <m:e>
                    <m:r>
                      <m:t>ω</m:t>
                    </m:r>
                  </m:e>
                  <m:sub>
                    <m:r>
                      <m:t>a,n</m:t>
                    </m:r>
                  </m:sub>
                </m:sSub>
                <m:sSub>
                  <m:e>
                    <m:r>
                      <m:rPr>
                        <m:sty m:val="p"/>
                        <m:scr m:val="sans-serif"/>
                      </m:rPr>
                      <m:t>N</m:t>
                    </m:r>
                  </m:e>
                  <m:sub>
                    <m:r>
                      <m:t>n,σ</m:t>
                    </m:r>
                  </m:sub>
                </m:sSub>
                <m:r>
                  <m:t>,</m:t>
                </m:r>
              </m:e>
            </m:mr>
            <m:mr>
              <m:e>
                <m:r>
                  <m:t>H</m:t>
                </m:r>
              </m:e>
              <m:e>
                <m:r>
                  <m:t>=</m:t>
                </m:r>
                <m:f>
                  <m:fPr>
                    <m:type m:val="bar"/>
                  </m:fPr>
                  <m:num>
                    <m:sSubSup>
                      <m:e>
                        <m:r>
                          <m:t>P</m:t>
                        </m:r>
                      </m:e>
                      <m:sub>
                        <m:r>
                          <m:t>0</m:t>
                        </m:r>
                      </m:sub>
                      <m:sup>
                        <m:r>
                          <m:t>2</m:t>
                        </m:r>
                      </m:sup>
                    </m:sSubSup>
                  </m:num>
                  <m:den>
                    <m:r>
                      <m:t>2</m:t>
                    </m:r>
                  </m:den>
                </m:f>
                <m:r>
                  <m:t>+</m:t>
                </m:r>
                <m:nary>
                  <m:naryPr>
                    <m:chr m:val="∑"/>
                    <m:limLoc m:val="undOvr"/>
                    <m:grow m:val="0"/>
                    <m:subHide m:val="off"/>
                    <m:supHide m:val="on"/>
                  </m:naryPr>
                  <m:sub>
                    <m:r>
                      <m:t>n≥1,σ</m:t>
                    </m:r>
                  </m:sub>
                  <m:sup/>
                  <m:e>
                    <m:r>
                      <m:rPr>
                        <m:sty m:val="p"/>
                      </m:rPr>
                      <m:t>ℏ</m:t>
                    </m:r>
                  </m:e>
                </m:nary>
                <m:sSub>
                  <m:e>
                    <m:r>
                      <m:t>ω</m:t>
                    </m:r>
                  </m:e>
                  <m:sub>
                    <m:r>
                      <m:t>n</m:t>
                    </m:r>
                  </m:sub>
                </m:sSub>
                <m:sSub>
                  <m:e>
                    <m:r>
                      <m:rPr>
                        <m:sty m:val="p"/>
                        <m:scr m:val="sans-serif"/>
                      </m:rPr>
                      <m:t>N</m:t>
                    </m:r>
                  </m:e>
                  <m:sub>
                    <m:r>
                      <m:t>n,σ</m:t>
                    </m:r>
                  </m:sub>
                </m:sSub>
                <m:r>
                  <m:t>.</m:t>
                </m:r>
              </m:e>
            </m:mr>
          </m:m>
          <m:r>
            <m:t/>
          </m:r>
          <m:r>
            <m:rPr>
              <m:nor/>
            </m:rPr>
            <m:t>(21)</m:t>
          </m:r>
        </m:oMath>
      </m:oMathPara>
    </w:p>
    <w:p>
      <w:pPr>
        <w:pStyle w:val="Текстовый блок"/>
        <w:spacing w:line="240" w:lineRule="atLeast"/>
      </w:pPr>
      <w:r>
        <w:rPr>
          <w:rtl w:val="0"/>
          <w:lang w:val="en-US"/>
        </w:rPr>
        <w:t xml:space="preserve">On the embedded finite system, </w:t>
      </w:r>
      <m:oMath>
        <m:sSub>
          <m:e>
            <m:bar>
              <m:barPr>
                <m:pos m:val="top"/>
              </m:barPr>
              <m:e>
                <m:r>
                  <m:t>H</m:t>
                </m:r>
              </m:e>
            </m:bar>
          </m:e>
          <m:sub>
            <m:r>
              <m:t>a</m:t>
            </m:r>
          </m:sub>
        </m:sSub>
      </m:oMath>
      <w:r>
        <w:rPr>
          <w:rtl w:val="0"/>
          <w:lang w:val="en-US"/>
        </w:rPr>
        <w:t xml:space="preserve"> differs from </w:t>
      </w:r>
      <m:oMath>
        <m:sSub>
          <m:e>
            <m:r>
              <m:t>H</m:t>
            </m:r>
          </m:e>
          <m:sub>
            <m:r>
              <m:t>a</m:t>
            </m:r>
          </m:sub>
        </m:sSub>
      </m:oMath>
      <w:r>
        <w:rPr>
          <w:rtl w:val="0"/>
          <w:lang w:val="en-US"/>
        </w:rPr>
        <w:t xml:space="preserve"> only by its oscillator zero-point energy. Subtracting this scalar fixes an otherwise divergent overall phase; it does not affect Heisenberg fields or commutators. The series defining </w:t>
      </w:r>
      <m:oMath>
        <m:r>
          <m:t>H</m:t>
        </m:r>
      </m:oMath>
      <w:r>
        <w:rPr>
          <w:rtl w:val="0"/>
          <w:lang w:val="en-US"/>
        </w:rPr>
        <w:t xml:space="preserve"> is the nonnegative second-quantised generator on its natural domain.</w:t>
      </w:r>
      <w:bookmarkEnd w:id="15"/>
    </w:p>
    <w:p>
      <w:pPr>
        <w:pStyle w:val="Заголовок 3"/>
        <w:spacing w:line="240" w:lineRule="atLeast"/>
      </w:pPr>
      <w:bookmarkStart w:name="statementandproof" w:id="16"/>
      <w:r>
        <w:rPr>
          <w:rtl w:val="0"/>
          <w:lang w:val="en-US"/>
        </w:rPr>
        <w:t>5.2. Statement and proof</w:t>
      </w:r>
    </w:p>
    <w:p>
      <w:pPr>
        <w:pStyle w:val="Текстовый блок"/>
        <w:spacing w:line="240" w:lineRule="atLeast"/>
      </w:pPr>
      <w:r>
        <w:rPr>
          <w:rtl w:val="0"/>
          <w:lang w:val="en-US"/>
        </w:rPr>
        <w:t xml:space="preserve">For a real spatial test function </w:t>
      </w:r>
      <m:oMath>
        <m:r>
          <m:t>f</m:t>
        </m:r>
      </m:oMath>
      <w:r>
        <w:rPr>
          <w:rtl w:val="0"/>
          <w:lang w:val="it-IT"/>
        </w:rPr>
        <w:t>, let</w:t>
      </w:r>
    </w:p>
    <w:p>
      <w:pPr>
        <w:pStyle w:val="Текстовый блок"/>
        <w:keepLines w:val="1"/>
        <w:spacing w:before="60" w:line="240" w:lineRule="atLeast"/>
        <w:jc w:val="center"/>
      </w:pPr>
      <m:oMathPara>
        <m:oMathParaPr>
          <m:jc m:val="center"/>
        </m:oMathParaPr>
        <m:oMath>
          <m:sSubSup>
            <m:e>
              <m:r>
                <m:t>Φ</m:t>
              </m:r>
            </m:e>
            <m:sub>
              <m:r>
                <m:t>a</m:t>
              </m:r>
            </m:sub>
            <m:sup>
              <m:r>
                <m:t>J</m:t>
              </m:r>
            </m:sup>
          </m:sSubSup>
          <m:d>
            <m:e>
              <m:r>
                <m:t>t,f</m:t>
              </m:r>
            </m:e>
          </m:d>
          <m:r>
            <m:t>=a</m:t>
          </m:r>
          <m:nary>
            <m:naryPr>
              <m:chr m:val="∑"/>
              <m:limLoc m:val="undOvr"/>
              <m:grow m:val="0"/>
              <m:subHide m:val="off"/>
              <m:supHide m:val="on"/>
            </m:naryPr>
            <m:sub>
              <m:r>
                <m:t>j</m:t>
              </m:r>
            </m:sub>
            <m:sup/>
            <m:e>
              <m:sSub>
                <m:e>
                  <m:d>
                    <m:e>
                      <m:sSub>
                        <m:e>
                          <m:r>
                            <m:t>Q</m:t>
                          </m:r>
                        </m:e>
                        <m:sub>
                          <m:r>
                            <m:t>a</m:t>
                          </m:r>
                        </m:sub>
                      </m:sSub>
                      <m:r>
                        <m:t>f</m:t>
                      </m:r>
                    </m:e>
                  </m:d>
                </m:e>
                <m:sub>
                  <m:r>
                    <m:t>j</m:t>
                  </m:r>
                </m:sub>
              </m:sSub>
            </m:e>
          </m:nary>
          <m:sSub>
            <m:e>
              <m:r>
                <m:t>q</m:t>
              </m:r>
            </m:e>
            <m:sub>
              <m:r>
                <m:t>j</m:t>
              </m:r>
            </m:sub>
          </m:sSub>
          <m:d>
            <m:e>
              <m:r>
                <m:t>t</m:t>
              </m:r>
            </m:e>
          </m:d>
          <m:r>
            <m:t>,</m:t>
          </m:r>
          <m:sSubSup>
            <m:e>
              <m:r>
                <m:t>Φ</m:t>
              </m:r>
            </m:e>
            <m:sub>
              <m:r>
                <m:t>a</m:t>
              </m:r>
            </m:sub>
            <m:sup>
              <m:r>
                <m:t>E</m:t>
              </m:r>
            </m:sup>
          </m:sSubSup>
          <m:d>
            <m:e>
              <m:r>
                <m:t>t,f</m:t>
              </m:r>
            </m:e>
          </m:d>
          <m:r>
            <m:t>=a</m:t>
          </m:r>
          <m:nary>
            <m:naryPr>
              <m:chr m:val="∑"/>
              <m:limLoc m:val="undOvr"/>
              <m:grow m:val="0"/>
              <m:subHide m:val="off"/>
              <m:supHide m:val="on"/>
            </m:naryPr>
            <m:sub>
              <m:r>
                <m:t>j</m:t>
              </m:r>
            </m:sub>
            <m:sup/>
            <m:e>
              <m:sSub>
                <m:e>
                  <m:d>
                    <m:e>
                      <m:sSub>
                        <m:e>
                          <m:r>
                            <m:t>F</m:t>
                          </m:r>
                        </m:e>
                        <m:sub>
                          <m:r>
                            <m:t>a</m:t>
                          </m:r>
                        </m:sub>
                      </m:sSub>
                      <m:r>
                        <m:t>f</m:t>
                      </m:r>
                    </m:e>
                  </m:d>
                </m:e>
                <m:sub>
                  <m:r>
                    <m:t>j</m:t>
                  </m:r>
                </m:sub>
              </m:sSub>
            </m:e>
          </m:nary>
          <m:sSub>
            <m:e>
              <m:r>
                <m:t>q</m:t>
              </m:r>
            </m:e>
            <m:sub>
              <m:r>
                <m:t>j</m:t>
              </m:r>
            </m:sub>
          </m:sSub>
          <m:d>
            <m:e>
              <m:r>
                <m:t>t</m:t>
              </m:r>
            </m:e>
          </m:d>
          <m:r>
            <m:t>.</m:t>
          </m:r>
          <m:r>
            <m:rPr>
              <m:nor/>
            </m:rPr>
            <m:t>(22)</m:t>
          </m:r>
        </m:oMath>
      </m:oMathPara>
    </w:p>
    <w:p>
      <w:pPr>
        <w:pStyle w:val="Текстовый блок"/>
        <w:spacing w:line="240" w:lineRule="atLeast"/>
      </w:pPr>
      <w:r>
        <w:rPr>
          <w:rtl w:val="0"/>
          <w:lang w:val="en-US"/>
        </w:rPr>
        <w:t xml:space="preserve">For a real </w:t>
      </w:r>
      <m:oMath>
        <m:r>
          <m:t>F∈</m:t>
        </m:r>
        <m:sSubSup>
          <m:e>
            <m:r>
              <m:t>C</m:t>
            </m:r>
          </m:e>
          <m:sub>
            <m:r>
              <m:t>c</m:t>
            </m:r>
          </m:sub>
          <m:sup>
            <m:r>
              <m:rPr>
                <m:sty m:val="p"/>
              </m:rPr>
              <m:t>∞</m:t>
            </m:r>
          </m:sup>
        </m:sSubSup>
        <m:d>
          <m:e>
            <m:r>
              <m:rPr>
                <m:sty m:val="p"/>
                <m:scr m:val="double-struck"/>
              </m:rPr>
              <m:t>R</m:t>
            </m:r>
            <m:r>
              <m:t>×</m:t>
            </m:r>
            <m:sSup>
              <m:e>
                <m:r>
                  <m:t>S</m:t>
                </m:r>
              </m:e>
              <m:sup>
                <m:r>
                  <m:t>1</m:t>
                </m:r>
              </m:sup>
            </m:sSup>
          </m:e>
        </m:d>
      </m:oMath>
      <w:r>
        <w:rPr>
          <w:rtl w:val="0"/>
          <w:lang w:val="en-US"/>
        </w:rPr>
        <w:t xml:space="preserve">, spacetime smearing means </w:t>
      </w:r>
      <m:oMath>
        <m:sSubSup>
          <m:e>
            <m:r>
              <m:t>Φ</m:t>
            </m:r>
          </m:e>
          <m:sub>
            <m:r>
              <m:t>a</m:t>
            </m:r>
          </m:sub>
          <m:sup>
            <m:r>
              <m:t>J</m:t>
            </m:r>
          </m:sup>
        </m:sSubSup>
        <m:d>
          <m:e>
            <m:r>
              <m:t>F</m:t>
            </m:r>
          </m:e>
        </m:d>
        <m:r>
          <m:t>=∫</m:t>
        </m:r>
        <m:sSubSup>
          <m:e>
            <m:r>
              <m:t>Φ</m:t>
            </m:r>
          </m:e>
          <m:sub>
            <m:r>
              <m:t>a</m:t>
            </m:r>
          </m:sub>
          <m:sup>
            <m:r>
              <m:t>J</m:t>
            </m:r>
          </m:sup>
        </m:sSubSup>
        <m:d>
          <m:e>
            <m:r>
              <m:t>t,</m:t>
            </m:r>
            <m:sSub>
              <m:e>
                <m:r>
                  <m:t>F</m:t>
                </m:r>
              </m:e>
              <m:sub>
                <m:r>
                  <m:t>t</m:t>
                </m:r>
              </m:sub>
            </m:sSub>
          </m:e>
        </m:d>
        <m:r>
          <m:t>dt</m:t>
        </m:r>
      </m:oMath>
      <w:r>
        <w:rPr>
          <w:rtl w:val="0"/>
          <w:lang w:val="en-US"/>
        </w:rPr>
        <w:t xml:space="preserve">, and similarly for </w:t>
      </w:r>
      <m:oMath>
        <m:r>
          <m:t>E</m:t>
        </m:r>
      </m:oMath>
      <w:r>
        <w:rPr>
          <w:rtl w:val="0"/>
          <w:lang w:val="en-US"/>
        </w:rPr>
        <w:t>. The continuum field is the usual massless mode expansion, with its full free zero-mode term retained. Write</w:t>
      </w:r>
    </w:p>
    <w:p>
      <w:pPr>
        <w:pStyle w:val="Текстовый блок"/>
        <w:keepLines w:val="1"/>
        <w:spacing w:before="60" w:line="240" w:lineRule="atLeast"/>
        <w:jc w:val="center"/>
      </w:pPr>
      <m:oMathPara>
        <m:oMathParaPr>
          <m:jc m:val="center"/>
        </m:oMathParaPr>
        <m:oMath>
          <m:r>
            <m:rPr>
              <m:scr m:val="script"/>
            </m:rPr>
            <m:t>E</m:t>
          </m:r>
          <m:d>
            <m:e>
              <m:r>
                <m:t>F,G</m:t>
              </m:r>
            </m:e>
          </m:d>
          <m:r>
            <m:t>=∫∫⟨</m:t>
          </m:r>
          <m:sSub>
            <m:e>
              <m:r>
                <m:t>F</m:t>
              </m:r>
            </m:e>
            <m:sub>
              <m:r>
                <m:t>t</m:t>
              </m:r>
            </m:sub>
          </m:sSub>
          <m:r>
            <m:t>,S</m:t>
          </m:r>
          <m:d>
            <m:e>
              <m:r>
                <m:t>t−s</m:t>
              </m:r>
            </m:e>
          </m:d>
          <m:sSub>
            <m:e>
              <m:r>
                <m:t>G</m:t>
              </m:r>
            </m:e>
            <m:sub>
              <m:r>
                <m:t>s</m:t>
              </m:r>
            </m:sub>
          </m:sSub>
          <m:sSub>
            <m:e>
              <m:r>
                <m:t>⟩</m:t>
              </m:r>
            </m:e>
            <m:sub>
              <m:sSup>
                <m:e>
                  <m:r>
                    <m:t>L</m:t>
                  </m:r>
                </m:e>
                <m:sup>
                  <m:r>
                    <m:t>2</m:t>
                  </m:r>
                </m:sup>
              </m:sSup>
            </m:sub>
          </m:sSub>
          <m:r>
            <m:t>dtds,S</m:t>
          </m:r>
          <m:d>
            <m:e>
              <m:r>
                <m:t>t</m:t>
              </m:r>
            </m:e>
          </m:d>
          <m:r>
            <m:t>=</m:t>
          </m:r>
          <m:f>
            <m:fPr>
              <m:type m:val="bar"/>
            </m:fPr>
            <m:num>
              <m:r>
                <m:rPr>
                  <m:sty m:val="p"/>
                </m:rPr>
                <m:t>sin</m:t>
              </m:r>
              <m:d>
                <m:e>
                  <m:r>
                    <m:t>tc</m:t>
                  </m:r>
                  <m:rad>
                    <m:radPr>
                      <m:degHide m:val="on"/>
                    </m:radPr>
                    <m:deg/>
                    <m:e>
                      <m:r>
                        <m:t>−</m:t>
                      </m:r>
                      <m:sSubSup>
                        <m:e>
                          <m:r>
                            <m:t>∂</m:t>
                          </m:r>
                        </m:e>
                        <m:sub>
                          <m:r>
                            <m:t>x</m:t>
                          </m:r>
                        </m:sub>
                        <m:sup>
                          <m:r>
                            <m:t>2</m:t>
                          </m:r>
                        </m:sup>
                      </m:sSubSup>
                    </m:e>
                  </m:rad>
                </m:e>
              </m:d>
            </m:num>
            <m:den>
              <m:r>
                <m:t>c</m:t>
              </m:r>
              <m:rad>
                <m:radPr>
                  <m:degHide m:val="on"/>
                </m:radPr>
                <m:deg/>
                <m:e>
                  <m:r>
                    <m:t>−</m:t>
                  </m:r>
                  <m:sSubSup>
                    <m:e>
                      <m:r>
                        <m:t>∂</m:t>
                      </m:r>
                    </m:e>
                    <m:sub>
                      <m:r>
                        <m:t>x</m:t>
                      </m:r>
                    </m:sub>
                    <m:sup>
                      <m:r>
                        <m:t>2</m:t>
                      </m:r>
                    </m:sup>
                  </m:sSubSup>
                </m:e>
              </m:rad>
            </m:den>
          </m:f>
          <m:r>
            <m:t>.</m:t>
          </m:r>
          <m:r>
            <m:rPr>
              <m:nor/>
            </m:rPr>
            <m:t>(23)</m:t>
          </m:r>
        </m:oMath>
      </m:oMathPara>
    </w:p>
    <w:p>
      <w:pPr>
        <w:pStyle w:val="Текстовый блок"/>
        <w:spacing w:line="240" w:lineRule="atLeast"/>
      </w:pPr>
      <w:r>
        <w:rPr>
          <w:b w:val="1"/>
          <w:bCs w:val="1"/>
          <w:rtl w:val="0"/>
          <w:lang w:val="en-US"/>
        </w:rPr>
        <w:t>Theorem 4 (unitary quantum continuum control).</w:t>
      </w:r>
      <w:r>
        <w:rPr>
          <w:rtl w:val="0"/>
          <w:lang w:val="en-US"/>
        </w:rPr>
        <w:t xml:space="preserve"> For the model (18)</w:t>
      </w:r>
      <w:r>
        <w:rPr>
          <w:rtl w:val="0"/>
          <w:lang w:val="en-US"/>
        </w:rPr>
        <w:t>–</w:t>
      </w:r>
      <w:r>
        <w:rPr>
          <w:rtl w:val="0"/>
        </w:rPr>
        <w:t>(22):</w:t>
      </w:r>
    </w:p>
    <w:p>
      <w:pPr>
        <w:pStyle w:val="Текстовый блок"/>
        <w:spacing w:line="240" w:lineRule="atLeast"/>
      </w:pPr>
      <w:r>
        <w:rPr>
          <w:b w:val="1"/>
          <w:bCs w:val="1"/>
          <w:rtl w:val="0"/>
        </w:rPr>
        <w:t>1.</w:t>
      </w:r>
      <w:r>
        <w:rPr>
          <w:rtl w:val="0"/>
          <w:lang w:val="en-US"/>
        </w:rPr>
        <w:t xml:space="preserve"> Each finite evolution is unitary. After the explicit embeddings and energy subtraction in (21), </w:t>
      </w:r>
      <m:oMath>
        <m:sSup>
          <m:e>
            <m:r>
              <m:t>e</m:t>
            </m:r>
          </m:e>
          <m:sup>
            <m:r>
              <m:t>−it</m:t>
            </m:r>
            <m:sSub>
              <m:e>
                <m:bar>
                  <m:barPr>
                    <m:pos m:val="top"/>
                  </m:barPr>
                  <m:e>
                    <m:r>
                      <m:t>H</m:t>
                    </m:r>
                  </m:e>
                </m:bar>
              </m:e>
              <m:sub>
                <m:r>
                  <m:t>a</m:t>
                </m:r>
              </m:sub>
            </m:sSub>
            <m:r>
              <m:t>/</m:t>
            </m:r>
            <m:r>
              <m:rPr>
                <m:sty m:val="p"/>
              </m:rPr>
              <m:t>ℏ</m:t>
            </m:r>
          </m:sup>
        </m:sSup>
        <m:r>
          <m:t>→</m:t>
        </m:r>
        <m:sSup>
          <m:e>
            <m:r>
              <m:t>e</m:t>
            </m:r>
          </m:e>
          <m:sup>
            <m:r>
              <m:t>−itH/</m:t>
            </m:r>
            <m:r>
              <m:rPr>
                <m:sty m:val="p"/>
              </m:rPr>
              <m:t>ℏ</m:t>
            </m:r>
          </m:sup>
        </m:sSup>
      </m:oMath>
      <w:r>
        <w:rPr>
          <w:rtl w:val="0"/>
          <w:lang w:val="en-US"/>
        </w:rPr>
        <w:t xml:space="preserve"> strongly, uniformly for </w:t>
      </w:r>
      <m:oMath>
        <m:r>
          <m:t>t</m:t>
        </m:r>
      </m:oMath>
      <w:r>
        <w:rPr>
          <w:rtl w:val="0"/>
          <w:lang w:val="en-US"/>
        </w:rPr>
        <w:t xml:space="preserve"> in compact intervals.</w:t>
      </w:r>
    </w:p>
    <w:p>
      <w:pPr>
        <w:pStyle w:val="Текстовый блок"/>
        <w:spacing w:line="240" w:lineRule="atLeast"/>
      </w:pPr>
      <w:r>
        <w:rPr>
          <w:b w:val="1"/>
          <w:bCs w:val="1"/>
          <w:rtl w:val="0"/>
        </w:rPr>
        <w:t>2.</w:t>
      </w:r>
      <w:r>
        <w:rPr>
          <w:rtl w:val="0"/>
          <w:lang w:val="en-US"/>
        </w:rPr>
        <w:t xml:space="preserve"> The field commutator is exactly the classical response with the physical measure normalisation:</w:t>
      </w:r>
    </w:p>
    <w:p>
      <w:pPr>
        <w:pStyle w:val="Текстовый блок"/>
        <w:keepLines w:val="1"/>
        <w:spacing w:before="60" w:line="240" w:lineRule="atLeast"/>
        <w:jc w:val="center"/>
      </w:pPr>
      <m:oMathPara>
        <m:oMathParaPr>
          <m:jc m:val="center"/>
        </m:oMathParaPr>
        <m:oMath>
          <m:m>
            <m:mPr>
              <m:baseJc m:val="center"/>
              <m:plcHide m:val="on"/>
              <m:mcs>
                <m:mc>
                  <m:mcPr>
                    <m:count m:val="2"/>
                    <m:mcJc m:val="center"/>
                  </m:mcPr>
                </m:mc>
              </m:mcs>
            </m:mPr>
            <m:mr>
              <m:e>
                <m:d>
                  <m:dPr>
                    <m:begChr m:val="["/>
                    <m:endChr m:val="]"/>
                  </m:dPr>
                  <m:e>
                    <m:sSub>
                      <m:e>
                        <m:r>
                          <m:t>q</m:t>
                        </m:r>
                      </m:e>
                      <m:sub>
                        <m:r>
                          <m:t>i</m:t>
                        </m:r>
                      </m:sub>
                    </m:sSub>
                    <m:d>
                      <m:e>
                        <m:r>
                          <m:t>t</m:t>
                        </m:r>
                      </m:e>
                    </m:d>
                    <m:r>
                      <m:t>,</m:t>
                    </m:r>
                    <m:sSub>
                      <m:e>
                        <m:r>
                          <m:t>q</m:t>
                        </m:r>
                      </m:e>
                      <m:sub>
                        <m:r>
                          <m:t>j</m:t>
                        </m:r>
                      </m:sub>
                    </m:sSub>
                    <m:d>
                      <m:e>
                        <m:r>
                          <m:t>s</m:t>
                        </m:r>
                      </m:e>
                    </m:d>
                  </m:e>
                </m:d>
              </m:e>
              <m:e>
                <m:r>
                  <m:t>=−</m:t>
                </m:r>
                <m:f>
                  <m:fPr>
                    <m:type m:val="bar"/>
                  </m:fPr>
                  <m:num>
                    <m:r>
                      <m:t>i</m:t>
                    </m:r>
                    <m:r>
                      <m:rPr>
                        <m:sty m:val="p"/>
                      </m:rPr>
                      <m:t>ℏ</m:t>
                    </m:r>
                  </m:num>
                  <m:den>
                    <m:r>
                      <m:t>a</m:t>
                    </m:r>
                  </m:den>
                </m:f>
                <m:sSub>
                  <m:e>
                    <m:d>
                      <m:dPr>
                        <m:begChr m:val="["/>
                        <m:endChr m:val="]"/>
                      </m:dPr>
                      <m:e>
                        <m:sSub>
                          <m:e>
                            <m:r>
                              <m:t>S</m:t>
                            </m:r>
                          </m:e>
                          <m:sub>
                            <m:r>
                              <m:t>a</m:t>
                            </m:r>
                          </m:sub>
                        </m:sSub>
                        <m:d>
                          <m:e>
                            <m:r>
                              <m:t>t−s</m:t>
                            </m:r>
                          </m:e>
                        </m:d>
                      </m:e>
                    </m:d>
                  </m:e>
                  <m:sub>
                    <m:r>
                      <m:t>ij</m:t>
                    </m:r>
                  </m:sub>
                </m:sSub>
                <m:r>
                  <m:t>I,</m:t>
                </m:r>
              </m:e>
            </m:mr>
            <m:mr>
              <m:e>
                <m:d>
                  <m:dPr>
                    <m:begChr m:val="["/>
                    <m:endChr m:val="]"/>
                  </m:dPr>
                  <m:e>
                    <m:sSubSup>
                      <m:e>
                        <m:r>
                          <m:t>Φ</m:t>
                        </m:r>
                      </m:e>
                      <m:sub>
                        <m:r>
                          <m:t>a</m:t>
                        </m:r>
                      </m:sub>
                      <m:sup>
                        <m:r>
                          <m:t>J</m:t>
                        </m:r>
                      </m:sup>
                    </m:sSubSup>
                    <m:d>
                      <m:e>
                        <m:r>
                          <m:t>t,f</m:t>
                        </m:r>
                      </m:e>
                    </m:d>
                    <m:r>
                      <m:t>,</m:t>
                    </m:r>
                    <m:sSubSup>
                      <m:e>
                        <m:r>
                          <m:t>Φ</m:t>
                        </m:r>
                      </m:e>
                      <m:sub>
                        <m:r>
                          <m:t>a</m:t>
                        </m:r>
                      </m:sub>
                      <m:sup>
                        <m:r>
                          <m:t>J</m:t>
                        </m:r>
                      </m:sup>
                    </m:sSubSup>
                    <m:d>
                      <m:e>
                        <m:r>
                          <m:t>s,g</m:t>
                        </m:r>
                      </m:e>
                    </m:d>
                  </m:e>
                </m:d>
              </m:e>
              <m:e>
                <m:r>
                  <m:t>=−i</m:t>
                </m:r>
                <m:r>
                  <m:rPr>
                    <m:sty m:val="p"/>
                  </m:rPr>
                  <m:t>ℏ</m:t>
                </m:r>
                <m:r>
                  <m:t>⟨</m:t>
                </m:r>
                <m:sSub>
                  <m:e>
                    <m:r>
                      <m:t>Q</m:t>
                    </m:r>
                  </m:e>
                  <m:sub>
                    <m:r>
                      <m:t>a</m:t>
                    </m:r>
                  </m:sub>
                </m:sSub>
                <m:r>
                  <m:t>f,</m:t>
                </m:r>
                <m:sSub>
                  <m:e>
                    <m:r>
                      <m:t>S</m:t>
                    </m:r>
                  </m:e>
                  <m:sub>
                    <m:r>
                      <m:t>a</m:t>
                    </m:r>
                  </m:sub>
                </m:sSub>
                <m:d>
                  <m:e>
                    <m:r>
                      <m:t>t−s</m:t>
                    </m:r>
                  </m:e>
                </m:d>
                <m:sSub>
                  <m:e>
                    <m:r>
                      <m:t>Q</m:t>
                    </m:r>
                  </m:e>
                  <m:sub>
                    <m:r>
                      <m:t>a</m:t>
                    </m:r>
                  </m:sub>
                </m:sSub>
                <m:r>
                  <m:t>g</m:t>
                </m:r>
                <m:sSub>
                  <m:e>
                    <m:r>
                      <m:t>⟩</m:t>
                    </m:r>
                  </m:e>
                  <m:sub>
                    <m:r>
                      <m:t>a</m:t>
                    </m:r>
                  </m:sub>
                </m:sSub>
                <m:r>
                  <m:t>I.</m:t>
                </m:r>
              </m:e>
            </m:mr>
          </m:m>
          <m:r>
            <m:t/>
          </m:r>
          <m:r>
            <m:rPr>
              <m:nor/>
            </m:rPr>
            <m:t>(24)</m:t>
          </m:r>
        </m:oMath>
      </m:oMathPara>
    </w:p>
    <w:p>
      <w:pPr>
        <w:pStyle w:val="Текстовый блок"/>
        <w:spacing w:line="240" w:lineRule="atLeast"/>
      </w:pPr>
      <w:r>
        <w:rPr>
          <w:rtl w:val="0"/>
          <w:lang w:val="en-US"/>
        </w:rPr>
        <w:t xml:space="preserve">The analogous identity holds with </w:t>
      </w:r>
      <m:oMath>
        <m:sSub>
          <m:e>
            <m:r>
              <m:t>F</m:t>
            </m:r>
          </m:e>
          <m:sub>
            <m:r>
              <m:t>a</m:t>
            </m:r>
          </m:sub>
        </m:sSub>
      </m:oMath>
      <w:r>
        <w:rPr>
          <w:rtl w:val="0"/>
          <w:lang w:val="en-US"/>
        </w:rPr>
        <w:t xml:space="preserve">. Both spacetime-smeared commutator distributions converge to </w:t>
      </w:r>
      <m:oMath>
        <m:r>
          <m:t>−i</m:t>
        </m:r>
        <m:r>
          <m:rPr>
            <m:sty m:val="p"/>
          </m:rPr>
          <m:t>ℏ</m:t>
        </m:r>
        <m:r>
          <m:rPr>
            <m:scr m:val="script"/>
          </m:rPr>
          <m:t>E</m:t>
        </m:r>
        <m:d>
          <m:e>
            <m:r>
              <m:t>F,G</m:t>
            </m:r>
          </m:e>
        </m:d>
        <m:r>
          <m:t>I</m:t>
        </m:r>
      </m:oMath>
      <w:r>
        <w:rPr>
          <w:rtl w:val="0"/>
        </w:rPr>
        <w:t>.</w:t>
      </w:r>
    </w:p>
    <w:p>
      <w:pPr>
        <w:pStyle w:val="Текстовый блок"/>
        <w:spacing w:line="240" w:lineRule="atLeast"/>
      </w:pPr>
      <w:r>
        <w:rPr>
          <w:b w:val="1"/>
          <w:bCs w:val="1"/>
          <w:rtl w:val="0"/>
        </w:rPr>
        <w:t>3.</w:t>
      </w:r>
      <w:r>
        <w:rPr>
          <w:rtl w:val="0"/>
          <w:lang w:val="en-US"/>
        </w:rPr>
        <w:t xml:space="preserve"> On (20), the corresponding spacetime-smeared Weyl operators </w:t>
      </w:r>
      <m:oMath>
        <m:sSub>
          <m:e>
            <m:r>
              <m:t>W</m:t>
            </m:r>
          </m:e>
          <m:sub>
            <m:r>
              <m:t>a</m:t>
            </m:r>
          </m:sub>
        </m:sSub>
        <m:d>
          <m:e>
            <m:r>
              <m:t>F</m:t>
            </m:r>
          </m:e>
        </m:d>
        <m:r>
          <m:t>=</m:t>
        </m:r>
        <m:r>
          <m:rPr>
            <m:sty m:val="p"/>
          </m:rPr>
          <m:t>exp</m:t>
        </m:r>
        <m:d>
          <m:e>
            <m:r>
              <m:t>i</m:t>
            </m:r>
            <m:sSub>
              <m:e>
                <m:r>
                  <m:t>Φ</m:t>
                </m:r>
              </m:e>
              <m:sub>
                <m:r>
                  <m:t>a</m:t>
                </m:r>
              </m:sub>
            </m:sSub>
            <m:d>
              <m:e>
                <m:r>
                  <m:t>F</m:t>
                </m:r>
              </m:e>
            </m:d>
          </m:e>
        </m:d>
      </m:oMath>
      <w:r>
        <w:rPr>
          <w:rtl w:val="0"/>
          <w:lang w:val="en-US"/>
        </w:rPr>
        <w:t xml:space="preserve"> converge strongly to </w:t>
      </w:r>
      <m:oMath>
        <m:r>
          <m:t>W</m:t>
        </m:r>
        <m:d>
          <m:e>
            <m:r>
              <m:t>F</m:t>
            </m:r>
          </m:e>
        </m:d>
      </m:oMath>
      <w:r>
        <w:rPr>
          <w:rtl w:val="0"/>
          <w:lang w:val="en-US"/>
        </w:rPr>
        <w:t xml:space="preserve"> for either reconstruction. If the compact supports of </w:t>
      </w:r>
      <m:oMath>
        <m:r>
          <m:t>F</m:t>
        </m:r>
      </m:oMath>
      <w:r>
        <w:rPr>
          <w:rtl w:val="0"/>
          <w:lang w:val="en-US"/>
        </w:rPr>
        <w:t xml:space="preserve"> and </w:t>
      </w:r>
      <m:oMath>
        <m:r>
          <m:t>G</m:t>
        </m:r>
      </m:oMath>
      <w:r>
        <w:rPr>
          <w:rtl w:val="0"/>
          <w:lang w:val="en-US"/>
        </w:rPr>
        <w:t xml:space="preserve"> are spacelike separated in the limiting cylinder, then</w:t>
      </w:r>
    </w:p>
    <w:p>
      <w:pPr>
        <w:pStyle w:val="Текстовый блок"/>
        <w:keepLines w:val="1"/>
        <w:spacing w:before="60" w:line="240" w:lineRule="atLeast"/>
        <w:jc w:val="center"/>
      </w:pPr>
      <m:oMathPara>
        <m:oMathParaPr>
          <m:jc m:val="center"/>
        </m:oMathParaPr>
        <m:oMath>
          <m:r>
            <m:t>∥</m:t>
          </m:r>
          <m:d>
            <m:dPr>
              <m:begChr m:val="["/>
              <m:endChr m:val="]"/>
            </m:dPr>
            <m:e>
              <m:sSub>
                <m:e>
                  <m:r>
                    <m:t>W</m:t>
                  </m:r>
                </m:e>
                <m:sub>
                  <m:r>
                    <m:t>a</m:t>
                  </m:r>
                </m:sub>
              </m:sSub>
              <m:d>
                <m:e>
                  <m:r>
                    <m:t>F</m:t>
                  </m:r>
                </m:e>
              </m:d>
              <m:r>
                <m:t>,</m:t>
              </m:r>
              <m:sSub>
                <m:e>
                  <m:r>
                    <m:t>W</m:t>
                  </m:r>
                </m:e>
                <m:sub>
                  <m:r>
                    <m:t>a</m:t>
                  </m:r>
                </m:sub>
              </m:sSub>
              <m:d>
                <m:e>
                  <m:r>
                    <m:t>G</m:t>
                  </m:r>
                </m:e>
              </m:d>
            </m:e>
          </m:d>
          <m:r>
            <m:t>∥=2</m:t>
          </m:r>
          <m:d>
            <m:dPr>
              <m:begChr m:val="|"/>
              <m:endChr m:val="|"/>
            </m:dPr>
            <m:e>
              <m:r>
                <m:rPr>
                  <m:sty m:val="p"/>
                </m:rPr>
                <m:t>sin</m:t>
              </m:r>
              <m:f>
                <m:fPr>
                  <m:type m:val="bar"/>
                </m:fPr>
                <m:num>
                  <m:r>
                    <m:rPr>
                      <m:sty m:val="p"/>
                    </m:rPr>
                    <m:t>ℏ</m:t>
                  </m:r>
                  <m:sSub>
                    <m:e>
                      <m:r>
                        <m:rPr>
                          <m:scr m:val="script"/>
                        </m:rPr>
                        <m:t>E</m:t>
                      </m:r>
                    </m:e>
                    <m:sub>
                      <m:r>
                        <m:t>a</m:t>
                      </m:r>
                    </m:sub>
                  </m:sSub>
                  <m:d>
                    <m:e>
                      <m:r>
                        <m:t>F,G</m:t>
                      </m:r>
                    </m:e>
                  </m:d>
                </m:num>
                <m:den>
                  <m:r>
                    <m:t>2</m:t>
                  </m:r>
                </m:den>
              </m:f>
            </m:e>
          </m:d>
          <m:r>
            <m:t>→0,</m:t>
          </m:r>
          <m:d>
            <m:dPr>
              <m:begChr m:val="["/>
              <m:endChr m:val="]"/>
            </m:dPr>
            <m:e>
              <m:r>
                <m:t>W</m:t>
              </m:r>
              <m:d>
                <m:e>
                  <m:r>
                    <m:t>F</m:t>
                  </m:r>
                </m:e>
              </m:d>
              <m:r>
                <m:t>,W</m:t>
              </m:r>
              <m:d>
                <m:e>
                  <m:r>
                    <m:t>G</m:t>
                  </m:r>
                </m:e>
              </m:d>
            </m:e>
          </m:d>
          <m:r>
            <m:t>=0.</m:t>
          </m:r>
          <m:r>
            <m:rPr>
              <m:nor/>
            </m:rPr>
            <m:t>(25)</m:t>
          </m:r>
        </m:oMath>
      </m:oMathPara>
    </w:p>
    <w:p>
      <w:pPr>
        <w:pStyle w:val="Текстовый блок"/>
        <w:spacing w:line="240" w:lineRule="atLeast"/>
      </w:pPr>
      <w:r>
        <w:rPr>
          <w:rtl w:val="0"/>
          <w:lang w:val="en-US"/>
        </w:rPr>
        <w:t>The same assertion holds for spatially smeared fields at two fixed spacelike separated time slices. The limiting free-field Weyl net therefore satisfies microcausality. This is a free scalar control theorem, not a derivation of quantum mechanics, interacting QFT or gravity.</w:t>
      </w:r>
    </w:p>
    <w:p>
      <w:pPr>
        <w:pStyle w:val="Текстовый блок"/>
        <w:spacing w:line="240" w:lineRule="atLeast"/>
      </w:pPr>
      <w:r>
        <w:rPr>
          <w:b w:val="1"/>
          <w:bCs w:val="1"/>
          <w:rtl w:val="0"/>
          <w:lang w:val="en-US"/>
        </w:rPr>
        <w:t>Proof of part 1.</w:t>
      </w:r>
      <w:r>
        <w:rPr>
          <w:rtl w:val="0"/>
          <w:lang w:val="en-US"/>
        </w:rPr>
        <w:t xml:space="preserve"> Finite-mode diagonalisation gives the self-adjoint finite Hamiltonians. Vectors consisting of an arbitrary zero-mode wavefunction and a finite linear combination of finite-occupation, finitely supported oscillator states form a dense subspace of (20). For each such vector, only finitely many </w:t>
      </w:r>
      <m:oMath>
        <m:sSub>
          <m:e>
            <m:r>
              <m:t>ω</m:t>
            </m:r>
          </m:e>
          <m:sub>
            <m:r>
              <m:t>a,n</m:t>
            </m:r>
          </m:sub>
        </m:sSub>
      </m:oMath>
      <w:r>
        <w:rPr>
          <w:rtl w:val="0"/>
          <w:lang w:val="en-US"/>
        </w:rPr>
        <w:t xml:space="preserve"> enter; they converge to </w:t>
      </w:r>
      <m:oMath>
        <m:sSub>
          <m:e>
            <m:r>
              <m:t>ω</m:t>
            </m:r>
          </m:e>
          <m:sub>
            <m:r>
              <m:t>n</m:t>
            </m:r>
          </m:sub>
        </m:sSub>
      </m:oMath>
      <w:r>
        <w:rPr>
          <w:rtl w:val="0"/>
          <w:lang w:val="en-US"/>
        </w:rPr>
        <w:t xml:space="preserve">, and the free zero-mode unitary is identical for all </w:t>
      </w:r>
      <m:oMath>
        <m:r>
          <m:t>a</m:t>
        </m:r>
      </m:oMath>
      <w:r>
        <w:rPr>
          <w:rtl w:val="0"/>
          <w:lang w:val="en-US"/>
        </w:rPr>
        <w:t xml:space="preserve">. The finite phase factors converge uniformly on compact time intervals. Density and unitary norm one give the asserted strong convergence on all of </w:t>
      </w:r>
      <m:oMath>
        <m:r>
          <m:rPr>
            <m:scr m:val="script"/>
          </m:rPr>
          <m:t>H</m:t>
        </m:r>
      </m:oMath>
      <w:r>
        <w:rPr>
          <w:rtl w:val="0"/>
          <w:lang w:val="en-US"/>
        </w:rPr>
        <w:t>. This does not assert operator-norm convergence of the unitary groups or of their generators.</w:t>
      </w:r>
    </w:p>
    <w:p>
      <w:pPr>
        <w:pStyle w:val="Текстовый блок"/>
        <w:spacing w:line="240" w:lineRule="atLeast"/>
      </w:pPr>
      <w:r>
        <w:rPr>
          <w:b w:val="1"/>
          <w:bCs w:val="1"/>
          <w:rtl w:val="0"/>
          <w:lang w:val="en-US"/>
        </w:rPr>
        <w:t>Proof of part 2.</w:t>
      </w:r>
      <w:r>
        <w:rPr>
          <w:rtl w:val="0"/>
          <w:lang w:val="en-US"/>
        </w:rPr>
        <w:t xml:space="preserve"> The Heisenberg solution is </w:t>
      </w:r>
      <m:oMath>
        <m:r>
          <m:t>q</m:t>
        </m:r>
        <m:d>
          <m:e>
            <m:r>
              <m:t>t</m:t>
            </m:r>
          </m:e>
        </m:d>
        <m:r>
          <m:t>=</m:t>
        </m:r>
        <m:sSub>
          <m:e>
            <m:r>
              <m:t>C</m:t>
            </m:r>
          </m:e>
          <m:sub>
            <m:r>
              <m:t>a</m:t>
            </m:r>
          </m:sub>
        </m:sSub>
        <m:d>
          <m:e>
            <m:r>
              <m:t>t</m:t>
            </m:r>
          </m:e>
        </m:d>
        <m:r>
          <m:t>q</m:t>
        </m:r>
        <m:d>
          <m:e>
            <m:r>
              <m:t>0</m:t>
            </m:r>
          </m:e>
        </m:d>
        <m:r>
          <m:t>+</m:t>
        </m:r>
        <m:sSub>
          <m:e>
            <m:r>
              <m:t>S</m:t>
            </m:r>
          </m:e>
          <m:sub>
            <m:r>
              <m:t>a</m:t>
            </m:r>
          </m:sub>
        </m:sSub>
        <m:d>
          <m:e>
            <m:r>
              <m:t>t</m:t>
            </m:r>
          </m:e>
        </m:d>
        <m:r>
          <m:t>π</m:t>
        </m:r>
        <m:d>
          <m:e>
            <m:r>
              <m:t>0</m:t>
            </m:r>
          </m:e>
        </m:d>
        <m:r>
          <m:t>/a</m:t>
        </m:r>
      </m:oMath>
      <w:r>
        <w:rPr>
          <w:rtl w:val="0"/>
          <w:lang w:val="en-US"/>
        </w:rPr>
        <w:t xml:space="preserve">, where </w:t>
      </w:r>
      <m:oMath>
        <m:sSub>
          <m:e>
            <m:r>
              <m:t>C</m:t>
            </m:r>
          </m:e>
          <m:sub>
            <m:r>
              <m:t>a</m:t>
            </m:r>
          </m:sub>
        </m:sSub>
        <m:r>
          <m:t>=</m:t>
        </m:r>
        <m:r>
          <m:rPr>
            <m:sty m:val="p"/>
          </m:rPr>
          <m:t>cos</m:t>
        </m:r>
        <m:d>
          <m:e>
            <m:r>
              <m:t>t</m:t>
            </m:r>
            <m:rad>
              <m:radPr>
                <m:degHide m:val="on"/>
              </m:radPr>
              <m:deg/>
              <m:e>
                <m:sSub>
                  <m:e>
                    <m:r>
                      <m:t>K</m:t>
                    </m:r>
                  </m:e>
                  <m:sub>
                    <m:r>
                      <m:t>a</m:t>
                    </m:r>
                  </m:sub>
                </m:sSub>
              </m:e>
            </m:rad>
          </m:e>
        </m:d>
      </m:oMath>
      <w:r>
        <w:rPr>
          <w:rtl w:val="0"/>
          <w:lang w:val="en-US"/>
        </w:rPr>
        <w:t>. The canonical commutators and the sine subtraction identity give (24), first on the common invariant core; the right-hand side is a bounded central operator. Its coefficient after spatial smearing is the identified classical bilinear response. Equation (8), and the Fourier</w:t>
      </w:r>
      <w:r>
        <w:rPr>
          <w:rtl w:val="0"/>
          <w:lang w:val="en-US"/>
        </w:rPr>
        <w:t>–</w:t>
      </w:r>
      <w:r>
        <w:rPr>
          <w:rtl w:val="0"/>
          <w:lang w:val="en-US"/>
        </w:rPr>
        <w:t xml:space="preserve">cell comparison of Theorem 2, give convergence uniformly on compact time differences for fixed spatial tests. The uniform bound </w:t>
      </w:r>
      <m:oMath>
        <m:d>
          <m:dPr>
            <m:begChr m:val="|"/>
            <m:endChr m:val="|"/>
          </m:dPr>
          <m:e>
            <m:r>
              <m:t>⟨f,</m:t>
            </m:r>
            <m:sSub>
              <m:e>
                <m:r>
                  <m:t>S</m:t>
                </m:r>
              </m:e>
              <m:sub>
                <m:r>
                  <m:t>a</m:t>
                </m:r>
              </m:sub>
            </m:sSub>
            <m:d>
              <m:e>
                <m:r>
                  <m:t>t</m:t>
                </m:r>
              </m:e>
            </m:d>
            <m:r>
              <m:t>g</m:t>
            </m:r>
            <m:sSub>
              <m:e>
                <m:r>
                  <m:t>⟩</m:t>
                </m:r>
              </m:e>
              <m:sub>
                <m:r>
                  <m:t>a</m:t>
                </m:r>
              </m:sub>
            </m:sSub>
          </m:e>
        </m:d>
        <m:r>
          <m:t>≤</m:t>
        </m:r>
        <m:d>
          <m:dPr>
            <m:begChr m:val="|"/>
            <m:endChr m:val="|"/>
          </m:dPr>
          <m:e>
            <m:r>
              <m:t>t</m:t>
            </m:r>
          </m:e>
        </m:d>
        <m:r>
          <m:t>∥f</m:t>
        </m:r>
        <m:sSub>
          <m:e>
            <m:r>
              <m:t>∥</m:t>
            </m:r>
          </m:e>
          <m:sub>
            <m:r>
              <m:t>a</m:t>
            </m:r>
          </m:sub>
        </m:sSub>
        <m:r>
          <m:t>∥g</m:t>
        </m:r>
        <m:sSub>
          <m:e>
            <m:r>
              <m:t>∥</m:t>
            </m:r>
          </m:e>
          <m:sub>
            <m:r>
              <m:t>a</m:t>
            </m:r>
          </m:sub>
        </m:sSub>
      </m:oMath>
      <w:r>
        <w:rPr>
          <w:rtl w:val="0"/>
          <w:lang w:val="en-US"/>
        </w:rPr>
        <w:t xml:space="preserve"> then gives (23) for spacetime tests by approximation with finite sums of separated smooth functions and dominated integration. These bounds also make the kernels continuous distributions. Finite </w:t>
      </w:r>
      <m:oMath>
        <m:r>
          <m:t>a</m:t>
        </m:r>
      </m:oMath>
      <w:r>
        <w:rPr>
          <w:rtl w:val="0"/>
          <w:lang w:val="en-US"/>
        </w:rPr>
        <w:t xml:space="preserve"> retains the analytic tails of the classical response.</w:t>
      </w:r>
    </w:p>
    <w:p>
      <w:pPr>
        <w:pStyle w:val="Текстовый блок"/>
        <w:spacing w:line="240" w:lineRule="atLeast"/>
      </w:pPr>
      <w:r>
        <w:rPr>
          <w:b w:val="1"/>
          <w:bCs w:val="1"/>
          <w:rtl w:val="0"/>
          <w:lang w:val="en-US"/>
        </w:rPr>
        <w:t>Proof of part 3.</w:t>
      </w:r>
      <w:r>
        <w:rPr>
          <w:rtl w:val="0"/>
          <w:lang w:val="en-US"/>
        </w:rPr>
        <w:t xml:space="preserve"> In the real Fourier basis, the nonzero-mode part of </w:t>
      </w:r>
      <m:oMath>
        <m:sSubSup>
          <m:e>
            <m:r>
              <m:t>Φ</m:t>
            </m:r>
          </m:e>
          <m:sub>
            <m:r>
              <m:t>a</m:t>
            </m:r>
          </m:sub>
          <m:sup>
            <m:r>
              <m:t>J</m:t>
            </m:r>
          </m:sup>
        </m:sSubSup>
        <m:d>
          <m:e>
            <m:r>
              <m:t>t,f</m:t>
            </m:r>
          </m:e>
        </m:d>
      </m:oMath>
      <w:r>
        <w:rPr>
          <w:rtl w:val="0"/>
          <w:lang w:val="en-US"/>
        </w:rPr>
        <w:t xml:space="preserve"> has creation and annihilation coefficients proportional to</w:t>
      </w:r>
    </w:p>
    <w:p>
      <w:pPr>
        <w:pStyle w:val="Текстовый блок"/>
        <w:keepLines w:val="1"/>
        <w:spacing w:before="60" w:line="240" w:lineRule="atLeast"/>
        <w:jc w:val="center"/>
      </w:pPr>
      <m:oMathPara>
        <m:oMathParaPr>
          <m:jc m:val="center"/>
        </m:oMathParaPr>
        <m:oMath>
          <m:rad>
            <m:radPr>
              <m:degHide m:val="on"/>
            </m:radPr>
            <m:deg/>
            <m:e>
              <m:f>
                <m:fPr>
                  <m:type m:val="bar"/>
                </m:fPr>
                <m:num>
                  <m:r>
                    <m:rPr>
                      <m:sty m:val="p"/>
                    </m:rPr>
                    <m:t>ℏ</m:t>
                  </m:r>
                </m:num>
                <m:den>
                  <m:r>
                    <m:t>2</m:t>
                  </m:r>
                  <m:sSub>
                    <m:e>
                      <m:r>
                        <m:t>ω</m:t>
                      </m:r>
                    </m:e>
                    <m:sub>
                      <m:r>
                        <m:t>a,n</m:t>
                      </m:r>
                    </m:sub>
                  </m:sSub>
                </m:den>
              </m:f>
            </m:e>
          </m:rad>
          <m:r>
            <m:t/>
          </m:r>
          <m:sSub>
            <m:e>
              <m:r>
                <m:t>f</m:t>
              </m:r>
            </m:e>
            <m:sub>
              <m:r>
                <m:t>n,σ</m:t>
              </m:r>
            </m:sub>
          </m:sSub>
          <m:sSup>
            <m:e>
              <m:r>
                <m:t>e</m:t>
              </m:r>
            </m:e>
            <m:sup>
              <m:r>
                <m:t>±i</m:t>
              </m:r>
              <m:sSub>
                <m:e>
                  <m:r>
                    <m:t>ω</m:t>
                  </m:r>
                </m:e>
                <m:sub>
                  <m:r>
                    <m:t>a,n</m:t>
                  </m:r>
                </m:sub>
              </m:sSub>
              <m:r>
                <m:t>t</m:t>
              </m:r>
            </m:sup>
          </m:sSup>
          <m:r>
            <m:t>,</m:t>
          </m:r>
          <m:sSub>
            <m:e>
              <m:r>
                <m:t>f</m:t>
              </m:r>
            </m:e>
            <m:sub>
              <m:r>
                <m:t>n,σ</m:t>
              </m:r>
            </m:sub>
          </m:sSub>
          <m:r>
            <m:t>=⟨</m:t>
          </m:r>
          <m:sSub>
            <m:e>
              <m:r>
                <m:t>e</m:t>
              </m:r>
            </m:e>
            <m:sub>
              <m:r>
                <m:t>n,σ</m:t>
              </m:r>
            </m:sub>
          </m:sSub>
          <m:r>
            <m:t>,f⟩.</m:t>
          </m:r>
          <m:r>
            <m:rPr>
              <m:nor/>
            </m:rPr>
            <m:t>(26)</m:t>
          </m:r>
        </m:oMath>
      </m:oMathPara>
    </w:p>
    <w:p>
      <w:pPr>
        <w:pStyle w:val="Текстовый блок"/>
        <w:spacing w:line="240" w:lineRule="atLeast"/>
      </w:pPr>
      <w:r>
        <w:rPr>
          <w:rtl w:val="0"/>
          <w:lang w:val="en-US"/>
        </w:rPr>
        <w:t xml:space="preserve">For retained modes, </w:t>
      </w:r>
      <m:oMath>
        <m:sSub>
          <m:e>
            <m:r>
              <m:t>ω</m:t>
            </m:r>
          </m:e>
          <m:sub>
            <m:r>
              <m:t>a,n</m:t>
            </m:r>
          </m:sub>
        </m:sSub>
        <m:r>
          <m:t>≥</m:t>
        </m:r>
        <m:d>
          <m:e>
            <m:r>
              <m:t>2c/π</m:t>
            </m:r>
          </m:e>
        </m:d>
        <m:sSub>
          <m:e>
            <m:r>
              <m:t>k</m:t>
            </m:r>
          </m:e>
          <m:sub>
            <m:r>
              <m:t>n</m:t>
            </m:r>
          </m:sub>
        </m:sSub>
      </m:oMath>
      <w:r>
        <w:rPr>
          <w:rtl w:val="0"/>
          <w:lang w:val="en-US"/>
        </w:rPr>
        <w:t xml:space="preserve">. Thus inverse square-root frequencies are uniformly bounded and the Fourier coefficients of a fixed smooth test provide a summable majorant. Pointwise frequency convergence and dominated convergence give convergence of the coefficient vectors in </w:t>
      </w:r>
      <m:oMath>
        <m:sSup>
          <m:e>
            <m:r>
              <m:rPr>
                <m:sty m:val="p"/>
              </m:rPr>
              <m:t>ℓ</m:t>
            </m:r>
          </m:e>
          <m:sup>
            <m:r>
              <m:t>2</m:t>
            </m:r>
          </m:sup>
        </m:sSup>
      </m:oMath>
      <w:r>
        <w:rPr>
          <w:rtl w:val="0"/>
          <w:lang w:val="en-US"/>
        </w:rPr>
        <w:t xml:space="preserve">, uniformly on compact times. For cells, the input mismatch </w:t>
      </w:r>
      <m:oMath>
        <m:r>
          <m:t>∥</m:t>
        </m:r>
        <m:sSub>
          <m:e>
            <m:r>
              <m:t>F</m:t>
            </m:r>
          </m:e>
          <m:sub>
            <m:r>
              <m:t>a</m:t>
            </m:r>
          </m:sub>
        </m:sSub>
        <m:r>
          <m:t>f−</m:t>
        </m:r>
        <m:sSub>
          <m:e>
            <m:r>
              <m:t>Q</m:t>
            </m:r>
          </m:e>
          <m:sub>
            <m:r>
              <m:t>a</m:t>
            </m:r>
          </m:sub>
        </m:sSub>
        <m:r>
          <m:t>f</m:t>
        </m:r>
        <m:sSub>
          <m:e>
            <m:r>
              <m:t>∥</m:t>
            </m:r>
          </m:e>
          <m:sub>
            <m:r>
              <m:t>a</m:t>
            </m:r>
          </m:sub>
        </m:sSub>
        <m:r>
          <m:t>→0</m:t>
        </m:r>
      </m:oMath>
      <w:r>
        <w:rPr>
          <w:rtl w:val="0"/>
          <w:lang w:val="en-US"/>
        </w:rPr>
        <w:t xml:space="preserve"> gives the same conclusion, since the least nonzero frequency has a positive uniform lower bound. The zero-mode averages agree exactly for both maps, so its coefficients converge without an infrared prescription. Time integration preserves these conclusions. Strong continuity of the Fock and Schr</w:t>
      </w:r>
      <w:r>
        <w:rPr>
          <w:rtl w:val="0"/>
          <w:lang w:val="en-US"/>
        </w:rPr>
        <w:t>ö</w:t>
      </w:r>
      <w:r>
        <w:rPr>
          <w:rtl w:val="0"/>
          <w:lang w:val="en-US"/>
        </w:rPr>
        <w:t>dinger Weyl representations proves the asserted strong convergence of the bounded operators.</w:t>
      </w:r>
    </w:p>
    <w:p>
      <w:pPr>
        <w:pStyle w:val="Текстовый блок"/>
        <w:spacing w:line="240" w:lineRule="atLeast"/>
      </w:pPr>
      <w:r>
        <w:rPr>
          <w:rtl w:val="0"/>
          <w:lang w:val="en-US"/>
        </w:rPr>
        <w:t>Finally the Weyl relations and the central commutator give the norm identity (25). The limiting d</w:t>
      </w:r>
      <w:r>
        <w:rPr>
          <w:rtl w:val="0"/>
          <w:lang w:val="en-US"/>
        </w:rPr>
        <w:t>’</w:t>
      </w:r>
      <w:r>
        <w:rPr>
          <w:rtl w:val="0"/>
          <w:lang w:val="en-US"/>
        </w:rPr>
        <w:t xml:space="preserve">Alembert kernel has support in </w:t>
      </w:r>
      <m:oMath>
        <m:sSub>
          <m:e>
            <m:r>
              <m:t>d</m:t>
            </m:r>
          </m:e>
          <m:sub>
            <m:sSup>
              <m:e>
                <m:r>
                  <m:t>S</m:t>
                </m:r>
              </m:e>
              <m:sup>
                <m:r>
                  <m:t>1</m:t>
                </m:r>
              </m:sup>
            </m:sSup>
          </m:sub>
        </m:sSub>
        <m:d>
          <m:e>
            <m:r>
              <m:t>x,y</m:t>
            </m:r>
          </m:e>
        </m:d>
        <m:r>
          <m:t>≤c</m:t>
        </m:r>
        <m:d>
          <m:dPr>
            <m:begChr m:val="|"/>
            <m:endChr m:val="|"/>
          </m:dPr>
          <m:e>
            <m:r>
              <m:t>t−s</m:t>
            </m:r>
          </m:e>
        </m:d>
      </m:oMath>
      <w:r>
        <w:rPr>
          <w:rtl w:val="0"/>
          <w:lang w:val="fr-FR"/>
        </w:rPr>
        <w:t xml:space="preserve">. Hence </w:t>
      </w:r>
      <m:oMath>
        <m:r>
          <m:rPr>
            <m:scr m:val="script"/>
          </m:rPr>
          <m:t>E</m:t>
        </m:r>
        <m:d>
          <m:e>
            <m:r>
              <m:t>F,G</m:t>
            </m:r>
          </m:e>
        </m:d>
        <m:r>
          <m:t>=0</m:t>
        </m:r>
      </m:oMath>
      <w:r>
        <w:rPr>
          <w:rtl w:val="0"/>
          <w:lang w:val="en-US"/>
        </w:rPr>
        <w:t xml:space="preserve"> for spacelike separated supports. Finite products and linear combinations generate commuting local algebras, giving microcausality in the usual algebraic sense [30, 31]. </w:t>
      </w:r>
      <m:oMath>
        <m:r>
          <m:rPr>
            <m:sty m:val="p"/>
          </m:rPr>
          <m:t>▫</m:t>
        </m:r>
      </m:oMath>
    </w:p>
    <w:p>
      <w:pPr>
        <w:pStyle w:val="Текстовый блок"/>
        <w:spacing w:line="240" w:lineRule="atLeast"/>
      </w:pPr>
      <w:r>
        <w:rPr>
          <w:rtl w:val="0"/>
          <w:lang w:val="en-US"/>
        </w:rPr>
        <w:t>These constructions also give convergence of products of the indicated Weyl observables in any fixed vector state on (20). For example, the tensor product of a normalised zero-mode wavepacket and the nonzero-mode Fock vacuum is permitted. There is no normalisable stationary ground state of the full massless scalar on this compact space, because its zero-mode Hamiltonian is a free particle. A limit of vacuum states is therefore not silently assumed.</w:t>
      </w:r>
    </w:p>
    <w:p>
      <w:pPr>
        <w:pStyle w:val="Текстовый блок"/>
        <w:spacing w:line="240" w:lineRule="atLeast"/>
      </w:pPr>
      <w:r>
        <w:rPr>
          <w:rtl w:val="0"/>
          <w:lang w:val="en-US"/>
        </w:rPr>
        <w:t>The difference between strong and norm statements matters: the individual Weyl operators converge strongly in the chosen representation, while the spacelike commutator norms tend to zero because their scalar symplectic coefficients do. We do not claim norm convergence of the individual Weyl operators.</w:t>
      </w:r>
      <w:bookmarkEnd w:id="16"/>
    </w:p>
    <w:p>
      <w:pPr>
        <w:pStyle w:val="Заголовок 3"/>
        <w:spacing w:line="240" w:lineRule="atLeast"/>
      </w:pPr>
      <w:bookmarkStart w:name="X54629197c7c66420ddc486ec980d82b58e36f3c" w:id="17"/>
      <w:r>
        <w:rPr>
          <w:rtl w:val="0"/>
          <w:lang w:val="en-US"/>
        </w:rPr>
        <w:t>5.3. Uniform exterior control and the essential zero mode</w:t>
      </w:r>
    </w:p>
    <w:p>
      <w:pPr>
        <w:pStyle w:val="Текстовый блок"/>
        <w:spacing w:line="240" w:lineRule="atLeast"/>
      </w:pPr>
      <w:r>
        <w:rPr>
          <w:rtl w:val="0"/>
          <w:lang w:val="en-US"/>
        </w:rPr>
        <w:t xml:space="preserve">For the site-density kernel </w:t>
      </w:r>
      <m:oMath>
        <m:sSub>
          <m:e>
            <m:r>
              <m:t>G</m:t>
            </m:r>
          </m:e>
          <m:sub>
            <m:r>
              <m:t>a,ij</m:t>
            </m:r>
          </m:sub>
        </m:sSub>
        <m:d>
          <m:e>
            <m:r>
              <m:t>t</m:t>
            </m:r>
          </m:e>
        </m:d>
        <m:r>
          <m:t>=</m:t>
        </m:r>
        <m:sSub>
          <m:e>
            <m:d>
              <m:dPr>
                <m:begChr m:val="["/>
                <m:endChr m:val="]"/>
              </m:dPr>
              <m:e>
                <m:sSub>
                  <m:e>
                    <m:r>
                      <m:t>S</m:t>
                    </m:r>
                  </m:e>
                  <m:sub>
                    <m:r>
                      <m:t>a</m:t>
                    </m:r>
                  </m:sub>
                </m:sSub>
                <m:d>
                  <m:e>
                    <m:r>
                      <m:t>t</m:t>
                    </m:r>
                  </m:e>
                </m:d>
              </m:e>
            </m:d>
          </m:e>
          <m:sub>
            <m:r>
              <m:t>ij</m:t>
            </m:r>
          </m:sub>
        </m:sSub>
        <m:r>
          <m:t>/a</m:t>
        </m:r>
      </m:oMath>
      <w:r>
        <w:rPr>
          <w:rtl w:val="0"/>
          <w:lang w:val="en-US"/>
        </w:rPr>
        <w:t>, the exterior estimate proved in [20] is</w:t>
      </w:r>
    </w:p>
    <w:p>
      <w:pPr>
        <w:pStyle w:val="Текстовый блок"/>
        <w:keepLines w:val="1"/>
        <w:spacing w:before="60" w:line="240" w:lineRule="atLeast"/>
        <w:jc w:val="center"/>
      </w:pPr>
      <m:oMathPara>
        <m:oMathParaPr>
          <m:jc m:val="center"/>
        </m:oMathParaPr>
        <m:oMath>
          <m:limLow>
            <m:e>
              <m:r>
                <m:rPr>
                  <m:sty m:val="p"/>
                </m:rPr>
                <m:t>sup</m:t>
              </m:r>
            </m:e>
            <m:lim>
              <m:r>
                <m:t>0≤t≤T</m:t>
              </m:r>
            </m:lim>
          </m:limLow>
          <m:r>
            <m:t/>
          </m:r>
          <m:limLow>
            <m:e>
              <m:r>
                <m:rPr>
                  <m:sty m:val="p"/>
                </m:rPr>
                <m:t>sup</m:t>
              </m:r>
            </m:e>
            <m:lim>
              <m:sSub>
                <m:e>
                  <m:r>
                    <m:t>d</m:t>
                  </m:r>
                </m:e>
                <m:sub>
                  <m:r>
                    <m:t>a</m:t>
                  </m:r>
                </m:sub>
              </m:sSub>
              <m:d>
                <m:e>
                  <m:r>
                    <m:t>i,j</m:t>
                  </m:r>
                </m:e>
              </m:d>
              <m:r>
                <m:t>&gt;ct+δ</m:t>
              </m:r>
            </m:lim>
          </m:limLow>
          <m:d>
            <m:dPr>
              <m:begChr m:val="|"/>
              <m:endChr m:val="|"/>
            </m:dPr>
            <m:e>
              <m:sSub>
                <m:e>
                  <m:r>
                    <m:t>G</m:t>
                  </m:r>
                </m:e>
                <m:sub>
                  <m:r>
                    <m:t>a,ij</m:t>
                  </m:r>
                </m:sub>
              </m:sSub>
              <m:d>
                <m:e>
                  <m:r>
                    <m:t>t</m:t>
                  </m:r>
                </m:e>
              </m:d>
            </m:e>
          </m:d>
          <m:r>
            <m:t>≤</m:t>
          </m:r>
          <m:f>
            <m:fPr>
              <m:type m:val="bar"/>
            </m:fPr>
            <m:num>
              <m:r>
                <m:t>2T</m:t>
              </m:r>
            </m:num>
            <m:den>
              <m:r>
                <m:t>a</m:t>
              </m:r>
              <m:d>
                <m:e>
                  <m:r>
                    <m:t>1−</m:t>
                  </m:r>
                  <m:sSup>
                    <m:e>
                      <m:r>
                        <m:t>e</m:t>
                      </m:r>
                    </m:e>
                    <m:sup>
                      <m:r>
                        <m:t>−2θ</m:t>
                      </m:r>
                      <m:r>
                        <m:rPr>
                          <m:scr m:val="script"/>
                        </m:rPr>
                        <m:t>L</m:t>
                      </m:r>
                      <m:r>
                        <m:t>/a</m:t>
                      </m:r>
                    </m:sup>
                  </m:sSup>
                </m:e>
              </m:d>
            </m:den>
          </m:f>
          <m:sSup>
            <m:e>
              <m:r>
                <m:t>e</m:t>
              </m:r>
            </m:e>
            <m:sup>
              <m:r>
                <m:t>−b</m:t>
              </m:r>
              <m:d>
                <m:e>
                  <m:r>
                    <m:t>T,δ</m:t>
                  </m:r>
                </m:e>
              </m:d>
              <m:r>
                <m:t>/a</m:t>
              </m:r>
            </m:sup>
          </m:sSup>
          <m:r>
            <m:t>,</m:t>
          </m:r>
          <m:r>
            <m:rPr>
              <m:nor/>
            </m:rPr>
            <m:t>(27)</m:t>
          </m:r>
        </m:oMath>
      </m:oMathPara>
    </w:p>
    <w:p>
      <w:pPr>
        <w:pStyle w:val="Текстовый блок"/>
        <w:keepLines w:val="1"/>
        <w:spacing w:before="60" w:line="240" w:lineRule="atLeast"/>
        <w:jc w:val="center"/>
      </w:pPr>
      <m:oMathPara>
        <m:oMathParaPr>
          <m:jc m:val="center"/>
        </m:oMathParaPr>
        <m:oMath>
          <m:m>
            <m:mPr>
              <m:baseJc m:val="center"/>
              <m:plcHide m:val="on"/>
              <m:mcs>
                <m:mc>
                  <m:mcPr>
                    <m:count m:val="2"/>
                    <m:mcJc m:val="center"/>
                  </m:mcPr>
                </m:mc>
              </m:mcs>
            </m:mPr>
            <m:mr>
              <m:e>
                <m:r>
                  <m:t>θ</m:t>
                </m:r>
              </m:e>
              <m:e>
                <m:r>
                  <m:t>=</m:t>
                </m:r>
                <m:r>
                  <m:rPr>
                    <m:sty m:val="p"/>
                  </m:rPr>
                  <m:t>arcosh</m:t>
                </m:r>
                <m:d>
                  <m:e>
                    <m:r>
                      <m:t>1+</m:t>
                    </m:r>
                    <m:f>
                      <m:fPr>
                        <m:type m:val="bar"/>
                      </m:fPr>
                      <m:num>
                        <m:r>
                          <m:t>δ</m:t>
                        </m:r>
                      </m:num>
                      <m:den>
                        <m:r>
                          <m:t>cT</m:t>
                        </m:r>
                      </m:den>
                    </m:f>
                  </m:e>
                </m:d>
                <m:r>
                  <m:t>,</m:t>
                </m:r>
              </m:e>
            </m:mr>
            <m:mr>
              <m:e>
                <m:r>
                  <m:t>b</m:t>
                </m:r>
                <m:d>
                  <m:e>
                    <m:r>
                      <m:t>T,δ</m:t>
                    </m:r>
                  </m:e>
                </m:d>
              </m:e>
              <m:e>
                <m:r>
                  <m:t>=2{δθ−cT</m:t>
                </m:r>
                <m:d>
                  <m:e>
                    <m:r>
                      <m:rPr>
                        <m:sty m:val="p"/>
                      </m:rPr>
                      <m:t>sinh</m:t>
                    </m:r>
                    <m:r>
                      <m:t>θ−θ</m:t>
                    </m:r>
                  </m:e>
                </m:d>
                <m:r>
                  <m:t>}&gt;0.</m:t>
                </m:r>
              </m:e>
            </m:mr>
          </m:m>
          <m:r>
            <m:t/>
          </m:r>
          <m:r>
            <m:rPr>
              <m:nor/>
            </m:rPr>
            <m:t>(28)</m:t>
          </m:r>
        </m:oMath>
      </m:oMathPara>
    </w:p>
    <w:p>
      <w:pPr>
        <w:pStyle w:val="Текстовый блок"/>
        <w:spacing w:line="240" w:lineRule="atLeast"/>
      </w:pPr>
    </w:p>
    <w:p>
      <w:pPr>
        <w:pStyle w:val="Текстовый блок"/>
        <w:spacing w:line="240" w:lineRule="atLeast"/>
      </w:pPr>
      <w:r>
        <w:rPr>
          <w:rtl w:val="0"/>
          <w:lang w:val="en-US"/>
        </w:rPr>
        <w:t xml:space="preserve">Equation (24) transfers this bound directly to the coefficient of the coordinate commutator, with factor </w:t>
      </w:r>
      <m:oMath>
        <m:r>
          <m:rPr>
            <m:sty m:val="p"/>
          </m:rPr>
          <m:t>ℏ</m:t>
        </m:r>
      </m:oMath>
      <w:r>
        <w:rPr>
          <w:rtl w:val="0"/>
          <w:lang w:val="en-US"/>
        </w:rPr>
        <w:t xml:space="preserve">. It is a bound on a central coefficient, not an operator-norm bound on an unbounded field. It holds for every fixed </w:t>
      </w:r>
      <m:oMath>
        <m:r>
          <m:t>T,δ&gt;0</m:t>
        </m:r>
      </m:oMath>
      <w:r>
        <w:rPr>
          <w:rtl w:val="0"/>
          <w:lang w:val="en-US"/>
        </w:rPr>
        <w:t xml:space="preserve">; uniform boundary convergence at </w:t>
      </w:r>
      <m:oMath>
        <m:r>
          <m:t>δ=0</m:t>
        </m:r>
      </m:oMath>
      <w:r>
        <w:rPr>
          <w:rtl w:val="0"/>
          <w:lang w:val="en-US"/>
        </w:rPr>
        <w:t xml:space="preserve"> is not claimed. The exact finite system has no sharp causal support. Distributional convergence and (27) are compatible with oscillations near the limiting front.</w:t>
      </w:r>
    </w:p>
    <w:p>
      <w:pPr>
        <w:pStyle w:val="Captioned Figure"/>
        <w:spacing w:after="80" w:line="240" w:lineRule="atLeast"/>
      </w:pPr>
      <w:r>
        <w:drawing>
          <wp:inline distT="0" distB="0" distL="0" distR="0">
            <wp:extent cx="5892800" cy="2354965"/>
            <wp:effectExtent l="0" t="0" r="0" b="0"/>
            <wp:docPr id="1073741833" name="officeArt object" descr="Figure 3. A: sampled exterior coordinate-commutator coefficients for c=\hbar=1, T=0.8, \delta=0.25, compared with the bound over the full time interval. B: commutator norms of two fixed interval-smeared Weyl observables, using Fourier or cell reconstruction. Their continuum commutator vanishes. Fourier errors need not decrease monotonically. Values near the dotted numerical floor do not establish exact zeros."/>
            <wp:cNvGraphicFramePr/>
            <a:graphic xmlns:a="http://schemas.openxmlformats.org/drawingml/2006/main">
              <a:graphicData uri="http://schemas.openxmlformats.org/drawingml/2006/picture">
                <pic:pic xmlns:pic="http://schemas.openxmlformats.org/drawingml/2006/picture">
                  <pic:nvPicPr>
                    <pic:cNvPr id="1073741833" name="Figure 3. A: sampled exterior coordinate-commutator coefficients for c=\hbar=1, T=0.8, \delta=0.25, compared with the bound over the full time interval. B: commutator norms of two fixed interval-smeared Weyl observables, using Fourier or cell reconstruction. Their continuum commutator vanishes. Fourier errors need not decrease monotonically. Values near the dotted numerical floor do not establish exact zeros." descr="Figure 3. A: sampled exterior coordinate-commutator coefficients for c=\hbar=1, T=0.8, \delta=0.25, compared with the bound over the full time interval. B: commutator norms of two fixed interval-smeared Weyl observables, using Fourier or cell reconstruction. Their continuum commutator vanishes. Fourier errors need not decrease monotonically. Values near the dotted numerical floor do not establish exact zeros."/>
                    <pic:cNvPicPr>
                      <a:picLocks noChangeAspect="1"/>
                    </pic:cNvPicPr>
                  </pic:nvPicPr>
                  <pic:blipFill>
                    <a:blip r:embed="rId12">
                      <a:extLst/>
                    </a:blip>
                    <a:stretch>
                      <a:fillRect/>
                    </a:stretch>
                  </pic:blipFill>
                  <pic:spPr>
                    <a:xfrm>
                      <a:off x="0" y="0"/>
                      <a:ext cx="5892800" cy="2354965"/>
                    </a:xfrm>
                    <a:prstGeom prst="rect">
                      <a:avLst/>
                    </a:prstGeom>
                    <a:ln w="12700" cap="flat">
                      <a:noFill/>
                      <a:miter lim="400000"/>
                    </a:ln>
                    <a:effectLst/>
                  </pic:spPr>
                </pic:pic>
              </a:graphicData>
            </a:graphic>
          </wp:inline>
        </w:drawing>
      </w:r>
    </w:p>
    <w:p>
      <w:pPr>
        <w:pStyle w:val="caption"/>
        <w:spacing w:before="60" w:after="120" w:line="240" w:lineRule="atLeast"/>
      </w:pPr>
      <w:r>
        <w:rPr>
          <w:rtl w:val="0"/>
          <w:lang w:val="en-US"/>
        </w:rPr>
        <w:t xml:space="preserve">Figure 3. A: sampled exterior coordinate-commutator coefficients for </w:t>
      </w:r>
      <m:oMath>
        <m:r>
          <m:t>c=</m:t>
        </m:r>
        <m:r>
          <m:rPr>
            <m:sty m:val="p"/>
          </m:rPr>
          <m:t>ℏ</m:t>
        </m:r>
        <m:r>
          <m:t>=1</m:t>
        </m:r>
      </m:oMath>
      <w:r>
        <w:rPr>
          <w:rtl w:val="0"/>
          <w:lang w:val="en-US"/>
        </w:rPr>
        <w:t xml:space="preserve">, </w:t>
      </w:r>
      <m:oMath>
        <m:r>
          <m:t>T=0.8</m:t>
        </m:r>
      </m:oMath>
      <w:r>
        <w:rPr>
          <w:rtl w:val="0"/>
          <w:lang w:val="en-US"/>
        </w:rPr>
        <w:t xml:space="preserve">, </w:t>
      </w:r>
      <m:oMath>
        <m:r>
          <m:t>δ=0.25</m:t>
        </m:r>
      </m:oMath>
      <w:r>
        <w:rPr>
          <w:rtl w:val="0"/>
          <w:lang w:val="en-US"/>
        </w:rPr>
        <w:t>, compared with the bound over the full time interval. B: commutator norms of two fixed interval-smeared Weyl observables, using Fourier or cell reconstruction. Their continuum commutator vanishes. Fourier errors need not decrease monotonically. Values near the dotted numerical floor do not establish exact zeros.</w:t>
      </w:r>
    </w:p>
    <w:p>
      <w:pPr>
        <w:pStyle w:val="Текстовый блок"/>
        <w:spacing w:line="240" w:lineRule="atLeast"/>
      </w:pPr>
      <w:r>
        <w:rPr>
          <w:rtl w:val="0"/>
          <w:lang w:val="en-US"/>
        </w:rPr>
        <w:t xml:space="preserve">Deleting the scalar zero mode is not an innocuous way of obtaining a vacuum while keeping the same local field. If </w:t>
      </w:r>
      <m:oMath>
        <m:sSub>
          <m:e>
            <m:r>
              <m:rPr>
                <m:sty m:val="p"/>
                <m:scr m:val="sans-serif"/>
              </m:rPr>
              <m:t>P</m:t>
            </m:r>
          </m:e>
          <m:sub>
            <m:r>
              <m:t>0</m:t>
            </m:r>
          </m:sub>
        </m:sSub>
      </m:oMath>
      <w:r>
        <w:rPr>
          <w:rtl w:val="0"/>
          <w:lang w:val="en-US"/>
        </w:rPr>
        <w:t xml:space="preserve"> projects onto constants, then the altered response is</w:t>
      </w:r>
    </w:p>
    <w:p>
      <w:pPr>
        <w:pStyle w:val="Текстовый блок"/>
        <w:keepLines w:val="1"/>
        <w:spacing w:before="60" w:line="240" w:lineRule="atLeast"/>
        <w:jc w:val="center"/>
      </w:pPr>
      <m:oMathPara>
        <m:oMathParaPr>
          <m:jc m:val="center"/>
        </m:oMathParaPr>
        <m:oMath>
          <m:sSup>
            <m:e>
              <m:r>
                <m:t>S</m:t>
              </m:r>
            </m:e>
            <m:sup>
              <m:r>
                <m:t>⊥</m:t>
              </m:r>
            </m:sup>
          </m:sSup>
          <m:d>
            <m:e>
              <m:r>
                <m:t>t</m:t>
              </m:r>
            </m:e>
          </m:d>
          <m:r>
            <m:t>=S</m:t>
          </m:r>
          <m:d>
            <m:e>
              <m:r>
                <m:t>t</m:t>
              </m:r>
            </m:e>
          </m:d>
          <m:r>
            <m:t>−t</m:t>
          </m:r>
          <m:sSub>
            <m:e>
              <m:r>
                <m:rPr>
                  <m:sty m:val="p"/>
                  <m:scr m:val="sans-serif"/>
                </m:rPr>
                <m:t>P</m:t>
              </m:r>
            </m:e>
            <m:sub>
              <m:r>
                <m:t>0</m:t>
              </m:r>
            </m:sub>
          </m:sSub>
          <m:r>
            <m:t>,</m:t>
          </m:r>
          <m:sSup>
            <m:e>
              <m:r>
                <m:t>G</m:t>
              </m:r>
            </m:e>
            <m:sup>
              <m:r>
                <m:t>⊥</m:t>
              </m:r>
            </m:sup>
          </m:sSup>
          <m:d>
            <m:e>
              <m:r>
                <m:t>t;x,y</m:t>
              </m:r>
            </m:e>
          </m:d>
          <m:r>
            <m:t>=G</m:t>
          </m:r>
          <m:d>
            <m:e>
              <m:r>
                <m:t>t;x,y</m:t>
              </m:r>
            </m:e>
          </m:d>
          <m:r>
            <m:t>−</m:t>
          </m:r>
          <m:f>
            <m:fPr>
              <m:type m:val="bar"/>
            </m:fPr>
            <m:num>
              <m:r>
                <m:t>t</m:t>
              </m:r>
            </m:num>
            <m:den>
              <m:r>
                <m:rPr>
                  <m:scr m:val="script"/>
                </m:rPr>
                <m:t>L</m:t>
              </m:r>
            </m:den>
          </m:f>
          <m:r>
            <m:t>.</m:t>
          </m:r>
          <m:r>
            <m:rPr>
              <m:nor/>
            </m:rPr>
            <m:t>(29)</m:t>
          </m:r>
        </m:oMath>
      </m:oMathPara>
    </w:p>
    <w:p>
      <w:pPr>
        <w:pStyle w:val="Текстовый блок"/>
        <w:spacing w:line="240" w:lineRule="atLeast"/>
      </w:pPr>
      <w:r>
        <w:rPr>
          <w:rtl w:val="0"/>
          <w:lang w:val="en-US"/>
        </w:rPr>
        <w:t xml:space="preserve">Outside the wave cone, the full kernel is zero but the second kernel is generally </w:t>
      </w:r>
      <m:oMath>
        <m:r>
          <m:t>−t/</m:t>
        </m:r>
        <m:r>
          <m:rPr>
            <m:scr m:val="script"/>
          </m:rPr>
          <m:t>L</m:t>
        </m:r>
      </m:oMath>
      <w:r>
        <w:rPr>
          <w:rtl w:val="0"/>
          <w:lang w:val="en-US"/>
        </w:rPr>
        <w:t xml:space="preserve">. The reduced equal-time bracket is likewise </w:t>
      </w:r>
      <m:oMath>
        <m:r>
          <m:t>δ</m:t>
        </m:r>
        <m:d>
          <m:e>
            <m:r>
              <m:t>x−y</m:t>
            </m:r>
          </m:e>
        </m:d>
        <m:r>
          <m:t>−1/</m:t>
        </m:r>
        <m:r>
          <m:rPr>
            <m:scr m:val="script"/>
          </m:rPr>
          <m:t>L</m:t>
        </m:r>
      </m:oMath>
      <w:r>
        <w:rPr>
          <w:rtl w:val="0"/>
          <w:lang w:val="en-US"/>
        </w:rPr>
        <w:t>. Removing a canonical degree of freedom changes the observable algebra. Mean-zero test observables, derivative fields or a mass regulator can be treated consistently as different constructions; one cannot remove the mode and still claim locality of the original scalar field for arbitrary local tests.</w:t>
      </w:r>
    </w:p>
    <w:p>
      <w:pPr>
        <w:pStyle w:val="Captioned Figure"/>
        <w:spacing w:after="80" w:line="240" w:lineRule="atLeast"/>
      </w:pPr>
      <w:r>
        <w:drawing>
          <wp:inline distT="0" distB="0" distL="0" distR="0">
            <wp:extent cx="5892800" cy="2221315"/>
            <wp:effectExtent l="0" t="0" r="0" b="0"/>
            <wp:docPr id="1073741834" name="officeArt object" descr="Figure 4. A: removing the zero mode shifts the kernel by -t/\mathcal L, producing a nonlocal exterior contribution even after refinement. B: strong unitary convergence illustrated on a fixed superposition of the vacuum and a finite-occupation state. The free zero-mode evolution is identical in the two descriptions and cancels from this norm comparison."/>
            <wp:cNvGraphicFramePr/>
            <a:graphic xmlns:a="http://schemas.openxmlformats.org/drawingml/2006/main">
              <a:graphicData uri="http://schemas.openxmlformats.org/drawingml/2006/picture">
                <pic:pic xmlns:pic="http://schemas.openxmlformats.org/drawingml/2006/picture">
                  <pic:nvPicPr>
                    <pic:cNvPr id="1073741834" name="Figure 4. A: removing the zero mode shifts the kernel by -t/\mathcal L, producing a nonlocal exterior contribution even after refinement. B: strong unitary convergence illustrated on a fixed superposition of the vacuum and a finite-occupation state. The free zero-mode evolution is identical in the two descriptions and cancels from this norm comparison." descr="Figure 4. A: removing the zero mode shifts the kernel by -t/\mathcal L, producing a nonlocal exterior contribution even after refinement. B: strong unitary convergence illustrated on a fixed superposition of the vacuum and a finite-occupation state. The free zero-mode evolution is identical in the two descriptions and cancels from this norm comparison."/>
                    <pic:cNvPicPr>
                      <a:picLocks noChangeAspect="1"/>
                    </pic:cNvPicPr>
                  </pic:nvPicPr>
                  <pic:blipFill>
                    <a:blip r:embed="rId13">
                      <a:extLst/>
                    </a:blip>
                    <a:stretch>
                      <a:fillRect/>
                    </a:stretch>
                  </pic:blipFill>
                  <pic:spPr>
                    <a:xfrm>
                      <a:off x="0" y="0"/>
                      <a:ext cx="5892800" cy="2221315"/>
                    </a:xfrm>
                    <a:prstGeom prst="rect">
                      <a:avLst/>
                    </a:prstGeom>
                    <a:ln w="12700" cap="flat">
                      <a:noFill/>
                      <a:miter lim="400000"/>
                    </a:ln>
                    <a:effectLst/>
                  </pic:spPr>
                </pic:pic>
              </a:graphicData>
            </a:graphic>
          </wp:inline>
        </w:drawing>
      </w:r>
    </w:p>
    <w:p>
      <w:pPr>
        <w:pStyle w:val="caption"/>
        <w:spacing w:before="60" w:after="120" w:line="240" w:lineRule="atLeast"/>
      </w:pPr>
      <w:r>
        <w:rPr>
          <w:rtl w:val="0"/>
          <w:lang w:val="en-US"/>
        </w:rPr>
        <w:t xml:space="preserve">Figure 4. A: removing the zero mode shifts the kernel by </w:t>
      </w:r>
      <m:oMath>
        <m:r>
          <m:t>−t/</m:t>
        </m:r>
        <m:r>
          <m:rPr>
            <m:scr m:val="script"/>
          </m:rPr>
          <m:t>L</m:t>
        </m:r>
      </m:oMath>
      <w:r>
        <w:rPr>
          <w:rtl w:val="0"/>
          <w:lang w:val="en-US"/>
        </w:rPr>
        <w:t>, producing a nonlocal exterior contribution even after refinement. B: strong unitary convergence illustrated on a fixed superposition of the vacuum and a finite-occupation state. The free zero-mode evolution is identical in the two descriptions and cancels from this norm comparison.</w:t>
      </w:r>
    </w:p>
    <w:p>
      <w:pPr>
        <w:pStyle w:val="Текстовый блок"/>
        <w:spacing w:line="240" w:lineRule="atLeast"/>
      </w:pPr>
    </w:p>
    <w:p>
      <w:pPr>
        <w:pStyle w:val="Текстовый блок"/>
        <w:spacing w:line="240" w:lineRule="atLeast"/>
      </w:pPr>
      <w:r>
        <w:rPr>
          <w:rtl w:val="0"/>
          <w:lang w:val="en-US"/>
        </w:rPr>
        <w:t>The existence of rigorous lattice-to-field constructions is established prior work. In particular, Morinelli, Morsella, Stottmeister and Tanimoto build local free-field nets through wavelet scaling maps, with results on states, dynamics and locality [32]. Harmonic Lieb</w:t>
      </w:r>
      <w:r>
        <w:rPr>
          <w:rtl w:val="0"/>
          <w:lang w:val="en-US"/>
        </w:rPr>
        <w:t>–</w:t>
      </w:r>
      <w:r>
        <w:rPr>
          <w:rtl w:val="0"/>
          <w:lang w:val="en-US"/>
        </w:rPr>
        <w:t>Robinson bounds [8] control finite-lattice propagation. Our theorem is a simpler massless finite-volume control with an explicit zero-mode representation, calibrated wave speed and comparison of two reconstruction maps. It is not a claim that compatibility of microscopic unitarity with continuum locality is newly discovered.</w:t>
      </w:r>
      <w:bookmarkEnd w:id="17"/>
    </w:p>
    <w:p>
      <w:pPr>
        <w:pStyle w:val="Заголовок 2"/>
        <w:spacing w:line="240" w:lineRule="atLeast"/>
      </w:pPr>
      <w:bookmarkStart w:name="Xdd0a27f3d80428688d54611025a266339b1a3e5" w:id="18"/>
      <w:r>
        <w:rPr>
          <w:rtl w:val="0"/>
          <w:lang w:val="en-US"/>
        </w:rPr>
        <w:t>6. Orientation, clocks and the conformal scale</w:t>
      </w:r>
      <w:bookmarkEnd w:id="18"/>
    </w:p>
    <w:p>
      <w:pPr>
        <w:pStyle w:val="Заголовок 3"/>
        <w:spacing w:line="240" w:lineRule="atLeast"/>
      </w:pPr>
      <w:bookmarkStart w:name="fourdistinctstructures" w:id="19"/>
      <w:r>
        <w:rPr>
          <w:rtl w:val="0"/>
          <w:lang w:val="fr-FR"/>
        </w:rPr>
        <w:t>6.1. Four distinct structures</w:t>
      </w:r>
    </w:p>
    <w:p>
      <w:pPr>
        <w:pStyle w:val="Текстовый блок"/>
        <w:spacing w:line="240" w:lineRule="atLeast"/>
      </w:pPr>
      <w:r>
        <w:rPr>
          <w:rtl w:val="0"/>
          <w:lang w:val="en-US"/>
        </w:rPr>
        <w:t xml:space="preserve">An unoriented Lorentzian cone, agreement of sector calibrations, a time orientation and a thermodynamic arrow are four different data. A deterministic orientation selector </w:t>
      </w:r>
      <m:oMath>
        <m:r>
          <m:t>ϵ</m:t>
        </m:r>
        <m:d>
          <m:e>
            <m:r>
              <m:t>R</m:t>
            </m:r>
          </m:e>
        </m:d>
        <m:r>
          <m:t>∈{+1,−1}</m:t>
        </m:r>
      </m:oMath>
      <w:r>
        <w:rPr>
          <w:rtl w:val="0"/>
          <w:lang w:val="en-US"/>
        </w:rPr>
        <w:t xml:space="preserve"> cannot depend only on time-reversal-even data and obey </w:t>
      </w:r>
      <m:oMath>
        <m:r>
          <m:t>ϵ</m:t>
        </m:r>
        <m:d>
          <m:e>
            <m:r>
              <m:t>ΘR</m:t>
            </m:r>
          </m:e>
        </m:d>
        <m:r>
          <m:t>=−ϵ</m:t>
        </m:r>
        <m:d>
          <m:e>
            <m:r>
              <m:t>R</m:t>
            </m:r>
          </m:e>
        </m:d>
      </m:oMath>
      <w:r>
        <w:rPr>
          <w:rtl w:val="0"/>
          <w:lang w:val="en-US"/>
        </w:rPr>
        <w:t xml:space="preserve"> when </w:t>
      </w:r>
      <m:oMath>
        <m:r>
          <m:t>ΘR=R</m:t>
        </m:r>
      </m:oMath>
      <w:r>
        <w:rPr>
          <w:rtl w:val="0"/>
          <w:lang w:val="en-US"/>
        </w:rPr>
        <w:t>: those requirements contradict each other. This elementary obstruction from [20] survives quantisation; unitarity does not select a future.</w:t>
      </w:r>
    </w:p>
    <w:p>
      <w:pPr>
        <w:pStyle w:val="Текстовый блок"/>
        <w:spacing w:line="240" w:lineRule="atLeast"/>
      </w:pPr>
      <w:r>
        <w:rPr>
          <w:rtl w:val="0"/>
          <w:lang w:val="en-US"/>
        </w:rPr>
        <w:t>Given a smooth Lorentzian conformal cone field, selecting a continuous component of the timelike cones is precisely the additional time-orientation datum. Such a selection exists globally only when the spacetime is time orientable; equivalently, it admits a continuous nowhere-zero timelike vector field. A globally monotone clock is stronger. For example, a temporal function with timelike gradient supplies a global orientation and excludes closed causal curves, whereas a time-oriented spacetime may still contain such curves. Standard causal-hierarchy and low-regularity qualifications are discussed in [29]. Our control cylinder has an externally specified nonperiodic time parameter; making that time periodic would preserve the local cone while introducing closed timelike curves.</w:t>
      </w:r>
    </w:p>
    <w:p>
      <w:pPr>
        <w:pStyle w:val="Текстовый блок"/>
        <w:spacing w:line="240" w:lineRule="atLeast"/>
      </w:pPr>
      <w:r>
        <w:rPr>
          <w:rtl w:val="0"/>
          <w:lang w:val="en-US"/>
        </w:rPr>
        <w:t xml:space="preserve">A retarded response further includes an initial-value or preparation convention. A thermodynamic arrow would require additional statistical and state information. Neither is a consequence of setting </w:t>
      </w:r>
      <m:oMath>
        <m:r>
          <m:t>c=1</m:t>
        </m:r>
      </m:oMath>
      <w:r>
        <w:rPr>
          <w:rtl w:val="0"/>
        </w:rPr>
        <w:t>.</w:t>
      </w:r>
      <w:bookmarkEnd w:id="19"/>
    </w:p>
    <w:p>
      <w:pPr>
        <w:pStyle w:val="Заголовок 3"/>
        <w:spacing w:line="240" w:lineRule="atLeast"/>
      </w:pPr>
      <w:bookmarkStart w:name="Xf3245b207e172b9b0acfd3351c29bb2d2b40655" w:id="20"/>
      <w:r>
        <w:rPr>
          <w:rtl w:val="0"/>
          <w:lang w:val="en-US"/>
        </w:rPr>
        <w:t>6.2. Relative calibration leaves an arbitrary common scale</w:t>
      </w:r>
    </w:p>
    <w:p>
      <w:pPr>
        <w:pStyle w:val="Текстовый блок"/>
        <w:spacing w:line="240" w:lineRule="atLeast"/>
      </w:pPr>
      <w:r>
        <w:rPr>
          <w:rtl w:val="0"/>
          <w:lang w:val="en-US"/>
        </w:rPr>
        <w:t xml:space="preserve">Choose a representative </w:t>
      </w:r>
      <m:oMath>
        <m:r>
          <m:t>g</m:t>
        </m:r>
      </m:oMath>
      <w:r>
        <w:rPr>
          <w:rtl w:val="0"/>
          <w:lang w:val="en-US"/>
        </w:rPr>
        <w:t xml:space="preserve"> of the reconstructed conformal class and a local unit timelike observer </w:t>
      </w:r>
      <m:oMath>
        <m:r>
          <m:t>u</m:t>
        </m:r>
      </m:oMath>
      <w:r>
        <w:rPr>
          <w:rtl w:val="0"/>
          <w:lang w:val="en-US"/>
        </w:rPr>
        <w:t xml:space="preserve">, using length units so that </w:t>
      </w:r>
      <m:oMath>
        <m:r>
          <m:t>g</m:t>
        </m:r>
        <m:d>
          <m:e>
            <m:r>
              <m:t>u,u</m:t>
            </m:r>
          </m:e>
        </m:d>
        <m:r>
          <m:t>=−1</m:t>
        </m:r>
      </m:oMath>
      <w:r>
        <w:rPr>
          <w:rtl w:val="0"/>
          <w:lang w:val="en-US"/>
        </w:rPr>
        <w:t xml:space="preserve">. For a tangent displacement </w:t>
      </w:r>
      <m:oMath>
        <m:r>
          <m:t>X</m:t>
        </m:r>
      </m:oMath>
      <w:r>
        <w:rPr>
          <w:rtl w:val="0"/>
          <w:lang w:val="en-US"/>
        </w:rPr>
        <w:t>, set</w:t>
      </w:r>
    </w:p>
    <w:p>
      <w:pPr>
        <w:pStyle w:val="Текстовый блок"/>
        <w:keepLines w:val="1"/>
        <w:spacing w:before="60" w:line="240" w:lineRule="atLeast"/>
        <w:jc w:val="center"/>
      </w:pPr>
      <m:oMathPara>
        <m:oMathParaPr>
          <m:jc m:val="center"/>
        </m:oMathParaPr>
        <m:oMath>
          <m:sSub>
            <m:e>
              <m:r>
                <m:t>τ</m:t>
              </m:r>
            </m:e>
            <m:sub>
              <m:r>
                <m:t>u</m:t>
              </m:r>
            </m:sub>
          </m:sSub>
          <m:d>
            <m:e>
              <m:r>
                <m:t>X</m:t>
              </m:r>
            </m:e>
          </m:d>
          <m:r>
            <m:t>=−g</m:t>
          </m:r>
          <m:d>
            <m:e>
              <m:r>
                <m:t>u,X</m:t>
              </m:r>
            </m:e>
          </m:d>
          <m:r>
            <m:t>,</m:t>
          </m:r>
          <m:sSub>
            <m:e>
              <m:r>
                <m:t>X</m:t>
              </m:r>
            </m:e>
            <m:sub>
              <m:r>
                <m:t>⊥</m:t>
              </m:r>
            </m:sub>
          </m:sSub>
          <m:r>
            <m:t>=X−</m:t>
          </m:r>
          <m:sSub>
            <m:e>
              <m:r>
                <m:t>τ</m:t>
              </m:r>
            </m:e>
            <m:sub>
              <m:r>
                <m:t>u</m:t>
              </m:r>
            </m:sub>
          </m:sSub>
          <m:d>
            <m:e>
              <m:r>
                <m:t>X</m:t>
              </m:r>
            </m:e>
          </m:d>
          <m:r>
            <m:t>u,</m:t>
          </m:r>
          <m:sSub>
            <m:e>
              <m:r>
                <m:rPr>
                  <m:sty m:val="p"/>
                </m:rPr>
                <m:t>ℓ</m:t>
              </m:r>
            </m:e>
            <m:sub>
              <m:r>
                <m:t>u</m:t>
              </m:r>
            </m:sub>
          </m:sSub>
          <m:d>
            <m:e>
              <m:r>
                <m:t>X</m:t>
              </m:r>
            </m:e>
          </m:d>
          <m:r>
            <m:t>=</m:t>
          </m:r>
          <m:rad>
            <m:radPr>
              <m:degHide m:val="on"/>
            </m:radPr>
            <m:deg/>
            <m:e>
              <m:r>
                <m:t>g</m:t>
              </m:r>
              <m:d>
                <m:e>
                  <m:sSub>
                    <m:e>
                      <m:r>
                        <m:t>X</m:t>
                      </m:r>
                    </m:e>
                    <m:sub>
                      <m:r>
                        <m:t>⊥</m:t>
                      </m:r>
                    </m:sub>
                  </m:sSub>
                  <m:r>
                    <m:t>,</m:t>
                  </m:r>
                  <m:sSub>
                    <m:e>
                      <m:r>
                        <m:t>X</m:t>
                      </m:r>
                    </m:e>
                    <m:sub>
                      <m:r>
                        <m:t>⊥</m:t>
                      </m:r>
                    </m:sub>
                  </m:sSub>
                </m:e>
              </m:d>
            </m:e>
          </m:rad>
          <m:r>
            <m:t>.</m:t>
          </m:r>
          <m:r>
            <m:rPr>
              <m:nor/>
            </m:rPr>
            <m:t>(30)</m:t>
          </m:r>
        </m:oMath>
      </m:oMathPara>
    </w:p>
    <w:p>
      <w:pPr>
        <w:pStyle w:val="Текстовый блок"/>
        <w:spacing w:line="240" w:lineRule="atLeast"/>
      </w:pPr>
      <w:r>
        <w:rPr>
          <w:rtl w:val="0"/>
          <w:lang w:val="en-US"/>
        </w:rPr>
        <w:t xml:space="preserve">On the null cone, </w:t>
      </w:r>
      <m:oMath>
        <m:sSub>
          <m:e>
            <m:r>
              <m:rPr>
                <m:sty m:val="p"/>
              </m:rPr>
              <m:t>ℓ</m:t>
            </m:r>
          </m:e>
          <m:sub>
            <m:r>
              <m:t>u</m:t>
            </m:r>
          </m:sub>
        </m:sSub>
        <m:d>
          <m:e>
            <m:r>
              <m:t>X</m:t>
            </m:r>
          </m:e>
        </m:d>
        <m:r>
          <m:t>=</m:t>
        </m:r>
        <m:d>
          <m:dPr>
            <m:begChr m:val="|"/>
            <m:endChr m:val="|"/>
          </m:dPr>
          <m:e>
            <m:sSub>
              <m:e>
                <m:r>
                  <m:t>τ</m:t>
                </m:r>
              </m:e>
              <m:sub>
                <m:r>
                  <m:t>u</m:t>
                </m:r>
              </m:sub>
            </m:sSub>
            <m:d>
              <m:e>
                <m:r>
                  <m:t>X</m:t>
                </m:r>
              </m:e>
            </m:d>
          </m:e>
        </m:d>
      </m:oMath>
      <w:r>
        <w:rPr>
          <w:rtl w:val="0"/>
          <w:lang w:val="en-US"/>
        </w:rPr>
        <w:t xml:space="preserve">. Restoring a time unit converts this relation to </w:t>
      </w:r>
      <m:oMath>
        <m:r>
          <m:t>d</m:t>
        </m:r>
        <m:r>
          <m:rPr>
            <m:sty m:val="p"/>
          </m:rPr>
          <m:t>ℓ</m:t>
        </m:r>
        <m:r>
          <m:t>=cdτ</m:t>
        </m:r>
      </m:oMath>
      <w:r>
        <w:rPr>
          <w:rtl w:val="0"/>
          <w:lang w:val="en-US"/>
        </w:rPr>
        <w:t xml:space="preserve">. Replacing </w:t>
      </w:r>
      <m:oMath>
        <m:r>
          <m:t>g</m:t>
        </m:r>
      </m:oMath>
      <w:r>
        <w:rPr>
          <w:rtl w:val="0"/>
        </w:rPr>
        <w:t xml:space="preserve"> by </w:t>
      </w:r>
      <m:oMath>
        <m:sSup>
          <m:e>
            <m:r>
              <m:t>Ω</m:t>
            </m:r>
          </m:e>
          <m:sup>
            <m:r>
              <m:t>2</m:t>
            </m:r>
          </m:sup>
        </m:sSup>
        <m:r>
          <m:t>g</m:t>
        </m:r>
      </m:oMath>
      <w:r>
        <w:rPr>
          <w:rtl w:val="0"/>
          <w:lang w:val="en-US"/>
        </w:rPr>
        <w:t xml:space="preserve"> and </w:t>
      </w:r>
      <m:oMath>
        <m:r>
          <m:t>u</m:t>
        </m:r>
      </m:oMath>
      <w:r>
        <w:rPr>
          <w:rtl w:val="0"/>
        </w:rPr>
        <w:t xml:space="preserve"> by </w:t>
      </w:r>
      <m:oMath>
        <m:sSup>
          <m:e>
            <m:r>
              <m:t>Ω</m:t>
            </m:r>
          </m:e>
          <m:sup>
            <m:r>
              <m:t>−1</m:t>
            </m:r>
          </m:sup>
        </m:sSup>
        <m:r>
          <m:t>u</m:t>
        </m:r>
      </m:oMath>
      <w:r>
        <w:rPr>
          <w:rtl w:val="0"/>
          <w:lang w:val="en-US"/>
        </w:rPr>
        <w:t xml:space="preserve"> multiplies both </w:t>
      </w:r>
      <m:oMath>
        <m:sSub>
          <m:e>
            <m:r>
              <m:t>τ</m:t>
            </m:r>
          </m:e>
          <m:sub>
            <m:r>
              <m:t>u</m:t>
            </m:r>
          </m:sub>
        </m:sSub>
      </m:oMath>
      <w:r>
        <w:rPr>
          <w:rtl w:val="0"/>
          <w:lang w:val="en-US"/>
        </w:rPr>
        <w:t xml:space="preserve"> and </w:t>
      </w:r>
      <m:oMath>
        <m:sSub>
          <m:e>
            <m:r>
              <m:rPr>
                <m:sty m:val="p"/>
              </m:rPr>
              <m:t>ℓ</m:t>
            </m:r>
          </m:e>
          <m:sub>
            <m:r>
              <m:t>u</m:t>
            </m:r>
          </m:sub>
        </m:sSub>
      </m:oMath>
      <w:r>
        <w:rPr>
          <w:rtl w:val="0"/>
        </w:rPr>
        <w:t xml:space="preserve"> by </w:t>
      </w:r>
      <m:oMath>
        <m:r>
          <m:t>Ω</m:t>
        </m:r>
      </m:oMath>
      <w:r>
        <w:rPr>
          <w:rtl w:val="0"/>
          <w:lang w:val="en-US"/>
        </w:rPr>
        <w:t xml:space="preserve">. Their null equality remains, with no choice of </w:t>
      </w:r>
      <m:oMath>
        <m:r>
          <m:t>Ω</m:t>
        </m:r>
      </m:oMath>
      <w:r>
        <w:rPr>
          <w:rtl w:val="0"/>
          <w:lang w:val="en-US"/>
        </w:rPr>
        <w:t xml:space="preserve">. Thus </w:t>
      </w:r>
      <m:oMath>
        <m:r>
          <m:t>c=1</m:t>
        </m:r>
      </m:oMath>
      <w:r>
        <w:rPr>
          <w:rtl w:val="0"/>
          <w:lang w:val="en-US"/>
        </w:rPr>
        <w:t xml:space="preserve"> fixes a relative calibration and does not fix the common conformal scale.</w:t>
      </w:r>
    </w:p>
    <w:p>
      <w:pPr>
        <w:pStyle w:val="Текстовый блок"/>
        <w:spacing w:line="240" w:lineRule="atLeast"/>
      </w:pPr>
      <w:r>
        <w:rPr>
          <w:rtl w:val="0"/>
          <w:lang w:val="en-US"/>
        </w:rPr>
        <w:t xml:space="preserve">If a smooth positive spacetime density </w:t>
      </w:r>
      <m:oMath>
        <m:r>
          <m:t>dμ</m:t>
        </m:r>
      </m:oMath>
      <w:r>
        <w:rPr>
          <w:rtl w:val="0"/>
          <w:lang w:val="en-US"/>
        </w:rPr>
        <w:t xml:space="preserve"> is additionally supplied in dimension </w:t>
      </w:r>
      <m:oMath>
        <m:r>
          <m:t>D</m:t>
        </m:r>
      </m:oMath>
      <w:r>
        <w:rPr>
          <w:rtl w:val="0"/>
          <w:lang w:val="en-US"/>
        </w:rPr>
        <w:t>, a representative is selected by</w:t>
      </w:r>
    </w:p>
    <w:p>
      <w:pPr>
        <w:pStyle w:val="Текстовый блок"/>
        <w:keepLines w:val="1"/>
        <w:spacing w:before="60" w:line="240" w:lineRule="atLeast"/>
        <w:jc w:val="center"/>
      </w:pPr>
      <m:oMathPara>
        <m:oMathParaPr>
          <m:jc m:val="center"/>
        </m:oMathParaPr>
        <m:oMath>
          <m:limUpp>
            <m:e>
              <m:r>
                <m:t>g</m:t>
              </m:r>
            </m:e>
            <m:lim>
              <m:r>
                <m:rPr>
                  <m:sty m:val="p"/>
                </m:rPr>
                <m:t>~</m:t>
              </m:r>
            </m:lim>
          </m:limUpp>
          <m:r>
            <m:t>=</m:t>
          </m:r>
          <m:sSup>
            <m:e>
              <m:r>
                <m:t>Ω</m:t>
              </m:r>
            </m:e>
            <m:sup>
              <m:r>
                <m:t>2</m:t>
              </m:r>
            </m:sup>
          </m:sSup>
          <m:r>
            <m:t>g,Ω=</m:t>
          </m:r>
          <m:sSup>
            <m:e>
              <m:d>
                <m:e>
                  <m:f>
                    <m:fPr>
                      <m:type m:val="bar"/>
                    </m:fPr>
                    <m:num>
                      <m:r>
                        <m:t>dμ</m:t>
                      </m:r>
                    </m:num>
                    <m:den>
                      <m:r>
                        <m:t>d</m:t>
                      </m:r>
                      <m:sSub>
                        <m:e>
                          <m:r>
                            <m:rPr>
                              <m:sty m:val="p"/>
                            </m:rPr>
                            <m:t>vol</m:t>
                          </m:r>
                        </m:e>
                        <m:sub>
                          <m:r>
                            <m:t>g</m:t>
                          </m:r>
                        </m:sub>
                      </m:sSub>
                    </m:den>
                  </m:f>
                </m:e>
              </m:d>
            </m:e>
            <m:sup>
              <m:f>
                <m:fPr>
                  <m:type m:val="lin"/>
                </m:fPr>
                <m:num>
                  <m:r>
                    <m:t>1</m:t>
                  </m:r>
                </m:num>
                <m:den>
                  <m:r>
                    <m:t>D</m:t>
                  </m:r>
                </m:den>
              </m:f>
            </m:sup>
          </m:sSup>
          <m:r>
            <m:t>,d</m:t>
          </m:r>
          <m:sSub>
            <m:e>
              <m:r>
                <m:rPr>
                  <m:sty m:val="p"/>
                </m:rPr>
                <m:t>vol</m:t>
              </m:r>
            </m:e>
            <m:sub>
              <m:r>
                <m:t>g</m:t>
              </m:r>
            </m:sub>
          </m:sSub>
          <m:r>
            <m:t>=</m:t>
          </m:r>
          <m:rad>
            <m:radPr>
              <m:degHide m:val="on"/>
            </m:radPr>
            <m:deg/>
            <m:e>
              <m:d>
                <m:dPr>
                  <m:begChr m:val="|"/>
                  <m:endChr m:val="|"/>
                </m:dPr>
                <m:e>
                  <m:r>
                    <m:rPr>
                      <m:sty m:val="p"/>
                    </m:rPr>
                    <m:t>det</m:t>
                  </m:r>
                  <m:r>
                    <m:t>g</m:t>
                  </m:r>
                </m:e>
              </m:d>
            </m:e>
          </m:rad>
          <m:r>
            <m:t/>
          </m:r>
          <m:sSup>
            <m:e>
              <m:r>
                <m:t>d</m:t>
              </m:r>
            </m:e>
            <m:sup>
              <m:r>
                <m:t>D</m:t>
              </m:r>
            </m:sup>
          </m:sSup>
          <m:r>
            <m:t>x.</m:t>
          </m:r>
          <m:r>
            <m:rPr>
              <m:nor/>
            </m:rPr>
            <m:t>(31)</m:t>
          </m:r>
        </m:oMath>
      </m:oMathPara>
    </w:p>
    <w:p>
      <w:pPr>
        <w:pStyle w:val="Текстовый блок"/>
        <w:spacing w:line="240" w:lineRule="atLeast"/>
      </w:pPr>
      <w:r>
        <w:rPr>
          <w:rtl w:val="0"/>
          <w:lang w:val="en-US"/>
        </w:rPr>
        <w:t>This is a conditional reconstruction from compatible scale data. Microscopic vertex counting alone does not provide a physical spacetime density. Clock and rod standards are another possible route but must be physically realised and compared, rather than stipulated to prove their own compatibility.</w:t>
      </w:r>
    </w:p>
    <w:p>
      <w:pPr>
        <w:pStyle w:val="Текстовый блок"/>
        <w:spacing w:line="240" w:lineRule="atLeast"/>
      </w:pPr>
      <w:r>
        <w:rPr>
          <w:rtl w:val="0"/>
          <w:lang w:val="en-US"/>
        </w:rPr>
        <w:t>The causal-reconstruction literature is relevant with its hypotheses intact. Hawking</w:t>
      </w:r>
      <w:r>
        <w:rPr>
          <w:rtl w:val="0"/>
          <w:lang w:val="en-US"/>
        </w:rPr>
        <w:t>–</w:t>
      </w:r>
      <w:r>
        <w:rPr>
          <w:rtl w:val="0"/>
          <w:lang w:val="en-US"/>
        </w:rPr>
        <w:t>King</w:t>
      </w:r>
      <w:r>
        <w:rPr>
          <w:rtl w:val="0"/>
          <w:lang w:val="en-US"/>
        </w:rPr>
        <w:t>–</w:t>
      </w:r>
      <w:r>
        <w:rPr>
          <w:rtl w:val="0"/>
          <w:lang w:val="en-US"/>
        </w:rPr>
        <w:t xml:space="preserve">McCarthy relate a path topology to differential and conformal structure in their causal setting [25]; Malament strengthens the relation between timelike curves, topology and causal distinguishability [1]. These are not theorems that an arbitrary relation is a spacetime. </w:t>
      </w:r>
    </w:p>
    <w:p>
      <w:pPr>
        <w:pStyle w:val="Текстовый блок"/>
        <w:spacing w:line="240" w:lineRule="atLeast"/>
      </w:pPr>
    </w:p>
    <w:p>
      <w:pPr>
        <w:pStyle w:val="Текстовый блок"/>
        <w:spacing w:line="240" w:lineRule="atLeast"/>
      </w:pPr>
      <w:r>
        <w:rPr>
          <w:rtl w:val="0"/>
          <w:lang w:val="en-US"/>
        </w:rPr>
        <w:t>The EPS programme uses light trajectories, free fall, compatibility conditions and further clock/scale assumptions to reach progressively richer geometry [26</w:t>
      </w:r>
      <w:r>
        <w:rPr>
          <w:rtl w:val="0"/>
          <w:lang w:val="en-US"/>
        </w:rPr>
        <w:t>–</w:t>
      </w:r>
      <w:r>
        <w:rPr>
          <w:rtl w:val="0"/>
          <w:lang w:val="en-US"/>
        </w:rPr>
        <w:t>28]. The additional assumptions are precisely why one cannot replace the full metric by a bare null cone. None of these sources derives gravitational field equations from the calibration convention.</w:t>
      </w:r>
      <w:bookmarkEnd w:id="20"/>
    </w:p>
    <w:p>
      <w:pPr>
        <w:pStyle w:val="Заголовок 2"/>
        <w:spacing w:line="240" w:lineRule="atLeast"/>
      </w:pPr>
      <w:bookmarkStart w:name="Xa7622260a2ccc632ba1d13539ef951905a32d0e" w:id="21"/>
      <w:r>
        <w:rPr>
          <w:rtl w:val="0"/>
          <w:lang w:val="en-US"/>
        </w:rPr>
        <w:t>7. Interactions, gauge sectors and the limits of universality</w:t>
      </w:r>
    </w:p>
    <w:p>
      <w:pPr>
        <w:pStyle w:val="Текстовый блок"/>
        <w:spacing w:line="240" w:lineRule="atLeast"/>
      </w:pPr>
      <w:r>
        <w:rPr>
          <w:rtl w:val="0"/>
          <w:lang w:val="en-US"/>
        </w:rPr>
        <w:t xml:space="preserve">A common free symbol need not be stable under interactions. Anber and Donoghue calculate convergence of limiting speeds under specific renormalisation-group flows, with slow logarithmic convergence in some regimes [4]. Strongly coupled holographic examples can instead suppress deviations by powers of an infrared-to-ultraviolet scale ratio [5]. These mechanisms concern specified interacting theories and already defined field content; they are not implications of a symmetric adjacency matrix. </w:t>
      </w:r>
    </w:p>
    <w:p>
      <w:pPr>
        <w:pStyle w:val="Текстовый блок"/>
        <w:spacing w:line="240" w:lineRule="atLeast"/>
      </w:pPr>
      <w:r>
        <w:rPr>
          <w:rtl w:val="0"/>
          <w:lang w:val="en-US"/>
        </w:rPr>
        <w:t>The radiative-stability problem of [12], and continuing QED analyses such as the 2026 revision of [34], make sector-dependent corrections an explicit part of the question. We import no observational bound or gauge-symmetry claim from the latter preprint.</w:t>
      </w:r>
      <w:r>
        <w:rPr>
          <w:rtl w:val="0"/>
          <w:lang w:val="de-DE"/>
        </w:rPr>
        <w:t xml:space="preserve"> </w:t>
      </w:r>
    </w:p>
    <w:p>
      <w:pPr>
        <w:pStyle w:val="Текстовый блок"/>
        <w:spacing w:line="240" w:lineRule="atLeast"/>
      </w:pPr>
      <w:r>
        <w:rPr>
          <w:rtl w:val="0"/>
          <w:lang w:val="en-US"/>
        </w:rPr>
        <w:t>Effective metrics in coupled media likewise require matching conditions [6]. A recent Euclidean scalar</w:t>
      </w:r>
      <w:r>
        <w:rPr>
          <w:rtl w:val="0"/>
          <w:lang w:val="en-US"/>
        </w:rPr>
        <w:t>–</w:t>
      </w:r>
      <w:r>
        <w:rPr>
          <w:rtl w:val="0"/>
          <w:lang w:val="en-US"/>
        </w:rPr>
        <w:t>tensor construction obtains a Lorentzian massless tensor dispersion while other degrees of freedom generally remain elliptic [35]. This is a useful counterpoint: obtaining one Lorentzian branch is not obtaining one universal physical cone. These examples support a conditional research programme while preventing an inference of automatic universality.</w:t>
      </w:r>
    </w:p>
    <w:p>
      <w:pPr>
        <w:pStyle w:val="Текстовый блок"/>
        <w:spacing w:line="240" w:lineRule="atLeast"/>
      </w:pPr>
    </w:p>
    <w:p>
      <w:pPr>
        <w:pStyle w:val="Текстовый блок"/>
        <w:spacing w:line="240" w:lineRule="atLeast"/>
      </w:pPr>
      <w:r>
        <w:rPr>
          <w:rtl w:val="0"/>
          <w:lang w:val="en-US"/>
        </w:rPr>
        <w:t xml:space="preserve">Gauge reduction must precede a characteristic comparison. For vacuum Maxwell theory on a given Lorentzian background, the potential symbol has the schematic form </w:t>
      </w:r>
      <m:oMath>
        <m:sSup>
          <m:e>
            <m:r>
              <m:t>k</m:t>
            </m:r>
          </m:e>
          <m:sup>
            <m:r>
              <m:t>2</m:t>
            </m:r>
          </m:sup>
        </m:sSup>
        <m:sSup>
          <m:e>
            <m:r>
              <m:t>δ</m:t>
            </m:r>
          </m:e>
          <m:sup>
            <m:r>
              <m:t>μ</m:t>
            </m:r>
          </m:sup>
        </m:sSup>
        <m:sSub>
          <m:e>
            <m:r>
              <m:t/>
            </m:r>
          </m:e>
          <m:sub>
            <m:r>
              <m:t>ν</m:t>
            </m:r>
          </m:sub>
        </m:sSub>
        <m:r>
          <m:t>−</m:t>
        </m:r>
        <m:sSup>
          <m:e>
            <m:r>
              <m:t>k</m:t>
            </m:r>
          </m:e>
          <m:sup>
            <m:r>
              <m:t>μ</m:t>
            </m:r>
          </m:sup>
        </m:sSup>
        <m:sSub>
          <m:e>
            <m:r>
              <m:t>k</m:t>
            </m:r>
          </m:e>
          <m:sub>
            <m:r>
              <m:t>ν</m:t>
            </m:r>
          </m:sub>
        </m:sSub>
      </m:oMath>
      <w:r>
        <w:rPr>
          <w:rtl w:val="0"/>
          <w:lang w:val="en-US"/>
        </w:rPr>
        <w:t xml:space="preserve"> and annihilates a pure-gauge amplitude proportional to </w:t>
      </w:r>
      <m:oMath>
        <m:r>
          <m:t>k</m:t>
        </m:r>
      </m:oMath>
      <w:r>
        <w:rPr>
          <w:rtl w:val="0"/>
          <w:lang w:val="en-US"/>
        </w:rPr>
        <w:t xml:space="preserve"> for every covector. A raw determinant is therefore useless. After the gauge quotient and physical constraints, the propagating polarisations have </w:t>
      </w:r>
      <m:oMath>
        <m:sSup>
          <m:e>
            <m:r>
              <m:t>k</m:t>
            </m:r>
          </m:e>
          <m:sup>
            <m:r>
              <m:t>2</m:t>
            </m:r>
          </m:sup>
        </m:sSup>
        <m:r>
          <m:t>=0</m:t>
        </m:r>
      </m:oMath>
      <w:r>
        <w:rPr>
          <w:rtl w:val="0"/>
          <w:lang w:val="en-US"/>
        </w:rPr>
        <w:t>. In more general diffeomorphism-invariant theories the reduced characteristic polynomial can contain distinct quadratic and quartic factors [33]. Accordingly, the scalar compression criterion is a control model, not a replacement for physical characteristic analysis in gauge fields or gravity.</w:t>
      </w:r>
    </w:p>
    <w:p>
      <w:pPr>
        <w:pStyle w:val="Текстовый блок"/>
        <w:spacing w:line="240" w:lineRule="atLeast"/>
      </w:pPr>
    </w:p>
    <w:p>
      <w:pPr>
        <w:pStyle w:val="Текстовый блок"/>
        <w:spacing w:line="240" w:lineRule="atLeast"/>
      </w:pPr>
      <w:r>
        <w:rPr>
          <w:b w:val="1"/>
          <w:bCs w:val="1"/>
          <w:rtl w:val="0"/>
          <w:lang w:val="en-US"/>
        </w:rPr>
        <w:t>Next stability problem.</w:t>
      </w:r>
      <w:r>
        <w:rPr>
          <w:rtl w:val="0"/>
          <w:lang w:val="en-US"/>
        </w:rPr>
        <w:t xml:space="preserve"> On a fixed-rank physical bundle, determine whether interactions and admissible elimination preserve </w:t>
      </w:r>
      <m:oMath>
        <m:sSub>
          <m:e>
            <m:r>
              <m:t>Δ</m:t>
            </m:r>
          </m:e>
          <m:sub>
            <m:r>
              <m:t>c</m:t>
            </m:r>
          </m:sub>
        </m:sSub>
        <m:r>
          <m:t>=0</m:t>
        </m:r>
      </m:oMath>
      <w:r>
        <w:rPr>
          <w:rtl w:val="0"/>
          <w:lang w:val="en-US"/>
        </w:rPr>
        <w:t>, and whether its transverse deviations are irrelevant under a calculated scale flow. This requires a specified action, regulator, state class and symmetry constraints. No interacting beta function is derived in this article. The theorem about calibration cannot answer that separate dynamical question.</w:t>
      </w:r>
      <w:bookmarkEnd w:id="21"/>
    </w:p>
    <w:p>
      <w:pPr>
        <w:pStyle w:val="Заголовок 2"/>
        <w:spacing w:line="240" w:lineRule="atLeast"/>
      </w:pPr>
      <w:bookmarkStart w:name="reproduciblecalculations" w:id="22"/>
      <w:r>
        <w:rPr>
          <w:rtl w:val="0"/>
          <w:lang w:val="en-US"/>
        </w:rPr>
        <w:t>8. Reproducible calculations</w:t>
      </w:r>
    </w:p>
    <w:p>
      <w:pPr>
        <w:pStyle w:val="Текстовый блок"/>
        <w:spacing w:line="240" w:lineRule="atLeast"/>
      </w:pPr>
      <w:r>
        <w:rPr>
          <w:rtl w:val="0"/>
          <w:lang w:val="en-US"/>
        </w:rPr>
        <w:t>All new calculations are produced by reproduce_v3.py; the filename records the internal research step, not the article title. The script writes results_v3.json, four PNG figures at 300 dpi and their vector PDF counterparts. It uses Python 3.12.13, NumPy 2.3.5, SciPy 1.17.0 and Matplotlib 3.10.8. The seed is 20260906 and is used only for a reproducible basis rotation. Parameters and raw sampled maxima are recorded without rounding in the JSON. No external dataset or observational fit enters the calculations.</w:t>
      </w:r>
    </w:p>
    <w:p>
      <w:pPr>
        <w:pStyle w:val="Текстовый блок"/>
        <w:spacing w:line="240" w:lineRule="atLeast"/>
      </w:pPr>
      <w:r>
        <w:rPr>
          <w:rtl w:val="0"/>
          <w:lang w:val="en-US"/>
        </w:rPr>
        <w:t xml:space="preserve">The pencil test uses speeds </w:t>
      </w:r>
      <m:oMath>
        <m:d>
          <m:e>
            <m:r>
              <m:t>1,1.5,2</m:t>
            </m:r>
          </m:e>
        </m:d>
      </m:oMath>
      <w:r>
        <w:rPr>
          <w:rtl w:val="0"/>
          <w:lang w:val="en-US"/>
        </w:rPr>
        <w:t xml:space="preserve"> and an invertible nonorthogonal change of basis applied to both kinetic and spatial forms. Its generalised eigenvalues reproduce </w:t>
      </w:r>
      <m:oMath>
        <m:d>
          <m:e>
            <m:r>
              <m:t>1,2.25,4</m:t>
            </m:r>
          </m:e>
        </m:d>
      </m:oMath>
      <w:r>
        <w:rPr>
          <w:rtl w:val="0"/>
          <w:lang w:val="en-US"/>
        </w:rPr>
        <w:t xml:space="preserve">, and </w:t>
      </w:r>
      <m:oMath>
        <m:sSub>
          <m:e>
            <m:r>
              <m:t>Δ</m:t>
            </m:r>
          </m:e>
          <m:sub>
            <m:r>
              <m:t>c</m:t>
            </m:r>
          </m:sub>
        </m:sSub>
        <m:r>
          <m:t>=</m:t>
        </m:r>
        <m:r>
          <m:rPr>
            <m:sty m:val="p"/>
          </m:rPr>
          <m:t>log</m:t>
        </m:r>
        <m:r>
          <m:t>2</m:t>
        </m:r>
      </m:oMath>
      <w:r>
        <w:rPr>
          <w:rtl w:val="0"/>
          <w:lang w:val="en-US"/>
        </w:rPr>
        <w:t xml:space="preserve"> is unchanged over common factors from </w:t>
      </w:r>
      <m:oMath>
        <m:r>
          <m:t>1/4</m:t>
        </m:r>
      </m:oMath>
      <w:r>
        <w:rPr>
          <w:rtl w:val="0"/>
          <w:lang w:val="en-US"/>
        </w:rPr>
        <w:t xml:space="preserve"> to </w:t>
      </w:r>
      <m:oMath>
        <m:r>
          <m:t>4</m:t>
        </m:r>
      </m:oMath>
      <w:r>
        <w:rPr>
          <w:rtl w:val="0"/>
        </w:rPr>
        <w:t>.</w:t>
      </w:r>
    </w:p>
    <w:p>
      <w:pPr>
        <w:pStyle w:val="Текстовый блок"/>
        <w:spacing w:line="240" w:lineRule="atLeast"/>
      </w:pPr>
      <w:r>
        <w:rPr>
          <w:rtl w:val="0"/>
          <w:lang w:val="en-US"/>
        </w:rPr>
        <w:t xml:space="preserve">For the two low and two heavy modes, </w:t>
      </w:r>
      <m:oMath>
        <m:r>
          <m:rPr>
            <m:scr m:val="script"/>
          </m:rPr>
          <m:t>L</m:t>
        </m:r>
        <m:r>
          <m:t>=2π</m:t>
        </m:r>
      </m:oMath>
      <w:r>
        <w:rPr>
          <w:rtl w:val="0"/>
        </w:rPr>
        <w:t xml:space="preserve">, </w:t>
      </w:r>
      <m:oMath>
        <m:r>
          <m:t>N∈{31,63,127,255,511}</m:t>
        </m:r>
      </m:oMath>
      <w:r>
        <w:rPr>
          <w:rtl w:val="0"/>
        </w:rPr>
        <w:t xml:space="preserve">, </w:t>
      </w:r>
      <m:oMath>
        <m:r>
          <m:t>g=4/a</m:t>
        </m:r>
      </m:oMath>
      <w:r>
        <w:rPr>
          <w:rtl w:val="0"/>
        </w:rPr>
        <w:t xml:space="preserve">, </w:t>
      </w:r>
      <m:oMath>
        <m:r>
          <m:t>v=1.3</m:t>
        </m:r>
      </m:oMath>
      <w:r>
        <w:rPr>
          <w:rtl w:val="0"/>
          <w:lang w:val="en-US"/>
        </w:rPr>
        <w:t>, and</w:t>
      </w:r>
    </w:p>
    <w:p>
      <w:pPr>
        <w:pStyle w:val="Текстовый блок"/>
        <w:keepLines w:val="1"/>
        <w:spacing w:before="60" w:line="240" w:lineRule="atLeast"/>
        <w:jc w:val="center"/>
      </w:pPr>
      <m:oMathPara>
        <m:oMathParaPr>
          <m:jc m:val="center"/>
        </m:oMathParaPr>
        <m:oMath>
          <m:r>
            <m:t>D=</m:t>
          </m:r>
          <m:d>
            <m:e>
              <m:m>
                <m:mPr>
                  <m:baseJc m:val="center"/>
                  <m:plcHide m:val="on"/>
                  <m:mcs>
                    <m:mc>
                      <m:mcPr>
                        <m:count m:val="4"/>
                        <m:mcJc m:val="center"/>
                      </m:mcPr>
                    </m:mc>
                  </m:mcs>
                </m:mPr>
                <m:mr>
                  <m:e>
                    <m:r>
                      <m:t>1.69</m:t>
                    </m:r>
                  </m:e>
                  <m:e>
                    <m:r>
                      <m:t>0</m:t>
                    </m:r>
                  </m:e>
                  <m:e>
                    <m:r>
                      <m:t>0.35</m:t>
                    </m:r>
                  </m:e>
                  <m:e>
                    <m:r>
                      <m:t>0.10</m:t>
                    </m:r>
                  </m:e>
                </m:mr>
                <m:mr>
                  <m:e>
                    <m:r>
                      <m:t>0</m:t>
                    </m:r>
                  </m:e>
                  <m:e>
                    <m:r>
                      <m:t>1.69</m:t>
                    </m:r>
                  </m:e>
                  <m:e>
                    <m:r>
                      <m:t>−0.20</m:t>
                    </m:r>
                  </m:e>
                  <m:e>
                    <m:r>
                      <m:t>0.40</m:t>
                    </m:r>
                  </m:e>
                </m:mr>
                <m:mr>
                  <m:e>
                    <m:r>
                      <m:t>0.35</m:t>
                    </m:r>
                  </m:e>
                  <m:e>
                    <m:r>
                      <m:t>−0.20</m:t>
                    </m:r>
                  </m:e>
                  <m:e>
                    <m:r>
                      <m:t>2.10</m:t>
                    </m:r>
                  </m:e>
                  <m:e>
                    <m:r>
                      <m:t>0</m:t>
                    </m:r>
                  </m:e>
                </m:mr>
                <m:mr>
                  <m:e>
                    <m:r>
                      <m:t>0.10</m:t>
                    </m:r>
                  </m:e>
                  <m:e>
                    <m:r>
                      <m:t>0.40</m:t>
                    </m:r>
                  </m:e>
                  <m:e>
                    <m:r>
                      <m:t>0</m:t>
                    </m:r>
                  </m:e>
                  <m:e>
                    <m:r>
                      <m:t>2.70</m:t>
                    </m:r>
                  </m:e>
                </m:mr>
              </m:m>
            </m:e>
          </m:d>
          <m:r>
            <m:t>,</m:t>
          </m:r>
          <m:sSub>
            <m:e>
              <m:r>
                <m:t>T</m:t>
              </m:r>
            </m:e>
            <m:sub>
              <m:r>
                <m:t>g</m:t>
              </m:r>
            </m:sub>
          </m:sSub>
          <m:r>
            <m:t>=</m:t>
          </m:r>
          <m:r>
            <m:rPr>
              <m:sty m:val="p"/>
            </m:rPr>
            <m:t>diag</m:t>
          </m:r>
          <m:d>
            <m:e>
              <m:r>
                <m:t>0,0,</m:t>
              </m:r>
              <m:sSup>
                <m:e>
                  <m:r>
                    <m:t>g</m:t>
                  </m:r>
                </m:e>
                <m:sup>
                  <m:r>
                    <m:t>2</m:t>
                  </m:r>
                </m:sup>
              </m:sSup>
              <m:r>
                <m:t>,</m:t>
              </m:r>
              <m:sSup>
                <m:e>
                  <m:r>
                    <m:t>g</m:t>
                  </m:r>
                </m:e>
                <m:sup>
                  <m:r>
                    <m:t>2</m:t>
                  </m:r>
                </m:sup>
              </m:sSup>
            </m:e>
          </m:d>
          <m:r>
            <m:t>.</m:t>
          </m:r>
          <m:r>
            <m:rPr>
              <m:nor/>
            </m:rPr>
            <m:t>(32)</m:t>
          </m:r>
        </m:oMath>
      </m:oMathPara>
    </w:p>
    <w:p>
      <w:pPr>
        <w:pStyle w:val="Текстовый блок"/>
        <w:spacing w:line="240" w:lineRule="atLeast"/>
      </w:pPr>
    </w:p>
    <w:p>
      <w:pPr>
        <w:pStyle w:val="Текстовый блок"/>
        <w:spacing w:line="240" w:lineRule="atLeast"/>
      </w:pPr>
      <w:r>
        <w:rPr>
          <w:rtl w:val="0"/>
          <w:lang w:val="en-US"/>
        </w:rPr>
        <w:t xml:space="preserve">Every tabulated mode </w:t>
      </w:r>
      <m:oMath>
        <m:r>
          <m:t>k∈{1,3,7}</m:t>
        </m:r>
      </m:oMath>
      <w:r>
        <w:rPr>
          <w:rtl w:val="0"/>
          <w:lang w:val="en-US"/>
        </w:rPr>
        <w:t xml:space="preserve"> satisfies the smallness hypothesis of Proposition 3. At </w:t>
      </w:r>
      <m:oMath>
        <m:r>
          <m:t>N=511</m:t>
        </m:r>
      </m:oMath>
      <w:r>
        <w:rPr>
          <w:rtl w:val="0"/>
        </w:rPr>
        <w:t xml:space="preserve">, </w:t>
      </w:r>
      <m:oMath>
        <m:r>
          <m:t>k=7</m:t>
        </m:r>
      </m:oMath>
      <w:r>
        <w:rPr>
          <w:rtl w:val="0"/>
          <w:lang w:val="en-US"/>
        </w:rPr>
        <w:t xml:space="preserve">, the two Fourier ratios are approximately </w:t>
      </w:r>
      <m:oMath>
        <m:r>
          <m:t>1.29956116</m:t>
        </m:r>
      </m:oMath>
      <w:r>
        <w:rPr>
          <w:rtl w:val="0"/>
          <w:lang w:val="en-US"/>
        </w:rPr>
        <w:t xml:space="preserve"> and </w:t>
      </w:r>
      <m:oMath>
        <m:r>
          <m:t>1.29957722</m:t>
        </m:r>
      </m:oMath>
      <w:r>
        <w:rPr>
          <w:rtl w:val="0"/>
          <w:lang w:val="en-US"/>
        </w:rPr>
        <w:t xml:space="preserve">, with a common target </w:t>
      </w:r>
      <m:oMath>
        <m:r>
          <m:t>1.3</m:t>
        </m:r>
      </m:oMath>
      <w:r>
        <w:rPr>
          <w:rtl w:val="0"/>
          <w:lang w:val="en-US"/>
        </w:rPr>
        <w:t xml:space="preserve">; the absolute-error bound is </w:t>
      </w:r>
      <m:oMath>
        <m:r>
          <m:t>9.53148×</m:t>
        </m:r>
        <m:sSup>
          <m:e>
            <m:r>
              <m:t>10</m:t>
            </m:r>
          </m:e>
          <m:sup>
            <m:r>
              <m:t>−4</m:t>
            </m:r>
          </m:sup>
        </m:sSup>
      </m:oMath>
      <w:r>
        <w:rPr>
          <w:rtl w:val="0"/>
          <w:lang w:val="en-US"/>
        </w:rPr>
        <w:t xml:space="preserve">. The finite-mode interbranch defect is </w:t>
      </w:r>
      <m:oMath>
        <m:r>
          <m:t>1.23598×</m:t>
        </m:r>
        <m:sSup>
          <m:e>
            <m:r>
              <m:t>10</m:t>
            </m:r>
          </m:e>
          <m:sup>
            <m:r>
              <m:t>−5</m:t>
            </m:r>
          </m:sup>
        </m:sSup>
      </m:oMath>
      <w:r>
        <w:rPr>
          <w:rtl w:val="0"/>
          <w:lang w:val="en-US"/>
        </w:rPr>
        <w:t xml:space="preserve"> despite the exact leading condition </w:t>
      </w:r>
      <m:oMath>
        <m:sSub>
          <m:e>
            <m:r>
              <m:t>D</m:t>
            </m:r>
          </m:e>
          <m:sub>
            <m:r>
              <m:t>00</m:t>
            </m:r>
          </m:sub>
        </m:sSub>
        <m:r>
          <m:t>=1.69</m:t>
        </m:r>
        <m:sSub>
          <m:e>
            <m:r>
              <m:t>I</m:t>
            </m:r>
          </m:e>
          <m:sub>
            <m:r>
              <m:t>2</m:t>
            </m:r>
          </m:sub>
        </m:sSub>
      </m:oMath>
      <w:r>
        <w:rPr>
          <w:rtl w:val="0"/>
        </w:rPr>
        <w:t>.</w:t>
      </w:r>
    </w:p>
    <w:p>
      <w:pPr>
        <w:pStyle w:val="Текстовый блок"/>
        <w:spacing w:line="240" w:lineRule="atLeast"/>
      </w:pPr>
    </w:p>
    <w:p>
      <w:pPr>
        <w:pStyle w:val="Текстовый блок"/>
        <w:spacing w:line="240" w:lineRule="atLeast"/>
      </w:pPr>
      <w:r>
        <w:rPr>
          <w:rtl w:val="0"/>
          <w:lang w:val="pt-PT"/>
        </w:rPr>
        <w:t xml:space="preserve">For quantum tails, </w:t>
      </w:r>
      <m:oMath>
        <m:r>
          <m:t>c=</m:t>
        </m:r>
        <m:r>
          <m:rPr>
            <m:sty m:val="p"/>
          </m:rPr>
          <m:t>ℏ</m:t>
        </m:r>
        <m:r>
          <m:t>=1</m:t>
        </m:r>
      </m:oMath>
      <w:r>
        <w:rPr>
          <w:rtl w:val="0"/>
        </w:rPr>
        <w:t xml:space="preserve">, </w:t>
      </w:r>
      <m:oMath>
        <m:r>
          <m:t>T=0.8</m:t>
        </m:r>
      </m:oMath>
      <w:r>
        <w:rPr>
          <w:rtl w:val="0"/>
        </w:rPr>
        <w:t xml:space="preserve">, </w:t>
      </w:r>
      <m:oMath>
        <m:r>
          <m:t>δ=0.25</m:t>
        </m:r>
      </m:oMath>
      <w:r>
        <w:rPr>
          <w:rtl w:val="0"/>
          <w:lang w:val="en-US"/>
        </w:rPr>
        <w:t xml:space="preserve">, and 801 time samples are used. For the Weyl tests, </w:t>
      </w:r>
      <m:oMath>
        <m:r>
          <m:t>f</m:t>
        </m:r>
      </m:oMath>
      <w:r>
        <w:rPr>
          <w:rtl w:val="0"/>
          <w:lang w:val="en-US"/>
        </w:rPr>
        <w:t xml:space="preserve"> and </w:t>
      </w:r>
      <m:oMath>
        <m:r>
          <m:t>g</m:t>
        </m:r>
      </m:oMath>
      <w:r>
        <w:rPr>
          <w:rtl w:val="0"/>
          <w:lang w:val="en-US"/>
        </w:rPr>
        <w:t xml:space="preserve"> are unit-</w:t>
      </w:r>
      <m:oMath>
        <m:sSup>
          <m:e>
            <m:r>
              <m:t>L</m:t>
            </m:r>
          </m:e>
          <m:sup>
            <m:r>
              <m:t>2</m:t>
            </m:r>
          </m:sup>
        </m:sSup>
      </m:oMath>
      <w:r>
        <w:rPr>
          <w:rtl w:val="0"/>
          <w:lang w:val="en-US"/>
        </w:rPr>
        <w:t xml:space="preserve"> periodic indicator functions of intervals with half-width </w:t>
      </w:r>
      <m:oMath>
        <m:r>
          <m:t>0.15</m:t>
        </m:r>
      </m:oMath>
      <w:r>
        <w:rPr>
          <w:rtl w:val="0"/>
          <w:lang w:val="en-US"/>
        </w:rPr>
        <w:t xml:space="preserve"> and centres </w:t>
      </w:r>
      <m:oMath>
        <m:r>
          <m:t>0</m:t>
        </m:r>
      </m:oMath>
      <w:r>
        <w:rPr>
          <w:rtl w:val="0"/>
          <w:lang w:val="en-US"/>
        </w:rPr>
        <w:t xml:space="preserve"> and </w:t>
      </w:r>
      <m:oMath>
        <m:r>
          <m:t>1.2</m:t>
        </m:r>
      </m:oMath>
      <w:r>
        <w:rPr>
          <w:rtl w:val="0"/>
          <w:lang w:val="en-US"/>
        </w:rPr>
        <w:t xml:space="preserve">. Their supports have distance </w:t>
      </w:r>
      <m:oMath>
        <m:r>
          <m:t>0.9</m:t>
        </m:r>
      </m:oMath>
      <w:r>
        <w:rPr>
          <w:rtl w:val="0"/>
          <w:lang w:val="en-US"/>
        </w:rPr>
        <w:t xml:space="preserve">, while the tested time difference is in </w:t>
      </w:r>
      <m:oMath>
        <m:d>
          <m:dPr>
            <m:begChr m:val="["/>
            <m:endChr m:val="]"/>
          </m:dPr>
          <m:e>
            <m:r>
              <m:t>0,0.7</m:t>
            </m:r>
          </m:e>
        </m:d>
      </m:oMath>
      <w:r>
        <w:rPr>
          <w:rtl w:val="0"/>
          <w:lang w:val="en-US"/>
        </w:rPr>
        <w:t xml:space="preserve"> with 701 samples. The continuum bilinear response is therefore exactly zero. </w:t>
      </w:r>
    </w:p>
    <w:p>
      <w:pPr>
        <w:pStyle w:val="Текстовый блок"/>
        <w:spacing w:line="240" w:lineRule="atLeast"/>
      </w:pPr>
      <w:r>
        <w:rPr>
          <w:rtl w:val="0"/>
          <w:lang w:val="en-US"/>
        </w:rPr>
        <w:t xml:space="preserve">These </w:t>
      </w:r>
      <m:oMath>
        <m:sSup>
          <m:e>
            <m:r>
              <m:t>L</m:t>
            </m:r>
          </m:e>
          <m:sup>
            <m:r>
              <m:t>2</m:t>
            </m:r>
          </m:sup>
        </m:sSup>
      </m:oMath>
      <w:r>
        <w:rPr>
          <w:rtl w:val="0"/>
          <w:lang w:val="en-US"/>
        </w:rPr>
        <w:t xml:space="preserve"> time-slice tests are allowed by the bounded-response and Weyl-coefficient estimates in Theorem 4; spacetime test distributions in the theorem itself use smooth functions. Fourier coefficients and cell averages of the intervals are evaluated analytically, not by a spatial quadrature.</w:t>
      </w:r>
    </w:p>
    <w:p>
      <w:pPr>
        <w:pStyle w:val="Текстовый блок"/>
        <w:spacing w:line="240" w:lineRule="atLeast"/>
      </w:pPr>
    </w:p>
    <w:p>
      <w:pPr>
        <w:pStyle w:val="Текстовый блок"/>
        <w:spacing w:line="240" w:lineRule="atLeast"/>
      </w:pPr>
    </w:p>
    <w:tbl>
      <w:tblPr>
        <w:tblW w:w="9518"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754"/>
        <w:gridCol w:w="2902"/>
        <w:gridCol w:w="2902"/>
        <w:gridCol w:w="2960"/>
      </w:tblGrid>
      <w:tr>
        <w:tblPrEx>
          <w:shd w:val="clear" w:color="auto" w:fill="4f81bd"/>
        </w:tblPrEx>
        <w:trPr>
          <w:trHeight w:val="243" w:hRule="atLeast"/>
          <w:tblHeader/>
        </w:trPr>
        <w:tc>
          <w:tcPr>
            <w:tcW w:type="dxa" w:w="754"/>
            <w:tcBorders>
              <w:top w:val="nil"/>
              <w:left w:val="nil"/>
              <w:bottom w:val="nil"/>
              <w:right w:val="nil"/>
            </w:tcBorders>
            <w:shd w:val="clear" w:color="auto" w:fill="edeff2"/>
            <w:tcMar>
              <w:top w:type="dxa" w:w="80"/>
              <w:left w:type="dxa" w:w="80"/>
              <w:bottom w:type="dxa" w:w="80"/>
              <w:right w:type="dxa" w:w="80"/>
            </w:tcMar>
            <w:vAlign w:val="top"/>
          </w:tcPr>
          <w:p>
            <w:pPr>
              <w:pStyle w:val="Compact"/>
              <w:keepNext w:val="1"/>
              <w:spacing w:after="40" w:line="240" w:lineRule="auto"/>
              <w:jc w:val="center"/>
            </w:pPr>
            <m:oMathPara>
              <m:oMathParaPr>
                <m:jc m:val="center"/>
              </m:oMathParaPr>
              <m:oMath>
                <m:r>
                  <m:t>N</m:t>
                </m:r>
              </m:oMath>
            </m:oMathPara>
          </w:p>
        </w:tc>
        <w:tc>
          <w:tcPr>
            <w:tcW w:type="dxa" w:w="2902"/>
            <w:tcBorders>
              <w:top w:val="nil"/>
              <w:left w:val="nil"/>
              <w:bottom w:val="nil"/>
              <w:right w:val="nil"/>
            </w:tcBorders>
            <w:shd w:val="clear" w:color="auto" w:fill="edeff2"/>
            <w:tcMar>
              <w:top w:type="dxa" w:w="80"/>
              <w:left w:type="dxa" w:w="80"/>
              <w:bottom w:type="dxa" w:w="80"/>
              <w:right w:type="dxa" w:w="80"/>
            </w:tcMar>
            <w:vAlign w:val="top"/>
          </w:tcPr>
          <w:p>
            <w:pPr>
              <w:pStyle w:val="Compact"/>
              <w:keepNext w:val="1"/>
              <w:spacing w:after="40" w:line="240" w:lineRule="auto"/>
              <w:jc w:val="center"/>
            </w:pPr>
            <w:r>
              <w:rPr>
                <w:rFonts w:ascii="Times New Roman" w:hAnsi="Times New Roman"/>
                <w:b w:val="1"/>
                <w:bCs w:val="1"/>
                <w:sz w:val="18"/>
                <w:szCs w:val="18"/>
                <w:rtl w:val="0"/>
                <w:lang w:val="en-US"/>
              </w:rPr>
              <w:t>Exterior coefficient</w:t>
            </w:r>
          </w:p>
        </w:tc>
        <w:tc>
          <w:tcPr>
            <w:tcW w:type="dxa" w:w="2902"/>
            <w:tcBorders>
              <w:top w:val="nil"/>
              <w:left w:val="nil"/>
              <w:bottom w:val="nil"/>
              <w:right w:val="nil"/>
            </w:tcBorders>
            <w:shd w:val="clear" w:color="auto" w:fill="edeff2"/>
            <w:tcMar>
              <w:top w:type="dxa" w:w="80"/>
              <w:left w:type="dxa" w:w="80"/>
              <w:bottom w:type="dxa" w:w="80"/>
              <w:right w:type="dxa" w:w="80"/>
            </w:tcMar>
            <w:vAlign w:val="top"/>
          </w:tcPr>
          <w:p>
            <w:pPr>
              <w:pStyle w:val="Compact"/>
              <w:keepNext w:val="1"/>
              <w:spacing w:after="40" w:line="240" w:lineRule="auto"/>
              <w:jc w:val="center"/>
            </w:pPr>
            <w:r>
              <w:rPr>
                <w:rFonts w:ascii="Times New Roman" w:hAnsi="Times New Roman"/>
                <w:b w:val="1"/>
                <w:bCs w:val="1"/>
                <w:sz w:val="18"/>
                <w:szCs w:val="18"/>
                <w:rtl w:val="0"/>
                <w:lang w:val="en-US"/>
              </w:rPr>
              <w:t>Weyl norm: Fourier</w:t>
            </w:r>
          </w:p>
        </w:tc>
        <w:tc>
          <w:tcPr>
            <w:tcW w:type="dxa" w:w="2959"/>
            <w:tcBorders>
              <w:top w:val="nil"/>
              <w:left w:val="nil"/>
              <w:bottom w:val="nil"/>
              <w:right w:val="nil"/>
            </w:tcBorders>
            <w:shd w:val="clear" w:color="auto" w:fill="edeff2"/>
            <w:tcMar>
              <w:top w:type="dxa" w:w="80"/>
              <w:left w:type="dxa" w:w="80"/>
              <w:bottom w:type="dxa" w:w="80"/>
              <w:right w:type="dxa" w:w="80"/>
            </w:tcMar>
            <w:vAlign w:val="top"/>
          </w:tcPr>
          <w:p>
            <w:pPr>
              <w:pStyle w:val="Compact"/>
              <w:keepNext w:val="1"/>
              <w:spacing w:after="40" w:line="240" w:lineRule="auto"/>
              <w:jc w:val="center"/>
            </w:pPr>
            <w:r>
              <w:rPr>
                <w:rFonts w:ascii="Times New Roman" w:hAnsi="Times New Roman"/>
                <w:b w:val="1"/>
                <w:bCs w:val="1"/>
                <w:sz w:val="18"/>
                <w:szCs w:val="18"/>
                <w:rtl w:val="0"/>
                <w:lang w:val="en-US"/>
              </w:rPr>
              <w:t>Weyl norm: cells</w:t>
            </w:r>
          </w:p>
        </w:tc>
      </w:tr>
      <w:tr>
        <w:tblPrEx>
          <w:shd w:val="clear" w:color="auto" w:fill="ced7e7"/>
        </w:tblPrEx>
        <w:trPr>
          <w:trHeight w:val="243" w:hRule="atLeast"/>
        </w:trPr>
        <w:tc>
          <w:tcPr>
            <w:tcW w:type="dxa" w:w="754"/>
            <w:tcBorders>
              <w:top w:val="nil"/>
              <w:left w:val="nil"/>
              <w:bottom w:val="nil"/>
              <w:right w:val="nil"/>
            </w:tcBorders>
            <w:shd w:val="clear" w:color="auto" w:fill="auto"/>
            <w:tcMar>
              <w:top w:type="dxa" w:w="80"/>
              <w:left w:type="dxa" w:w="80"/>
              <w:bottom w:type="dxa" w:w="80"/>
              <w:right w:type="dxa" w:w="80"/>
            </w:tcMar>
            <w:vAlign w:val="top"/>
          </w:tcPr>
          <w:p>
            <w:pPr>
              <w:pStyle w:val="Compact"/>
              <w:spacing w:after="40" w:line="240" w:lineRule="auto"/>
              <w:jc w:val="center"/>
            </w:pPr>
            <w:r>
              <w:rPr>
                <w:rFonts w:ascii="Times New Roman" w:hAnsi="Times New Roman"/>
                <w:sz w:val="18"/>
                <w:szCs w:val="18"/>
                <w:rtl w:val="0"/>
                <w:lang w:val="en-US"/>
              </w:rPr>
              <w:t>31</w:t>
            </w:r>
          </w:p>
        </w:tc>
        <w:tc>
          <w:tcPr>
            <w:tcW w:type="dxa" w:w="2902"/>
            <w:tcBorders>
              <w:top w:val="nil"/>
              <w:left w:val="nil"/>
              <w:bottom w:val="nil"/>
              <w:right w:val="nil"/>
            </w:tcBorders>
            <w:shd w:val="clear" w:color="auto" w:fill="auto"/>
            <w:tcMar>
              <w:top w:type="dxa" w:w="80"/>
              <w:left w:type="dxa" w:w="80"/>
              <w:bottom w:type="dxa" w:w="80"/>
              <w:right w:type="dxa" w:w="80"/>
            </w:tcMar>
            <w:vAlign w:val="top"/>
          </w:tcPr>
          <w:p>
            <w:pPr>
              <w:pStyle w:val="Compact"/>
              <w:spacing w:after="40" w:line="240" w:lineRule="auto"/>
              <w:jc w:val="center"/>
            </w:pPr>
            <m:oMathPara>
              <m:oMathParaPr>
                <m:jc m:val="center"/>
              </m:oMathParaPr>
              <m:oMath>
                <m:r>
                  <m:t>1.74271×</m:t>
                </m:r>
                <m:sSup>
                  <m:e>
                    <m:r>
                      <m:t>10</m:t>
                    </m:r>
                  </m:e>
                  <m:sup>
                    <m:r>
                      <m:t>−2</m:t>
                    </m:r>
                  </m:sup>
                </m:sSup>
              </m:oMath>
            </m:oMathPara>
          </w:p>
        </w:tc>
        <w:tc>
          <w:tcPr>
            <w:tcW w:type="dxa" w:w="2902"/>
            <w:tcBorders>
              <w:top w:val="nil"/>
              <w:left w:val="nil"/>
              <w:bottom w:val="nil"/>
              <w:right w:val="nil"/>
            </w:tcBorders>
            <w:shd w:val="clear" w:color="auto" w:fill="auto"/>
            <w:tcMar>
              <w:top w:type="dxa" w:w="80"/>
              <w:left w:type="dxa" w:w="80"/>
              <w:bottom w:type="dxa" w:w="80"/>
              <w:right w:type="dxa" w:w="80"/>
            </w:tcMar>
            <w:vAlign w:val="top"/>
          </w:tcPr>
          <w:p>
            <w:pPr>
              <w:pStyle w:val="Compact"/>
              <w:spacing w:after="40" w:line="240" w:lineRule="auto"/>
              <w:jc w:val="center"/>
            </w:pPr>
            <m:oMathPara>
              <m:oMathParaPr>
                <m:jc m:val="center"/>
              </m:oMathParaPr>
              <m:oMath>
                <m:r>
                  <m:t>4.45368×</m:t>
                </m:r>
                <m:sSup>
                  <m:e>
                    <m:r>
                      <m:t>10</m:t>
                    </m:r>
                  </m:e>
                  <m:sup>
                    <m:r>
                      <m:t>−4</m:t>
                    </m:r>
                  </m:sup>
                </m:sSup>
              </m:oMath>
            </m:oMathPara>
          </w:p>
        </w:tc>
        <w:tc>
          <w:tcPr>
            <w:tcW w:type="dxa" w:w="2959"/>
            <w:tcBorders>
              <w:top w:val="nil"/>
              <w:left w:val="nil"/>
              <w:bottom w:val="nil"/>
              <w:right w:val="nil"/>
            </w:tcBorders>
            <w:shd w:val="clear" w:color="auto" w:fill="auto"/>
            <w:tcMar>
              <w:top w:type="dxa" w:w="80"/>
              <w:left w:type="dxa" w:w="80"/>
              <w:bottom w:type="dxa" w:w="80"/>
              <w:right w:type="dxa" w:w="80"/>
            </w:tcMar>
            <w:vAlign w:val="top"/>
          </w:tcPr>
          <w:p>
            <w:pPr>
              <w:pStyle w:val="Compact"/>
              <w:spacing w:after="40" w:line="240" w:lineRule="auto"/>
              <w:jc w:val="center"/>
            </w:pPr>
            <m:oMathPara>
              <m:oMathParaPr>
                <m:jc m:val="center"/>
              </m:oMathParaPr>
              <m:oMath>
                <m:r>
                  <m:t>1.38756×</m:t>
                </m:r>
                <m:sSup>
                  <m:e>
                    <m:r>
                      <m:t>10</m:t>
                    </m:r>
                  </m:e>
                  <m:sup>
                    <m:r>
                      <m:t>−3</m:t>
                    </m:r>
                  </m:sup>
                </m:sSup>
              </m:oMath>
            </m:oMathPara>
          </w:p>
        </w:tc>
      </w:tr>
      <w:tr>
        <w:tblPrEx>
          <w:shd w:val="clear" w:color="auto" w:fill="ced7e7"/>
        </w:tblPrEx>
        <w:trPr>
          <w:trHeight w:val="243" w:hRule="atLeast"/>
        </w:trPr>
        <w:tc>
          <w:tcPr>
            <w:tcW w:type="dxa" w:w="754"/>
            <w:tcBorders>
              <w:top w:val="nil"/>
              <w:left w:val="nil"/>
              <w:bottom w:val="nil"/>
              <w:right w:val="nil"/>
            </w:tcBorders>
            <w:shd w:val="clear" w:color="auto" w:fill="auto"/>
            <w:tcMar>
              <w:top w:type="dxa" w:w="80"/>
              <w:left w:type="dxa" w:w="80"/>
              <w:bottom w:type="dxa" w:w="80"/>
              <w:right w:type="dxa" w:w="80"/>
            </w:tcMar>
            <w:vAlign w:val="top"/>
          </w:tcPr>
          <w:p>
            <w:pPr>
              <w:pStyle w:val="Compact"/>
              <w:spacing w:after="40" w:line="240" w:lineRule="auto"/>
              <w:jc w:val="center"/>
            </w:pPr>
            <w:r>
              <w:rPr>
                <w:rFonts w:ascii="Times New Roman" w:hAnsi="Times New Roman"/>
                <w:sz w:val="18"/>
                <w:szCs w:val="18"/>
                <w:rtl w:val="0"/>
                <w:lang w:val="en-US"/>
              </w:rPr>
              <w:t>63</w:t>
            </w:r>
          </w:p>
        </w:tc>
        <w:tc>
          <w:tcPr>
            <w:tcW w:type="dxa" w:w="2902"/>
            <w:tcBorders>
              <w:top w:val="nil"/>
              <w:left w:val="nil"/>
              <w:bottom w:val="nil"/>
              <w:right w:val="nil"/>
            </w:tcBorders>
            <w:shd w:val="clear" w:color="auto" w:fill="auto"/>
            <w:tcMar>
              <w:top w:type="dxa" w:w="80"/>
              <w:left w:type="dxa" w:w="80"/>
              <w:bottom w:type="dxa" w:w="80"/>
              <w:right w:type="dxa" w:w="80"/>
            </w:tcMar>
            <w:vAlign w:val="top"/>
          </w:tcPr>
          <w:p>
            <w:pPr>
              <w:pStyle w:val="Compact"/>
              <w:spacing w:after="40" w:line="240" w:lineRule="auto"/>
              <w:jc w:val="center"/>
            </w:pPr>
            <m:oMathPara>
              <m:oMathParaPr>
                <m:jc m:val="center"/>
              </m:oMathParaPr>
              <m:oMath>
                <m:r>
                  <m:t>3.47458×</m:t>
                </m:r>
                <m:sSup>
                  <m:e>
                    <m:r>
                      <m:t>10</m:t>
                    </m:r>
                  </m:e>
                  <m:sup>
                    <m:r>
                      <m:t>−3</m:t>
                    </m:r>
                  </m:sup>
                </m:sSup>
              </m:oMath>
            </m:oMathPara>
          </w:p>
        </w:tc>
        <w:tc>
          <w:tcPr>
            <w:tcW w:type="dxa" w:w="2902"/>
            <w:tcBorders>
              <w:top w:val="nil"/>
              <w:left w:val="nil"/>
              <w:bottom w:val="nil"/>
              <w:right w:val="nil"/>
            </w:tcBorders>
            <w:shd w:val="clear" w:color="auto" w:fill="auto"/>
            <w:tcMar>
              <w:top w:type="dxa" w:w="80"/>
              <w:left w:type="dxa" w:w="80"/>
              <w:bottom w:type="dxa" w:w="80"/>
              <w:right w:type="dxa" w:w="80"/>
            </w:tcMar>
            <w:vAlign w:val="top"/>
          </w:tcPr>
          <w:p>
            <w:pPr>
              <w:pStyle w:val="Compact"/>
              <w:spacing w:after="40" w:line="240" w:lineRule="auto"/>
              <w:jc w:val="center"/>
            </w:pPr>
            <m:oMathPara>
              <m:oMathParaPr>
                <m:jc m:val="center"/>
              </m:oMathParaPr>
              <m:oMath>
                <m:r>
                  <m:t>7.77902×</m:t>
                </m:r>
                <m:sSup>
                  <m:e>
                    <m:r>
                      <m:t>10</m:t>
                    </m:r>
                  </m:e>
                  <m:sup>
                    <m:r>
                      <m:t>−5</m:t>
                    </m:r>
                  </m:sup>
                </m:sSup>
              </m:oMath>
            </m:oMathPara>
          </w:p>
        </w:tc>
        <w:tc>
          <w:tcPr>
            <w:tcW w:type="dxa" w:w="2959"/>
            <w:tcBorders>
              <w:top w:val="nil"/>
              <w:left w:val="nil"/>
              <w:bottom w:val="nil"/>
              <w:right w:val="nil"/>
            </w:tcBorders>
            <w:shd w:val="clear" w:color="auto" w:fill="auto"/>
            <w:tcMar>
              <w:top w:type="dxa" w:w="80"/>
              <w:left w:type="dxa" w:w="80"/>
              <w:bottom w:type="dxa" w:w="80"/>
              <w:right w:type="dxa" w:w="80"/>
            </w:tcMar>
            <w:vAlign w:val="top"/>
          </w:tcPr>
          <w:p>
            <w:pPr>
              <w:pStyle w:val="Compact"/>
              <w:spacing w:after="40" w:line="240" w:lineRule="auto"/>
              <w:jc w:val="center"/>
            </w:pPr>
            <m:oMathPara>
              <m:oMathParaPr>
                <m:jc m:val="center"/>
              </m:oMathParaPr>
              <m:oMath>
                <m:r>
                  <m:t>5.19459×</m:t>
                </m:r>
                <m:sSup>
                  <m:e>
                    <m:r>
                      <m:t>10</m:t>
                    </m:r>
                  </m:e>
                  <m:sup>
                    <m:r>
                      <m:t>−5</m:t>
                    </m:r>
                  </m:sup>
                </m:sSup>
              </m:oMath>
            </m:oMathPara>
          </w:p>
        </w:tc>
      </w:tr>
      <w:tr>
        <w:tblPrEx>
          <w:shd w:val="clear" w:color="auto" w:fill="ced7e7"/>
        </w:tblPrEx>
        <w:trPr>
          <w:trHeight w:val="243" w:hRule="atLeast"/>
        </w:trPr>
        <w:tc>
          <w:tcPr>
            <w:tcW w:type="dxa" w:w="754"/>
            <w:tcBorders>
              <w:top w:val="nil"/>
              <w:left w:val="nil"/>
              <w:bottom w:val="nil"/>
              <w:right w:val="nil"/>
            </w:tcBorders>
            <w:shd w:val="clear" w:color="auto" w:fill="auto"/>
            <w:tcMar>
              <w:top w:type="dxa" w:w="80"/>
              <w:left w:type="dxa" w:w="80"/>
              <w:bottom w:type="dxa" w:w="80"/>
              <w:right w:type="dxa" w:w="80"/>
            </w:tcMar>
            <w:vAlign w:val="top"/>
          </w:tcPr>
          <w:p>
            <w:pPr>
              <w:pStyle w:val="Compact"/>
              <w:spacing w:after="40" w:line="240" w:lineRule="auto"/>
              <w:jc w:val="center"/>
            </w:pPr>
            <w:r>
              <w:rPr>
                <w:rFonts w:ascii="Times New Roman" w:hAnsi="Times New Roman"/>
                <w:sz w:val="18"/>
                <w:szCs w:val="18"/>
                <w:rtl w:val="0"/>
                <w:lang w:val="en-US"/>
              </w:rPr>
              <w:t>127</w:t>
            </w:r>
          </w:p>
        </w:tc>
        <w:tc>
          <w:tcPr>
            <w:tcW w:type="dxa" w:w="2902"/>
            <w:tcBorders>
              <w:top w:val="nil"/>
              <w:left w:val="nil"/>
              <w:bottom w:val="nil"/>
              <w:right w:val="nil"/>
            </w:tcBorders>
            <w:shd w:val="clear" w:color="auto" w:fill="auto"/>
            <w:tcMar>
              <w:top w:type="dxa" w:w="80"/>
              <w:left w:type="dxa" w:w="80"/>
              <w:bottom w:type="dxa" w:w="80"/>
              <w:right w:type="dxa" w:w="80"/>
            </w:tcMar>
            <w:vAlign w:val="top"/>
          </w:tcPr>
          <w:p>
            <w:pPr>
              <w:pStyle w:val="Compact"/>
              <w:spacing w:after="40" w:line="240" w:lineRule="auto"/>
              <w:jc w:val="center"/>
            </w:pPr>
            <m:oMathPara>
              <m:oMathParaPr>
                <m:jc m:val="center"/>
              </m:oMathParaPr>
              <m:oMath>
                <m:r>
                  <m:t>1.96427×</m:t>
                </m:r>
                <m:sSup>
                  <m:e>
                    <m:r>
                      <m:t>10</m:t>
                    </m:r>
                  </m:e>
                  <m:sup>
                    <m:r>
                      <m:t>−4</m:t>
                    </m:r>
                  </m:sup>
                </m:sSup>
              </m:oMath>
            </m:oMathPara>
          </w:p>
        </w:tc>
        <w:tc>
          <w:tcPr>
            <w:tcW w:type="dxa" w:w="2902"/>
            <w:tcBorders>
              <w:top w:val="nil"/>
              <w:left w:val="nil"/>
              <w:bottom w:val="nil"/>
              <w:right w:val="nil"/>
            </w:tcBorders>
            <w:shd w:val="clear" w:color="auto" w:fill="auto"/>
            <w:tcMar>
              <w:top w:type="dxa" w:w="80"/>
              <w:left w:type="dxa" w:w="80"/>
              <w:bottom w:type="dxa" w:w="80"/>
              <w:right w:type="dxa" w:w="80"/>
            </w:tcMar>
            <w:vAlign w:val="top"/>
          </w:tcPr>
          <w:p>
            <w:pPr>
              <w:pStyle w:val="Compact"/>
              <w:spacing w:after="40" w:line="240" w:lineRule="auto"/>
              <w:jc w:val="center"/>
            </w:pPr>
            <m:oMathPara>
              <m:oMathParaPr>
                <m:jc m:val="center"/>
              </m:oMathParaPr>
              <m:oMath>
                <m:r>
                  <m:t>2.15010×</m:t>
                </m:r>
                <m:sSup>
                  <m:e>
                    <m:r>
                      <m:t>10</m:t>
                    </m:r>
                  </m:e>
                  <m:sup>
                    <m:r>
                      <m:t>−6</m:t>
                    </m:r>
                  </m:sup>
                </m:sSup>
              </m:oMath>
            </m:oMathPara>
          </w:p>
        </w:tc>
        <w:tc>
          <w:tcPr>
            <w:tcW w:type="dxa" w:w="2959"/>
            <w:tcBorders>
              <w:top w:val="nil"/>
              <w:left w:val="nil"/>
              <w:bottom w:val="nil"/>
              <w:right w:val="nil"/>
            </w:tcBorders>
            <w:shd w:val="clear" w:color="auto" w:fill="auto"/>
            <w:tcMar>
              <w:top w:type="dxa" w:w="80"/>
              <w:left w:type="dxa" w:w="80"/>
              <w:bottom w:type="dxa" w:w="80"/>
              <w:right w:type="dxa" w:w="80"/>
            </w:tcMar>
            <w:vAlign w:val="top"/>
          </w:tcPr>
          <w:p>
            <w:pPr>
              <w:pStyle w:val="Compact"/>
              <w:spacing w:after="40" w:line="240" w:lineRule="auto"/>
              <w:jc w:val="center"/>
            </w:pPr>
            <m:oMathPara>
              <m:oMathParaPr>
                <m:jc m:val="center"/>
              </m:oMathParaPr>
              <m:oMath>
                <m:r>
                  <m:t>3.29905×</m:t>
                </m:r>
                <m:sSup>
                  <m:e>
                    <m:r>
                      <m:t>10</m:t>
                    </m:r>
                  </m:e>
                  <m:sup>
                    <m:r>
                      <m:t>−6</m:t>
                    </m:r>
                  </m:sup>
                </m:sSup>
              </m:oMath>
            </m:oMathPara>
          </w:p>
        </w:tc>
      </w:tr>
      <w:tr>
        <w:tblPrEx>
          <w:shd w:val="clear" w:color="auto" w:fill="ced7e7"/>
        </w:tblPrEx>
        <w:trPr>
          <w:trHeight w:val="243" w:hRule="atLeast"/>
        </w:trPr>
        <w:tc>
          <w:tcPr>
            <w:tcW w:type="dxa" w:w="754"/>
            <w:tcBorders>
              <w:top w:val="nil"/>
              <w:left w:val="nil"/>
              <w:bottom w:val="nil"/>
              <w:right w:val="nil"/>
            </w:tcBorders>
            <w:shd w:val="clear" w:color="auto" w:fill="auto"/>
            <w:tcMar>
              <w:top w:type="dxa" w:w="80"/>
              <w:left w:type="dxa" w:w="80"/>
              <w:bottom w:type="dxa" w:w="80"/>
              <w:right w:type="dxa" w:w="80"/>
            </w:tcMar>
            <w:vAlign w:val="top"/>
          </w:tcPr>
          <w:p>
            <w:pPr>
              <w:pStyle w:val="Compact"/>
              <w:spacing w:after="40" w:line="240" w:lineRule="auto"/>
              <w:jc w:val="center"/>
            </w:pPr>
            <w:r>
              <w:rPr>
                <w:rFonts w:ascii="Times New Roman" w:hAnsi="Times New Roman"/>
                <w:sz w:val="18"/>
                <w:szCs w:val="18"/>
                <w:rtl w:val="0"/>
                <w:lang w:val="en-US"/>
              </w:rPr>
              <w:t>255</w:t>
            </w:r>
          </w:p>
        </w:tc>
        <w:tc>
          <w:tcPr>
            <w:tcW w:type="dxa" w:w="2902"/>
            <w:tcBorders>
              <w:top w:val="nil"/>
              <w:left w:val="nil"/>
              <w:bottom w:val="nil"/>
              <w:right w:val="nil"/>
            </w:tcBorders>
            <w:shd w:val="clear" w:color="auto" w:fill="auto"/>
            <w:tcMar>
              <w:top w:type="dxa" w:w="80"/>
              <w:left w:type="dxa" w:w="80"/>
              <w:bottom w:type="dxa" w:w="80"/>
              <w:right w:type="dxa" w:w="80"/>
            </w:tcMar>
            <w:vAlign w:val="top"/>
          </w:tcPr>
          <w:p>
            <w:pPr>
              <w:pStyle w:val="Compact"/>
              <w:spacing w:after="40" w:line="240" w:lineRule="auto"/>
              <w:jc w:val="center"/>
            </w:pPr>
            <m:oMathPara>
              <m:oMathParaPr>
                <m:jc m:val="center"/>
              </m:oMathParaPr>
              <m:oMath>
                <m:r>
                  <m:t>6.69764×</m:t>
                </m:r>
                <m:sSup>
                  <m:e>
                    <m:r>
                      <m:t>10</m:t>
                    </m:r>
                  </m:e>
                  <m:sup>
                    <m:r>
                      <m:t>−7</m:t>
                    </m:r>
                  </m:sup>
                </m:sSup>
              </m:oMath>
            </m:oMathPara>
          </w:p>
        </w:tc>
        <w:tc>
          <w:tcPr>
            <w:tcW w:type="dxa" w:w="2902"/>
            <w:tcBorders>
              <w:top w:val="nil"/>
              <w:left w:val="nil"/>
              <w:bottom w:val="nil"/>
              <w:right w:val="nil"/>
            </w:tcBorders>
            <w:shd w:val="clear" w:color="auto" w:fill="auto"/>
            <w:tcMar>
              <w:top w:type="dxa" w:w="80"/>
              <w:left w:type="dxa" w:w="80"/>
              <w:bottom w:type="dxa" w:w="80"/>
              <w:right w:type="dxa" w:w="80"/>
            </w:tcMar>
            <w:vAlign w:val="top"/>
          </w:tcPr>
          <w:p>
            <w:pPr>
              <w:pStyle w:val="Compact"/>
              <w:spacing w:after="40" w:line="240" w:lineRule="auto"/>
              <w:jc w:val="center"/>
            </w:pPr>
            <m:oMathPara>
              <m:oMathParaPr>
                <m:jc m:val="center"/>
              </m:oMathParaPr>
              <m:oMath>
                <m:r>
                  <m:t>9.38007×</m:t>
                </m:r>
                <m:sSup>
                  <m:e>
                    <m:r>
                      <m:t>10</m:t>
                    </m:r>
                  </m:e>
                  <m:sup>
                    <m:r>
                      <m:t>−9</m:t>
                    </m:r>
                  </m:sup>
                </m:sSup>
              </m:oMath>
            </m:oMathPara>
          </w:p>
        </w:tc>
        <w:tc>
          <w:tcPr>
            <w:tcW w:type="dxa" w:w="2959"/>
            <w:tcBorders>
              <w:top w:val="nil"/>
              <w:left w:val="nil"/>
              <w:bottom w:val="nil"/>
              <w:right w:val="nil"/>
            </w:tcBorders>
            <w:shd w:val="clear" w:color="auto" w:fill="auto"/>
            <w:tcMar>
              <w:top w:type="dxa" w:w="80"/>
              <w:left w:type="dxa" w:w="80"/>
              <w:bottom w:type="dxa" w:w="80"/>
              <w:right w:type="dxa" w:w="80"/>
            </w:tcMar>
            <w:vAlign w:val="top"/>
          </w:tcPr>
          <w:p>
            <w:pPr>
              <w:pStyle w:val="Compact"/>
              <w:spacing w:after="40" w:line="240" w:lineRule="auto"/>
              <w:jc w:val="center"/>
            </w:pPr>
            <m:oMathPara>
              <m:oMathParaPr>
                <m:jc m:val="center"/>
              </m:oMathParaPr>
              <m:oMath>
                <m:r>
                  <m:t>9.26398×</m:t>
                </m:r>
                <m:sSup>
                  <m:e>
                    <m:r>
                      <m:t>10</m:t>
                    </m:r>
                  </m:e>
                  <m:sup>
                    <m:r>
                      <m:t>−9</m:t>
                    </m:r>
                  </m:sup>
                </m:sSup>
              </m:oMath>
            </m:oMathPara>
          </w:p>
        </w:tc>
      </w:tr>
      <w:tr>
        <w:tblPrEx>
          <w:shd w:val="clear" w:color="auto" w:fill="ced7e7"/>
        </w:tblPrEx>
        <w:trPr>
          <w:trHeight w:val="243" w:hRule="atLeast"/>
        </w:trPr>
        <w:tc>
          <w:tcPr>
            <w:tcW w:type="dxa" w:w="754"/>
            <w:tcBorders>
              <w:top w:val="nil"/>
              <w:left w:val="nil"/>
              <w:bottom w:val="nil"/>
              <w:right w:val="nil"/>
            </w:tcBorders>
            <w:shd w:val="clear" w:color="auto" w:fill="auto"/>
            <w:tcMar>
              <w:top w:type="dxa" w:w="80"/>
              <w:left w:type="dxa" w:w="80"/>
              <w:bottom w:type="dxa" w:w="80"/>
              <w:right w:type="dxa" w:w="80"/>
            </w:tcMar>
            <w:vAlign w:val="top"/>
          </w:tcPr>
          <w:p>
            <w:pPr>
              <w:pStyle w:val="Compact"/>
              <w:spacing w:after="40" w:line="240" w:lineRule="auto"/>
              <w:jc w:val="center"/>
            </w:pPr>
            <w:r>
              <w:rPr>
                <w:rFonts w:ascii="Times New Roman" w:hAnsi="Times New Roman"/>
                <w:sz w:val="18"/>
                <w:szCs w:val="18"/>
                <w:rtl w:val="0"/>
                <w:lang w:val="en-US"/>
              </w:rPr>
              <w:t>511</w:t>
            </w:r>
          </w:p>
        </w:tc>
        <w:tc>
          <w:tcPr>
            <w:tcW w:type="dxa" w:w="2902"/>
            <w:tcBorders>
              <w:top w:val="nil"/>
              <w:left w:val="nil"/>
              <w:bottom w:val="nil"/>
              <w:right w:val="nil"/>
            </w:tcBorders>
            <w:shd w:val="clear" w:color="auto" w:fill="auto"/>
            <w:tcMar>
              <w:top w:type="dxa" w:w="80"/>
              <w:left w:type="dxa" w:w="80"/>
              <w:bottom w:type="dxa" w:w="80"/>
              <w:right w:type="dxa" w:w="80"/>
            </w:tcMar>
            <w:vAlign w:val="top"/>
          </w:tcPr>
          <w:p>
            <w:pPr>
              <w:pStyle w:val="Compact"/>
              <w:spacing w:after="40" w:line="240" w:lineRule="auto"/>
              <w:jc w:val="center"/>
            </w:pPr>
            <m:oMathPara>
              <m:oMathParaPr>
                <m:jc m:val="center"/>
              </m:oMathParaPr>
              <m:oMath>
                <m:r>
                  <m:t>1.34687×</m:t>
                </m:r>
                <m:sSup>
                  <m:e>
                    <m:r>
                      <m:t>10</m:t>
                    </m:r>
                  </m:e>
                  <m:sup>
                    <m:r>
                      <m:t>−11</m:t>
                    </m:r>
                  </m:sup>
                </m:sSup>
              </m:oMath>
            </m:oMathPara>
          </w:p>
        </w:tc>
        <w:tc>
          <w:tcPr>
            <w:tcW w:type="dxa" w:w="2902"/>
            <w:tcBorders>
              <w:top w:val="nil"/>
              <w:left w:val="nil"/>
              <w:bottom w:val="nil"/>
              <w:right w:val="nil"/>
            </w:tcBorders>
            <w:shd w:val="clear" w:color="auto" w:fill="auto"/>
            <w:tcMar>
              <w:top w:type="dxa" w:w="80"/>
              <w:left w:type="dxa" w:w="80"/>
              <w:bottom w:type="dxa" w:w="80"/>
              <w:right w:type="dxa" w:w="80"/>
            </w:tcMar>
            <w:vAlign w:val="top"/>
          </w:tcPr>
          <w:p>
            <w:pPr>
              <w:pStyle w:val="Compact"/>
              <w:spacing w:after="40" w:line="240" w:lineRule="auto"/>
              <w:jc w:val="center"/>
            </w:pPr>
            <m:oMathPara>
              <m:oMathParaPr>
                <m:jc m:val="center"/>
              </m:oMathParaPr>
              <m:oMath>
                <m:r>
                  <m:t>1.02148×</m:t>
                </m:r>
                <m:sSup>
                  <m:e>
                    <m:r>
                      <m:t>10</m:t>
                    </m:r>
                  </m:e>
                  <m:sup>
                    <m:r>
                      <m:t>−7</m:t>
                    </m:r>
                  </m:sup>
                </m:sSup>
              </m:oMath>
            </m:oMathPara>
          </w:p>
        </w:tc>
        <w:tc>
          <w:tcPr>
            <w:tcW w:type="dxa" w:w="2959"/>
            <w:tcBorders>
              <w:top w:val="nil"/>
              <w:left w:val="nil"/>
              <w:bottom w:val="nil"/>
              <w:right w:val="nil"/>
            </w:tcBorders>
            <w:shd w:val="clear" w:color="auto" w:fill="auto"/>
            <w:tcMar>
              <w:top w:type="dxa" w:w="80"/>
              <w:left w:type="dxa" w:w="80"/>
              <w:bottom w:type="dxa" w:w="80"/>
              <w:right w:type="dxa" w:w="80"/>
            </w:tcMar>
            <w:vAlign w:val="top"/>
          </w:tcPr>
          <w:p>
            <w:pPr>
              <w:pStyle w:val="Compact"/>
              <w:spacing w:after="40" w:line="240" w:lineRule="auto"/>
              <w:jc w:val="center"/>
            </w:pPr>
            <m:oMathPara>
              <m:oMathParaPr>
                <m:jc m:val="center"/>
              </m:oMathParaPr>
              <m:oMath>
                <m:r>
                  <m:t>5.73035×</m:t>
                </m:r>
                <m:sSup>
                  <m:e>
                    <m:r>
                      <m:t>10</m:t>
                    </m:r>
                  </m:e>
                  <m:sup>
                    <m:r>
                      <m:t>−13</m:t>
                    </m:r>
                  </m:sup>
                </m:sSup>
              </m:oMath>
            </m:oMathPara>
          </w:p>
        </w:tc>
      </w:tr>
    </w:tbl>
    <w:p>
      <w:pPr>
        <w:pStyle w:val="Текстовый блок"/>
        <w:widowControl w:val="0"/>
        <w:spacing w:line="240" w:lineRule="atLeast"/>
        <w:jc w:val="center"/>
      </w:pPr>
    </w:p>
    <w:p>
      <w:pPr>
        <w:pStyle w:val="Текстовый блок"/>
        <w:keepLines w:val="1"/>
        <w:spacing w:before="60" w:after="120" w:line="240" w:lineRule="atLeast"/>
        <w:jc w:val="center"/>
      </w:pPr>
    </w:p>
    <w:p>
      <w:pPr>
        <w:pStyle w:val="Текстовый блок"/>
        <w:keepLines w:val="1"/>
        <w:spacing w:before="60" w:after="120" w:line="240" w:lineRule="atLeast"/>
        <w:jc w:val="center"/>
      </w:pPr>
      <w:r>
        <w:rPr>
          <w:b w:val="1"/>
          <w:bCs w:val="1"/>
          <w:rtl w:val="0"/>
        </w:rPr>
        <w:t>Table 1.</w:t>
      </w:r>
      <w:r>
        <w:rPr>
          <w:rtl w:val="0"/>
          <w:lang w:val="en-US"/>
        </w:rPr>
        <w:t xml:space="preserve"> Sampled maxima of three different quantities. The coordinate coefficient uses the measure normalisation </w:t>
      </w:r>
      <m:oMath>
        <m:r>
          <m:t>1/a</m:t>
        </m:r>
      </m:oMath>
      <w:r>
        <w:rPr>
          <w:rtl w:val="0"/>
          <w:lang w:val="en-US"/>
        </w:rPr>
        <w:t xml:space="preserve">; the Weyl norms concern fixed extended observables. The Fourier sequence is nonmonotone, as permitted by strong convergence. The last cell value is close to the conservative </w:t>
      </w:r>
      <m:oMath>
        <m:sSup>
          <m:e>
            <m:r>
              <m:t>10</m:t>
            </m:r>
          </m:e>
          <m:sup>
            <m:r>
              <m:t>−13</m:t>
            </m:r>
          </m:sup>
        </m:sSup>
      </m:oMath>
      <w:r>
        <w:rPr>
          <w:rtl w:val="0"/>
          <w:lang w:val="en-US"/>
        </w:rPr>
        <w:t xml:space="preserve"> numerical floor.</w:t>
      </w:r>
    </w:p>
    <w:p>
      <w:pPr>
        <w:pStyle w:val="Текстовый блок"/>
        <w:spacing w:line="240" w:lineRule="atLeast"/>
      </w:pPr>
      <w:r>
        <w:rPr>
          <w:rtl w:val="0"/>
          <w:lang w:val="en-US"/>
        </w:rPr>
        <w:t xml:space="preserve">The unitary comparison uses </w:t>
      </w:r>
      <m:oMath>
        <m:d>
          <m:e>
            <m:d>
              <m:dPr>
                <m:begChr m:val="|"/>
                <m:endChr m:val="|"/>
              </m:dPr>
              <m:e>
                <m:r>
                  <m:t>0⟩+</m:t>
                </m:r>
              </m:e>
            </m:d>
            <m:sSub>
              <m:e>
                <m:r>
                  <m:rPr>
                    <m:sty m:val="p"/>
                    <m:scr m:val="sans-serif"/>
                  </m:rPr>
                  <m:t>N</m:t>
                </m:r>
              </m:e>
              <m:sub>
                <m:r>
                  <m:t>1</m:t>
                </m:r>
              </m:sub>
            </m:sSub>
            <m:r>
              <m:t>=1,</m:t>
            </m:r>
            <m:sSub>
              <m:e>
                <m:r>
                  <m:rPr>
                    <m:sty m:val="p"/>
                    <m:scr m:val="sans-serif"/>
                  </m:rPr>
                  <m:t>N</m:t>
                </m:r>
              </m:e>
              <m:sub>
                <m:r>
                  <m:t>3</m:t>
                </m:r>
              </m:sub>
            </m:sSub>
            <m:r>
              <m:t>=2⟩</m:t>
            </m:r>
          </m:e>
        </m:d>
        <m:r>
          <m:t>/</m:t>
        </m:r>
        <m:rad>
          <m:radPr>
            <m:degHide m:val="on"/>
          </m:radPr>
          <m:deg/>
          <m:e>
            <m:r>
              <m:t>2</m:t>
            </m:r>
          </m:e>
        </m:rad>
      </m:oMath>
      <w:r>
        <w:rPr>
          <w:rtl w:val="0"/>
          <w:lang w:val="en-US"/>
        </w:rPr>
        <w:t xml:space="preserve">, tensored with any fixed normalised zero-mode wavepacket. The supremum of the vector-norm difference on </w:t>
      </w:r>
      <m:oMath>
        <m:d>
          <m:dPr>
            <m:begChr m:val="["/>
            <m:endChr m:val="]"/>
          </m:dPr>
          <m:e>
            <m:r>
              <m:t>0,1</m:t>
            </m:r>
          </m:e>
        </m:d>
      </m:oMath>
      <w:r>
        <w:rPr>
          <w:rtl w:val="0"/>
          <w:lang w:val="en-US"/>
        </w:rPr>
        <w:t xml:space="preserve"> is calculated analytically from the two frequency sums: it decreases from approximately </w:t>
      </w:r>
      <m:oMath>
        <m:r>
          <m:t>6.62429×</m:t>
        </m:r>
        <m:sSup>
          <m:e>
            <m:r>
              <m:t>10</m:t>
            </m:r>
          </m:e>
          <m:sup>
            <m:r>
              <m:t>−2</m:t>
            </m:r>
          </m:sup>
        </m:sSup>
      </m:oMath>
      <w:r>
        <w:rPr>
          <w:rtl w:val="0"/>
          <w:lang w:val="da-DK"/>
        </w:rPr>
        <w:t xml:space="preserve"> at </w:t>
      </w:r>
      <m:oMath>
        <m:r>
          <m:t>N=31</m:t>
        </m:r>
      </m:oMath>
      <w:r>
        <w:rPr>
          <w:rtl w:val="0"/>
          <w:lang w:val="en-US"/>
        </w:rPr>
        <w:t xml:space="preserve"> to </w:t>
      </w:r>
      <m:oMath>
        <m:r>
          <m:t>2.44989×</m:t>
        </m:r>
        <m:sSup>
          <m:e>
            <m:r>
              <m:t>10</m:t>
            </m:r>
          </m:e>
          <m:sup>
            <m:r>
              <m:t>−4</m:t>
            </m:r>
          </m:sup>
        </m:sSup>
      </m:oMath>
      <w:r>
        <w:rPr>
          <w:rtl w:val="0"/>
          <w:lang w:val="da-DK"/>
        </w:rPr>
        <w:t xml:space="preserve"> at </w:t>
      </w:r>
      <m:oMath>
        <m:r>
          <m:t>N=511</m:t>
        </m:r>
      </m:oMath>
      <w:r>
        <w:rPr>
          <w:rtl w:val="0"/>
          <w:lang w:val="en-US"/>
        </w:rPr>
        <w:t>. This example illustrates convergence on a fixed state, not on all states uniformly. Proofs, rather than plots or sampled maxima, establish the limiting assertions.</w:t>
      </w:r>
      <w:bookmarkEnd w:id="22"/>
    </w:p>
    <w:p>
      <w:pPr>
        <w:pStyle w:val="Заголовок 2"/>
        <w:spacing w:line="240" w:lineRule="atLeast"/>
      </w:pPr>
      <w:bookmarkStart w:name="Xa57881fd31502c3a5d04e90741534c0a91f2e44" w:id="23"/>
      <w:r>
        <w:rPr>
          <w:rtl w:val="0"/>
          <w:lang w:val="en-US"/>
        </w:rPr>
        <w:t>9. Earlier compact-sphere models: retained controls and explicit corrections</w:t>
      </w:r>
      <w:bookmarkEnd w:id="23"/>
    </w:p>
    <w:p>
      <w:pPr>
        <w:pStyle w:val="Заголовок 3"/>
        <w:spacing w:line="240" w:lineRule="atLeast"/>
      </w:pPr>
      <w:bookmarkStart w:name="Xa4f0d5e6bb2579f35c395fc539ae8d55bc53703" w:id="24"/>
      <w:r>
        <w:rPr>
          <w:rtl w:val="0"/>
          <w:lang w:val="en-US"/>
        </w:rPr>
        <w:t>9.1. Geometry determines travel times only after calibration</w:t>
      </w:r>
    </w:p>
    <w:p>
      <w:pPr>
        <w:pStyle w:val="Текстовый блок"/>
        <w:spacing w:line="240" w:lineRule="atLeast"/>
      </w:pPr>
      <w:r>
        <w:rPr>
          <w:rtl w:val="0"/>
          <w:lang w:val="en-US"/>
        </w:rPr>
        <w:t xml:space="preserve">As an optional effective control, take the ultrastatic spacetime </w:t>
      </w:r>
      <m:oMath>
        <m:d>
          <m:e>
            <m:r>
              <m:rPr>
                <m:sty m:val="p"/>
                <m:scr m:val="double-struck"/>
              </m:rPr>
              <m:t>R</m:t>
            </m:r>
            <m:r>
              <m:t>×</m:t>
            </m:r>
            <m:sSubSup>
              <m:e>
                <m:r>
                  <m:t>S</m:t>
                </m:r>
              </m:e>
              <m:sub>
                <m:r>
                  <m:t>R</m:t>
                </m:r>
              </m:sub>
              <m:sup>
                <m:r>
                  <m:t>3</m:t>
                </m:r>
              </m:sup>
            </m:sSubSup>
            <m:r>
              <m:t>,−</m:t>
            </m:r>
            <m:sSup>
              <m:e>
                <m:r>
                  <m:t>c</m:t>
                </m:r>
              </m:e>
              <m:sup>
                <m:r>
                  <m:t>2</m:t>
                </m:r>
              </m:sup>
            </m:sSup>
            <m:r>
              <m:t>d</m:t>
            </m:r>
            <m:sSup>
              <m:e>
                <m:r>
                  <m:t>t</m:t>
                </m:r>
              </m:e>
              <m:sup>
                <m:r>
                  <m:t>2</m:t>
                </m:r>
              </m:sup>
            </m:sSup>
            <m:r>
              <m:t>+</m:t>
            </m:r>
            <m:sSub>
              <m:e>
                <m:r>
                  <m:t>g</m:t>
                </m:r>
              </m:e>
              <m:sub>
                <m:r>
                  <m:t>R</m:t>
                </m:r>
              </m:sub>
            </m:sSub>
          </m:e>
        </m:d>
      </m:oMath>
      <w:r>
        <w:rPr>
          <w:rtl w:val="0"/>
          <w:lang w:val="en-US"/>
        </w:rPr>
        <w:t xml:space="preserve">. Its round spatial diameter is </w:t>
      </w:r>
      <m:oMath>
        <m:r>
          <m:t>πR</m:t>
        </m:r>
      </m:oMath>
      <w:r>
        <w:rPr>
          <w:rtl w:val="0"/>
          <w:lang w:val="en-US"/>
        </w:rPr>
        <w:t xml:space="preserve">, and causal access from a fixed point to the whole spatial slice becomes possible at </w:t>
      </w:r>
      <m:oMath>
        <m:r>
          <m:t>T=πR/c</m:t>
        </m:r>
      </m:oMath>
      <w:r>
        <w:rPr>
          <w:rtl w:val="0"/>
          <w:lang w:val="en-US"/>
        </w:rPr>
        <w:t xml:space="preserve">. This follows from the geodesic distance bound and the null condition, not from a selection equation for </w:t>
      </w:r>
      <m:oMath>
        <m:r>
          <m:t>c</m:t>
        </m:r>
      </m:oMath>
      <w:r>
        <w:rPr>
          <w:rtl w:val="0"/>
          <w:lang w:val="en-US"/>
        </w:rPr>
        <w:t>. The diameter is a metric quantity, not a topological invariant.</w:t>
      </w:r>
    </w:p>
    <w:p>
      <w:pPr>
        <w:pStyle w:val="Текстовый блок"/>
        <w:spacing w:line="240" w:lineRule="atLeast"/>
      </w:pPr>
      <w:r>
        <w:rPr>
          <w:rtl w:val="0"/>
          <w:lang w:val="en-US"/>
        </w:rPr>
        <w:t xml:space="preserve">For a fixed source point, homogeneity makes the accessible </w:t>
      </w:r>
      <w:r>
        <w:rPr>
          <w:i w:val="1"/>
          <w:iCs w:val="1"/>
          <w:rtl w:val="0"/>
          <w:lang w:val="fr-FR"/>
        </w:rPr>
        <w:t>volume fraction</w:t>
      </w:r>
      <w:r>
        <w:rPr>
          <w:rtl w:val="0"/>
          <w:lang w:val="en-US"/>
        </w:rPr>
        <w:t xml:space="preserve"> independent of that point. With </w:t>
      </w:r>
      <m:oMath>
        <m:r>
          <m:t>u=</m:t>
        </m:r>
        <m:r>
          <m:rPr>
            <m:sty m:val="p"/>
          </m:rPr>
          <m:t>min</m:t>
        </m:r>
        <m:d>
          <m:e>
            <m:r>
              <m:t>cT/R,π</m:t>
            </m:r>
          </m:e>
        </m:d>
      </m:oMath>
      <w:r>
        <w:rPr>
          <w:rtl w:val="0"/>
        </w:rPr>
        <w:t>,</w:t>
      </w:r>
    </w:p>
    <w:p>
      <w:pPr>
        <w:pStyle w:val="Текстовый блок"/>
        <w:keepLines w:val="1"/>
        <w:spacing w:before="60" w:line="240" w:lineRule="atLeast"/>
        <w:jc w:val="center"/>
      </w:pPr>
      <m:oMathPara>
        <m:oMathParaPr>
          <m:jc m:val="center"/>
        </m:oMathParaPr>
        <m:oMath>
          <m:r>
            <m:t>Γ</m:t>
          </m:r>
          <m:d>
            <m:e>
              <m:r>
                <m:t>T</m:t>
              </m:r>
            </m:e>
          </m:d>
          <m:r>
            <m:t>=</m:t>
          </m:r>
          <m:f>
            <m:fPr>
              <m:type m:val="bar"/>
            </m:fPr>
            <m:num>
              <m:r>
                <m:t>u−</m:t>
              </m:r>
              <m:f>
                <m:fPr>
                  <m:type m:val="lin"/>
                </m:fPr>
                <m:num>
                  <m:r>
                    <m:t>1</m:t>
                  </m:r>
                </m:num>
                <m:den>
                  <m:r>
                    <m:t>2</m:t>
                  </m:r>
                </m:den>
              </m:f>
              <m:r>
                <m:rPr>
                  <m:sty m:val="p"/>
                </m:rPr>
                <m:t>sin</m:t>
              </m:r>
              <m:d>
                <m:e>
                  <m:r>
                    <m:t>2u</m:t>
                  </m:r>
                </m:e>
              </m:d>
            </m:num>
            <m:den>
              <m:r>
                <m:t>π</m:t>
              </m:r>
            </m:den>
          </m:f>
          <m:r>
            <m:t>.</m:t>
          </m:r>
          <m:r>
            <m:rPr>
              <m:nor/>
            </m:rPr>
            <m:t>(33)</m:t>
          </m:r>
        </m:oMath>
      </m:oMathPara>
    </w:p>
    <w:p>
      <w:pPr>
        <w:pStyle w:val="Текстовый блок"/>
        <w:spacing w:line="240" w:lineRule="atLeast"/>
      </w:pPr>
      <w:r>
        <w:rPr>
          <w:rtl w:val="0"/>
          <w:lang w:val="en-US"/>
        </w:rPr>
        <w:t xml:space="preserve">The geodesic ball volume used here is </w:t>
      </w:r>
      <m:oMath>
        <m:r>
          <m:t>4π</m:t>
        </m:r>
        <m:sSup>
          <m:e>
            <m:r>
              <m:t>R</m:t>
            </m:r>
          </m:e>
          <m:sup>
            <m:r>
              <m:t>3</m:t>
            </m:r>
          </m:sup>
        </m:sSup>
        <m:nary>
          <m:naryPr>
            <m:chr m:val="∫"/>
            <m:limLoc m:val="subSup"/>
            <m:grow m:val="0"/>
            <m:subHide m:val="off"/>
            <m:supHide m:val="off"/>
          </m:naryPr>
          <m:sub>
            <m:r>
              <m:t>0</m:t>
            </m:r>
          </m:sub>
          <m:sup>
            <m:r>
              <m:t>u</m:t>
            </m:r>
          </m:sup>
          <m:e>
            <m:sSup>
              <m:e>
                <m:r>
                  <m:rPr>
                    <m:sty m:val="p"/>
                  </m:rPr>
                  <m:t>sin</m:t>
                </m:r>
              </m:e>
              <m:sup>
                <m:r>
                  <m:t>2</m:t>
                </m:r>
              </m:sup>
            </m:sSup>
          </m:e>
        </m:nary>
        <m:r>
          <m:t>χdχ</m:t>
        </m:r>
      </m:oMath>
      <w:r>
        <w:rPr>
          <w:rtl w:val="0"/>
          <w:lang w:val="en-US"/>
        </w:rPr>
        <w:t xml:space="preserve">. This restores a missing factor of </w:t>
      </w:r>
      <m:oMath>
        <m:r>
          <m:t>π</m:t>
        </m:r>
      </m:oMath>
      <w:r>
        <w:rPr>
          <w:rtl w:val="0"/>
          <w:lang w:val="en-US"/>
        </w:rPr>
        <w:t xml:space="preserve"> in the displayed proof in [21]; the final normalised fraction there was correct. The phrase </w:t>
      </w:r>
      <w:r>
        <w:rPr>
          <w:rtl w:val="0"/>
          <w:lang w:val="en-US"/>
        </w:rPr>
        <w:t>“</w:t>
      </w:r>
      <w:r>
        <w:rPr>
          <w:rtl w:val="0"/>
          <w:lang w:val="en-US"/>
        </w:rPr>
        <w:t>some (hence all) source points</w:t>
      </w:r>
      <w:r>
        <w:rPr>
          <w:rtl w:val="0"/>
          <w:lang w:val="en-US"/>
        </w:rPr>
        <w:t>”</w:t>
      </w:r>
      <w:r>
        <w:rPr>
          <w:rtl w:val="0"/>
          <w:lang w:val="en-US"/>
        </w:rPr>
        <w:t xml:space="preserve"> should not be applied to membership in a fixed ball: homogeneity equates the fractions, not the sets. Complete accessibility means that an appropriate signal can be directed to each destination, not that a single null trajectory visits every point.</w:t>
      </w:r>
    </w:p>
    <w:p>
      <w:pPr>
        <w:pStyle w:val="Текстовый блок"/>
        <w:spacing w:line="240" w:lineRule="atLeast"/>
      </w:pPr>
      <w:r>
        <w:rPr>
          <w:rtl w:val="0"/>
          <w:lang w:val="en-US"/>
        </w:rPr>
        <w:t xml:space="preserve">Compactness alone does not guarantee a finite access time in an evolving geometry. For </w:t>
      </w:r>
      <m:oMath>
        <m:r>
          <m:t>−</m:t>
        </m:r>
        <m:sSup>
          <m:e>
            <m:r>
              <m:t>c</m:t>
            </m:r>
          </m:e>
          <m:sup>
            <m:r>
              <m:t>2</m:t>
            </m:r>
          </m:sup>
        </m:sSup>
        <m:r>
          <m:t>d</m:t>
        </m:r>
        <m:sSup>
          <m:e>
            <m:r>
              <m:t>t</m:t>
            </m:r>
          </m:e>
          <m:sup>
            <m:r>
              <m:t>2</m:t>
            </m:r>
          </m:sup>
        </m:sSup>
        <m:r>
          <m:t>+R</m:t>
        </m:r>
        <m:sSup>
          <m:e>
            <m:d>
              <m:e>
                <m:r>
                  <m:t>t</m:t>
                </m:r>
              </m:e>
            </m:d>
          </m:e>
          <m:sup>
            <m:r>
              <m:t>2</m:t>
            </m:r>
          </m:sup>
        </m:sSup>
        <m:r>
          <m:t>d</m:t>
        </m:r>
        <m:sSubSup>
          <m:e>
            <m:r>
              <m:t>Ω</m:t>
            </m:r>
          </m:e>
          <m:sub>
            <m:r>
              <m:t>3</m:t>
            </m:r>
          </m:sub>
          <m:sup>
            <m:r>
              <m:t>2</m:t>
            </m:r>
          </m:sup>
        </m:sSubSup>
      </m:oMath>
      <w:r>
        <w:rPr>
          <w:rtl w:val="0"/>
          <w:lang w:val="en-US"/>
        </w:rPr>
        <w:t xml:space="preserve">, coverage by time </w:t>
      </w:r>
      <m:oMath>
        <m:r>
          <m:t>T</m:t>
        </m:r>
      </m:oMath>
      <w:r>
        <w:rPr>
          <w:rtl w:val="0"/>
          <w:lang w:val="en-US"/>
        </w:rPr>
        <w:t xml:space="preserve"> requires </w:t>
      </w:r>
      <m:oMath>
        <m:nary>
          <m:naryPr>
            <m:chr m:val="∫"/>
            <m:limLoc m:val="subSup"/>
            <m:grow m:val="0"/>
            <m:subHide m:val="off"/>
            <m:supHide m:val="off"/>
          </m:naryPr>
          <m:sub>
            <m:sSub>
              <m:e>
                <m:r>
                  <m:t>t</m:t>
                </m:r>
              </m:e>
              <m:sub>
                <m:r>
                  <m:t>0</m:t>
                </m:r>
              </m:sub>
            </m:sSub>
          </m:sub>
          <m:sup>
            <m:r>
              <m:t>T</m:t>
            </m:r>
          </m:sup>
          <m:e>
            <m:r>
              <m:t>c</m:t>
            </m:r>
          </m:e>
        </m:nary>
        <m:r>
          <m:t>dt/R</m:t>
        </m:r>
        <m:d>
          <m:e>
            <m:r>
              <m:t>t</m:t>
            </m:r>
          </m:e>
        </m:d>
        <m:r>
          <m:t>≥π</m:t>
        </m:r>
      </m:oMath>
      <w:r>
        <w:rPr>
          <w:rtl w:val="0"/>
          <w:lang w:val="en-US"/>
        </w:rPr>
        <w:t xml:space="preserve">. For example </w:t>
      </w:r>
      <m:oMath>
        <m:r>
          <m:t>R</m:t>
        </m:r>
        <m:d>
          <m:e>
            <m:r>
              <m:t>t</m:t>
            </m:r>
          </m:e>
        </m:d>
        <m:r>
          <m:t>=</m:t>
        </m:r>
        <m:sSub>
          <m:e>
            <m:r>
              <m:t>R</m:t>
            </m:r>
          </m:e>
          <m:sub>
            <m:r>
              <m:t>0</m:t>
            </m:r>
          </m:sub>
        </m:sSub>
        <m:sSup>
          <m:e>
            <m:r>
              <m:t>e</m:t>
            </m:r>
          </m:e>
          <m:sup>
            <m:r>
              <m:t>H</m:t>
            </m:r>
            <m:d>
              <m:e>
                <m:r>
                  <m:t>t−</m:t>
                </m:r>
                <m:sSub>
                  <m:e>
                    <m:r>
                      <m:t>t</m:t>
                    </m:r>
                  </m:e>
                  <m:sub>
                    <m:r>
                      <m:t>0</m:t>
                    </m:r>
                  </m:sub>
                </m:sSub>
              </m:e>
            </m:d>
          </m:sup>
        </m:sSup>
      </m:oMath>
      <w:r>
        <w:rPr>
          <w:rtl w:val="0"/>
          <w:lang w:val="en-US"/>
        </w:rPr>
        <w:t xml:space="preserve"> has finite total future angular reach </w:t>
      </w:r>
      <m:oMath>
        <m:r>
          <m:t>c/</m:t>
        </m:r>
        <m:d>
          <m:e>
            <m:r>
              <m:t>H</m:t>
            </m:r>
            <m:sSub>
              <m:e>
                <m:r>
                  <m:t>R</m:t>
                </m:r>
              </m:e>
              <m:sub>
                <m:r>
                  <m:t>0</m:t>
                </m:r>
              </m:sub>
            </m:sSub>
          </m:e>
        </m:d>
      </m:oMath>
      <w:r>
        <w:rPr>
          <w:rtl w:val="0"/>
          <w:lang w:val="en-US"/>
        </w:rPr>
        <w:t xml:space="preserve">, which may be below </w:t>
      </w:r>
      <m:oMath>
        <m:r>
          <m:t>π</m:t>
        </m:r>
      </m:oMath>
      <w:r>
        <w:rPr>
          <w:rtl w:val="0"/>
          <w:lang w:val="en-US"/>
        </w:rPr>
        <w:t xml:space="preserve">. An unwrapped null angle is not bounded by </w:t>
      </w:r>
      <m:oMath>
        <m:r>
          <m:t>π</m:t>
        </m:r>
      </m:oMath>
      <w:r>
        <w:rPr>
          <w:rtl w:val="0"/>
          <w:lang w:val="en-US"/>
        </w:rPr>
        <w:t>; the reached-ball fraction saturates there. These qualifications prevent the static result of [21] from being transferred unchanged to the evolving setting of [23].</w:t>
      </w:r>
    </w:p>
    <w:p>
      <w:pPr>
        <w:pStyle w:val="Текстовый блок"/>
        <w:spacing w:line="240" w:lineRule="atLeast"/>
      </w:pPr>
      <w:r>
        <w:rPr>
          <w:rtl w:val="0"/>
          <w:lang w:val="en-US"/>
        </w:rPr>
        <w:t xml:space="preserve">The closure map </w:t>
      </w:r>
      <m:oMath>
        <m:r>
          <m:t>Φ</m:t>
        </m:r>
        <m:d>
          <m:e>
            <m:r>
              <m:t>c</m:t>
            </m:r>
          </m:e>
        </m:d>
        <m:r>
          <m:t>=πR/</m:t>
        </m:r>
        <m:d>
          <m:e>
            <m:r>
              <m:t>πR/c</m:t>
            </m:r>
          </m:e>
        </m:d>
        <m:r>
          <m:t>=c</m:t>
        </m:r>
      </m:oMath>
      <w:r>
        <w:rPr>
          <w:rtl w:val="0"/>
          <w:lang w:val="en-US"/>
        </w:rPr>
        <w:t xml:space="preserve"> has every positive </w:t>
      </w:r>
      <m:oMath>
        <m:r>
          <m:t>c</m:t>
        </m:r>
      </m:oMath>
      <w:r>
        <w:rPr>
          <w:rtl w:val="0"/>
          <w:lang w:val="en-US"/>
        </w:rPr>
        <w:t xml:space="preserve"> as a fixed point. Likewise choosing </w:t>
      </w:r>
      <m:oMath>
        <m:r>
          <m:t>M</m:t>
        </m:r>
        <m:d>
          <m:e>
            <m:r>
              <m:t>c</m:t>
            </m:r>
          </m:e>
        </m:d>
        <m:r>
          <m:t>=</m:t>
        </m:r>
        <m:sSup>
          <m:e>
            <m:r>
              <m:t>c</m:t>
            </m:r>
          </m:e>
          <m:sup>
            <m:r>
              <m:t>2</m:t>
            </m:r>
          </m:sup>
        </m:sSup>
        <m:r>
          <m:t>R</m:t>
        </m:r>
        <m:sSup>
          <m:e>
            <m:r>
              <m:t>φ</m:t>
            </m:r>
          </m:e>
          <m:sup>
            <m:r>
              <m:t>2</m:t>
            </m:r>
          </m:sup>
        </m:sSup>
        <m:r>
          <m:t>/</m:t>
        </m:r>
        <m:d>
          <m:e>
            <m:r>
              <m:t>2G</m:t>
            </m:r>
          </m:e>
        </m:d>
      </m:oMath>
      <w:r>
        <w:rPr>
          <w:rtl w:val="0"/>
          <w:lang w:val="en-US"/>
        </w:rPr>
        <w:t xml:space="preserve"> in the ansatz of [22] and substituting back into its speed equation returns the input for every </w:t>
      </w:r>
      <m:oMath>
        <m:r>
          <m:t>c&gt;0</m:t>
        </m:r>
      </m:oMath>
      <w:r>
        <w:rPr>
          <w:rtl w:val="0"/>
          <w:lang w:val="en-US"/>
        </w:rPr>
        <w:t xml:space="preserve">. Neither operation selects a unique speed or establishes agreement of independent sectors. The remaining language of </w:t>
      </w:r>
      <w:r>
        <w:rPr>
          <w:rtl w:val="0"/>
          <w:lang w:val="en-US"/>
        </w:rPr>
        <w:t>“</w:t>
      </w:r>
      <w:r>
        <w:rPr>
          <w:rtl w:val="0"/>
          <w:lang w:val="en-US"/>
        </w:rPr>
        <w:t>selection</w:t>
      </w:r>
      <w:r>
        <w:rPr>
          <w:rtl w:val="0"/>
          <w:lang w:val="en-US"/>
        </w:rPr>
        <w:t>”</w:t>
      </w:r>
      <w:r>
        <w:rPr>
          <w:rtl w:val="0"/>
          <w:lang w:val="en-US"/>
        </w:rPr>
        <w:t xml:space="preserve"> in [21, 22] is replaced here by an algebraic identity. A Fibonacci hierarchy can remain a declared historical ansatz; it enters none of the present proofs.</w:t>
      </w:r>
      <w:bookmarkEnd w:id="24"/>
    </w:p>
    <w:p>
      <w:pPr>
        <w:pStyle w:val="Заголовок 3"/>
        <w:spacing w:line="240" w:lineRule="atLeast"/>
      </w:pPr>
      <w:bookmarkStart w:name="acorrectedrecurrencestatement" w:id="25"/>
      <w:r>
        <w:rPr>
          <w:rtl w:val="0"/>
          <w:lang w:val="en-US"/>
        </w:rPr>
        <w:t>9.2. A corrected recurrence statement</w:t>
      </w:r>
    </w:p>
    <w:p>
      <w:pPr>
        <w:pStyle w:val="Текстовый блок"/>
        <w:spacing w:line="240" w:lineRule="atLeast"/>
      </w:pPr>
      <w:r>
        <w:rPr>
          <w:rtl w:val="0"/>
          <w:lang w:val="en-US"/>
        </w:rPr>
        <w:t xml:space="preserve">Let </w:t>
      </w:r>
      <m:oMath>
        <m:r>
          <m:t>L=−</m:t>
        </m:r>
        <m:sSub>
          <m:e>
            <m:r>
              <m:t>Δ</m:t>
            </m:r>
          </m:e>
          <m:sub>
            <m:sSubSup>
              <m:e>
                <m:r>
                  <m:t>S</m:t>
                </m:r>
              </m:e>
              <m:sub>
                <m:r>
                  <m:t>R</m:t>
                </m:r>
              </m:sub>
              <m:sup>
                <m:r>
                  <m:t>3</m:t>
                </m:r>
              </m:sup>
            </m:sSubSup>
          </m:sub>
        </m:sSub>
        <m:r>
          <m:t>≥0</m:t>
        </m:r>
      </m:oMath>
      <w:r>
        <w:rPr>
          <w:rtl w:val="0"/>
          <w:lang w:val="en-US"/>
        </w:rPr>
        <w:t xml:space="preserve"> and </w:t>
      </w:r>
      <m:oMath>
        <m:sSub>
          <m:e>
            <m:r>
              <m:t>K</m:t>
            </m:r>
          </m:e>
          <m:sub>
            <m:r>
              <m:t>c</m:t>
            </m:r>
          </m:sub>
        </m:sSub>
        <m:d>
          <m:e>
            <m:r>
              <m:t>t</m:t>
            </m:r>
          </m:e>
        </m:d>
        <m:r>
          <m:t>=</m:t>
        </m:r>
        <m:sSup>
          <m:e>
            <m:r>
              <m:t>e</m:t>
            </m:r>
          </m:e>
          <m:sup>
            <m:r>
              <m:t>ict</m:t>
            </m:r>
            <m:rad>
              <m:radPr>
                <m:degHide m:val="on"/>
              </m:radPr>
              <m:deg/>
              <m:e>
                <m:r>
                  <m:t>L</m:t>
                </m:r>
              </m:e>
            </m:rad>
          </m:sup>
        </m:sSup>
      </m:oMath>
      <w:r>
        <w:rPr>
          <w:rtl w:val="0"/>
          <w:lang w:val="en-US"/>
        </w:rPr>
        <w:t xml:space="preserve">. This convention includes </w:t>
      </w:r>
      <m:oMath>
        <m:r>
          <m:t>c</m:t>
        </m:r>
      </m:oMath>
      <w:r>
        <w:rPr>
          <w:rtl w:val="0"/>
          <w:lang w:val="en-US"/>
        </w:rPr>
        <w:t xml:space="preserve"> explicitly. The wave equation is </w:t>
      </w:r>
      <m:oMath>
        <m:sSubSup>
          <m:e>
            <m:r>
              <m:t>∂</m:t>
            </m:r>
          </m:e>
          <m:sub>
            <m:r>
              <m:t>t</m:t>
            </m:r>
          </m:sub>
          <m:sup>
            <m:r>
              <m:t>2</m:t>
            </m:r>
          </m:sup>
        </m:sSubSup>
        <m:r>
          <m:t>ψ+</m:t>
        </m:r>
        <m:sSup>
          <m:e>
            <m:r>
              <m:t>c</m:t>
            </m:r>
          </m:e>
          <m:sup>
            <m:r>
              <m:t>2</m:t>
            </m:r>
          </m:sup>
        </m:sSup>
        <m:r>
          <m:t>Lψ=0</m:t>
        </m:r>
      </m:oMath>
      <w:r>
        <w:rPr>
          <w:rtl w:val="0"/>
          <w:lang w:val="en-US"/>
        </w:rPr>
        <w:t xml:space="preserve">. If </w:t>
      </w:r>
      <m:oMath>
        <m:sSub>
          <m:e>
            <m:r>
              <m:t>k</m:t>
            </m:r>
          </m:e>
          <m:sub>
            <m:r>
              <m:t>n</m:t>
            </m:r>
          </m:sub>
        </m:sSub>
        <m:r>
          <m:t>=</m:t>
        </m:r>
        <m:rad>
          <m:radPr>
            <m:degHide m:val="on"/>
          </m:radPr>
          <m:deg/>
          <m:e>
            <m:r>
              <m:t>n</m:t>
            </m:r>
            <m:d>
              <m:e>
                <m:r>
                  <m:t>n+2</m:t>
                </m:r>
              </m:e>
            </m:d>
          </m:e>
        </m:rad>
        <m:r>
          <m:t>/R</m:t>
        </m:r>
      </m:oMath>
      <w:r>
        <w:rPr>
          <w:rtl w:val="0"/>
          <w:lang w:val="en-US"/>
        </w:rPr>
        <w:t xml:space="preserve">, the dispersion </w:t>
      </w:r>
      <m:oMath>
        <m:sSub>
          <m:e>
            <m:r>
              <m:t>ω</m:t>
            </m:r>
          </m:e>
          <m:sub>
            <m:r>
              <m:t>n</m:t>
            </m:r>
          </m:sub>
        </m:sSub>
        <m:r>
          <m:t>=c</m:t>
        </m:r>
        <m:sSub>
          <m:e>
            <m:r>
              <m:t>k</m:t>
            </m:r>
          </m:e>
          <m:sub>
            <m:r>
              <m:t>n</m:t>
            </m:r>
          </m:sub>
        </m:sSub>
      </m:oMath>
      <w:r>
        <w:rPr>
          <w:rtl w:val="0"/>
          <w:lang w:val="en-US"/>
        </w:rPr>
        <w:t xml:space="preserve"> has ratio </w:t>
      </w:r>
      <m:oMath>
        <m:sSub>
          <m:e>
            <m:r>
              <m:t>ω</m:t>
            </m:r>
          </m:e>
          <m:sub>
            <m:r>
              <m:t>n</m:t>
            </m:r>
          </m:sub>
        </m:sSub>
        <m:r>
          <m:t>/</m:t>
        </m:r>
        <m:sSub>
          <m:e>
            <m:r>
              <m:t>k</m:t>
            </m:r>
          </m:e>
          <m:sub>
            <m:r>
              <m:t>n</m:t>
            </m:r>
          </m:sub>
        </m:sSub>
        <m:r>
          <m:t>=c</m:t>
        </m:r>
      </m:oMath>
      <w:r>
        <w:rPr>
          <w:rtl w:val="0"/>
          <w:lang w:val="en-US"/>
        </w:rPr>
        <w:t xml:space="preserve"> exactly. Differentiating with respect to a different variable, such as the mode number divided by </w:t>
      </w:r>
      <m:oMath>
        <m:r>
          <m:t>R</m:t>
        </m:r>
      </m:oMath>
      <w:r>
        <w:rPr>
          <w:rtl w:val="0"/>
          <w:lang w:val="en-US"/>
        </w:rPr>
        <w:t xml:space="preserve">, does not compute </w:t>
      </w:r>
      <m:oMath>
        <m:r>
          <m:t>dω/d</m:t>
        </m:r>
        <m:sSub>
          <m:e>
            <m:r>
              <m:t>k</m:t>
            </m:r>
          </m:e>
          <m:sub>
            <m:r>
              <m:t>n</m:t>
            </m:r>
          </m:sub>
        </m:sSub>
      </m:oMath>
      <w:r>
        <w:rPr>
          <w:rtl w:val="0"/>
          <w:lang w:val="en-US"/>
        </w:rPr>
        <w:t>; the group-velocity calculation in [21] mixed these variables. The half-wave operator is also not the retarded wave response and does not have its exact support property.</w:t>
      </w:r>
    </w:p>
    <w:p>
      <w:pPr>
        <w:pStyle w:val="Текстовый блок"/>
        <w:spacing w:line="240" w:lineRule="atLeast"/>
      </w:pPr>
      <w:r>
        <w:rPr>
          <w:b w:val="1"/>
          <w:bCs w:val="1"/>
          <w:rtl w:val="0"/>
          <w:lang w:val="en-US"/>
        </w:rPr>
        <w:t>Proposition 5 (strong recurrence is not norm recurrence).</w:t>
      </w:r>
      <w:r>
        <w:rPr>
          <w:rtl w:val="0"/>
          <w:lang w:val="en-US"/>
        </w:rPr>
        <w:t xml:space="preserve"> For this </w:t>
      </w:r>
      <m:oMath>
        <m:sSub>
          <m:e>
            <m:r>
              <m:t>K</m:t>
            </m:r>
          </m:e>
          <m:sub>
            <m:r>
              <m:t>c</m:t>
            </m:r>
          </m:sub>
        </m:sSub>
      </m:oMath>
      <w:r>
        <w:rPr>
          <w:rtl w:val="0"/>
          <w:lang w:val="en-US"/>
        </w:rPr>
        <w:t xml:space="preserve">, every orbit </w:t>
      </w:r>
      <m:oMath>
        <m:r>
          <m:t>t↦</m:t>
        </m:r>
        <m:sSub>
          <m:e>
            <m:r>
              <m:t>K</m:t>
            </m:r>
          </m:e>
          <m:sub>
            <m:r>
              <m:t>c</m:t>
            </m:r>
          </m:sub>
        </m:sSub>
        <m:d>
          <m:e>
            <m:r>
              <m:t>t</m:t>
            </m:r>
          </m:e>
        </m:d>
        <m:r>
          <m:t>ψ</m:t>
        </m:r>
      </m:oMath>
      <w:r>
        <w:rPr>
          <w:rtl w:val="0"/>
          <w:lang w:val="en-US"/>
        </w:rPr>
        <w:t xml:space="preserve"> is almost periodic in the Hilbert-space norm, and the full operator has no nonzero exact period. Nevertheless,</w:t>
      </w:r>
    </w:p>
    <w:p>
      <w:pPr>
        <w:pStyle w:val="Текстовый блок"/>
        <w:keepLines w:val="1"/>
        <w:spacing w:before="60" w:line="240" w:lineRule="atLeast"/>
        <w:jc w:val="center"/>
      </w:pPr>
      <m:oMathPara>
        <m:oMathParaPr>
          <m:jc m:val="center"/>
        </m:oMathParaPr>
        <m:oMath>
          <m:r>
            <m:t>∥</m:t>
          </m:r>
          <m:sSub>
            <m:e>
              <m:r>
                <m:t>K</m:t>
              </m:r>
            </m:e>
            <m:sub>
              <m:r>
                <m:t>c</m:t>
              </m:r>
            </m:sub>
          </m:sSub>
          <m:d>
            <m:e>
              <m:r>
                <m:t>t</m:t>
              </m:r>
            </m:e>
          </m:d>
          <m:r>
            <m:t>−I∥≥</m:t>
          </m:r>
          <m:rad>
            <m:radPr>
              <m:degHide m:val="on"/>
            </m:radPr>
            <m:deg/>
            <m:e>
              <m:r>
                <m:t>2</m:t>
              </m:r>
            </m:e>
          </m:rad>
          <m:r>
            <m:t/>
          </m:r>
          <m:r>
            <m:rPr>
              <m:nor/>
            </m:rPr>
            <m:t>for every</m:t>
          </m:r>
          <m:r>
            <m:t>t≠0.</m:t>
          </m:r>
          <m:r>
            <m:rPr>
              <m:nor/>
            </m:rPr>
            <m:t>(34)</m:t>
          </m:r>
        </m:oMath>
      </m:oMathPara>
    </w:p>
    <w:p>
      <w:pPr>
        <w:pStyle w:val="Текстовый блок"/>
        <w:spacing w:line="240" w:lineRule="atLeast"/>
      </w:pPr>
      <w:r>
        <w:rPr>
          <w:rtl w:val="0"/>
          <w:lang w:val="en-US"/>
        </w:rPr>
        <w:t xml:space="preserve">It is therefore not almost periodic in operator norm. Moreover the operator </w:t>
      </w:r>
      <m:oMath>
        <m:sSup>
          <m:e>
            <m:r>
              <m:t>e</m:t>
            </m:r>
          </m:e>
          <m:sup>
            <m:r>
              <m:t>ict</m:t>
            </m:r>
            <m:rad>
              <m:radPr>
                <m:degHide m:val="on"/>
              </m:radPr>
              <m:deg/>
              <m:e>
                <m:r>
                  <m:t>L+</m:t>
                </m:r>
                <m:sSup>
                  <m:e>
                    <m:r>
                      <m:t>R</m:t>
                    </m:r>
                  </m:e>
                  <m:sup>
                    <m:r>
                      <m:t>−2</m:t>
                    </m:r>
                  </m:sup>
                </m:sSup>
              </m:e>
            </m:rad>
          </m:sup>
        </m:sSup>
      </m:oMath>
      <w:r>
        <w:rPr>
          <w:rtl w:val="0"/>
          <w:lang w:val="en-US"/>
        </w:rPr>
        <w:t xml:space="preserve"> has the same wave principal cone and has the exact period </w:t>
      </w:r>
      <m:oMath>
        <m:r>
          <m:t>2πR/c</m:t>
        </m:r>
      </m:oMath>
      <w:r>
        <w:rPr>
          <w:rtl w:val="0"/>
        </w:rPr>
        <w:t>.</w:t>
      </w:r>
    </w:p>
    <w:p>
      <w:pPr>
        <w:pStyle w:val="Текстовый блок"/>
        <w:spacing w:line="240" w:lineRule="atLeast"/>
      </w:pPr>
      <w:r>
        <w:rPr>
          <w:b w:val="1"/>
          <w:bCs w:val="1"/>
          <w:rtl w:val="0"/>
          <w:lang w:val="en-US"/>
        </w:rPr>
        <w:t>Proof.</w:t>
      </w:r>
      <w:r>
        <w:rPr>
          <w:rtl w:val="0"/>
          <w:lang w:val="en-US"/>
        </w:rPr>
        <w:t xml:space="preserve"> Finite spectral sums have almost-periodic orbits, and approximate any fixed orbit uniformly in time by unitarity. A nonzero exact operator period would require both </w:t>
      </w:r>
      <m:oMath>
        <m:r>
          <m:t>ct</m:t>
        </m:r>
        <m:rad>
          <m:radPr>
            <m:degHide m:val="on"/>
          </m:radPr>
          <m:deg/>
          <m:e>
            <m:r>
              <m:t>3</m:t>
            </m:r>
          </m:e>
        </m:rad>
        <m:r>
          <m:t>/R</m:t>
        </m:r>
      </m:oMath>
      <w:r>
        <w:rPr>
          <w:rtl w:val="0"/>
          <w:lang w:val="en-US"/>
        </w:rPr>
        <w:t xml:space="preserve"> and </w:t>
      </w:r>
      <m:oMath>
        <m:r>
          <m:t>ct</m:t>
        </m:r>
        <m:rad>
          <m:radPr>
            <m:degHide m:val="on"/>
          </m:radPr>
          <m:deg/>
          <m:e>
            <m:r>
              <m:t>8</m:t>
            </m:r>
          </m:e>
        </m:rad>
        <m:r>
          <m:t>/R</m:t>
        </m:r>
      </m:oMath>
      <w:r>
        <w:rPr>
          <w:rtl w:val="0"/>
          <w:lang w:val="en-US"/>
        </w:rPr>
        <w:t xml:space="preserve"> to be integer multiples of </w:t>
      </w:r>
      <m:oMath>
        <m:r>
          <m:t>2π</m:t>
        </m:r>
      </m:oMath>
      <w:r>
        <w:rPr>
          <w:rtl w:val="0"/>
          <w:lang w:val="en-US"/>
        </w:rPr>
        <w:t xml:space="preserve">, contradicting the irrationality of </w:t>
      </w:r>
      <m:oMath>
        <m:rad>
          <m:radPr>
            <m:degHide m:val="on"/>
          </m:radPr>
          <m:deg/>
          <m:e>
            <m:r>
              <m:t>3/8</m:t>
            </m:r>
          </m:e>
        </m:rad>
      </m:oMath>
      <w:r>
        <w:rPr>
          <w:rtl w:val="0"/>
        </w:rPr>
        <w:t>.</w:t>
      </w:r>
    </w:p>
    <w:p>
      <w:pPr>
        <w:pStyle w:val="Текстовый блок"/>
        <w:spacing w:line="240" w:lineRule="atLeast"/>
      </w:pPr>
      <w:r>
        <w:rPr>
          <w:rtl w:val="0"/>
          <w:lang w:val="en-US"/>
        </w:rPr>
        <w:t xml:space="preserve">For the norm bound put </w:t>
      </w:r>
      <m:oMath>
        <m:r>
          <m:t>ϑ=ct/R</m:t>
        </m:r>
      </m:oMath>
      <w:r>
        <w:rPr>
          <w:rtl w:val="0"/>
          <w:lang w:val="en-US"/>
        </w:rPr>
        <w:t xml:space="preserve">. Since </w:t>
      </w:r>
      <m:oMath>
        <m:rad>
          <m:radPr>
            <m:degHide m:val="on"/>
          </m:radPr>
          <m:deg/>
          <m:e>
            <m:r>
              <m:t>n</m:t>
            </m:r>
            <m:d>
              <m:e>
                <m:r>
                  <m:t>n+2</m:t>
                </m:r>
              </m:e>
            </m:d>
          </m:e>
        </m:rad>
        <m:r>
          <m:t>=n+1+o</m:t>
        </m:r>
        <m:d>
          <m:e>
            <m:r>
              <m:t>1</m:t>
            </m:r>
          </m:e>
        </m:d>
      </m:oMath>
      <w:r>
        <w:rPr>
          <w:rtl w:val="0"/>
          <w:lang w:val="en-US"/>
        </w:rPr>
        <w:t xml:space="preserve">, if </w:t>
      </w:r>
      <m:oMath>
        <m:r>
          <m:t>ϑ∉2π</m:t>
        </m:r>
        <m:r>
          <m:rPr>
            <m:sty m:val="p"/>
            <m:scr m:val="double-struck"/>
          </m:rPr>
          <m:t>Z</m:t>
        </m:r>
      </m:oMath>
      <w:r>
        <w:rPr>
          <w:rtl w:val="0"/>
          <w:lang w:val="en-US"/>
        </w:rPr>
        <w:t xml:space="preserve">, the limiting phase sequence has either a dense circle closure or a nontrivial finite cyclic closure. Its supremum distance from </w:t>
      </w:r>
      <m:oMath>
        <m:r>
          <m:t>1</m:t>
        </m:r>
      </m:oMath>
      <w:r>
        <w:rPr>
          <w:rtl w:val="0"/>
          <w:lang w:val="en-US"/>
        </w:rPr>
        <w:t xml:space="preserve"> is at least </w:t>
      </w:r>
      <m:oMath>
        <m:rad>
          <m:radPr>
            <m:degHide m:val="on"/>
          </m:radPr>
          <m:deg/>
          <m:e>
            <m:r>
              <m:t>3</m:t>
            </m:r>
          </m:e>
        </m:rad>
      </m:oMath>
      <w:r>
        <w:rPr>
          <w:rtl w:val="0"/>
          <w:lang w:val="en-US"/>
        </w:rPr>
        <w:t xml:space="preserve">, hence so is the operator norm. If </w:t>
      </w:r>
      <m:oMath>
        <m:r>
          <m:t>ϑ=2πm</m:t>
        </m:r>
      </m:oMath>
      <w:r>
        <w:rPr>
          <w:rtl w:val="0"/>
        </w:rPr>
        <w:t xml:space="preserve">, </w:t>
      </w:r>
      <m:oMath>
        <m:r>
          <m:t>m≠0</m:t>
        </m:r>
      </m:oMath>
      <w:r>
        <w:rPr>
          <w:rtl w:val="0"/>
          <w:lang w:val="en-US"/>
        </w:rPr>
        <w:t xml:space="preserve">, choose </w:t>
      </w:r>
      <m:oMath>
        <m:r>
          <m:t>n=</m:t>
        </m:r>
        <m:d>
          <m:dPr>
            <m:begChr m:val="|"/>
            <m:endChr m:val="|"/>
          </m:dPr>
          <m:e>
            <m:r>
              <m:t>m</m:t>
            </m:r>
          </m:e>
        </m:d>
      </m:oMath>
      <w:r>
        <w:rPr>
          <w:rtl w:val="0"/>
          <w:lang w:val="en-US"/>
        </w:rPr>
        <w:t xml:space="preserve"> and write</w:t>
      </w:r>
    </w:p>
    <w:p>
      <w:pPr>
        <w:pStyle w:val="Текстовый блок"/>
        <w:keepLines w:val="1"/>
        <w:spacing w:before="60" w:line="240" w:lineRule="atLeast"/>
        <w:jc w:val="center"/>
      </w:pPr>
      <m:oMathPara>
        <m:oMathParaPr>
          <m:jc m:val="center"/>
        </m:oMathParaPr>
        <m:oMath>
          <m:r>
            <m:t>α=</m:t>
          </m:r>
          <m:f>
            <m:fPr>
              <m:type m:val="bar"/>
            </m:fPr>
            <m:num>
              <m:r>
                <m:t>2π</m:t>
              </m:r>
              <m:d>
                <m:dPr>
                  <m:begChr m:val="|"/>
                  <m:endChr m:val="|"/>
                </m:dPr>
                <m:e>
                  <m:r>
                    <m:t>m</m:t>
                  </m:r>
                </m:e>
              </m:d>
            </m:num>
            <m:den>
              <m:d>
                <m:dPr>
                  <m:begChr m:val="|"/>
                  <m:endChr m:val="|"/>
                </m:dPr>
                <m:e>
                  <m:r>
                    <m:t>m</m:t>
                  </m:r>
                </m:e>
              </m:d>
              <m:r>
                <m:t>+1+</m:t>
              </m:r>
              <m:rad>
                <m:radPr>
                  <m:degHide m:val="on"/>
                </m:radPr>
                <m:deg/>
                <m:e>
                  <m:sSup>
                    <m:e>
                      <m:d>
                        <m:e>
                          <m:d>
                            <m:dPr>
                              <m:begChr m:val="|"/>
                              <m:endChr m:val="|"/>
                            </m:dPr>
                            <m:e>
                              <m:r>
                                <m:t>m</m:t>
                              </m:r>
                            </m:e>
                          </m:d>
                          <m:r>
                            <m:t>+1</m:t>
                          </m:r>
                        </m:e>
                      </m:d>
                    </m:e>
                    <m:sup>
                      <m:r>
                        <m:t>2</m:t>
                      </m:r>
                    </m:sup>
                  </m:sSup>
                  <m:r>
                    <m:t>−1</m:t>
                  </m:r>
                </m:e>
              </m:rad>
            </m:den>
          </m:f>
          <m:r>
            <m:t>,</m:t>
          </m:r>
          <m:f>
            <m:fPr>
              <m:type m:val="bar"/>
            </m:fPr>
            <m:num>
              <m:r>
                <m:t>π</m:t>
              </m:r>
            </m:num>
            <m:den>
              <m:r>
                <m:t>2</m:t>
              </m:r>
            </m:den>
          </m:f>
          <m:r>
            <m:t>&lt;α&lt;π.</m:t>
          </m:r>
          <m:r>
            <m:rPr>
              <m:nor/>
            </m:rPr>
            <m:t>(35)</m:t>
          </m:r>
        </m:oMath>
      </m:oMathPara>
    </w:p>
    <w:p>
      <w:pPr>
        <w:pStyle w:val="Текстовый блок"/>
        <w:spacing w:line="240" w:lineRule="atLeast"/>
      </w:pPr>
      <w:r>
        <w:rPr>
          <w:rtl w:val="0"/>
          <w:lang w:val="en-US"/>
        </w:rPr>
        <w:t xml:space="preserve">The corresponding phase has distance </w:t>
      </w:r>
      <m:oMath>
        <m:r>
          <m:t>2</m:t>
        </m:r>
        <m:r>
          <m:rPr>
            <m:sty m:val="p"/>
          </m:rPr>
          <m:t>sin</m:t>
        </m:r>
        <m:d>
          <m:e>
            <m:f>
              <m:fPr>
                <m:type m:val="lin"/>
              </m:fPr>
              <m:num>
                <m:r>
                  <m:t>α</m:t>
                </m:r>
              </m:num>
              <m:den>
                <m:r>
                  <m:t>2</m:t>
                </m:r>
              </m:den>
            </m:f>
          </m:e>
        </m:d>
        <m:r>
          <m:t>&gt;</m:t>
        </m:r>
        <m:rad>
          <m:radPr>
            <m:degHide m:val="on"/>
          </m:radPr>
          <m:deg/>
          <m:e>
            <m:r>
              <m:t>2</m:t>
            </m:r>
          </m:e>
        </m:rad>
      </m:oMath>
      <w:r>
        <w:rPr>
          <w:rtl w:val="0"/>
          <w:lang w:val="en-US"/>
        </w:rPr>
        <w:t xml:space="preserve"> from </w:t>
      </w:r>
      <m:oMath>
        <m:r>
          <m:t>1</m:t>
        </m:r>
      </m:oMath>
      <w:r>
        <w:rPr>
          <w:rtl w:val="0"/>
          <w:lang w:val="en-US"/>
        </w:rPr>
        <w:t xml:space="preserve">. Thus no nonzero time is a norm almost-period for tolerance below </w:t>
      </w:r>
      <m:oMath>
        <m:rad>
          <m:radPr>
            <m:degHide m:val="on"/>
          </m:radPr>
          <m:deg/>
          <m:e>
            <m:r>
              <m:t>2</m:t>
            </m:r>
          </m:e>
        </m:rad>
      </m:oMath>
      <w:r>
        <w:rPr>
          <w:rtl w:val="0"/>
          <w:lang w:val="en-US"/>
        </w:rPr>
        <w:t xml:space="preserve">. Finally the shifted frequencies are </w:t>
      </w:r>
      <m:oMath>
        <m:r>
          <m:t>c</m:t>
        </m:r>
        <m:d>
          <m:e>
            <m:r>
              <m:t>n+1</m:t>
            </m:r>
          </m:e>
        </m:d>
        <m:r>
          <m:t>/R</m:t>
        </m:r>
      </m:oMath>
      <w:r>
        <w:rPr>
          <w:rtl w:val="0"/>
          <w:lang w:val="en-US"/>
        </w:rPr>
        <w:t xml:space="preserve">, which proves their stated exact period. </w:t>
      </w:r>
      <m:oMath>
        <m:r>
          <m:rPr>
            <m:sty m:val="p"/>
          </m:rPr>
          <m:t>▫</m:t>
        </m:r>
      </m:oMath>
    </w:p>
    <w:p>
      <w:pPr>
        <w:pStyle w:val="Текстовый блок"/>
        <w:spacing w:line="240" w:lineRule="atLeast"/>
      </w:pPr>
      <w:r>
        <w:rPr>
          <w:rtl w:val="0"/>
          <w:lang w:val="en-US"/>
        </w:rPr>
        <w:t xml:space="preserve">This corrects Theorem IV(ii) of [21], whose proof established strong orbit recurrence but whose statement asserted operator-norm recurrence. Conservation of </w:t>
      </w:r>
      <m:oMath>
        <m:r>
          <m:t>∥</m:t>
        </m:r>
        <m:sSub>
          <m:e>
            <m:r>
              <m:t>K</m:t>
            </m:r>
          </m:e>
          <m:sub>
            <m:r>
              <m:t>c</m:t>
            </m:r>
          </m:sub>
        </m:sSub>
        <m:d>
          <m:e>
            <m:r>
              <m:t>t</m:t>
            </m:r>
          </m:e>
        </m:d>
        <m:r>
          <m:t>ψ∥</m:t>
        </m:r>
      </m:oMath>
      <w:r>
        <w:rPr>
          <w:rtl w:val="0"/>
          <w:lang w:val="en-US"/>
        </w:rPr>
        <w:t xml:space="preserve"> is unitarity, not a theorem that a cosmological geometry cannot evolve or that no individual state can be periodic. The shifted example also shows that the common null cone does not determine detailed spectral recurrence.</w:t>
      </w:r>
      <w:bookmarkEnd w:id="25"/>
    </w:p>
    <w:p>
      <w:pPr>
        <w:pStyle w:val="Заголовок 3"/>
        <w:spacing w:line="240" w:lineRule="atLeast"/>
      </w:pPr>
      <w:bookmarkStart w:name="X544cb72baa8f6caf0fc998d744415d2e0ced809" w:id="26"/>
      <w:r>
        <w:rPr>
          <w:rtl w:val="0"/>
          <w:lang w:val="en-US"/>
        </w:rPr>
        <w:t>9.3. The DRD connection has a precise boundary</w:t>
      </w:r>
    </w:p>
    <w:p>
      <w:pPr>
        <w:pStyle w:val="Текстовый блок"/>
        <w:spacing w:line="240" w:lineRule="atLeast"/>
      </w:pPr>
      <w:r>
        <w:rPr>
          <w:rtl w:val="0"/>
          <w:lang w:val="en-US"/>
        </w:rPr>
        <w:t>The carrier</w:t>
      </w:r>
      <w:r>
        <w:rPr>
          <w:rtl w:val="0"/>
          <w:lang w:val="en-US"/>
        </w:rPr>
        <w:t>–</w:t>
      </w:r>
      <w:r>
        <w:rPr>
          <w:rtl w:val="0"/>
          <w:lang w:val="en-US"/>
        </w:rPr>
        <w:t>morphism distinction in [24] is retained. A homological profile, a spectral profile and a physical null structure have different preserving maps; calling each an invariant does not make them identical. The new reconstruction groupoid of Section 3 is defined independently of the more extensive DRD package.</w:t>
      </w:r>
    </w:p>
    <w:p>
      <w:pPr>
        <w:pStyle w:val="Текстовый блок"/>
        <w:spacing w:line="240" w:lineRule="atLeast"/>
      </w:pPr>
      <w:r>
        <w:rPr>
          <w:rtl w:val="0"/>
          <w:lang w:val="en-US"/>
        </w:rPr>
        <w:t xml:space="preserve">There is one further distinction relevant to importing causal claims. For a homogeneous shell-complete spectral projector, its constant diagonal indeed gives </w:t>
      </w:r>
      <m:oMath>
        <m:r>
          <m:rPr>
            <m:sty m:val="p"/>
          </m:rPr>
          <m:t>Tr</m:t>
        </m:r>
        <m:d>
          <m:e>
            <m:sSub>
              <m:e>
                <m:r>
                  <m:t>1</m:t>
                </m:r>
              </m:e>
              <m:sub>
                <m:r>
                  <m:t>B</m:t>
                </m:r>
              </m:sub>
            </m:sSub>
            <m:r>
              <m:t>Π</m:t>
            </m:r>
            <m:sSub>
              <m:e>
                <m:r>
                  <m:t>1</m:t>
                </m:r>
              </m:e>
              <m:sub>
                <m:r>
                  <m:t>B</m:t>
                </m:r>
              </m:sub>
            </m:sSub>
          </m:e>
        </m:d>
        <m:r>
          <m:t>/</m:t>
        </m:r>
        <m:r>
          <m:rPr>
            <m:sty m:val="p"/>
          </m:rPr>
          <m:t>Tr</m:t>
        </m:r>
        <m:r>
          <m:t>Π=</m:t>
        </m:r>
        <m:r>
          <m:rPr>
            <m:sty m:val="p"/>
          </m:rPr>
          <m:t>Vol</m:t>
        </m:r>
        <m:d>
          <m:e>
            <m:r>
              <m:t>B</m:t>
            </m:r>
          </m:e>
        </m:d>
        <m:r>
          <m:t>/</m:t>
        </m:r>
        <m:r>
          <m:rPr>
            <m:sty m:val="p"/>
          </m:rPr>
          <m:t>Vol</m:t>
        </m:r>
        <m:d>
          <m:e>
            <m:sSup>
              <m:e>
                <m:r>
                  <m:t>S</m:t>
                </m:r>
              </m:e>
              <m:sup>
                <m:r>
                  <m:t>3</m:t>
                </m:r>
              </m:sup>
            </m:sSup>
          </m:e>
        </m:d>
      </m:oMath>
      <w:r>
        <w:rPr>
          <w:rtl w:val="0"/>
          <w:lang w:val="en-US"/>
        </w:rPr>
        <w:t xml:space="preserve">. This is an exact </w:t>
      </w:r>
      <w:r>
        <w:rPr>
          <w:i w:val="1"/>
          <w:iCs w:val="1"/>
          <w:rtl w:val="0"/>
          <w:lang w:val="en-US"/>
        </w:rPr>
        <w:t>spectral-weight fraction</w:t>
      </w:r>
      <w:r>
        <w:rPr>
          <w:rtl w:val="0"/>
          <w:lang w:val="en-US"/>
        </w:rPr>
        <w:t>. It does not by itself count the number of independently accessible logical modes or establish a communication protocol. For a finite scalar band on the round sphere, analyticity makes restriction to any nonempty open set injective in the ideal noiseless mathematical sense, even when that trace fraction is small. Operational reconstruction requires accuracy, noise, energy and intervention constraints. Accordingly the stronger operational interpretation of the trace ratio in [24] remains conditional, and is not used to prove causal calibration here.</w:t>
      </w:r>
      <w:bookmarkEnd w:id="26"/>
    </w:p>
    <w:p>
      <w:pPr>
        <w:pStyle w:val="Заголовок 2"/>
        <w:spacing w:line="240" w:lineRule="atLeast"/>
      </w:pPr>
      <w:bookmarkStart w:name="X7a19e9a46241c09e87d2ff32af41751ee38fdcb" w:id="27"/>
      <w:r>
        <w:rPr>
          <w:rtl w:val="0"/>
          <w:lang w:val="en-US"/>
        </w:rPr>
        <w:t>10. What is proved, what is assumed, what remains open</w:t>
      </w:r>
    </w:p>
    <w:p>
      <w:pPr>
        <w:pStyle w:val="Текстовый блок"/>
        <w:spacing w:line="240" w:lineRule="atLeast"/>
      </w:pPr>
      <w:r>
        <w:rPr>
          <w:b w:val="1"/>
          <w:bCs w:val="1"/>
          <w:rtl w:val="0"/>
          <w:lang w:val="en-US"/>
        </w:rPr>
        <w:t>Proved within the stated classes.</w:t>
      </w:r>
      <w:r>
        <w:rPr>
          <w:rtl w:val="0"/>
          <w:lang w:val="en-US"/>
        </w:rPr>
        <w:t xml:space="preserve"> One common scalar unit normalisation exists exactly at scalarity of the positive compressed stiffness; relative-speed ratios obstruct it otherwise. The bounded-energy comparison implies equality of reconstructed response limits and preservation of their physical cone family. The independent spectral length</w:t>
      </w:r>
      <w:r>
        <w:rPr>
          <w:rtl w:val="0"/>
          <w:lang w:val="en-US"/>
        </w:rPr>
        <w:t>–</w:t>
      </w:r>
      <w:r>
        <w:rPr>
          <w:rtl w:val="0"/>
          <w:lang w:val="pt-PT"/>
        </w:rPr>
        <w:t>time ratios satisfy (15)</w:t>
      </w:r>
      <w:r>
        <w:rPr>
          <w:rtl w:val="0"/>
          <w:lang w:val="en-US"/>
        </w:rPr>
        <w:t>–</w:t>
      </w:r>
      <w:r>
        <w:rPr>
          <w:rtl w:val="0"/>
          <w:lang w:val="en-US"/>
        </w:rPr>
        <w:t>(16). Finite harmonic quantisation and its specified embeddings give strong unitary convergence, convergence of commutator distributions and a microcausal limiting Weyl net. Proposition 5 gives the stated recurrence correction. These proofs are conditional on their mathematical inputs, not on the philosophical hypothesis in Section 1.</w:t>
      </w:r>
    </w:p>
    <w:p>
      <w:pPr>
        <w:pStyle w:val="Текстовый блок"/>
        <w:spacing w:line="240" w:lineRule="atLeast"/>
      </w:pPr>
      <w:r>
        <w:rPr>
          <w:b w:val="1"/>
          <w:bCs w:val="1"/>
          <w:rtl w:val="0"/>
          <w:lang w:val="pt-PT"/>
        </w:rPr>
        <w:t>Assumed.</w:t>
      </w:r>
      <w:r>
        <w:rPr>
          <w:rtl w:val="0"/>
          <w:lang w:val="en-US"/>
        </w:rPr>
        <w:t xml:space="preserve"> Positive quadratic wave dynamics, a time parameter for the control systems, specified physical sectors and measures, prescribed chain geometry, suitable operator domains and local reconstructions are inputs. Scalarity of </w:t>
      </w:r>
      <m:oMath>
        <m:sSub>
          <m:e>
            <m:r>
              <m:t>D</m:t>
            </m:r>
          </m:e>
          <m:sub>
            <m:r>
              <m:t>00</m:t>
            </m:r>
          </m:sub>
        </m:sSub>
      </m:oMath>
      <w:r>
        <w:rPr>
          <w:rtl w:val="0"/>
          <w:lang w:val="en-US"/>
        </w:rPr>
        <w:t xml:space="preserve"> is tested by Theorem 1 and explicitly imposed in the common-cone examples; it is not generated dynamically by those examples. Quantum CCR and the representation choice are also inputs. Neither </w:t>
      </w:r>
      <m:oMath>
        <m:sSup>
          <m:e>
            <m:r>
              <m:t>S</m:t>
            </m:r>
          </m:e>
          <m:sup>
            <m:r>
              <m:t>3</m:t>
            </m:r>
          </m:sup>
        </m:sSup>
      </m:oMath>
      <w:r>
        <w:rPr>
          <w:rtl w:val="0"/>
          <w:lang w:val="en-US"/>
        </w:rPr>
        <w:t xml:space="preserve"> nor a Planck cutoff is an input to the central four results.</w:t>
      </w:r>
    </w:p>
    <w:p>
      <w:pPr>
        <w:pStyle w:val="Текстовый блок"/>
        <w:spacing w:line="240" w:lineRule="atLeast"/>
      </w:pPr>
      <w:r>
        <w:rPr>
          <w:b w:val="1"/>
          <w:bCs w:val="1"/>
          <w:rtl w:val="0"/>
          <w:lang w:val="en-US"/>
        </w:rPr>
        <w:t>No-go results and non-implications.</w:t>
      </w:r>
      <w:r>
        <w:rPr>
          <w:rtl w:val="0"/>
          <w:lang w:val="en-US"/>
        </w:rPr>
        <w:t xml:space="preserve"> Distinct sector speeds cannot be equalised by a common unit change, by (4). A fixed-point identity cannot select a unique fixed point. Positive conformal rescaling leaves the cone while changing metric scale. Time-reversal-even data cannot supply a reversal-odd orientation selector. Spectral eigenvalues alone do not identify localisation operations. The convention </w:t>
      </w:r>
      <m:oMath>
        <m:r>
          <m:t>c=1</m:t>
        </m:r>
      </m:oMath>
      <w:r>
        <w:rPr>
          <w:rtl w:val="0"/>
          <w:lang w:val="en-US"/>
        </w:rPr>
        <w:t xml:space="preserve"> does not establish universality, and one massless branch does not test agreement with an independent branch. Finally, the definitions </w:t>
      </w:r>
      <m:oMath>
        <m:sSub>
          <m:e>
            <m:r>
              <m:rPr>
                <m:sty m:val="p"/>
              </m:rPr>
              <m:t>ℓ</m:t>
            </m:r>
          </m:e>
          <m:sub>
            <m:r>
              <m:t>P</m:t>
            </m:r>
          </m:sub>
        </m:sSub>
        <m:r>
          <m:t>=</m:t>
        </m:r>
        <m:rad>
          <m:radPr>
            <m:degHide m:val="on"/>
          </m:radPr>
          <m:deg/>
          <m:e>
            <m:r>
              <m:rPr>
                <m:sty m:val="p"/>
              </m:rPr>
              <m:t>ℏ</m:t>
            </m:r>
            <m:r>
              <m:t>G/</m:t>
            </m:r>
            <m:sSup>
              <m:e>
                <m:r>
                  <m:t>c</m:t>
                </m:r>
              </m:e>
              <m:sup>
                <m:r>
                  <m:t>3</m:t>
                </m:r>
              </m:sup>
            </m:sSup>
          </m:e>
        </m:rad>
      </m:oMath>
      <w:r>
        <w:rPr>
          <w:rtl w:val="0"/>
          <w:lang w:val="en-US"/>
        </w:rPr>
        <w:t xml:space="preserve"> and </w:t>
      </w:r>
      <m:oMath>
        <m:sSub>
          <m:e>
            <m:r>
              <m:t>t</m:t>
            </m:r>
          </m:e>
          <m:sub>
            <m:r>
              <m:t>P</m:t>
            </m:r>
          </m:sub>
        </m:sSub>
        <m:r>
          <m:t>=</m:t>
        </m:r>
        <m:sSub>
          <m:e>
            <m:r>
              <m:rPr>
                <m:sty m:val="p"/>
              </m:rPr>
              <m:t>ℓ</m:t>
            </m:r>
          </m:e>
          <m:sub>
            <m:r>
              <m:t>P</m:t>
            </m:r>
          </m:sub>
        </m:sSub>
        <m:r>
          <m:t>/c</m:t>
        </m:r>
      </m:oMath>
      <w:r>
        <w:rPr>
          <w:rtl w:val="0"/>
          <w:lang w:val="en-US"/>
        </w:rPr>
        <w:t xml:space="preserve"> assign scales; a lower bound on measurable intervals is an additional physical postulate, not a mathematical consequence of those definitions.</w:t>
      </w:r>
    </w:p>
    <w:p>
      <w:pPr>
        <w:pStyle w:val="Текстовый блок"/>
        <w:spacing w:line="240" w:lineRule="atLeast"/>
      </w:pPr>
      <w:r>
        <w:rPr>
          <w:rtl w:val="0"/>
          <w:lang w:val="en-US"/>
        </w:rPr>
        <w:t>The transition structure is therefore:</w:t>
      </w:r>
    </w:p>
    <w:tbl>
      <w:tblPr>
        <w:tblW w:w="9298"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309"/>
        <w:gridCol w:w="4989"/>
      </w:tblGrid>
      <w:tr>
        <w:tblPrEx>
          <w:shd w:val="clear" w:color="auto" w:fill="4f81bd"/>
        </w:tblPrEx>
        <w:trPr>
          <w:trHeight w:val="192" w:hRule="atLeast"/>
          <w:tblHeader/>
        </w:trPr>
        <w:tc>
          <w:tcPr>
            <w:tcW w:type="dxa" w:w="4309"/>
            <w:tcBorders>
              <w:top w:val="nil"/>
              <w:left w:val="nil"/>
              <w:bottom w:val="nil"/>
              <w:right w:val="nil"/>
            </w:tcBorders>
            <w:shd w:val="clear" w:color="auto" w:fill="edeff2"/>
            <w:tcMar>
              <w:top w:type="dxa" w:w="80"/>
              <w:left w:type="dxa" w:w="80"/>
              <w:bottom w:type="dxa" w:w="80"/>
              <w:right w:type="dxa" w:w="80"/>
            </w:tcMar>
            <w:vAlign w:val="top"/>
          </w:tcPr>
          <w:p>
            <w:pPr>
              <w:pStyle w:val="Compact"/>
              <w:keepNext w:val="1"/>
              <w:spacing w:after="40" w:line="240" w:lineRule="auto"/>
            </w:pPr>
            <w:r>
              <w:rPr>
                <w:rFonts w:ascii="Times New Roman" w:hAnsi="Times New Roman"/>
                <w:b w:val="1"/>
                <w:bCs w:val="1"/>
                <w:sz w:val="18"/>
                <w:szCs w:val="18"/>
                <w:rtl w:val="0"/>
                <w:lang w:val="en-US"/>
              </w:rPr>
              <w:t>Transition</w:t>
            </w:r>
          </w:p>
        </w:tc>
        <w:tc>
          <w:tcPr>
            <w:tcW w:type="dxa" w:w="4989"/>
            <w:tcBorders>
              <w:top w:val="nil"/>
              <w:left w:val="nil"/>
              <w:bottom w:val="nil"/>
              <w:right w:val="nil"/>
            </w:tcBorders>
            <w:shd w:val="clear" w:color="auto" w:fill="edeff2"/>
            <w:tcMar>
              <w:top w:type="dxa" w:w="80"/>
              <w:left w:type="dxa" w:w="80"/>
              <w:bottom w:type="dxa" w:w="80"/>
              <w:right w:type="dxa" w:w="80"/>
            </w:tcMar>
            <w:vAlign w:val="top"/>
          </w:tcPr>
          <w:p>
            <w:pPr>
              <w:pStyle w:val="Compact"/>
              <w:keepNext w:val="1"/>
              <w:spacing w:after="40" w:line="240" w:lineRule="auto"/>
            </w:pPr>
            <w:r>
              <w:rPr>
                <w:rFonts w:ascii="Times New Roman" w:hAnsi="Times New Roman"/>
                <w:b w:val="1"/>
                <w:bCs w:val="1"/>
                <w:sz w:val="18"/>
                <w:szCs w:val="18"/>
                <w:rtl w:val="0"/>
                <w:lang w:val="en-US"/>
              </w:rPr>
              <w:t>Status in this article</w:t>
            </w:r>
          </w:p>
        </w:tc>
      </w:tr>
      <w:tr>
        <w:tblPrEx>
          <w:shd w:val="clear" w:color="auto" w:fill="ced7e7"/>
        </w:tblPrEx>
        <w:trPr>
          <w:trHeight w:val="192" w:hRule="atLeast"/>
        </w:trPr>
        <w:tc>
          <w:tcPr>
            <w:tcW w:type="dxa" w:w="4309"/>
            <w:tcBorders>
              <w:top w:val="nil"/>
              <w:left w:val="nil"/>
              <w:bottom w:val="nil"/>
              <w:right w:val="nil"/>
            </w:tcBorders>
            <w:shd w:val="clear" w:color="auto" w:fill="auto"/>
            <w:tcMar>
              <w:top w:type="dxa" w:w="80"/>
              <w:left w:type="dxa" w:w="80"/>
              <w:bottom w:type="dxa" w:w="80"/>
              <w:right w:type="dxa" w:w="80"/>
            </w:tcMar>
            <w:vAlign w:val="top"/>
          </w:tcPr>
          <w:p>
            <w:pPr>
              <w:pStyle w:val="Compact"/>
              <w:spacing w:after="40" w:line="240" w:lineRule="auto"/>
            </w:pPr>
            <w:r>
              <w:rPr>
                <w:rFonts w:ascii="Times New Roman" w:hAnsi="Times New Roman"/>
                <w:sz w:val="18"/>
                <w:szCs w:val="18"/>
                <w:rtl w:val="0"/>
                <w:lang w:val="en-US"/>
              </w:rPr>
              <w:t>Neutral relation to stable local degrees of freedom</w:t>
            </w:r>
          </w:p>
        </w:tc>
        <w:tc>
          <w:tcPr>
            <w:tcW w:type="dxa" w:w="4989"/>
            <w:tcBorders>
              <w:top w:val="nil"/>
              <w:left w:val="nil"/>
              <w:bottom w:val="nil"/>
              <w:right w:val="nil"/>
            </w:tcBorders>
            <w:shd w:val="clear" w:color="auto" w:fill="auto"/>
            <w:tcMar>
              <w:top w:type="dxa" w:w="80"/>
              <w:left w:type="dxa" w:w="80"/>
              <w:bottom w:type="dxa" w:w="80"/>
              <w:right w:type="dxa" w:w="80"/>
            </w:tcMar>
            <w:vAlign w:val="top"/>
          </w:tcPr>
          <w:p>
            <w:pPr>
              <w:pStyle w:val="Compact"/>
              <w:spacing w:after="40" w:line="240" w:lineRule="auto"/>
            </w:pPr>
            <w:r>
              <w:rPr>
                <w:rFonts w:ascii="Times New Roman" w:hAnsi="Times New Roman"/>
                <w:sz w:val="18"/>
                <w:szCs w:val="18"/>
                <w:rtl w:val="0"/>
                <w:lang w:val="en-US"/>
              </w:rPr>
              <w:t>Open geometry-selection problem</w:t>
            </w:r>
          </w:p>
        </w:tc>
      </w:tr>
      <w:tr>
        <w:tblPrEx>
          <w:shd w:val="clear" w:color="auto" w:fill="ced7e7"/>
        </w:tblPrEx>
        <w:trPr>
          <w:trHeight w:val="192" w:hRule="atLeast"/>
        </w:trPr>
        <w:tc>
          <w:tcPr>
            <w:tcW w:type="dxa" w:w="4309"/>
            <w:tcBorders>
              <w:top w:val="nil"/>
              <w:left w:val="nil"/>
              <w:bottom w:val="nil"/>
              <w:right w:val="nil"/>
            </w:tcBorders>
            <w:shd w:val="clear" w:color="auto" w:fill="auto"/>
            <w:tcMar>
              <w:top w:type="dxa" w:w="80"/>
              <w:left w:type="dxa" w:w="80"/>
              <w:bottom w:type="dxa" w:w="80"/>
              <w:right w:type="dxa" w:w="80"/>
            </w:tcMar>
            <w:vAlign w:val="top"/>
          </w:tcPr>
          <w:p>
            <w:pPr>
              <w:pStyle w:val="Compact"/>
              <w:spacing w:after="40" w:line="240" w:lineRule="auto"/>
            </w:pPr>
            <w:r>
              <w:rPr>
                <w:rFonts w:ascii="Times New Roman" w:hAnsi="Times New Roman"/>
                <w:sz w:val="18"/>
                <w:szCs w:val="18"/>
                <w:rtl w:val="0"/>
                <w:lang w:val="en-US"/>
              </w:rPr>
              <w:t>Specified operators and maps to local response</w:t>
            </w:r>
          </w:p>
        </w:tc>
        <w:tc>
          <w:tcPr>
            <w:tcW w:type="dxa" w:w="4989"/>
            <w:tcBorders>
              <w:top w:val="nil"/>
              <w:left w:val="nil"/>
              <w:bottom w:val="nil"/>
              <w:right w:val="nil"/>
            </w:tcBorders>
            <w:shd w:val="clear" w:color="auto" w:fill="auto"/>
            <w:tcMar>
              <w:top w:type="dxa" w:w="80"/>
              <w:left w:type="dxa" w:w="80"/>
              <w:bottom w:type="dxa" w:w="80"/>
              <w:right w:type="dxa" w:w="80"/>
            </w:tcMar>
            <w:vAlign w:val="top"/>
          </w:tcPr>
          <w:p>
            <w:pPr>
              <w:pStyle w:val="Compact"/>
              <w:spacing w:after="40" w:line="240" w:lineRule="auto"/>
            </w:pPr>
            <w:r>
              <w:rPr>
                <w:rFonts w:ascii="Times New Roman" w:hAnsi="Times New Roman"/>
                <w:sz w:val="18"/>
                <w:szCs w:val="18"/>
                <w:rtl w:val="0"/>
                <w:lang w:val="en-US"/>
              </w:rPr>
              <w:t>Controlled chain result; sufficient general comparison</w:t>
            </w:r>
          </w:p>
        </w:tc>
      </w:tr>
      <w:tr>
        <w:tblPrEx>
          <w:shd w:val="clear" w:color="auto" w:fill="ced7e7"/>
        </w:tblPrEx>
        <w:trPr>
          <w:trHeight w:val="192" w:hRule="atLeast"/>
        </w:trPr>
        <w:tc>
          <w:tcPr>
            <w:tcW w:type="dxa" w:w="4309"/>
            <w:tcBorders>
              <w:top w:val="nil"/>
              <w:left w:val="nil"/>
              <w:bottom w:val="nil"/>
              <w:right w:val="nil"/>
            </w:tcBorders>
            <w:shd w:val="clear" w:color="auto" w:fill="auto"/>
            <w:tcMar>
              <w:top w:type="dxa" w:w="80"/>
              <w:left w:type="dxa" w:w="80"/>
              <w:bottom w:type="dxa" w:w="80"/>
              <w:right w:type="dxa" w:w="80"/>
            </w:tcMar>
            <w:vAlign w:val="top"/>
          </w:tcPr>
          <w:p>
            <w:pPr>
              <w:pStyle w:val="Compact"/>
              <w:spacing w:after="40" w:line="240" w:lineRule="auto"/>
            </w:pPr>
            <w:r>
              <w:rPr>
                <w:rFonts w:ascii="Times New Roman" w:hAnsi="Times New Roman"/>
                <w:sz w:val="18"/>
                <w:szCs w:val="18"/>
                <w:rtl w:val="0"/>
                <w:lang w:val="en-US"/>
              </w:rPr>
              <w:t>Several physical branches to one Lorentzian cone</w:t>
            </w:r>
          </w:p>
        </w:tc>
        <w:tc>
          <w:tcPr>
            <w:tcW w:type="dxa" w:w="4989"/>
            <w:tcBorders>
              <w:top w:val="nil"/>
              <w:left w:val="nil"/>
              <w:bottom w:val="nil"/>
              <w:right w:val="nil"/>
            </w:tcBorders>
            <w:shd w:val="clear" w:color="auto" w:fill="auto"/>
            <w:tcMar>
              <w:top w:type="dxa" w:w="80"/>
              <w:left w:type="dxa" w:w="80"/>
              <w:bottom w:type="dxa" w:w="80"/>
              <w:right w:type="dxa" w:w="80"/>
            </w:tcMar>
            <w:vAlign w:val="top"/>
          </w:tcPr>
          <w:p>
            <w:pPr>
              <w:pStyle w:val="Compact"/>
              <w:spacing w:after="40" w:line="240" w:lineRule="auto"/>
            </w:pPr>
            <w:r>
              <w:rPr>
                <w:rFonts w:ascii="Times New Roman" w:hAnsi="Times New Roman"/>
                <w:sz w:val="18"/>
                <w:szCs w:val="18"/>
                <w:rtl w:val="0"/>
                <w:lang w:val="en-US"/>
              </w:rPr>
              <w:t>Exact conditional matrix criterion; no generic attraction</w:t>
            </w:r>
          </w:p>
        </w:tc>
      </w:tr>
      <w:tr>
        <w:tblPrEx>
          <w:shd w:val="clear" w:color="auto" w:fill="ced7e7"/>
        </w:tblPrEx>
        <w:trPr>
          <w:trHeight w:val="192" w:hRule="atLeast"/>
        </w:trPr>
        <w:tc>
          <w:tcPr>
            <w:tcW w:type="dxa" w:w="4309"/>
            <w:tcBorders>
              <w:top w:val="nil"/>
              <w:left w:val="nil"/>
              <w:bottom w:val="nil"/>
              <w:right w:val="nil"/>
            </w:tcBorders>
            <w:shd w:val="clear" w:color="auto" w:fill="auto"/>
            <w:tcMar>
              <w:top w:type="dxa" w:w="80"/>
              <w:left w:type="dxa" w:w="80"/>
              <w:bottom w:type="dxa" w:w="80"/>
              <w:right w:type="dxa" w:w="80"/>
            </w:tcMar>
            <w:vAlign w:val="top"/>
          </w:tcPr>
          <w:p>
            <w:pPr>
              <w:pStyle w:val="Compact"/>
              <w:spacing w:after="40" w:line="240" w:lineRule="auto"/>
            </w:pPr>
            <w:r>
              <w:rPr>
                <w:rFonts w:ascii="Times New Roman" w:hAnsi="Times New Roman"/>
                <w:sz w:val="18"/>
                <w:szCs w:val="18"/>
                <w:rtl w:val="0"/>
                <w:lang w:val="en-US"/>
              </w:rPr>
              <w:t>Common cone to common unit calibration</w:t>
            </w:r>
          </w:p>
        </w:tc>
        <w:tc>
          <w:tcPr>
            <w:tcW w:type="dxa" w:w="4989"/>
            <w:tcBorders>
              <w:top w:val="nil"/>
              <w:left w:val="nil"/>
              <w:bottom w:val="nil"/>
              <w:right w:val="nil"/>
            </w:tcBorders>
            <w:shd w:val="clear" w:color="auto" w:fill="auto"/>
            <w:tcMar>
              <w:top w:type="dxa" w:w="80"/>
              <w:left w:type="dxa" w:w="80"/>
              <w:bottom w:type="dxa" w:w="80"/>
              <w:right w:type="dxa" w:w="80"/>
            </w:tcMar>
            <w:vAlign w:val="top"/>
          </w:tcPr>
          <w:p>
            <w:pPr>
              <w:pStyle w:val="Compact"/>
              <w:spacing w:after="40" w:line="240" w:lineRule="auto"/>
            </w:pPr>
            <w:r>
              <w:rPr>
                <w:rFonts w:ascii="Times New Roman" w:hAnsi="Times New Roman"/>
                <w:sz w:val="18"/>
                <w:szCs w:val="18"/>
                <w:rtl w:val="0"/>
                <w:lang w:val="en-US"/>
              </w:rPr>
              <w:t>Theorem 1, locally</w:t>
            </w:r>
          </w:p>
        </w:tc>
      </w:tr>
      <w:tr>
        <w:tblPrEx>
          <w:shd w:val="clear" w:color="auto" w:fill="ced7e7"/>
        </w:tblPrEx>
        <w:trPr>
          <w:trHeight w:val="192" w:hRule="atLeast"/>
        </w:trPr>
        <w:tc>
          <w:tcPr>
            <w:tcW w:type="dxa" w:w="4309"/>
            <w:tcBorders>
              <w:top w:val="nil"/>
              <w:left w:val="nil"/>
              <w:bottom w:val="nil"/>
              <w:right w:val="nil"/>
            </w:tcBorders>
            <w:shd w:val="clear" w:color="auto" w:fill="auto"/>
            <w:tcMar>
              <w:top w:type="dxa" w:w="80"/>
              <w:left w:type="dxa" w:w="80"/>
              <w:bottom w:type="dxa" w:w="80"/>
              <w:right w:type="dxa" w:w="80"/>
            </w:tcMar>
            <w:vAlign w:val="top"/>
          </w:tcPr>
          <w:p>
            <w:pPr>
              <w:pStyle w:val="Compact"/>
              <w:spacing w:after="40" w:line="240" w:lineRule="auto"/>
            </w:pPr>
            <w:r>
              <w:rPr>
                <w:rFonts w:ascii="Times New Roman" w:hAnsi="Times New Roman"/>
                <w:sz w:val="18"/>
                <w:szCs w:val="18"/>
                <w:rtl w:val="0"/>
                <w:lang w:val="en-US"/>
              </w:rPr>
              <w:t>Spatial spectral scales to dynamical times</w:t>
            </w:r>
          </w:p>
        </w:tc>
        <w:tc>
          <w:tcPr>
            <w:tcW w:type="dxa" w:w="4989"/>
            <w:tcBorders>
              <w:top w:val="nil"/>
              <w:left w:val="nil"/>
              <w:bottom w:val="nil"/>
              <w:right w:val="nil"/>
            </w:tcBorders>
            <w:shd w:val="clear" w:color="auto" w:fill="auto"/>
            <w:tcMar>
              <w:top w:type="dxa" w:w="80"/>
              <w:left w:type="dxa" w:w="80"/>
              <w:bottom w:type="dxa" w:w="80"/>
              <w:right w:type="dxa" w:w="80"/>
            </w:tcMar>
            <w:vAlign w:val="top"/>
          </w:tcPr>
          <w:p>
            <w:pPr>
              <w:pStyle w:val="Compact"/>
              <w:spacing w:after="40" w:line="240" w:lineRule="auto"/>
            </w:pPr>
            <w:r>
              <w:rPr>
                <w:rFonts w:ascii="Times New Roman" w:hAnsi="Times New Roman"/>
                <w:sz w:val="18"/>
                <w:szCs w:val="18"/>
                <w:rtl w:val="0"/>
                <w:lang w:val="en-US"/>
              </w:rPr>
              <w:t>Proposition 3 with explicit error bounds</w:t>
            </w:r>
          </w:p>
        </w:tc>
      </w:tr>
      <w:tr>
        <w:tblPrEx>
          <w:shd w:val="clear" w:color="auto" w:fill="ced7e7"/>
        </w:tblPrEx>
        <w:trPr>
          <w:trHeight w:val="192" w:hRule="atLeast"/>
        </w:trPr>
        <w:tc>
          <w:tcPr>
            <w:tcW w:type="dxa" w:w="4309"/>
            <w:tcBorders>
              <w:top w:val="nil"/>
              <w:left w:val="nil"/>
              <w:bottom w:val="nil"/>
              <w:right w:val="nil"/>
            </w:tcBorders>
            <w:shd w:val="clear" w:color="auto" w:fill="auto"/>
            <w:tcMar>
              <w:top w:type="dxa" w:w="80"/>
              <w:left w:type="dxa" w:w="80"/>
              <w:bottom w:type="dxa" w:w="80"/>
              <w:right w:type="dxa" w:w="80"/>
            </w:tcMar>
            <w:vAlign w:val="top"/>
          </w:tcPr>
          <w:p>
            <w:pPr>
              <w:pStyle w:val="Compact"/>
              <w:spacing w:after="40" w:line="240" w:lineRule="auto"/>
            </w:pPr>
            <w:r>
              <w:rPr>
                <w:rFonts w:ascii="Times New Roman" w:hAnsi="Times New Roman"/>
                <w:sz w:val="18"/>
                <w:szCs w:val="18"/>
                <w:rtl w:val="0"/>
                <w:lang w:val="en-US"/>
              </w:rPr>
              <w:t>Finite unitary network to microcausal quantum field</w:t>
            </w:r>
          </w:p>
        </w:tc>
        <w:tc>
          <w:tcPr>
            <w:tcW w:type="dxa" w:w="4989"/>
            <w:tcBorders>
              <w:top w:val="nil"/>
              <w:left w:val="nil"/>
              <w:bottom w:val="nil"/>
              <w:right w:val="nil"/>
            </w:tcBorders>
            <w:shd w:val="clear" w:color="auto" w:fill="auto"/>
            <w:tcMar>
              <w:top w:type="dxa" w:w="80"/>
              <w:left w:type="dxa" w:w="80"/>
              <w:bottom w:type="dxa" w:w="80"/>
              <w:right w:type="dxa" w:w="80"/>
            </w:tcMar>
            <w:vAlign w:val="top"/>
          </w:tcPr>
          <w:p>
            <w:pPr>
              <w:pStyle w:val="Compact"/>
              <w:spacing w:after="40" w:line="240" w:lineRule="auto"/>
            </w:pPr>
            <w:r>
              <w:rPr>
                <w:rFonts w:ascii="Times New Roman" w:hAnsi="Times New Roman"/>
                <w:sz w:val="18"/>
                <w:szCs w:val="18"/>
                <w:rtl w:val="0"/>
                <w:lang w:val="en-US"/>
              </w:rPr>
              <w:t>Theorem 4 on the prescribed cylinder</w:t>
            </w:r>
          </w:p>
        </w:tc>
      </w:tr>
      <w:tr>
        <w:tblPrEx>
          <w:shd w:val="clear" w:color="auto" w:fill="ced7e7"/>
        </w:tblPrEx>
        <w:trPr>
          <w:trHeight w:val="192" w:hRule="atLeast"/>
        </w:trPr>
        <w:tc>
          <w:tcPr>
            <w:tcW w:type="dxa" w:w="4309"/>
            <w:tcBorders>
              <w:top w:val="nil"/>
              <w:left w:val="nil"/>
              <w:bottom w:val="nil"/>
              <w:right w:val="nil"/>
            </w:tcBorders>
            <w:shd w:val="clear" w:color="auto" w:fill="auto"/>
            <w:tcMar>
              <w:top w:type="dxa" w:w="80"/>
              <w:left w:type="dxa" w:w="80"/>
              <w:bottom w:type="dxa" w:w="80"/>
              <w:right w:type="dxa" w:w="80"/>
            </w:tcMar>
            <w:vAlign w:val="top"/>
          </w:tcPr>
          <w:p>
            <w:pPr>
              <w:pStyle w:val="Compact"/>
              <w:spacing w:after="40" w:line="240" w:lineRule="auto"/>
            </w:pPr>
            <w:r>
              <w:rPr>
                <w:rFonts w:ascii="Times New Roman" w:hAnsi="Times New Roman"/>
                <w:sz w:val="18"/>
                <w:szCs w:val="18"/>
                <w:rtl w:val="0"/>
                <w:lang w:val="en-US"/>
              </w:rPr>
              <w:t>Unoriented cone to future and thermodynamic arrow</w:t>
            </w:r>
          </w:p>
        </w:tc>
        <w:tc>
          <w:tcPr>
            <w:tcW w:type="dxa" w:w="4989"/>
            <w:tcBorders>
              <w:top w:val="nil"/>
              <w:left w:val="nil"/>
              <w:bottom w:val="nil"/>
              <w:right w:val="nil"/>
            </w:tcBorders>
            <w:shd w:val="clear" w:color="auto" w:fill="auto"/>
            <w:tcMar>
              <w:top w:type="dxa" w:w="80"/>
              <w:left w:type="dxa" w:w="80"/>
              <w:bottom w:type="dxa" w:w="80"/>
              <w:right w:type="dxa" w:w="80"/>
            </w:tcMar>
            <w:vAlign w:val="top"/>
          </w:tcPr>
          <w:p>
            <w:pPr>
              <w:pStyle w:val="Compact"/>
              <w:spacing w:after="40" w:line="240" w:lineRule="auto"/>
            </w:pPr>
            <w:r>
              <w:rPr>
                <w:rFonts w:ascii="Times New Roman" w:hAnsi="Times New Roman"/>
                <w:sz w:val="18"/>
                <w:szCs w:val="18"/>
                <w:rtl w:val="0"/>
                <w:lang w:val="en-US"/>
              </w:rPr>
              <w:t>Separate orientation and state data required</w:t>
            </w:r>
          </w:p>
        </w:tc>
      </w:tr>
      <w:tr>
        <w:tblPrEx>
          <w:shd w:val="clear" w:color="auto" w:fill="ced7e7"/>
        </w:tblPrEx>
        <w:trPr>
          <w:trHeight w:val="192" w:hRule="atLeast"/>
        </w:trPr>
        <w:tc>
          <w:tcPr>
            <w:tcW w:type="dxa" w:w="4309"/>
            <w:tcBorders>
              <w:top w:val="nil"/>
              <w:left w:val="nil"/>
              <w:bottom w:val="nil"/>
              <w:right w:val="nil"/>
            </w:tcBorders>
            <w:shd w:val="clear" w:color="auto" w:fill="auto"/>
            <w:tcMar>
              <w:top w:type="dxa" w:w="80"/>
              <w:left w:type="dxa" w:w="80"/>
              <w:bottom w:type="dxa" w:w="80"/>
              <w:right w:type="dxa" w:w="80"/>
            </w:tcMar>
            <w:vAlign w:val="top"/>
          </w:tcPr>
          <w:p>
            <w:pPr>
              <w:pStyle w:val="Compact"/>
              <w:spacing w:after="40" w:line="240" w:lineRule="auto"/>
            </w:pPr>
            <w:r>
              <w:rPr>
                <w:rFonts w:ascii="Times New Roman" w:hAnsi="Times New Roman"/>
                <w:sz w:val="18"/>
                <w:szCs w:val="18"/>
                <w:rtl w:val="0"/>
                <w:lang w:val="en-US"/>
              </w:rPr>
              <w:t>Conformal class to a metric and its dynamics</w:t>
            </w:r>
          </w:p>
        </w:tc>
        <w:tc>
          <w:tcPr>
            <w:tcW w:type="dxa" w:w="4989"/>
            <w:tcBorders>
              <w:top w:val="nil"/>
              <w:left w:val="nil"/>
              <w:bottom w:val="nil"/>
              <w:right w:val="nil"/>
            </w:tcBorders>
            <w:shd w:val="clear" w:color="auto" w:fill="auto"/>
            <w:tcMar>
              <w:top w:type="dxa" w:w="80"/>
              <w:left w:type="dxa" w:w="80"/>
              <w:bottom w:type="dxa" w:w="80"/>
              <w:right w:type="dxa" w:w="80"/>
            </w:tcMar>
            <w:vAlign w:val="top"/>
          </w:tcPr>
          <w:p>
            <w:pPr>
              <w:pStyle w:val="Compact"/>
              <w:spacing w:after="40" w:line="240" w:lineRule="auto"/>
            </w:pPr>
            <w:r>
              <w:rPr>
                <w:rFonts w:ascii="Times New Roman" w:hAnsi="Times New Roman"/>
                <w:sz w:val="18"/>
                <w:szCs w:val="18"/>
                <w:rtl w:val="0"/>
                <w:lang w:val="en-US"/>
              </w:rPr>
              <w:t>Scale data required; gravitational dynamics open</w:t>
            </w:r>
          </w:p>
        </w:tc>
      </w:tr>
    </w:tbl>
    <w:p>
      <w:pPr>
        <w:pStyle w:val="Текстовый блок"/>
        <w:widowControl w:val="0"/>
        <w:spacing w:line="240" w:lineRule="atLeast"/>
        <w:jc w:val="center"/>
      </w:pPr>
    </w:p>
    <w:p>
      <w:pPr>
        <w:pStyle w:val="Текстовый блок"/>
        <w:keepLines w:val="1"/>
        <w:spacing w:before="60" w:after="120" w:line="240" w:lineRule="atLeast"/>
        <w:jc w:val="center"/>
      </w:pPr>
      <w:r>
        <w:rPr>
          <w:b w:val="1"/>
          <w:bCs w:val="1"/>
          <w:rtl w:val="0"/>
        </w:rPr>
        <w:t>Table 2.</w:t>
      </w:r>
      <w:r>
        <w:rPr>
          <w:rtl w:val="0"/>
          <w:lang w:val="en-US"/>
        </w:rPr>
        <w:t xml:space="preserve"> Status of the successive transitions. A controlled implication does not remove the hypotheses entering its left-hand side.</w:t>
      </w:r>
    </w:p>
    <w:p>
      <w:pPr>
        <w:pStyle w:val="Текстовый блок"/>
        <w:spacing w:line="240" w:lineRule="atLeast"/>
      </w:pPr>
      <w:r>
        <w:rPr>
          <w:rtl w:val="0"/>
          <w:lang w:val="en-US"/>
        </w:rPr>
        <w:t>The next substantial theorem should start with a specified permutation-invariant relational dynamics or state ensemble and prove that a nontrivial class of its histories admits local reconstructions with a stable physical massless bundle. It should then establish that the compressed kinetic/spatial forms approach a common scalar class, with quantitative response estimates and controlled sector content. A prescribed chain is a benchmark for that theorem, not its conclusion. Internal clock sectors and accessible control algebras must eventually replace the external preparation parameter. Gauge fields and gravity require their own constraint and characteristic analysis before universality can be claimed across them.</w:t>
      </w:r>
    </w:p>
    <w:p>
      <w:pPr>
        <w:pStyle w:val="Текстовый блок"/>
        <w:spacing w:line="240" w:lineRule="atLeast"/>
      </w:pPr>
      <w:r>
        <w:rPr>
          <w:rtl w:val="0"/>
          <w:lang w:val="en-US"/>
        </w:rPr>
        <w:t>The sphere, hierarchy, density-tracking and gravitational-selector ideas of earlier papers remain deferred hypotheses to the extent that they are logically compatible with these requirements. The identity-based speed selection and operator-norm recurrence claims do not survive. No Hubble-tension ansatz or numerical Planck calibration is used as evidence for the present results.</w:t>
      </w:r>
      <w:bookmarkEnd w:id="27"/>
    </w:p>
    <w:p>
      <w:pPr>
        <w:pStyle w:val="Заголовок 2"/>
        <w:spacing w:line="240" w:lineRule="atLeast"/>
      </w:pPr>
      <w:bookmarkStart w:name="conclusion" w:id="28"/>
      <w:r>
        <w:rPr>
          <w:rtl w:val="0"/>
          <w:lang w:val="it-IT"/>
        </w:rPr>
        <w:t>11. Conclusion</w:t>
      </w:r>
    </w:p>
    <w:p>
      <w:pPr>
        <w:pStyle w:val="Текстовый блок"/>
        <w:spacing w:line="240" w:lineRule="atLeast"/>
      </w:pPr>
      <w:r>
        <w:rPr>
          <w:rtl w:val="0"/>
          <w:lang w:val="en-US"/>
        </w:rPr>
        <w:t xml:space="preserve">The defensible invariant content of the </w:t>
      </w:r>
      <m:oMath>
        <m:r>
          <m:t>c</m:t>
        </m:r>
      </m:oMath>
      <w:r>
        <w:rPr>
          <w:rtl w:val="0"/>
          <w:lang w:val="en-US"/>
        </w:rPr>
        <w:t xml:space="preserve"> programme is the existence, for specified physical sectors and admissible descriptions, of one Lorentzian characteristic structure. In the positive common-spatial-form class, this is exactly scalarity of the massless compression. A common natural calibration represents that condition by </w:t>
      </w:r>
      <m:oMath>
        <m:r>
          <m:t>c=1</m:t>
        </m:r>
      </m:oMath>
      <w:r>
        <w:rPr>
          <w:rtl w:val="0"/>
          <w:lang w:val="en-US"/>
        </w:rPr>
        <w:t>; it does not explain why the condition holds.</w:t>
      </w:r>
    </w:p>
    <w:p>
      <w:pPr>
        <w:pStyle w:val="Текстовый блок"/>
        <w:spacing w:line="240" w:lineRule="atLeast"/>
      </w:pPr>
      <w:r>
        <w:rPr>
          <w:rtl w:val="0"/>
          <w:lang w:val="en-US"/>
        </w:rPr>
        <w:t>The controlled results show that this distinction can be carried through spectral comparison, reconstruction changes and canonical quantisation. In particular, microscopic unitary systems with analytic tails can converge to a unitary local free field with exact microcausality, provided the full field algebra, including its zero mode, is treated consistently. What remains open is the origin and stability of the required geometric and intersector structures from neutral relational data. The programme is thereby a problem about existence and preservation of transitions between descriptions, rather than a computation of a dimensionful number.</w:t>
      </w:r>
      <w:bookmarkEnd w:id="28"/>
    </w:p>
    <w:p>
      <w:pPr>
        <w:pStyle w:val="Заголовок"/>
        <w:spacing w:line="240" w:lineRule="atLeast"/>
      </w:pPr>
      <w:r>
        <w:rPr>
          <w:rtl w:val="0"/>
          <w:lang w:val="en-US"/>
        </w:rPr>
        <w:t>Part IV. Functional consistency of light</w:t>
      </w:r>
    </w:p>
    <w:p>
      <w:pPr>
        <w:pStyle w:val="Заголовок 2"/>
        <w:spacing w:line="240" w:lineRule="atLeast"/>
      </w:pPr>
      <w:r>
        <w:rPr>
          <w:rtl w:val="0"/>
          <w:lang w:val="en-US"/>
        </w:rPr>
        <w:t>1. From universal calibration to functional consistency</w:t>
      </w:r>
    </w:p>
    <w:p>
      <w:pPr>
        <w:pStyle w:val="Текстовый блок"/>
        <w:spacing w:line="240" w:lineRule="atLeast"/>
      </w:pPr>
      <w:r>
        <w:rPr>
          <w:rtl w:val="0"/>
          <w:lang w:val="en-US"/>
        </w:rPr>
        <w:t xml:space="preserve">The preceding manuscript, </w:t>
      </w:r>
      <w:r>
        <w:rPr>
          <w:i w:val="1"/>
          <w:iCs w:val="1"/>
          <w:rtl w:val="0"/>
          <w:lang w:val="it-IT"/>
        </w:rPr>
        <w:t>Universal Null Calibration</w:t>
      </w:r>
      <w:r>
        <w:rPr>
          <w:rtl w:val="0"/>
          <w:lang w:val="en-US"/>
        </w:rPr>
        <w:t xml:space="preserve">, is the base result of this paper [36]. It established a distinction between a common physical cone and its numerical representation by </w:t>
      </w:r>
      <m:oMath>
        <m:r>
          <m:t>c=1</m:t>
        </m:r>
      </m:oMath>
      <w:r>
        <w:rPr>
          <w:rtl w:val="0"/>
          <w:lang w:val="en-US"/>
        </w:rPr>
        <w:t>. The next question is whether propagation, phase, energy, momentum, pressure and quantum response are independent primitives, or whether several of them are constrained by one effective variational structure.</w:t>
      </w:r>
    </w:p>
    <w:p>
      <w:pPr>
        <w:pStyle w:val="Текстовый блок"/>
        <w:spacing w:line="240" w:lineRule="atLeast"/>
      </w:pPr>
      <w:r>
        <w:rPr>
          <w:rtl w:val="0"/>
          <w:lang w:val="en-US"/>
        </w:rPr>
        <w:t>We answer this question in a specified Maxwell sector. This choice is a physical anchor, not a derivation of electromagnetism from a neutral network. The principal symbol, metric derivative of the action, symmetry generators and boundary momentum balance are different mathematical constructions. Agreement among their predictions is consequently a useful test of a proposed effective description. Logical dependence within a theory must be distinguished from independence of experimental readout channels.</w:t>
      </w:r>
    </w:p>
    <w:p>
      <w:pPr>
        <w:pStyle w:val="Текстовый блок"/>
        <w:spacing w:line="240" w:lineRule="atLeast"/>
      </w:pPr>
      <w:r>
        <w:rPr>
          <w:rtl w:val="0"/>
          <w:lang w:val="en-US"/>
        </w:rPr>
        <w:t>The main additions are the null-sector closure statement in Section</w:t>
      </w:r>
      <w:r>
        <w:rPr>
          <w:rtl w:val="0"/>
          <w:lang w:val="en-US"/>
        </w:rPr>
        <w:t> </w:t>
      </w:r>
      <w:r>
        <w:rPr>
          <w:rtl w:val="0"/>
          <w:lang w:val="en-US"/>
        </w:rPr>
        <w:t>10, the operational pressure loop in Section</w:t>
      </w:r>
      <w:r>
        <w:rPr>
          <w:rtl w:val="0"/>
          <w:lang w:val="en-US"/>
        </w:rPr>
        <w:t> </w:t>
      </w:r>
      <w:r>
        <w:rPr>
          <w:rtl w:val="0"/>
          <w:lang w:val="en-US"/>
        </w:rPr>
        <w:t>11, and the reconstruction conditions and counterexample in Section</w:t>
      </w:r>
      <w:r>
        <w:rPr>
          <w:rtl w:val="0"/>
          <w:lang w:val="en-US"/>
        </w:rPr>
        <w:t> </w:t>
      </w:r>
      <w:r>
        <w:rPr>
          <w:rtl w:val="0"/>
          <w:lang w:val="en-US"/>
        </w:rPr>
        <w:t>18. Standard Maxwell, relativistic and quantum identities are derived as control results and are not claimed as new laws. The new programme-level content is the explicit dependency structure, including the extra data required to transport it between descriptions. Sections</w:t>
      </w:r>
      <w:r>
        <w:rPr>
          <w:rtl w:val="0"/>
          <w:lang w:val="en-US"/>
        </w:rPr>
        <w:t> </w:t>
      </w:r>
      <w:r>
        <w:rPr>
          <w:rtl w:val="0"/>
        </w:rPr>
        <w:t>3</w:t>
      </w:r>
      <w:r>
        <w:rPr>
          <w:rtl w:val="0"/>
          <w:lang w:val="en-US"/>
        </w:rPr>
        <w:t>–</w:t>
      </w:r>
      <w:r>
        <w:rPr>
          <w:rtl w:val="0"/>
          <w:lang w:val="en-US"/>
        </w:rPr>
        <w:t>7 set the scope of the relational language; they do not supply assumptions hidden inside the physical proofs.</w:t>
      </w:r>
    </w:p>
    <w:p>
      <w:pPr>
        <w:pStyle w:val="Заголовок 2"/>
        <w:spacing w:line="240" w:lineRule="atLeast"/>
      </w:pPr>
      <w:bookmarkStart w:name="Xb5be27b3c74f66fa2d4fff522570893ba3db42e" w:id="29"/>
      <w:r>
        <w:rPr>
          <w:rtl w:val="0"/>
          <w:lang w:val="en-US"/>
        </w:rPr>
        <w:t>2. Results retained from the preceding manuscript</w:t>
      </w:r>
    </w:p>
    <w:p>
      <w:pPr>
        <w:pStyle w:val="Текстовый блок"/>
        <w:spacing w:line="240" w:lineRule="atLeast"/>
      </w:pPr>
      <w:r>
        <w:rPr>
          <w:rtl w:val="0"/>
          <w:lang w:val="en-US"/>
        </w:rPr>
        <w:t>For a positive multicomponent wave pencil with one positive spatial form, the kinetically normalised symbol on the retained massless space is</w:t>
      </w:r>
    </w:p>
    <w:tbl>
      <w:tblPr>
        <w:tblW w:w="9522"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666"/>
        <w:gridCol w:w="8190"/>
        <w:gridCol w:w="666"/>
      </w:tblGrid>
      <w:tr>
        <w:tblPrEx>
          <w:shd w:val="clear" w:color="auto" w:fill="ced7e7"/>
        </w:tblPrEx>
        <w:trPr>
          <w:trHeight w:val="308" w:hRule="atLeast"/>
        </w:trPr>
        <w:tc>
          <w:tcPr>
            <w:tcW w:type="dxa" w:w="666"/>
            <w:tcBorders>
              <w:top w:val="nil"/>
              <w:left w:val="nil"/>
              <w:bottom w:val="nil"/>
              <w:right w:val="nil"/>
            </w:tcBorders>
            <w:shd w:val="clear" w:color="auto" w:fill="auto"/>
            <w:tcMar>
              <w:top w:type="dxa" w:w="80"/>
              <w:left w:type="dxa" w:w="80"/>
              <w:bottom w:type="dxa" w:w="80"/>
              <w:right w:type="dxa" w:w="80"/>
            </w:tcMar>
            <w:vAlign w:val="top"/>
          </w:tcPr>
          <w:p/>
        </w:tc>
        <w:tc>
          <w:tcPr>
            <w:tcW w:type="dxa" w:w="8190"/>
            <w:tcBorders>
              <w:top w:val="nil"/>
              <w:left w:val="nil"/>
              <w:bottom w:val="nil"/>
              <w:right w:val="nil"/>
            </w:tcBorders>
            <w:shd w:val="clear" w:color="auto" w:fill="auto"/>
            <w:tcMar>
              <w:top w:type="dxa" w:w="80"/>
              <w:left w:type="dxa" w:w="80"/>
              <w:bottom w:type="dxa" w:w="80"/>
              <w:right w:type="dxa" w:w="80"/>
            </w:tcMar>
            <w:vAlign w:val="top"/>
          </w:tcPr>
          <w:p>
            <w:pPr>
              <w:pStyle w:val="Текстовый блок"/>
              <w:spacing w:after="40" w:line="240" w:lineRule="auto"/>
              <w:jc w:val="center"/>
            </w:pPr>
            <m:oMathPara>
              <m:oMathParaPr>
                <m:jc m:val="center"/>
              </m:oMathParaPr>
              <m:oMath>
                <m:r>
                  <m:t>P</m:t>
                </m:r>
                <m:d>
                  <m:e>
                    <m:r>
                      <m:t>ω,k</m:t>
                    </m:r>
                  </m:e>
                </m:d>
                <m:r>
                  <m:t>=−</m:t>
                </m:r>
                <m:sSup>
                  <m:e>
                    <m:r>
                      <m:t>ω</m:t>
                    </m:r>
                  </m:e>
                  <m:sup>
                    <m:r>
                      <m:t>2</m:t>
                    </m:r>
                  </m:sup>
                </m:sSup>
                <m:sSub>
                  <m:e>
                    <m:r>
                      <m:t>I</m:t>
                    </m:r>
                  </m:e>
                  <m:sub>
                    <m:r>
                      <m:t>r</m:t>
                    </m:r>
                  </m:sub>
                </m:sSub>
                <m:r>
                  <m:t>+</m:t>
                </m:r>
                <m:sSup>
                  <m:e>
                    <m:r>
                      <m:t>h</m:t>
                    </m:r>
                  </m:e>
                  <m:sup>
                    <m:r>
                      <m:t>ij</m:t>
                    </m:r>
                  </m:sup>
                </m:sSup>
                <m:sSub>
                  <m:e>
                    <m:r>
                      <m:t>k</m:t>
                    </m:r>
                  </m:e>
                  <m:sub>
                    <m:r>
                      <m:t>i</m:t>
                    </m:r>
                  </m:sub>
                </m:sSub>
                <m:sSub>
                  <m:e>
                    <m:r>
                      <m:t>k</m:t>
                    </m:r>
                  </m:e>
                  <m:sub>
                    <m:r>
                      <m:t>j</m:t>
                    </m:r>
                  </m:sub>
                </m:sSub>
                <m:sSub>
                  <m:e>
                    <m:r>
                      <m:t>D</m:t>
                    </m:r>
                  </m:e>
                  <m:sub>
                    <m:r>
                      <m:t>00</m:t>
                    </m:r>
                  </m:sub>
                </m:sSub>
                <m:r>
                  <m:t>,</m:t>
                </m:r>
                <m:sSub>
                  <m:e>
                    <m:r>
                      <m:t>D</m:t>
                    </m:r>
                  </m:e>
                  <m:sub>
                    <m:r>
                      <m:t>00</m:t>
                    </m:r>
                  </m:sub>
                </m:sSub>
                <m:r>
                  <m:t>=</m:t>
                </m:r>
                <m:sSubSup>
                  <m:e>
                    <m:r>
                      <m:t>D</m:t>
                    </m:r>
                  </m:e>
                  <m:sub>
                    <m:r>
                      <m:t>00</m:t>
                    </m:r>
                  </m:sub>
                  <m:sup>
                    <m:r>
                      <m:rPr>
                        <m:sty m:val="p"/>
                        <m:scr m:val="sans-serif"/>
                      </m:rPr>
                      <m:t>T</m:t>
                    </m:r>
                  </m:sup>
                </m:sSubSup>
                <m:r>
                  <m:t>&gt;0.</m:t>
                </m:r>
              </m:oMath>
            </m:oMathPara>
          </w:p>
        </w:tc>
        <w:tc>
          <w:tcPr>
            <w:tcW w:type="dxa" w:w="666"/>
            <w:tcBorders>
              <w:top w:val="nil"/>
              <w:left w:val="nil"/>
              <w:bottom w:val="nil"/>
              <w:right w:val="nil"/>
            </w:tcBorders>
            <w:shd w:val="clear" w:color="auto" w:fill="auto"/>
            <w:tcMar>
              <w:top w:type="dxa" w:w="80"/>
              <w:left w:type="dxa" w:w="80"/>
              <w:bottom w:type="dxa" w:w="80"/>
              <w:right w:type="dxa" w:w="80"/>
            </w:tcMar>
            <w:vAlign w:val="top"/>
          </w:tcPr>
          <w:p>
            <w:pPr>
              <w:pStyle w:val="Normal.0"/>
              <w:spacing w:after="40" w:line="240" w:lineRule="auto"/>
              <w:jc w:val="right"/>
            </w:pPr>
            <w:r>
              <w:rPr>
                <w:sz w:val="18"/>
                <w:szCs w:val="18"/>
                <w:rtl w:val="0"/>
                <w:lang w:val="en-US"/>
              </w:rPr>
              <w:t>(2.1)</w:t>
            </w:r>
          </w:p>
        </w:tc>
      </w:tr>
    </w:tbl>
    <w:p>
      <w:pPr>
        <w:pStyle w:val="Текстовый блок"/>
        <w:widowControl w:val="0"/>
        <w:spacing w:line="240" w:lineRule="atLeast"/>
        <w:jc w:val="center"/>
      </w:pPr>
    </w:p>
    <w:p>
      <w:pPr>
        <w:pStyle w:val="Текстовый блок"/>
        <w:spacing w:line="240" w:lineRule="atLeast"/>
      </w:pPr>
      <w:r>
        <w:rPr>
          <w:rtl w:val="0"/>
          <w:lang w:val="en-US"/>
        </w:rPr>
        <w:t>The common-cone theorem of [36] states</w:t>
      </w:r>
    </w:p>
    <w:tbl>
      <w:tblPr>
        <w:tblW w:w="9522"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666"/>
        <w:gridCol w:w="8190"/>
        <w:gridCol w:w="666"/>
      </w:tblGrid>
      <w:tr>
        <w:tblPrEx>
          <w:shd w:val="clear" w:color="auto" w:fill="ced7e7"/>
        </w:tblPrEx>
        <w:trPr>
          <w:trHeight w:val="277" w:hRule="atLeast"/>
        </w:trPr>
        <w:tc>
          <w:tcPr>
            <w:tcW w:type="dxa" w:w="666"/>
            <w:tcBorders>
              <w:top w:val="nil"/>
              <w:left w:val="nil"/>
              <w:bottom w:val="nil"/>
              <w:right w:val="nil"/>
            </w:tcBorders>
            <w:shd w:val="clear" w:color="auto" w:fill="auto"/>
            <w:tcMar>
              <w:top w:type="dxa" w:w="80"/>
              <w:left w:type="dxa" w:w="80"/>
              <w:bottom w:type="dxa" w:w="80"/>
              <w:right w:type="dxa" w:w="80"/>
            </w:tcMar>
            <w:vAlign w:val="top"/>
          </w:tcPr>
          <w:p/>
        </w:tc>
        <w:tc>
          <w:tcPr>
            <w:tcW w:type="dxa" w:w="8190"/>
            <w:tcBorders>
              <w:top w:val="nil"/>
              <w:left w:val="nil"/>
              <w:bottom w:val="nil"/>
              <w:right w:val="nil"/>
            </w:tcBorders>
            <w:shd w:val="clear" w:color="auto" w:fill="auto"/>
            <w:tcMar>
              <w:top w:type="dxa" w:w="80"/>
              <w:left w:type="dxa" w:w="80"/>
              <w:bottom w:type="dxa" w:w="80"/>
              <w:right w:type="dxa" w:w="80"/>
            </w:tcMar>
            <w:vAlign w:val="top"/>
          </w:tcPr>
          <w:p>
            <w:pPr>
              <w:pStyle w:val="Текстовый блок"/>
              <w:spacing w:after="40" w:line="240" w:lineRule="auto"/>
              <w:jc w:val="center"/>
            </w:pPr>
            <m:oMathPara>
              <m:oMathParaPr>
                <m:jc m:val="center"/>
              </m:oMathParaPr>
              <m:oMath>
                <m:r>
                  <m:rPr>
                    <m:nor/>
                  </m:rPr>
                  <m:t>one common branch cone</m:t>
                </m:r>
                <m:r>
                  <m:t>⇔</m:t>
                </m:r>
                <m:sSub>
                  <m:e>
                    <m:r>
                      <m:t>D</m:t>
                    </m:r>
                  </m:e>
                  <m:sub>
                    <m:r>
                      <m:t>00</m:t>
                    </m:r>
                  </m:sub>
                </m:sSub>
                <m:r>
                  <m:t>=</m:t>
                </m:r>
                <m:sSup>
                  <m:e>
                    <m:r>
                      <m:t>v</m:t>
                    </m:r>
                  </m:e>
                  <m:sup>
                    <m:r>
                      <m:t>2</m:t>
                    </m:r>
                  </m:sup>
                </m:sSup>
                <m:sSub>
                  <m:e>
                    <m:r>
                      <m:t>I</m:t>
                    </m:r>
                  </m:e>
                  <m:sub>
                    <m:r>
                      <m:t>r</m:t>
                    </m:r>
                  </m:sub>
                </m:sSub>
                <m:r>
                  <m:t>,D</m:t>
                </m:r>
                <m:sSub>
                  <m:e>
                    <m:r>
                      <m:t>′</m:t>
                    </m:r>
                  </m:e>
                  <m:sub>
                    <m:r>
                      <m:t>00</m:t>
                    </m:r>
                  </m:sub>
                </m:sSub>
                <m:r>
                  <m:t>=</m:t>
                </m:r>
                <m:sSub>
                  <m:e>
                    <m:r>
                      <m:t>I</m:t>
                    </m:r>
                  </m:e>
                  <m:sub>
                    <m:r>
                      <m:t>r</m:t>
                    </m:r>
                  </m:sub>
                </m:sSub>
                <m:r>
                  <m:t/>
                </m:r>
                <m:r>
                  <m:rPr>
                    <m:nor/>
                  </m:rPr>
                  <m:t>after one common calibration</m:t>
                </m:r>
                <m:r>
                  <m:t>.</m:t>
                </m:r>
              </m:oMath>
            </m:oMathPara>
          </w:p>
        </w:tc>
        <w:tc>
          <w:tcPr>
            <w:tcW w:type="dxa" w:w="666"/>
            <w:tcBorders>
              <w:top w:val="nil"/>
              <w:left w:val="nil"/>
              <w:bottom w:val="nil"/>
              <w:right w:val="nil"/>
            </w:tcBorders>
            <w:shd w:val="clear" w:color="auto" w:fill="auto"/>
            <w:tcMar>
              <w:top w:type="dxa" w:w="80"/>
              <w:left w:type="dxa" w:w="80"/>
              <w:bottom w:type="dxa" w:w="80"/>
              <w:right w:type="dxa" w:w="80"/>
            </w:tcMar>
            <w:vAlign w:val="top"/>
          </w:tcPr>
          <w:p>
            <w:pPr>
              <w:pStyle w:val="Normal.0"/>
              <w:spacing w:after="40" w:line="240" w:lineRule="auto"/>
              <w:jc w:val="right"/>
            </w:pPr>
            <w:r>
              <w:rPr>
                <w:sz w:val="18"/>
                <w:szCs w:val="18"/>
                <w:rtl w:val="0"/>
                <w:lang w:val="en-US"/>
              </w:rPr>
              <w:t>(2.2)</w:t>
            </w:r>
          </w:p>
        </w:tc>
      </w:tr>
    </w:tbl>
    <w:p>
      <w:pPr>
        <w:pStyle w:val="Текстовый блок"/>
        <w:widowControl w:val="0"/>
        <w:spacing w:line="240" w:lineRule="atLeast"/>
        <w:jc w:val="center"/>
      </w:pPr>
    </w:p>
    <w:p>
      <w:pPr>
        <w:pStyle w:val="Текстовый блок"/>
        <w:spacing w:line="240" w:lineRule="atLeast"/>
      </w:pPr>
      <w:r>
        <w:rPr>
          <w:rtl w:val="0"/>
          <w:lang w:val="en-US"/>
        </w:rPr>
        <w:t xml:space="preserve">Here </w:t>
      </w:r>
      <m:oMath>
        <m:sSub>
          <m:e>
            <m:r>
              <m:t>D</m:t>
            </m:r>
          </m:e>
          <m:sub>
            <m:r>
              <m:t>00</m:t>
            </m:r>
          </m:sub>
        </m:sSub>
      </m:oMath>
      <w:r>
        <w:rPr>
          <w:rtl w:val="0"/>
          <w:lang w:val="en-US"/>
        </w:rPr>
        <w:t xml:space="preserve"> is the compression of the normalised spatial form to the massless bundle; its rank and physical sector content are fixed. The dimensionless defect and optimal common rescaling are</w:t>
      </w:r>
    </w:p>
    <w:tbl>
      <w:tblPr>
        <w:tblW w:w="9522"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666"/>
        <w:gridCol w:w="8190"/>
        <w:gridCol w:w="666"/>
      </w:tblGrid>
      <w:tr>
        <w:tblPrEx>
          <w:shd w:val="clear" w:color="auto" w:fill="ced7e7"/>
        </w:tblPrEx>
        <w:trPr>
          <w:trHeight w:val="671" w:hRule="atLeast"/>
        </w:trPr>
        <w:tc>
          <w:tcPr>
            <w:tcW w:type="dxa" w:w="666"/>
            <w:tcBorders>
              <w:top w:val="nil"/>
              <w:left w:val="nil"/>
              <w:bottom w:val="nil"/>
              <w:right w:val="nil"/>
            </w:tcBorders>
            <w:shd w:val="clear" w:color="auto" w:fill="auto"/>
            <w:tcMar>
              <w:top w:type="dxa" w:w="80"/>
              <w:left w:type="dxa" w:w="80"/>
              <w:bottom w:type="dxa" w:w="80"/>
              <w:right w:type="dxa" w:w="80"/>
            </w:tcMar>
            <w:vAlign w:val="top"/>
          </w:tcPr>
          <w:p/>
        </w:tc>
        <w:tc>
          <w:tcPr>
            <w:tcW w:type="dxa" w:w="8190"/>
            <w:tcBorders>
              <w:top w:val="nil"/>
              <w:left w:val="nil"/>
              <w:bottom w:val="nil"/>
              <w:right w:val="nil"/>
            </w:tcBorders>
            <w:shd w:val="clear" w:color="auto" w:fill="auto"/>
            <w:tcMar>
              <w:top w:type="dxa" w:w="80"/>
              <w:left w:type="dxa" w:w="80"/>
              <w:bottom w:type="dxa" w:w="80"/>
              <w:right w:type="dxa" w:w="80"/>
            </w:tcMar>
            <w:vAlign w:val="top"/>
          </w:tcPr>
          <w:p>
            <w:pPr>
              <w:pStyle w:val="Текстовый блок"/>
              <w:spacing w:after="40" w:line="240" w:lineRule="auto"/>
              <w:jc w:val="center"/>
            </w:pPr>
            <m:oMathPara>
              <m:oMathParaPr>
                <m:jc m:val="center"/>
              </m:oMathParaPr>
              <m:oMath>
                <m:sSub>
                  <m:e>
                    <m:r>
                      <m:t>Δ</m:t>
                    </m:r>
                  </m:e>
                  <m:sub>
                    <m:r>
                      <m:t>c</m:t>
                    </m:r>
                  </m:sub>
                </m:sSub>
                <m:r>
                  <m:t>=</m:t>
                </m:r>
                <m:f>
                  <m:fPr>
                    <m:type m:val="bar"/>
                  </m:fPr>
                  <m:num>
                    <m:r>
                      <m:t>1</m:t>
                    </m:r>
                  </m:num>
                  <m:den>
                    <m:r>
                      <m:t>2</m:t>
                    </m:r>
                  </m:den>
                </m:f>
                <m:r>
                  <m:rPr>
                    <m:sty m:val="p"/>
                  </m:rPr>
                  <m:t>log</m:t>
                </m:r>
                <m:f>
                  <m:fPr>
                    <m:type m:val="bar"/>
                  </m:fPr>
                  <m:num>
                    <m:sSub>
                      <m:e>
                        <m:r>
                          <m:t>λ</m:t>
                        </m:r>
                      </m:e>
                      <m:sub>
                        <m:r>
                          <m:rPr>
                            <m:sty m:val="p"/>
                          </m:rPr>
                          <m:t>max</m:t>
                        </m:r>
                      </m:sub>
                    </m:sSub>
                    <m:d>
                      <m:e>
                        <m:sSub>
                          <m:e>
                            <m:r>
                              <m:t>D</m:t>
                            </m:r>
                          </m:e>
                          <m:sub>
                            <m:r>
                              <m:t>00</m:t>
                            </m:r>
                          </m:sub>
                        </m:sSub>
                      </m:e>
                    </m:d>
                  </m:num>
                  <m:den>
                    <m:sSub>
                      <m:e>
                        <m:r>
                          <m:t>λ</m:t>
                        </m:r>
                      </m:e>
                      <m:sub>
                        <m:r>
                          <m:rPr>
                            <m:sty m:val="p"/>
                          </m:rPr>
                          <m:t>min</m:t>
                        </m:r>
                      </m:sub>
                    </m:sSub>
                    <m:d>
                      <m:e>
                        <m:sSub>
                          <m:e>
                            <m:r>
                              <m:t>D</m:t>
                            </m:r>
                          </m:e>
                          <m:sub>
                            <m:r>
                              <m:t>00</m:t>
                            </m:r>
                          </m:sub>
                        </m:sSub>
                      </m:e>
                    </m:d>
                  </m:den>
                </m:f>
                <m:r>
                  <m:t>,</m:t>
                </m:r>
                <m:limLow>
                  <m:e>
                    <m:r>
                      <m:rPr>
                        <m:sty m:val="p"/>
                      </m:rPr>
                      <m:t>inf</m:t>
                    </m:r>
                  </m:e>
                  <m:lim>
                    <m:r>
                      <m:t>ρ&gt;0</m:t>
                    </m:r>
                  </m:lim>
                </m:limLow>
                <m:limLow>
                  <m:e>
                    <m:r>
                      <m:rPr>
                        <m:sty m:val="p"/>
                      </m:rPr>
                      <m:t>max</m:t>
                    </m:r>
                  </m:e>
                  <m:lim>
                    <m:r>
                      <m:t>j</m:t>
                    </m:r>
                  </m:lim>
                </m:limLow>
                <m:d>
                  <m:dPr>
                    <m:begChr m:val="|"/>
                    <m:endChr m:val="|"/>
                  </m:dPr>
                  <m:e>
                    <m:r>
                      <m:rPr>
                        <m:sty m:val="p"/>
                      </m:rPr>
                      <m:t>log</m:t>
                    </m:r>
                    <m:d>
                      <m:e>
                        <m:r>
                          <m:t>ρ</m:t>
                        </m:r>
                        <m:sSub>
                          <m:e>
                            <m:r>
                              <m:t>v</m:t>
                            </m:r>
                          </m:e>
                          <m:sub>
                            <m:r>
                              <m:t>j</m:t>
                            </m:r>
                          </m:sub>
                        </m:sSub>
                      </m:e>
                    </m:d>
                  </m:e>
                </m:d>
                <m:r>
                  <m:t>=</m:t>
                </m:r>
                <m:f>
                  <m:fPr>
                    <m:type m:val="bar"/>
                  </m:fPr>
                  <m:num>
                    <m:sSub>
                      <m:e>
                        <m:r>
                          <m:t>Δ</m:t>
                        </m:r>
                      </m:e>
                      <m:sub>
                        <m:r>
                          <m:t>c</m:t>
                        </m:r>
                      </m:sub>
                    </m:sSub>
                  </m:num>
                  <m:den>
                    <m:r>
                      <m:t>2</m:t>
                    </m:r>
                  </m:den>
                </m:f>
                <m:r>
                  <m:t>.</m:t>
                </m:r>
              </m:oMath>
            </m:oMathPara>
          </w:p>
        </w:tc>
        <w:tc>
          <w:tcPr>
            <w:tcW w:type="dxa" w:w="666"/>
            <w:tcBorders>
              <w:top w:val="nil"/>
              <w:left w:val="nil"/>
              <w:bottom w:val="nil"/>
              <w:right w:val="nil"/>
            </w:tcBorders>
            <w:shd w:val="clear" w:color="auto" w:fill="auto"/>
            <w:tcMar>
              <w:top w:type="dxa" w:w="80"/>
              <w:left w:type="dxa" w:w="80"/>
              <w:bottom w:type="dxa" w:w="80"/>
              <w:right w:type="dxa" w:w="80"/>
            </w:tcMar>
            <w:vAlign w:val="top"/>
          </w:tcPr>
          <w:p>
            <w:pPr>
              <w:pStyle w:val="Normal.0"/>
              <w:spacing w:after="40" w:line="240" w:lineRule="auto"/>
              <w:jc w:val="right"/>
            </w:pPr>
            <w:r>
              <w:rPr>
                <w:sz w:val="18"/>
                <w:szCs w:val="18"/>
                <w:rtl w:val="0"/>
                <w:lang w:val="en-US"/>
              </w:rPr>
              <w:t>(2.3)</w:t>
            </w:r>
          </w:p>
        </w:tc>
      </w:tr>
    </w:tbl>
    <w:p>
      <w:pPr>
        <w:pStyle w:val="Текстовый блок"/>
        <w:widowControl w:val="0"/>
        <w:spacing w:line="240" w:lineRule="atLeast"/>
        <w:jc w:val="center"/>
      </w:pPr>
    </w:p>
    <w:p>
      <w:pPr>
        <w:pStyle w:val="Текстовый блок"/>
        <w:spacing w:line="240" w:lineRule="atLeast"/>
      </w:pPr>
      <w:r>
        <w:rPr>
          <w:rtl w:val="0"/>
          <w:lang w:val="en-US"/>
        </w:rPr>
        <w:t xml:space="preserve">Both statements concern the common spatial form and observer splitting in that model class. The nonzero numerical defect is not asserted to be a Lorentz scalar for arbitrary nonuniversal cones. Cone inequality itself cannot be removed by one common change of units. For one retained branch, </w:t>
      </w:r>
      <m:oMath>
        <m:sSub>
          <m:e>
            <m:r>
              <m:t>Δ</m:t>
            </m:r>
          </m:e>
          <m:sub>
            <m:r>
              <m:t>c</m:t>
            </m:r>
          </m:sub>
        </m:sSub>
        <m:r>
          <m:t>=0</m:t>
        </m:r>
      </m:oMath>
      <w:r>
        <w:rPr>
          <w:rtl w:val="0"/>
          <w:lang w:val="en-US"/>
        </w:rPr>
        <w:t xml:space="preserve"> is automatic and supplies no intersector test.</w:t>
      </w:r>
    </w:p>
    <w:p>
      <w:pPr>
        <w:pStyle w:val="Текстовый блок"/>
        <w:spacing w:line="240" w:lineRule="atLeast"/>
      </w:pPr>
      <w:r>
        <w:rPr>
          <w:rtl w:val="0"/>
          <w:lang w:val="en-US"/>
        </w:rPr>
        <w:t xml:space="preserve">Admissible reconstruction in [36] includes Hilbert-space state identification, measure, localisation and resolvent/response convergence. For isometric maps </w:t>
      </w:r>
      <m:oMath>
        <m:sSubSup>
          <m:e>
            <m:r>
              <m:t>J</m:t>
            </m:r>
          </m:e>
          <m:sub>
            <m:r>
              <m:t>n</m:t>
            </m:r>
          </m:sub>
          <m:sup>
            <m:d>
              <m:e>
                <m:r>
                  <m:t>i</m:t>
                </m:r>
              </m:e>
            </m:d>
          </m:sup>
        </m:sSubSup>
      </m:oMath>
      <w:r>
        <w:rPr>
          <w:rtl w:val="0"/>
          <w:lang w:val="fr-FR"/>
        </w:rPr>
        <w:t xml:space="preserve">, adjoints </w:t>
      </w:r>
      <m:oMath>
        <m:sSubSup>
          <m:e>
            <m:r>
              <m:t>Q</m:t>
            </m:r>
          </m:e>
          <m:sub>
            <m:r>
              <m:t>n</m:t>
            </m:r>
          </m:sub>
          <m:sup>
            <m:d>
              <m:e>
                <m:r>
                  <m:t>i</m:t>
                </m:r>
              </m:e>
            </m:d>
          </m:sup>
        </m:sSubSup>
      </m:oMath>
      <w:r>
        <w:rPr>
          <w:rtl w:val="0"/>
          <w:lang w:val="it-IT"/>
        </w:rPr>
        <w:t xml:space="preserve">, microscopic </w:t>
      </w:r>
      <m:oMath>
        <m:sSub>
          <m:e>
            <m:r>
              <m:t>K</m:t>
            </m:r>
          </m:e>
          <m:sub>
            <m:r>
              <m:t>n</m:t>
            </m:r>
          </m:sub>
        </m:sSub>
        <m:r>
          <m:t>≥0</m:t>
        </m:r>
      </m:oMath>
      <w:r>
        <w:rPr>
          <w:rtl w:val="0"/>
          <w:lang w:val="en-US"/>
        </w:rPr>
        <w:t xml:space="preserve">, and a smooth local unitary </w:t>
      </w:r>
      <m:oMath>
        <m:r>
          <m:t>V</m:t>
        </m:r>
      </m:oMath>
      <w:r>
        <w:rPr>
          <w:rtl w:val="0"/>
          <w:lang w:val="en-US"/>
        </w:rPr>
        <w:t>, sufficient comparison data are</w:t>
      </w:r>
    </w:p>
    <w:p>
      <w:pPr>
        <w:pStyle w:val="Текстовый блок"/>
        <w:spacing w:line="240" w:lineRule="atLeast"/>
        <w:jc w:val="center"/>
      </w:pPr>
      <m:oMathPara>
        <m:oMathParaPr>
          <m:jc m:val="center"/>
        </m:oMathParaPr>
        <m:oMath>
          <m:r>
            <m:t/>
          </m:r>
          <m:d>
            <m:dPr>
              <m:begChr m:val="∥"/>
              <m:endChr m:val="∥"/>
            </m:dPr>
            <m:e>
              <m:sSubSup>
                <m:e>
                  <m:r>
                    <m:t>Q</m:t>
                  </m:r>
                </m:e>
                <m:sub>
                  <m:r>
                    <m:t>n</m:t>
                  </m:r>
                </m:sub>
                <m:sup>
                  <m:d>
                    <m:e>
                      <m:r>
                        <m:t>2</m:t>
                      </m:r>
                    </m:e>
                  </m:d>
                </m:sup>
              </m:sSubSup>
              <m:r>
                <m:t>Vf−</m:t>
              </m:r>
              <m:sSubSup>
                <m:e>
                  <m:r>
                    <m:t>Q</m:t>
                  </m:r>
                </m:e>
                <m:sub>
                  <m:r>
                    <m:t>n</m:t>
                  </m:r>
                </m:sub>
                <m:sup>
                  <m:d>
                    <m:e>
                      <m:r>
                        <m:t>1</m:t>
                      </m:r>
                    </m:e>
                  </m:d>
                </m:sup>
              </m:sSubSup>
              <m:r>
                <m:t>f</m:t>
              </m:r>
            </m:e>
          </m:d>
          <m:r>
            <m:t>→0,</m:t>
          </m:r>
          <m:limLow>
            <m:e>
              <m:r>
                <m:rPr>
                  <m:sty m:val="p"/>
                </m:rPr>
                <m:t>sup</m:t>
              </m:r>
            </m:e>
            <m:lim>
              <m:r>
                <m:t>n</m:t>
              </m:r>
            </m:lim>
          </m:limLow>
          <m:d>
            <m:dPr>
              <m:begChr m:val="∥"/>
              <m:endChr m:val="∥"/>
            </m:dPr>
            <m:e>
              <m:sSubSup>
                <m:e>
                  <m:r>
                    <m:t>K</m:t>
                  </m:r>
                </m:e>
                <m:sub>
                  <m:r>
                    <m:t>n</m:t>
                  </m:r>
                </m:sub>
                <m:sup>
                  <m:f>
                    <m:fPr>
                      <m:type m:val="lin"/>
                    </m:fPr>
                    <m:num>
                      <m:r>
                        <m:t>1</m:t>
                      </m:r>
                    </m:num>
                    <m:den>
                      <m:r>
                        <m:t>2</m:t>
                      </m:r>
                    </m:den>
                  </m:f>
                </m:sup>
              </m:sSubSup>
              <m:sSubSup>
                <m:e>
                  <m:r>
                    <m:t>Q</m:t>
                  </m:r>
                </m:e>
                <m:sub>
                  <m:r>
                    <m:t>n</m:t>
                  </m:r>
                </m:sub>
                <m:sup>
                  <m:d>
                    <m:e>
                      <m:r>
                        <m:t>1</m:t>
                      </m:r>
                    </m:e>
                  </m:d>
                </m:sup>
              </m:sSubSup>
              <m:r>
                <m:t>f</m:t>
              </m:r>
            </m:e>
          </m:d>
          <m:r>
            <m:t>&lt;</m:t>
          </m:r>
          <m:r>
            <m:rPr>
              <m:sty m:val="p"/>
            </m:rPr>
            <m:t>∞</m:t>
          </m:r>
          <m:r>
            <m:t>,</m:t>
          </m:r>
        </m:oMath>
      </m:oMathPara>
    </w:p>
    <w:tbl>
      <w:tblPr>
        <w:tblW w:w="9522"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666"/>
        <w:gridCol w:w="8190"/>
        <w:gridCol w:w="666"/>
      </w:tblGrid>
      <w:tr>
        <w:tblPrEx>
          <w:shd w:val="clear" w:color="auto" w:fill="ced7e7"/>
        </w:tblPrEx>
        <w:trPr>
          <w:trHeight w:val="434" w:hRule="atLeast"/>
        </w:trPr>
        <w:tc>
          <w:tcPr>
            <w:tcW w:type="dxa" w:w="666"/>
            <w:tcBorders>
              <w:top w:val="nil"/>
              <w:left w:val="nil"/>
              <w:bottom w:val="nil"/>
              <w:right w:val="nil"/>
            </w:tcBorders>
            <w:shd w:val="clear" w:color="auto" w:fill="auto"/>
            <w:tcMar>
              <w:top w:type="dxa" w:w="80"/>
              <w:left w:type="dxa" w:w="80"/>
              <w:bottom w:type="dxa" w:w="80"/>
              <w:right w:type="dxa" w:w="80"/>
            </w:tcMar>
            <w:vAlign w:val="top"/>
          </w:tcPr>
          <w:p/>
        </w:tc>
        <w:tc>
          <w:tcPr>
            <w:tcW w:type="dxa" w:w="8190"/>
            <w:tcBorders>
              <w:top w:val="nil"/>
              <w:left w:val="nil"/>
              <w:bottom w:val="nil"/>
              <w:right w:val="nil"/>
            </w:tcBorders>
            <w:shd w:val="clear" w:color="auto" w:fill="auto"/>
            <w:tcMar>
              <w:top w:type="dxa" w:w="80"/>
              <w:left w:type="dxa" w:w="80"/>
              <w:bottom w:type="dxa" w:w="80"/>
              <w:right w:type="dxa" w:w="80"/>
            </w:tcMar>
            <w:vAlign w:val="top"/>
          </w:tcPr>
          <w:p>
            <w:pPr>
              <w:pStyle w:val="Текстовый блок"/>
              <w:spacing w:after="40" w:line="240" w:lineRule="auto"/>
              <w:jc w:val="center"/>
            </w:pPr>
            <m:oMathPara>
              <m:oMathParaPr>
                <m:jc m:val="center"/>
              </m:oMathParaPr>
              <m:oMath>
                <m:r>
                  <m:t/>
                </m:r>
                <m:d>
                  <m:dPr>
                    <m:begChr m:val="∥"/>
                    <m:endChr m:val="∥"/>
                  </m:dPr>
                  <m:e>
                    <m:d>
                      <m:e>
                        <m:sSubSup>
                          <m:e>
                            <m:r>
                              <m:t>J</m:t>
                            </m:r>
                          </m:e>
                          <m:sub>
                            <m:r>
                              <m:t>n</m:t>
                            </m:r>
                          </m:sub>
                          <m:sup>
                            <m:d>
                              <m:e>
                                <m:r>
                                  <m:t>2</m:t>
                                </m:r>
                              </m:e>
                            </m:d>
                          </m:sup>
                        </m:sSubSup>
                        <m:r>
                          <m:t>−V</m:t>
                        </m:r>
                        <m:sSubSup>
                          <m:e>
                            <m:r>
                              <m:t>J</m:t>
                            </m:r>
                          </m:e>
                          <m:sub>
                            <m:r>
                              <m:t>n</m:t>
                            </m:r>
                          </m:sub>
                          <m:sup>
                            <m:d>
                              <m:e>
                                <m:r>
                                  <m:t>1</m:t>
                                </m:r>
                              </m:e>
                            </m:d>
                          </m:sup>
                        </m:sSubSup>
                      </m:e>
                    </m:d>
                    <m:sSub>
                      <m:e>
                        <m:r>
                          <m:t>1</m:t>
                        </m:r>
                      </m:e>
                      <m:sub>
                        <m:d>
                          <m:dPr>
                            <m:begChr m:val="["/>
                            <m:endChr m:val="]"/>
                          </m:dPr>
                          <m:e>
                            <m:r>
                              <m:t>0,E</m:t>
                            </m:r>
                          </m:e>
                        </m:d>
                      </m:sub>
                    </m:sSub>
                    <m:d>
                      <m:e>
                        <m:sSub>
                          <m:e>
                            <m:r>
                              <m:t>K</m:t>
                            </m:r>
                          </m:e>
                          <m:sub>
                            <m:r>
                              <m:t>n</m:t>
                            </m:r>
                          </m:sub>
                        </m:sSub>
                      </m:e>
                    </m:d>
                  </m:e>
                </m:d>
                <m:r>
                  <m:t>→0</m:t>
                </m:r>
                <m:d>
                  <m:e>
                    <m:r>
                      <m:t>E&lt;</m:t>
                    </m:r>
                    <m:r>
                      <m:rPr>
                        <m:sty m:val="p"/>
                      </m:rPr>
                      <m:t>∞</m:t>
                    </m:r>
                  </m:e>
                </m:d>
                <m:r>
                  <m:t>,</m:t>
                </m:r>
              </m:oMath>
            </m:oMathPara>
          </w:p>
        </w:tc>
        <w:tc>
          <w:tcPr>
            <w:tcW w:type="dxa" w:w="666"/>
            <w:tcBorders>
              <w:top w:val="nil"/>
              <w:left w:val="nil"/>
              <w:bottom w:val="nil"/>
              <w:right w:val="nil"/>
            </w:tcBorders>
            <w:shd w:val="clear" w:color="auto" w:fill="auto"/>
            <w:tcMar>
              <w:top w:type="dxa" w:w="80"/>
              <w:left w:type="dxa" w:w="80"/>
              <w:bottom w:type="dxa" w:w="80"/>
              <w:right w:type="dxa" w:w="80"/>
            </w:tcMar>
            <w:vAlign w:val="top"/>
          </w:tcPr>
          <w:p>
            <w:pPr>
              <w:pStyle w:val="Normal.0"/>
              <w:spacing w:after="40" w:line="240" w:lineRule="auto"/>
              <w:jc w:val="right"/>
            </w:pPr>
            <w:r>
              <w:rPr>
                <w:sz w:val="18"/>
                <w:szCs w:val="18"/>
                <w:rtl w:val="0"/>
                <w:lang w:val="en-US"/>
              </w:rPr>
              <w:t>(2.4)</w:t>
            </w:r>
          </w:p>
        </w:tc>
      </w:tr>
    </w:tbl>
    <w:p>
      <w:pPr>
        <w:pStyle w:val="Текстовый блок"/>
        <w:widowControl w:val="0"/>
        <w:spacing w:line="240" w:lineRule="atLeast"/>
        <w:jc w:val="center"/>
      </w:pPr>
    </w:p>
    <w:p>
      <w:pPr>
        <w:pStyle w:val="Текстовый блок"/>
        <w:spacing w:line="240" w:lineRule="atLeast"/>
      </w:pPr>
      <w:r>
        <w:rPr>
          <w:rtl w:val="0"/>
          <w:lang w:val="en-US"/>
        </w:rPr>
        <w:t xml:space="preserve">on a dense set of inputs. They give the same limiting sine response, up to </w:t>
      </w:r>
      <m:oMath>
        <m:r>
          <m:t>V</m:t>
        </m:r>
      </m:oMath>
      <w:r>
        <w:rPr>
          <w:rtl w:val="0"/>
          <w:lang w:val="en-US"/>
        </w:rPr>
        <w:t>, strongly and uniformly on finite time intervals. Equality of limiting cones is a conclusion when the limiting operators are local; it is not inserted into these assumptions. Agreement of spectra without localisation does not suffice.</w:t>
      </w:r>
    </w:p>
    <w:p>
      <w:pPr>
        <w:pStyle w:val="Текстовый блок"/>
        <w:spacing w:line="240" w:lineRule="atLeast"/>
      </w:pPr>
      <w:r>
        <w:rPr>
          <w:rtl w:val="0"/>
          <w:lang w:val="en-US"/>
        </w:rPr>
        <w:t xml:space="preserve">The controlled spectral correspondence compares independently specified </w:t>
      </w:r>
      <m:oMath>
        <m:sSubSup>
          <m:e>
            <m:r>
              <m:t>λ</m:t>
            </m:r>
          </m:e>
          <m:sub>
            <m:r>
              <m:t>n</m:t>
            </m:r>
          </m:sub>
          <m:sup>
            <m:r>
              <m:t>−1/2</m:t>
            </m:r>
          </m:sup>
        </m:sSubSup>
      </m:oMath>
      <w:r>
        <w:rPr>
          <w:rtl w:val="0"/>
          <w:lang w:val="en-US"/>
        </w:rPr>
        <w:t xml:space="preserve"> and </w:t>
      </w:r>
      <m:oMath>
        <m:sSubSup>
          <m:e>
            <m:r>
              <m:t>ω</m:t>
            </m:r>
          </m:e>
          <m:sub>
            <m:r>
              <m:t>n</m:t>
            </m:r>
          </m:sub>
          <m:sup>
            <m:r>
              <m:t>−1</m:t>
            </m:r>
          </m:sup>
        </m:sSubSup>
      </m:oMath>
      <w:r>
        <w:rPr>
          <w:rtl w:val="0"/>
          <w:lang w:val="en-US"/>
        </w:rPr>
        <w:t>, with lattice and eliminated-mode errors. It is not a microscopic theorem about the distance between arbitrary events. The chain quantum theorem retains finite-system unitarity and analytic response tails, while the continuum free scalar field has exactly microcausal local Weyl algebras. It gives strong, finite-time-uniform unitary convergence after the stated embeddings and energy subtraction. It does not give operator-norm convergence of the evolution groups.</w:t>
      </w:r>
    </w:p>
    <w:p>
      <w:pPr>
        <w:pStyle w:val="Текстовый блок"/>
        <w:spacing w:line="240" w:lineRule="atLeast"/>
      </w:pPr>
      <w:r>
        <w:rPr>
          <w:rtl w:val="0"/>
          <w:lang w:val="en-US"/>
        </w:rPr>
        <w:t xml:space="preserve">The compact-space massless scalar has a free zero mode, with no normalisable ground state of that mode. Keeping the unreduced field requires keeping this mode: its response is </w:t>
      </w:r>
      <m:oMath>
        <m:r>
          <m:t>t</m:t>
        </m:r>
        <m:sSub>
          <m:e>
            <m:r>
              <m:rPr>
                <m:sty m:val="p"/>
                <m:scr m:val="sans-serif"/>
              </m:rPr>
              <m:t>P</m:t>
            </m:r>
          </m:e>
          <m:sub>
            <m:r>
              <m:t>0</m:t>
            </m:r>
          </m:sub>
        </m:sSub>
      </m:oMath>
      <w:r>
        <w:rPr>
          <w:rtl w:val="0"/>
          <w:lang w:val="en-US"/>
        </w:rPr>
        <w:t>, and deleting it spoils the cancellation needed for local scalar commutators. These results are retained, not reinterpreted as a photon construction. The earlier recurrence correction and compactness limitations are recalled in Section</w:t>
      </w:r>
      <w:r>
        <w:rPr>
          <w:rtl w:val="0"/>
          <w:lang w:val="en-US"/>
        </w:rPr>
        <w:t> </w:t>
      </w:r>
      <w:r>
        <w:rPr>
          <w:rtl w:val="0"/>
        </w:rPr>
        <w:t>20.</w:t>
      </w:r>
    </w:p>
    <w:p>
      <w:pPr>
        <w:pStyle w:val="Текстовый блок"/>
        <w:spacing w:line="240" w:lineRule="atLeast"/>
      </w:pPr>
      <w:r>
        <w:rPr>
          <w:rtl w:val="0"/>
          <w:lang w:val="en-US"/>
        </w:rPr>
        <w:t xml:space="preserve">The exact SI value </w:t>
      </w:r>
      <m:oMath>
        <m:r>
          <m:t>299792458</m:t>
        </m:r>
        <m:r>
          <m:rPr>
            <m:sty m:val="p"/>
          </m:rPr>
          <m:t>m</m:t>
        </m:r>
        <m:r>
          <m:t/>
        </m:r>
        <m:sSup>
          <m:e>
            <m:r>
              <m:rPr>
                <m:sty m:val="p"/>
              </m:rPr>
              <m:t>s</m:t>
            </m:r>
          </m:e>
          <m:sup>
            <m:r>
              <m:t>−1</m:t>
            </m:r>
          </m:sup>
        </m:sSup>
      </m:oMath>
      <w:r>
        <w:rPr>
          <w:rtl w:val="0"/>
          <w:lang w:val="en-US"/>
        </w:rPr>
        <w:t xml:space="preserve"> belongs to the definition of the metre [18]. Neither an identity </w:t>
      </w:r>
      <m:oMath>
        <m:r>
          <m:t>c↦c</m:t>
        </m:r>
      </m:oMath>
      <w:r>
        <w:rPr>
          <w:rtl w:val="0"/>
          <w:lang w:val="en-US"/>
        </w:rPr>
        <w:t xml:space="preserve"> nor compactness selects a unique physical speed. A common cone, time orientation, conformal scale and global causal order remain distinct. Gauge reduction precedes characteristic comparison. The transition from a neutral relation to a stable local physical sector remains open.</w:t>
      </w:r>
      <w:bookmarkEnd w:id="29"/>
    </w:p>
    <w:p>
      <w:pPr>
        <w:pStyle w:val="Заголовок 2"/>
        <w:spacing w:line="240" w:lineRule="atLeast"/>
      </w:pPr>
      <w:bookmarkStart w:name="X329c437dffbdb47a55b186507a5909785ac1afd" w:id="30"/>
      <w:r>
        <w:rPr>
          <w:rtl w:val="0"/>
          <w:lang w:val="en-US"/>
        </w:rPr>
        <w:t>3. Levels of description and interpretive scope</w:t>
      </w:r>
    </w:p>
    <w:p>
      <w:pPr>
        <w:pStyle w:val="Текстовый блок"/>
        <w:keepLines w:val="1"/>
        <w:spacing w:before="60" w:line="240" w:lineRule="atLeast"/>
      </w:pPr>
      <w:r>
        <w:rPr>
          <w:b w:val="1"/>
          <w:bCs w:val="1"/>
          <w:rtl w:val="0"/>
          <w:lang w:val="en-US"/>
        </w:rPr>
        <w:t>Definition 3.1 (Four different objects).</w:t>
      </w:r>
      <w:r>
        <w:rPr>
          <w:rtl w:val="0"/>
        </w:rPr>
        <w:t xml:space="preserve"> A </w:t>
      </w:r>
      <w:r>
        <w:rPr>
          <w:i w:val="1"/>
          <w:iCs w:val="1"/>
          <w:rtl w:val="0"/>
          <w:lang w:val="fr-FR"/>
        </w:rPr>
        <w:t>relation</w:t>
      </w:r>
      <w:r>
        <w:rPr>
          <w:rtl w:val="0"/>
          <w:lang w:val="en-US"/>
        </w:rPr>
        <w:t xml:space="preserve"> specifies permitted relational data; a </w:t>
      </w:r>
      <w:r>
        <w:rPr>
          <w:i w:val="1"/>
          <w:iCs w:val="1"/>
          <w:rtl w:val="0"/>
          <w:lang w:val="it-IT"/>
        </w:rPr>
        <w:t>carrier</w:t>
      </w:r>
      <w:r>
        <w:rPr>
          <w:rtl w:val="0"/>
          <w:lang w:val="en-US"/>
        </w:rPr>
        <w:t xml:space="preserve"> supports specified distinctions; a </w:t>
      </w:r>
      <w:r>
        <w:rPr>
          <w:i w:val="1"/>
          <w:iCs w:val="1"/>
          <w:rtl w:val="0"/>
          <w:lang w:val="fr-FR"/>
        </w:rPr>
        <w:t>reconstruction</w:t>
      </w:r>
      <w:r>
        <w:rPr>
          <w:rtl w:val="0"/>
          <w:lang w:val="en-US"/>
        </w:rPr>
        <w:t xml:space="preserve"> maps controlled microscopic data to an effective description; an </w:t>
      </w:r>
      <w:r>
        <w:rPr>
          <w:i w:val="1"/>
          <w:iCs w:val="1"/>
          <w:rtl w:val="0"/>
          <w:lang w:val="fr-FR"/>
        </w:rPr>
        <w:t>observable</w:t>
      </w:r>
      <w:r>
        <w:rPr>
          <w:rtl w:val="0"/>
          <w:lang w:val="en-US"/>
        </w:rPr>
        <w:t xml:space="preserve"> is a quantity in that description together with its readout convention. No identification of these four objects is assumed.</w:t>
      </w:r>
    </w:p>
    <w:p>
      <w:pPr>
        <w:pStyle w:val="Текстовый блок"/>
        <w:spacing w:line="240" w:lineRule="atLeast"/>
      </w:pPr>
      <w:r>
        <w:rPr>
          <w:rtl w:val="0"/>
          <w:lang w:val="en-US"/>
        </w:rPr>
        <w:t>For example, a symmetric adjacency matrix considered up to vertex permutation is not a retarded response, a propagation cone or an oriented causal order. A spectral projection is not yet a spatial localisation map. A field amplitude is not a detector count before a detector model and a state have been supplied. This is the carrier/morphism interface used by the DRD programme [24]; no additional DRD theorem is needed here.</w:t>
      </w:r>
    </w:p>
    <w:p>
      <w:pPr>
        <w:pStyle w:val="Текстовый блок"/>
        <w:keepLines w:val="1"/>
        <w:spacing w:before="60" w:line="240" w:lineRule="atLeast"/>
      </w:pPr>
      <w:r>
        <w:rPr>
          <w:b w:val="1"/>
          <w:bCs w:val="1"/>
          <w:rtl w:val="0"/>
          <w:lang w:val="en-US"/>
        </w:rPr>
        <w:t>Interpretation 3.2 (Relational distinction).</w:t>
      </w:r>
      <w:r>
        <w:rPr>
          <w:rtl w:val="0"/>
          <w:lang w:val="en-US"/>
        </w:rPr>
        <w:t xml:space="preserve"> Phenomenological presence is not identified with independent substantial self-being. A distinction may belong to a relation rather than to either isolated pole. This motivates studying preserved distinctions and non-factorisation, but is not a consequence of topology or field theory.</w:t>
      </w:r>
    </w:p>
    <w:p>
      <w:pPr>
        <w:pStyle w:val="Текстовый блок"/>
        <w:spacing w:line="240" w:lineRule="atLeast"/>
      </w:pPr>
      <w:r>
        <w:rPr>
          <w:rtl w:val="0"/>
          <w:lang w:val="en-US"/>
        </w:rPr>
        <w:t xml:space="preserve">The mathematical tasks are to specify objects, morphisms and preserved structures. We use </w:t>
      </w:r>
      <w:r>
        <w:rPr>
          <w:i w:val="1"/>
          <w:iCs w:val="1"/>
          <w:rtl w:val="0"/>
          <w:lang w:val="fr-FR"/>
        </w:rPr>
        <w:t>quasilocal manifestation</w:t>
      </w:r>
      <w:r>
        <w:rPr>
          <w:rtl w:val="0"/>
        </w:rPr>
        <w:t xml:space="preserve">, </w:t>
      </w:r>
      <w:r>
        <w:rPr>
          <w:i w:val="1"/>
          <w:iCs w:val="1"/>
          <w:rtl w:val="0"/>
          <w:lang w:val="fr-FR"/>
        </w:rPr>
        <w:t>effective reconstruction</w:t>
      </w:r>
      <w:r>
        <w:rPr>
          <w:rtl w:val="0"/>
          <w:lang w:val="en-US"/>
        </w:rPr>
        <w:t xml:space="preserve"> and </w:t>
      </w:r>
      <w:r>
        <w:rPr>
          <w:i w:val="1"/>
          <w:iCs w:val="1"/>
          <w:rtl w:val="0"/>
          <w:lang w:val="en-US"/>
        </w:rPr>
        <w:t>operational accessibility</w:t>
      </w:r>
      <w:r>
        <w:rPr>
          <w:rtl w:val="0"/>
          <w:lang w:val="en-US"/>
        </w:rPr>
        <w:t xml:space="preserve"> for the relevant interfaces. No theorem in this paper describes physical reality arising from non-reality.</w:t>
      </w:r>
      <w:bookmarkEnd w:id="30"/>
    </w:p>
    <w:p>
      <w:pPr>
        <w:pStyle w:val="Заголовок 2"/>
        <w:spacing w:line="240" w:lineRule="atLeast"/>
      </w:pPr>
      <w:bookmarkStart w:name="Xf1f25e1443ca6343522f1acb755bfc76ea8aa61" w:id="31"/>
      <w:r>
        <w:rPr>
          <w:rtl w:val="0"/>
          <w:lang w:val="en-US"/>
        </w:rPr>
        <w:t>4. The two-point carrier and the Hopf interface</w:t>
      </w:r>
    </w:p>
    <w:p>
      <w:pPr>
        <w:pStyle w:val="Текстовый блок"/>
        <w:spacing w:line="240" w:lineRule="atLeast"/>
      </w:pPr>
      <w:r>
        <w:rPr>
          <w:rtl w:val="0"/>
          <w:lang w:val="en-US"/>
        </w:rPr>
        <w:t xml:space="preserve">Let </w:t>
      </w:r>
      <m:oMath>
        <m:sSup>
          <m:e>
            <m:r>
              <m:t>S</m:t>
            </m:r>
          </m:e>
          <m:sup>
            <m:r>
              <m:t>0</m:t>
            </m:r>
          </m:sup>
        </m:sSup>
        <m:r>
          <m:t>={−1,+1}</m:t>
        </m:r>
      </m:oMath>
      <w:r>
        <w:rPr>
          <w:rtl w:val="0"/>
          <w:lang w:val="en-US"/>
        </w:rPr>
        <w:t xml:space="preserve">, equipped with its discrete topology. Define a distinction on a target carrier </w:t>
      </w:r>
      <m:oMath>
        <m:r>
          <m:t>Y</m:t>
        </m:r>
      </m:oMath>
      <w:r>
        <w:rPr>
          <w:rtl w:val="0"/>
        </w:rPr>
        <w:t xml:space="preserve"> by </w:t>
      </w:r>
      <m:oMath>
        <m:sSub>
          <m:e>
            <m:r>
              <m:t>δ</m:t>
            </m:r>
          </m:e>
          <m:sub>
            <m:r>
              <m:t>Y</m:t>
            </m:r>
          </m:sub>
        </m:sSub>
        <m:d>
          <m:e>
            <m:sSub>
              <m:e>
                <m:r>
                  <m:t>y</m:t>
                </m:r>
              </m:e>
              <m:sub>
                <m:r>
                  <m:t>−</m:t>
                </m:r>
              </m:sub>
            </m:sSub>
            <m:r>
              <m:t>,</m:t>
            </m:r>
            <m:sSub>
              <m:e>
                <m:r>
                  <m:t>y</m:t>
                </m:r>
              </m:e>
              <m:sub>
                <m:r>
                  <m:t>+</m:t>
                </m:r>
              </m:sub>
            </m:sSub>
          </m:e>
        </m:d>
        <m:r>
          <m:t>=1</m:t>
        </m:r>
      </m:oMath>
      <w:r>
        <w:rPr>
          <w:rtl w:val="0"/>
          <w:lang w:val="en-US"/>
        </w:rPr>
        <w:t xml:space="preserve"> when </w:t>
      </w:r>
      <m:oMath>
        <m:sSub>
          <m:e>
            <m:r>
              <m:t>y</m:t>
            </m:r>
          </m:e>
          <m:sub>
            <m:r>
              <m:t>−</m:t>
            </m:r>
          </m:sub>
        </m:sSub>
        <m:r>
          <m:t>≠</m:t>
        </m:r>
        <m:sSub>
          <m:e>
            <m:r>
              <m:t>y</m:t>
            </m:r>
          </m:e>
          <m:sub>
            <m:r>
              <m:t>+</m:t>
            </m:r>
          </m:sub>
        </m:sSub>
      </m:oMath>
      <w:r>
        <w:rPr>
          <w:rtl w:val="0"/>
          <w:lang w:val="en-US"/>
        </w:rPr>
        <w:t xml:space="preserve"> and </w:t>
      </w:r>
      <m:oMath>
        <m:r>
          <m:t>0</m:t>
        </m:r>
      </m:oMath>
      <w:r>
        <w:rPr>
          <w:rtl w:val="0"/>
          <w:lang w:val="en-US"/>
        </w:rPr>
        <w:t xml:space="preserve"> otherwise.</w:t>
      </w:r>
    </w:p>
    <w:p>
      <w:pPr>
        <w:pStyle w:val="Текстовый блок"/>
        <w:keepLines w:val="1"/>
        <w:spacing w:before="60" w:line="240" w:lineRule="atLeast"/>
      </w:pPr>
      <w:r>
        <w:rPr>
          <w:b w:val="1"/>
          <w:bCs w:val="1"/>
          <w:rtl w:val="0"/>
          <w:lang w:val="en-US"/>
        </w:rPr>
        <w:t>Lemma 4.1 (Preservation of a two-point distinction).</w:t>
      </w:r>
      <w:r>
        <w:rPr>
          <w:rtl w:val="0"/>
        </w:rPr>
        <w:t xml:space="preserve"> A map </w:t>
      </w:r>
      <m:oMath>
        <m:r>
          <m:t>f:</m:t>
        </m:r>
        <m:sSup>
          <m:e>
            <m:r>
              <m:t>S</m:t>
            </m:r>
          </m:e>
          <m:sup>
            <m:r>
              <m:t>0</m:t>
            </m:r>
          </m:sup>
        </m:sSup>
        <m:r>
          <m:t>→Y</m:t>
        </m:r>
      </m:oMath>
      <w:r>
        <w:rPr>
          <w:rtl w:val="0"/>
          <w:lang w:val="en-US"/>
        </w:rPr>
        <w:t xml:space="preserve"> preserves the two-point distinction exactly when its restriction to the two poles is injective. Removing either pole leaves no pair on which this particular distinction can be instantiated.</w:t>
      </w:r>
    </w:p>
    <w:p>
      <w:pPr>
        <w:pStyle w:val="Текстовый блок"/>
        <w:spacing w:before="20" w:line="240" w:lineRule="atLeast"/>
      </w:pPr>
      <w:r>
        <w:rPr>
          <w:i w:val="1"/>
          <w:iCs w:val="1"/>
          <w:rtl w:val="0"/>
          <w:lang w:val="en-US"/>
        </w:rPr>
        <w:t>Proof.</w:t>
      </w:r>
      <w:r>
        <w:rPr>
          <w:rtl w:val="0"/>
          <w:lang w:val="en-US"/>
        </w:rPr>
        <w:t xml:space="preserve"> The preserved predicate is </w:t>
      </w:r>
      <m:oMath>
        <m:sSub>
          <m:e>
            <m:r>
              <m:t>δ</m:t>
            </m:r>
          </m:e>
          <m:sub>
            <m:r>
              <m:t>Y</m:t>
            </m:r>
          </m:sub>
        </m:sSub>
        <m:d>
          <m:e>
            <m:r>
              <m:t>f</m:t>
            </m:r>
            <m:d>
              <m:e>
                <m:r>
                  <m:t>−1</m:t>
                </m:r>
              </m:e>
            </m:d>
            <m:r>
              <m:t>,f</m:t>
            </m:r>
            <m:d>
              <m:e>
                <m:r>
                  <m:t>+1</m:t>
                </m:r>
              </m:e>
            </m:d>
          </m:e>
        </m:d>
        <m:r>
          <m:t>=1</m:t>
        </m:r>
      </m:oMath>
      <w:r>
        <w:rPr>
          <w:rtl w:val="0"/>
          <w:lang w:val="en-US"/>
        </w:rPr>
        <w:t>, which is precisely injectivity on a two-element domain. A singleton has no two distinct elements.</w:t>
      </w:r>
      <w:r>
        <w:rPr>
          <w:rtl w:val="0"/>
          <w:lang w:val="en-US"/>
        </w:rPr>
        <w:t> □</w:t>
      </w:r>
    </w:p>
    <w:p>
      <w:pPr>
        <w:pStyle w:val="Текстовый блок"/>
        <w:spacing w:line="240" w:lineRule="atLeast"/>
      </w:pPr>
      <w:r>
        <w:rPr>
          <w:rtl w:val="0"/>
          <w:lang w:val="en-US"/>
        </w:rPr>
        <w:t xml:space="preserve">This elementary statement supplies a minimal carrier and a class of distinction-preserving maps; noninjective maps can erase the distinction. It does not attach a physical size or a microscopic constituent to </w:t>
      </w:r>
      <m:oMath>
        <m:sSup>
          <m:e>
            <m:r>
              <m:t>S</m:t>
            </m:r>
          </m:e>
          <m:sup>
            <m:r>
              <m:t>0</m:t>
            </m:r>
          </m:sup>
        </m:sSup>
      </m:oMath>
      <w:r>
        <w:rPr>
          <w:rtl w:val="0"/>
        </w:rPr>
        <w:t>.</w:t>
      </w:r>
    </w:p>
    <w:p>
      <w:pPr>
        <w:pStyle w:val="Текстовый блок"/>
        <w:spacing w:line="240" w:lineRule="atLeast"/>
      </w:pPr>
      <w:r>
        <w:rPr>
          <w:rtl w:val="0"/>
          <w:lang w:val="en-US"/>
        </w:rPr>
        <w:t xml:space="preserve">The suspension identity </w:t>
      </w:r>
      <m:oMath>
        <m:r>
          <m:t>Σ</m:t>
        </m:r>
        <m:sSup>
          <m:e>
            <m:r>
              <m:t>S</m:t>
            </m:r>
          </m:e>
          <m:sup>
            <m:r>
              <m:t>n</m:t>
            </m:r>
          </m:sup>
        </m:sSup>
        <m:r>
          <m:t>≅</m:t>
        </m:r>
        <m:sSup>
          <m:e>
            <m:r>
              <m:t>S</m:t>
            </m:r>
          </m:e>
          <m:sup>
            <m:r>
              <m:t>n+1</m:t>
            </m:r>
          </m:sup>
        </m:sSup>
      </m:oMath>
      <w:r>
        <w:rPr>
          <w:rtl w:val="0"/>
          <w:lang w:val="en-US"/>
        </w:rPr>
        <w:t xml:space="preserve"> gives a mathematical carrier hierarchy. With specified equatorial inclusions it can be written</w:t>
      </w:r>
    </w:p>
    <w:tbl>
      <w:tblPr>
        <w:tblW w:w="9522"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666"/>
        <w:gridCol w:w="8190"/>
        <w:gridCol w:w="666"/>
      </w:tblGrid>
      <w:tr>
        <w:tblPrEx>
          <w:shd w:val="clear" w:color="auto" w:fill="ced7e7"/>
        </w:tblPrEx>
        <w:trPr>
          <w:trHeight w:val="263" w:hRule="atLeast"/>
        </w:trPr>
        <w:tc>
          <w:tcPr>
            <w:tcW w:type="dxa" w:w="666"/>
            <w:tcBorders>
              <w:top w:val="nil"/>
              <w:left w:val="nil"/>
              <w:bottom w:val="nil"/>
              <w:right w:val="nil"/>
            </w:tcBorders>
            <w:shd w:val="clear" w:color="auto" w:fill="auto"/>
            <w:tcMar>
              <w:top w:type="dxa" w:w="80"/>
              <w:left w:type="dxa" w:w="80"/>
              <w:bottom w:type="dxa" w:w="80"/>
              <w:right w:type="dxa" w:w="80"/>
            </w:tcMar>
            <w:vAlign w:val="top"/>
          </w:tcPr>
          <w:p/>
        </w:tc>
        <w:tc>
          <w:tcPr>
            <w:tcW w:type="dxa" w:w="8190"/>
            <w:tcBorders>
              <w:top w:val="nil"/>
              <w:left w:val="nil"/>
              <w:bottom w:val="nil"/>
              <w:right w:val="nil"/>
            </w:tcBorders>
            <w:shd w:val="clear" w:color="auto" w:fill="auto"/>
            <w:tcMar>
              <w:top w:type="dxa" w:w="80"/>
              <w:left w:type="dxa" w:w="80"/>
              <w:bottom w:type="dxa" w:w="80"/>
              <w:right w:type="dxa" w:w="80"/>
            </w:tcMar>
            <w:vAlign w:val="top"/>
          </w:tcPr>
          <w:p>
            <w:pPr>
              <w:pStyle w:val="Текстовый блок"/>
              <w:spacing w:after="40" w:line="240" w:lineRule="auto"/>
              <w:jc w:val="center"/>
            </w:pPr>
            <m:oMathPara>
              <m:oMathParaPr>
                <m:jc m:val="center"/>
              </m:oMathParaPr>
              <m:oMath>
                <m:sSup>
                  <m:e>
                    <m:r>
                      <m:t>S</m:t>
                    </m:r>
                  </m:e>
                  <m:sup>
                    <m:r>
                      <m:t>0</m:t>
                    </m:r>
                  </m:sup>
                </m:sSup>
                <m:r>
                  <m:t>→</m:t>
                </m:r>
                <m:sSup>
                  <m:e>
                    <m:r>
                      <m:t>S</m:t>
                    </m:r>
                  </m:e>
                  <m:sup>
                    <m:r>
                      <m:t>1</m:t>
                    </m:r>
                  </m:sup>
                </m:sSup>
                <m:r>
                  <m:t>→</m:t>
                </m:r>
                <m:sSup>
                  <m:e>
                    <m:r>
                      <m:t>S</m:t>
                    </m:r>
                  </m:e>
                  <m:sup>
                    <m:r>
                      <m:t>2</m:t>
                    </m:r>
                  </m:sup>
                </m:sSup>
                <m:r>
                  <m:t>→</m:t>
                </m:r>
                <m:sSup>
                  <m:e>
                    <m:r>
                      <m:t>S</m:t>
                    </m:r>
                  </m:e>
                  <m:sup>
                    <m:r>
                      <m:t>3</m:t>
                    </m:r>
                  </m:sup>
                </m:sSup>
                <m:r>
                  <m:t>.</m:t>
                </m:r>
              </m:oMath>
            </m:oMathPara>
          </w:p>
        </w:tc>
        <w:tc>
          <w:tcPr>
            <w:tcW w:type="dxa" w:w="666"/>
            <w:tcBorders>
              <w:top w:val="nil"/>
              <w:left w:val="nil"/>
              <w:bottom w:val="nil"/>
              <w:right w:val="nil"/>
            </w:tcBorders>
            <w:shd w:val="clear" w:color="auto" w:fill="auto"/>
            <w:tcMar>
              <w:top w:type="dxa" w:w="80"/>
              <w:left w:type="dxa" w:w="80"/>
              <w:bottom w:type="dxa" w:w="80"/>
              <w:right w:type="dxa" w:w="80"/>
            </w:tcMar>
            <w:vAlign w:val="top"/>
          </w:tcPr>
          <w:p>
            <w:pPr>
              <w:pStyle w:val="Normal.0"/>
              <w:spacing w:after="40" w:line="240" w:lineRule="auto"/>
              <w:jc w:val="right"/>
            </w:pPr>
            <w:r>
              <w:rPr>
                <w:sz w:val="18"/>
                <w:szCs w:val="18"/>
                <w:rtl w:val="0"/>
                <w:lang w:val="en-US"/>
              </w:rPr>
              <w:t>(4.1)</w:t>
            </w:r>
          </w:p>
        </w:tc>
      </w:tr>
    </w:tbl>
    <w:p>
      <w:pPr>
        <w:pStyle w:val="Текстовый блок"/>
        <w:widowControl w:val="0"/>
        <w:spacing w:line="240" w:lineRule="atLeast"/>
        <w:jc w:val="center"/>
      </w:pPr>
    </w:p>
    <w:p>
      <w:pPr>
        <w:pStyle w:val="Текстовый блок"/>
        <w:spacing w:line="240" w:lineRule="atLeast"/>
      </w:pPr>
      <w:r>
        <w:rPr>
          <w:rtl w:val="0"/>
          <w:lang w:val="en-US"/>
        </w:rPr>
        <w:t>The optional labels distinction, phase, direction and spinor total space refer to possible uses of these carriers; the arrows are not an evolution law. A rigorous non-factorisation example is the Hopf bundle</w:t>
      </w:r>
    </w:p>
    <w:tbl>
      <w:tblPr>
        <w:tblW w:w="9522"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666"/>
        <w:gridCol w:w="8190"/>
        <w:gridCol w:w="666"/>
      </w:tblGrid>
      <w:tr>
        <w:tblPrEx>
          <w:shd w:val="clear" w:color="auto" w:fill="ced7e7"/>
        </w:tblPrEx>
        <w:trPr>
          <w:trHeight w:val="569" w:hRule="atLeast"/>
        </w:trPr>
        <w:tc>
          <w:tcPr>
            <w:tcW w:type="dxa" w:w="666"/>
            <w:tcBorders>
              <w:top w:val="nil"/>
              <w:left w:val="nil"/>
              <w:bottom w:val="nil"/>
              <w:right w:val="nil"/>
            </w:tcBorders>
            <w:shd w:val="clear" w:color="auto" w:fill="auto"/>
            <w:tcMar>
              <w:top w:type="dxa" w:w="80"/>
              <w:left w:type="dxa" w:w="80"/>
              <w:bottom w:type="dxa" w:w="80"/>
              <w:right w:type="dxa" w:w="80"/>
            </w:tcMar>
            <w:vAlign w:val="top"/>
          </w:tcPr>
          <w:p/>
        </w:tc>
        <w:tc>
          <w:tcPr>
            <w:tcW w:type="dxa" w:w="8190"/>
            <w:tcBorders>
              <w:top w:val="nil"/>
              <w:left w:val="nil"/>
              <w:bottom w:val="nil"/>
              <w:right w:val="nil"/>
            </w:tcBorders>
            <w:shd w:val="clear" w:color="auto" w:fill="auto"/>
            <w:tcMar>
              <w:top w:type="dxa" w:w="80"/>
              <w:left w:type="dxa" w:w="80"/>
              <w:bottom w:type="dxa" w:w="80"/>
              <w:right w:type="dxa" w:w="80"/>
            </w:tcMar>
            <w:vAlign w:val="top"/>
          </w:tcPr>
          <w:p>
            <w:pPr>
              <w:pStyle w:val="Текстовый блок"/>
              <w:spacing w:after="40" w:line="240" w:lineRule="auto"/>
              <w:jc w:val="center"/>
            </w:pPr>
            <m:oMathPara>
              <m:oMathParaPr>
                <m:jc m:val="center"/>
              </m:oMathParaPr>
              <m:oMath>
                <m:sSup>
                  <m:e>
                    <m:r>
                      <m:t>S</m:t>
                    </m:r>
                  </m:e>
                  <m:sup>
                    <m:r>
                      <m:t>1</m:t>
                    </m:r>
                  </m:sup>
                </m:sSup>
                <m:r>
                  <m:t>→</m:t>
                </m:r>
                <m:sSup>
                  <m:e>
                    <m:r>
                      <m:t>S</m:t>
                    </m:r>
                  </m:e>
                  <m:sup>
                    <m:r>
                      <m:t>3</m:t>
                    </m:r>
                  </m:sup>
                </m:sSup>
                <m:limUpp>
                  <m:e>
                    <m:r>
                      <m:t>→</m:t>
                    </m:r>
                  </m:e>
                  <m:lim>
                    <m:r>
                      <m:t>π</m:t>
                    </m:r>
                  </m:lim>
                </m:limUpp>
                <m:sSup>
                  <m:e>
                    <m:r>
                      <m:t>S</m:t>
                    </m:r>
                  </m:e>
                  <m:sup>
                    <m:r>
                      <m:t>2</m:t>
                    </m:r>
                  </m:sup>
                </m:sSup>
                <m:r>
                  <m:t>,π</m:t>
                </m:r>
                <m:d>
                  <m:e>
                    <m:sSub>
                      <m:e>
                        <m:r>
                          <m:t>z</m:t>
                        </m:r>
                      </m:e>
                      <m:sub>
                        <m:r>
                          <m:t>1</m:t>
                        </m:r>
                      </m:sub>
                    </m:sSub>
                    <m:r>
                      <m:t>,</m:t>
                    </m:r>
                    <m:sSub>
                      <m:e>
                        <m:r>
                          <m:t>z</m:t>
                        </m:r>
                      </m:e>
                      <m:sub>
                        <m:r>
                          <m:t>2</m:t>
                        </m:r>
                      </m:sub>
                    </m:sSub>
                  </m:e>
                </m:d>
                <m:r>
                  <m:t>=</m:t>
                </m:r>
                <m:d>
                  <m:e>
                    <m:r>
                      <m:t>2</m:t>
                    </m:r>
                    <m:r>
                      <m:rPr>
                        <m:sty m:val="p"/>
                      </m:rPr>
                      <m:t>ℜ</m:t>
                    </m:r>
                    <m:d>
                      <m:e>
                        <m:sSub>
                          <m:e>
                            <m:r>
                              <m:t>z</m:t>
                            </m:r>
                          </m:e>
                          <m:sub>
                            <m:r>
                              <m:t>1</m:t>
                            </m:r>
                          </m:sub>
                        </m:sSub>
                        <m:sSub>
                          <m:e>
                            <m:limUpp>
                              <m:e>
                                <m:r>
                                  <m:t>z</m:t>
                                </m:r>
                              </m:e>
                              <m:lim>
                                <m:r>
                                  <m:rPr>
                                    <m:sty m:val="p"/>
                                  </m:rPr>
                                  <m:t>‾</m:t>
                                </m:r>
                              </m:lim>
                            </m:limUpp>
                          </m:e>
                          <m:sub>
                            <m:r>
                              <m:t>2</m:t>
                            </m:r>
                          </m:sub>
                        </m:sSub>
                      </m:e>
                    </m:d>
                    <m:r>
                      <m:t>,2</m:t>
                    </m:r>
                    <m:r>
                      <m:rPr>
                        <m:sty m:val="p"/>
                      </m:rPr>
                      <m:t>ℑ</m:t>
                    </m:r>
                    <m:d>
                      <m:e>
                        <m:sSub>
                          <m:e>
                            <m:r>
                              <m:t>z</m:t>
                            </m:r>
                          </m:e>
                          <m:sub>
                            <m:r>
                              <m:t>1</m:t>
                            </m:r>
                          </m:sub>
                        </m:sSub>
                        <m:sSub>
                          <m:e>
                            <m:limUpp>
                              <m:e>
                                <m:r>
                                  <m:t>z</m:t>
                                </m:r>
                              </m:e>
                              <m:lim>
                                <m:r>
                                  <m:rPr>
                                    <m:sty m:val="p"/>
                                  </m:rPr>
                                  <m:t>‾</m:t>
                                </m:r>
                              </m:lim>
                            </m:limUpp>
                          </m:e>
                          <m:sub>
                            <m:r>
                              <m:t>2</m:t>
                            </m:r>
                          </m:sub>
                        </m:sSub>
                      </m:e>
                    </m:d>
                    <m:r>
                      <m:t>,</m:t>
                    </m:r>
                    <m:sSup>
                      <m:e>
                        <m:d>
                          <m:dPr>
                            <m:begChr m:val="|"/>
                            <m:endChr m:val="|"/>
                          </m:dPr>
                          <m:e>
                            <m:sSub>
                              <m:e>
                                <m:r>
                                  <m:t>z</m:t>
                                </m:r>
                              </m:e>
                              <m:sub>
                                <m:r>
                                  <m:t>1</m:t>
                                </m:r>
                              </m:sub>
                            </m:sSub>
                          </m:e>
                        </m:d>
                      </m:e>
                      <m:sup>
                        <m:r>
                          <m:t>2</m:t>
                        </m:r>
                      </m:sup>
                    </m:sSup>
                    <m:r>
                      <m:t>−</m:t>
                    </m:r>
                    <m:sSup>
                      <m:e>
                        <m:d>
                          <m:dPr>
                            <m:begChr m:val="|"/>
                            <m:endChr m:val="|"/>
                          </m:dPr>
                          <m:e>
                            <m:sSub>
                              <m:e>
                                <m:r>
                                  <m:t>z</m:t>
                                </m:r>
                              </m:e>
                              <m:sub>
                                <m:r>
                                  <m:t>2</m:t>
                                </m:r>
                              </m:sub>
                            </m:sSub>
                          </m:e>
                        </m:d>
                      </m:e>
                      <m:sup>
                        <m:r>
                          <m:t>2</m:t>
                        </m:r>
                      </m:sup>
                    </m:sSup>
                  </m:e>
                </m:d>
                <m:r>
                  <m:t>,</m:t>
                </m:r>
              </m:oMath>
            </m:oMathPara>
          </w:p>
        </w:tc>
        <w:tc>
          <w:tcPr>
            <w:tcW w:type="dxa" w:w="666"/>
            <w:tcBorders>
              <w:top w:val="nil"/>
              <w:left w:val="nil"/>
              <w:bottom w:val="nil"/>
              <w:right w:val="nil"/>
            </w:tcBorders>
            <w:shd w:val="clear" w:color="auto" w:fill="auto"/>
            <w:tcMar>
              <w:top w:type="dxa" w:w="80"/>
              <w:left w:type="dxa" w:w="80"/>
              <w:bottom w:type="dxa" w:w="80"/>
              <w:right w:type="dxa" w:w="80"/>
            </w:tcMar>
            <w:vAlign w:val="top"/>
          </w:tcPr>
          <w:p>
            <w:pPr>
              <w:pStyle w:val="Normal.0"/>
              <w:spacing w:after="40" w:line="240" w:lineRule="auto"/>
              <w:jc w:val="right"/>
            </w:pPr>
            <w:r>
              <w:rPr>
                <w:sz w:val="18"/>
                <w:szCs w:val="18"/>
                <w:rtl w:val="0"/>
                <w:lang w:val="en-US"/>
              </w:rPr>
              <w:t>(4.2)</w:t>
            </w:r>
          </w:p>
        </w:tc>
      </w:tr>
    </w:tbl>
    <w:p>
      <w:pPr>
        <w:pStyle w:val="Текстовый блок"/>
        <w:widowControl w:val="0"/>
        <w:spacing w:line="240" w:lineRule="atLeast"/>
        <w:jc w:val="center"/>
      </w:pPr>
    </w:p>
    <w:p>
      <w:pPr>
        <w:pStyle w:val="Текстовый блок"/>
        <w:spacing w:line="240" w:lineRule="atLeast"/>
      </w:pPr>
      <w:r>
        <w:rPr>
          <w:rtl w:val="0"/>
          <w:lang w:val="en-US"/>
        </w:rPr>
        <w:t xml:space="preserve">where </w:t>
      </w:r>
      <m:oMath>
        <m:sSup>
          <m:e>
            <m:d>
              <m:dPr>
                <m:begChr m:val="|"/>
                <m:endChr m:val="|"/>
              </m:dPr>
              <m:e>
                <m:sSub>
                  <m:e>
                    <m:r>
                      <m:t>z</m:t>
                    </m:r>
                  </m:e>
                  <m:sub>
                    <m:r>
                      <m:t>1</m:t>
                    </m:r>
                  </m:sub>
                </m:sSub>
              </m:e>
            </m:d>
          </m:e>
          <m:sup>
            <m:r>
              <m:t>2</m:t>
            </m:r>
          </m:sup>
        </m:sSup>
        <m:r>
          <m:t>+</m:t>
        </m:r>
        <m:sSup>
          <m:e>
            <m:d>
              <m:dPr>
                <m:begChr m:val="|"/>
                <m:endChr m:val="|"/>
              </m:dPr>
              <m:e>
                <m:sSub>
                  <m:e>
                    <m:r>
                      <m:t>z</m:t>
                    </m:r>
                  </m:e>
                  <m:sub>
                    <m:r>
                      <m:t>2</m:t>
                    </m:r>
                  </m:sub>
                </m:sSub>
              </m:e>
            </m:d>
          </m:e>
          <m:sup>
            <m:r>
              <m:t>2</m:t>
            </m:r>
          </m:sup>
        </m:sSup>
        <m:r>
          <m:t>=1</m:t>
        </m:r>
      </m:oMath>
      <w:r>
        <w:rPr>
          <w:rtl w:val="0"/>
          <w:lang w:val="en-US"/>
        </w:rPr>
        <w:t xml:space="preserve"> and the fibre acts by simultaneous phase multiplication [37]. It is not a global product: </w:t>
      </w:r>
      <m:oMath>
        <m:sSub>
          <m:e>
            <m:r>
              <m:t>π</m:t>
            </m:r>
          </m:e>
          <m:sub>
            <m:r>
              <m:t>1</m:t>
            </m:r>
          </m:sub>
        </m:sSub>
        <m:d>
          <m:e>
            <m:sSup>
              <m:e>
                <m:r>
                  <m:t>S</m:t>
                </m:r>
              </m:e>
              <m:sup>
                <m:r>
                  <m:t>3</m:t>
                </m:r>
              </m:sup>
            </m:sSup>
          </m:e>
        </m:d>
        <m:r>
          <m:t>=0</m:t>
        </m:r>
      </m:oMath>
      <w:r>
        <w:rPr>
          <w:rtl w:val="0"/>
          <w:lang w:val="en-US"/>
        </w:rPr>
        <w:t xml:space="preserve"> whereas </w:t>
      </w:r>
      <m:oMath>
        <m:sSub>
          <m:e>
            <m:r>
              <m:t>π</m:t>
            </m:r>
          </m:e>
          <m:sub>
            <m:r>
              <m:t>1</m:t>
            </m:r>
          </m:sub>
        </m:sSub>
        <m:d>
          <m:e>
            <m:sSup>
              <m:e>
                <m:r>
                  <m:t>S</m:t>
                </m:r>
              </m:e>
              <m:sup>
                <m:r>
                  <m:t>2</m:t>
                </m:r>
              </m:sup>
            </m:sSup>
            <m:r>
              <m:t>×</m:t>
            </m:r>
            <m:sSup>
              <m:e>
                <m:r>
                  <m:t>S</m:t>
                </m:r>
              </m:e>
              <m:sup>
                <m:r>
                  <m:t>1</m:t>
                </m:r>
              </m:sup>
            </m:sSup>
          </m:e>
        </m:d>
        <m:r>
          <m:t>=</m:t>
        </m:r>
        <m:r>
          <m:rPr>
            <m:sty m:val="p"/>
            <m:scr m:val="double-struck"/>
          </m:rPr>
          <m:t>Z</m:t>
        </m:r>
      </m:oMath>
      <w:r>
        <w:rPr>
          <w:rtl w:val="0"/>
          <w:lang w:val="en-US"/>
        </w:rPr>
        <w:t>. A global section of this principal bundle would trivialise it and is therefore impossible.</w:t>
      </w:r>
    </w:p>
    <w:p>
      <w:pPr>
        <w:pStyle w:val="Текстовый блок"/>
        <w:spacing w:line="240" w:lineRule="atLeast"/>
      </w:pPr>
      <w:r>
        <w:rPr>
          <w:rtl w:val="0"/>
          <w:lang w:val="en-US"/>
        </w:rPr>
        <w:t xml:space="preserve">An optical use of this construction needs care. Normalised two-component Jones vectors at a fixed propagation direction form an </w:t>
      </w:r>
      <m:oMath>
        <m:sSup>
          <m:e>
            <m:r>
              <m:t>S</m:t>
            </m:r>
          </m:e>
          <m:sup>
            <m:r>
              <m:t>3</m:t>
            </m:r>
          </m:sup>
        </m:sSup>
      </m:oMath>
      <w:r>
        <w:rPr>
          <w:rtl w:val="0"/>
          <w:lang w:val="en-US"/>
        </w:rPr>
        <w:t xml:space="preserve">, and quotient by overall optical phase gives the Stokes sphere. That sphere parametrises polarisation, not automatically spatial propagation direction. Its optical phase quotient is also not, without further construction, the spacetime gauge transformation </w:t>
      </w:r>
      <m:oMath>
        <m:r>
          <m:t>A↦A+</m:t>
        </m:r>
        <m:r>
          <m:rPr>
            <m:sty m:val="p"/>
          </m:rPr>
          <m:t>d</m:t>
        </m:r>
        <m:r>
          <m:t>χ</m:t>
        </m:r>
      </m:oMath>
      <w:r>
        <w:rPr>
          <w:rtl w:val="0"/>
          <w:lang w:val="en-US"/>
        </w:rPr>
        <w:t>. Mathematical non-factorisation, physical interaction and philosophical interdependence are three separate claims. The first does not prove either of the other two.</w:t>
      </w:r>
      <w:bookmarkEnd w:id="31"/>
    </w:p>
    <w:p>
      <w:pPr>
        <w:pStyle w:val="Заголовок 2"/>
        <w:spacing w:line="240" w:lineRule="atLeast"/>
      </w:pPr>
      <w:bookmarkStart w:name="X0e5d3ae767094c4545fdba77c6b1cd373b6c5ca" w:id="32"/>
      <w:r>
        <w:rPr>
          <w:rtl w:val="0"/>
          <w:lang w:val="en-US"/>
        </w:rPr>
        <w:t>5. Predimensional data and four meanings of vacuum</w:t>
      </w:r>
    </w:p>
    <w:p>
      <w:pPr>
        <w:pStyle w:val="Текстовый блок"/>
        <w:spacing w:line="240" w:lineRule="atLeast"/>
      </w:pPr>
      <w:r>
        <w:rPr>
          <w:rtl w:val="0"/>
          <w:lang w:val="en-US"/>
        </w:rPr>
        <w:t xml:space="preserve">Before a physical dimension functional has been constructed, the statement </w:t>
      </w:r>
      <m:oMath>
        <m:sSub>
          <m:e>
            <m:r>
              <m:rPr>
                <m:sty m:val="p"/>
              </m:rPr>
              <m:t>dim</m:t>
            </m:r>
          </m:e>
          <m:sub>
            <m:r>
              <m:rPr>
                <m:sty m:val="p"/>
              </m:rPr>
              <m:t>phys</m:t>
            </m:r>
          </m:sub>
        </m:sSub>
        <m:r>
          <m:t>X</m:t>
        </m:r>
      </m:oMath>
      <w:r>
        <w:rPr>
          <w:rtl w:val="0"/>
          <w:lang w:val="en-US"/>
        </w:rPr>
        <w:t xml:space="preserve"> is undefined can be appropriate. It must not be replaced by </w:t>
      </w:r>
      <m:oMath>
        <m:sSub>
          <m:e>
            <m:r>
              <m:rPr>
                <m:sty m:val="p"/>
              </m:rPr>
              <m:t>dim</m:t>
            </m:r>
          </m:e>
          <m:sub>
            <m:r>
              <m:rPr>
                <m:sty m:val="p"/>
              </m:rPr>
              <m:t>phys</m:t>
            </m:r>
          </m:sub>
        </m:sSub>
        <m:r>
          <m:t>X=0</m:t>
        </m:r>
      </m:oMath>
      <w:r>
        <w:rPr>
          <w:rtl w:val="0"/>
          <w:lang w:val="en-US"/>
        </w:rPr>
        <w:t xml:space="preserve">. The topological dimension of the discrete carrier </w:t>
      </w:r>
      <m:oMath>
        <m:sSup>
          <m:e>
            <m:r>
              <m:t>S</m:t>
            </m:r>
          </m:e>
          <m:sup>
            <m:r>
              <m:t>0</m:t>
            </m:r>
          </m:sup>
        </m:sSup>
      </m:oMath>
      <w:r>
        <w:rPr>
          <w:rtl w:val="0"/>
          <w:lang w:val="en-US"/>
        </w:rPr>
        <w:t xml:space="preserve"> is indeed zero; that is a different assertion. Likewise, unreconstructed distance </w:t>
      </w:r>
      <m:oMath>
        <m:r>
          <m:t>d</m:t>
        </m:r>
        <m:d>
          <m:e>
            <m:r>
              <m:t>A,B</m:t>
            </m:r>
          </m:e>
        </m:d>
      </m:oMath>
      <w:r>
        <w:rPr>
          <w:rtl w:val="0"/>
          <w:lang w:val="en-US"/>
        </w:rPr>
        <w:t xml:space="preserve"> and clock separation </w:t>
      </w:r>
      <m:oMath>
        <m:r>
          <m:t>Δt</m:t>
        </m:r>
        <m:d>
          <m:e>
            <m:r>
              <m:t>A,B</m:t>
            </m:r>
          </m:e>
        </m:d>
      </m:oMath>
      <w:r>
        <w:rPr>
          <w:rtl w:val="0"/>
          <w:lang w:val="en-US"/>
        </w:rPr>
        <w:t xml:space="preserve"> may be undefined rather than zero.</w:t>
      </w:r>
    </w:p>
    <w:p>
      <w:pPr>
        <w:pStyle w:val="Текстовый блок"/>
        <w:spacing w:line="240" w:lineRule="atLeast"/>
      </w:pPr>
      <w:r>
        <w:rPr>
          <w:rtl w:val="0"/>
          <w:lang w:val="en-US"/>
        </w:rPr>
        <w:t xml:space="preserve">Topological dimension refers to a topological space; spectral dimension typically uses the scaling of a specified heat trace or return probability; operational spatial dimension concerns reconstructed independent spatial measurements; spacetime dimension includes the time direction; field-theory scaling dimensions concern fields and operators. These need not agree, and several are unavailable before their defining structures exist. The combinations </w:t>
      </w:r>
      <m:oMath>
        <m:sSub>
          <m:e>
            <m:r>
              <m:rPr>
                <m:sty m:val="p"/>
              </m:rPr>
              <m:t>ℓ</m:t>
            </m:r>
          </m:e>
          <m:sub>
            <m:r>
              <m:rPr>
                <m:sty m:val="p"/>
              </m:rPr>
              <m:t>P</m:t>
            </m:r>
          </m:sub>
        </m:sSub>
        <m:r>
          <m:t>=</m:t>
        </m:r>
        <m:rad>
          <m:radPr>
            <m:degHide m:val="on"/>
          </m:radPr>
          <m:deg/>
          <m:e>
            <m:r>
              <m:rPr>
                <m:sty m:val="p"/>
              </m:rPr>
              <m:t>ℏ</m:t>
            </m:r>
            <m:r>
              <m:t>G/</m:t>
            </m:r>
            <m:sSup>
              <m:e>
                <m:r>
                  <m:t>c</m:t>
                </m:r>
              </m:e>
              <m:sup>
                <m:r>
                  <m:t>3</m:t>
                </m:r>
              </m:sup>
            </m:sSup>
          </m:e>
        </m:rad>
      </m:oMath>
      <w:r>
        <w:rPr>
          <w:rtl w:val="0"/>
          <w:lang w:val="en-US"/>
        </w:rPr>
        <w:t xml:space="preserve"> and </w:t>
      </w:r>
      <m:oMath>
        <m:sSub>
          <m:e>
            <m:r>
              <m:t>t</m:t>
            </m:r>
          </m:e>
          <m:sub>
            <m:r>
              <m:rPr>
                <m:sty m:val="p"/>
              </m:rPr>
              <m:t>P</m:t>
            </m:r>
          </m:sub>
        </m:sSub>
        <m:r>
          <m:t>=</m:t>
        </m:r>
        <m:rad>
          <m:radPr>
            <m:degHide m:val="on"/>
          </m:radPr>
          <m:deg/>
          <m:e>
            <m:r>
              <m:rPr>
                <m:sty m:val="p"/>
              </m:rPr>
              <m:t>ℏ</m:t>
            </m:r>
            <m:r>
              <m:t>G/</m:t>
            </m:r>
            <m:sSup>
              <m:e>
                <m:r>
                  <m:t>c</m:t>
                </m:r>
              </m:e>
              <m:sup>
                <m:r>
                  <m:t>5</m:t>
                </m:r>
              </m:sup>
            </m:sSup>
          </m:e>
        </m:rad>
      </m:oMath>
      <w:r>
        <w:rPr>
          <w:rtl w:val="0"/>
          <w:lang w:val="en-US"/>
        </w:rPr>
        <w:t xml:space="preserve"> do not by themselves prove minimal discrete intervals.</w:t>
      </w:r>
    </w:p>
    <w:tbl>
      <w:tblPr>
        <w:tblW w:w="7920"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960"/>
        <w:gridCol w:w="3960"/>
      </w:tblGrid>
      <w:tr>
        <w:tblPrEx>
          <w:shd w:val="clear" w:color="auto" w:fill="ced7e7"/>
        </w:tblPrEx>
        <w:trPr>
          <w:trHeight w:val="210" w:hRule="atLeast"/>
        </w:trPr>
        <w:tc>
          <w:tcPr>
            <w:tcW w:type="dxa" w:w="3960"/>
            <w:tcBorders>
              <w:top w:val="single" w:color="777777" w:sz="8" w:space="0" w:shadow="0" w:frame="0"/>
              <w:left w:val="nil"/>
              <w:bottom w:val="single" w:color="777777" w:sz="6" w:space="0" w:shadow="0" w:frame="0"/>
              <w:right w:val="nil"/>
            </w:tcBorders>
            <w:shd w:val="clear" w:color="auto" w:fill="auto"/>
            <w:tcMar>
              <w:top w:type="dxa" w:w="80"/>
              <w:left w:type="dxa" w:w="80"/>
              <w:bottom w:type="dxa" w:w="80"/>
              <w:right w:type="dxa" w:w="80"/>
            </w:tcMar>
            <w:vAlign w:val="top"/>
          </w:tcPr>
          <w:p>
            <w:pPr>
              <w:pStyle w:val="Compact"/>
              <w:spacing w:after="40" w:line="240" w:lineRule="auto"/>
            </w:pPr>
            <w:r>
              <w:rPr>
                <w:rFonts w:ascii="Times New Roman" w:hAnsi="Times New Roman"/>
                <w:b w:val="1"/>
                <w:bCs w:val="1"/>
                <w:sz w:val="18"/>
                <w:szCs w:val="18"/>
                <w:rtl w:val="0"/>
                <w:lang w:val="en-US"/>
              </w:rPr>
              <w:t>Meaning of vacuum</w:t>
            </w:r>
          </w:p>
        </w:tc>
        <w:tc>
          <w:tcPr>
            <w:tcW w:type="dxa" w:w="3960"/>
            <w:tcBorders>
              <w:top w:val="single" w:color="777777" w:sz="8" w:space="0" w:shadow="0" w:frame="0"/>
              <w:left w:val="nil"/>
              <w:bottom w:val="single" w:color="777777" w:sz="6" w:space="0" w:shadow="0" w:frame="0"/>
              <w:right w:val="nil"/>
            </w:tcBorders>
            <w:shd w:val="clear" w:color="auto" w:fill="auto"/>
            <w:tcMar>
              <w:top w:type="dxa" w:w="80"/>
              <w:left w:type="dxa" w:w="80"/>
              <w:bottom w:type="dxa" w:w="80"/>
              <w:right w:type="dxa" w:w="80"/>
            </w:tcMar>
            <w:vAlign w:val="top"/>
          </w:tcPr>
          <w:p>
            <w:pPr>
              <w:pStyle w:val="Compact"/>
              <w:spacing w:after="40" w:line="240" w:lineRule="auto"/>
            </w:pPr>
            <w:r>
              <w:rPr>
                <w:rFonts w:ascii="Times New Roman" w:hAnsi="Times New Roman"/>
                <w:b w:val="1"/>
                <w:bCs w:val="1"/>
                <w:sz w:val="18"/>
                <w:szCs w:val="18"/>
                <w:rtl w:val="0"/>
                <w:lang w:val="en-US"/>
              </w:rPr>
              <w:t>Data and limitation</w:t>
            </w:r>
          </w:p>
        </w:tc>
      </w:tr>
      <w:tr>
        <w:tblPrEx>
          <w:shd w:val="clear" w:color="auto" w:fill="ced7e7"/>
        </w:tblPrEx>
        <w:trPr>
          <w:trHeight w:val="410" w:hRule="atLeast"/>
        </w:trPr>
        <w:tc>
          <w:tcPr>
            <w:tcW w:type="dxa" w:w="3960"/>
            <w:tcBorders>
              <w:top w:val="single" w:color="777777" w:sz="6" w:space="0" w:shadow="0" w:frame="0"/>
              <w:left w:val="nil"/>
              <w:bottom w:val="nil"/>
              <w:right w:val="nil"/>
            </w:tcBorders>
            <w:shd w:val="clear" w:color="auto" w:fill="auto"/>
            <w:tcMar>
              <w:top w:type="dxa" w:w="80"/>
              <w:left w:type="dxa" w:w="80"/>
              <w:bottom w:type="dxa" w:w="80"/>
              <w:right w:type="dxa" w:w="80"/>
            </w:tcMar>
            <w:vAlign w:val="top"/>
          </w:tcPr>
          <w:p>
            <w:pPr>
              <w:pStyle w:val="Compact"/>
              <w:spacing w:after="40" w:line="240" w:lineRule="auto"/>
            </w:pPr>
            <w:r>
              <w:rPr>
                <w:rFonts w:ascii="Times New Roman" w:hAnsi="Times New Roman"/>
                <w:sz w:val="18"/>
                <w:szCs w:val="18"/>
                <w:rtl w:val="0"/>
                <w:lang w:val="en-US"/>
              </w:rPr>
              <w:t>No detected photons</w:t>
            </w:r>
          </w:p>
        </w:tc>
        <w:tc>
          <w:tcPr>
            <w:tcW w:type="dxa" w:w="3960"/>
            <w:tcBorders>
              <w:top w:val="single" w:color="777777" w:sz="6" w:space="0" w:shadow="0" w:frame="0"/>
              <w:left w:val="nil"/>
              <w:bottom w:val="nil"/>
              <w:right w:val="nil"/>
            </w:tcBorders>
            <w:shd w:val="clear" w:color="auto" w:fill="auto"/>
            <w:tcMar>
              <w:top w:type="dxa" w:w="80"/>
              <w:left w:type="dxa" w:w="80"/>
              <w:bottom w:type="dxa" w:w="80"/>
              <w:right w:type="dxa" w:w="80"/>
            </w:tcMar>
            <w:vAlign w:val="top"/>
          </w:tcPr>
          <w:p>
            <w:pPr>
              <w:pStyle w:val="Compact"/>
              <w:spacing w:after="40" w:line="240" w:lineRule="auto"/>
            </w:pPr>
            <w:r>
              <w:rPr>
                <w:rFonts w:ascii="Times New Roman" w:hAnsi="Times New Roman"/>
                <w:sz w:val="18"/>
                <w:szCs w:val="18"/>
                <w:rtl w:val="0"/>
                <w:lang w:val="en-US"/>
              </w:rPr>
              <w:t>A detector, exposure and readout give no counts; this does not uniquely specify a quantum state.</w:t>
            </w:r>
          </w:p>
        </w:tc>
      </w:tr>
      <w:tr>
        <w:tblPrEx>
          <w:shd w:val="clear" w:color="auto" w:fill="ced7e7"/>
        </w:tblPrEx>
        <w:trPr>
          <w:trHeight w:val="612" w:hRule="atLeast"/>
        </w:trPr>
        <w:tc>
          <w:tcPr>
            <w:tcW w:type="dxa" w:w="3960"/>
            <w:tcBorders>
              <w:top w:val="nil"/>
              <w:left w:val="nil"/>
              <w:bottom w:val="nil"/>
              <w:right w:val="nil"/>
            </w:tcBorders>
            <w:shd w:val="clear" w:color="auto" w:fill="auto"/>
            <w:tcMar>
              <w:top w:type="dxa" w:w="80"/>
              <w:left w:type="dxa" w:w="80"/>
              <w:bottom w:type="dxa" w:w="80"/>
              <w:right w:type="dxa" w:w="80"/>
            </w:tcMar>
            <w:vAlign w:val="top"/>
          </w:tcPr>
          <w:p>
            <w:pPr>
              <w:pStyle w:val="Compact"/>
              <w:spacing w:after="40" w:line="240" w:lineRule="auto"/>
            </w:pPr>
            <w:r>
              <w:rPr>
                <w:rFonts w:ascii="Times New Roman" w:hAnsi="Times New Roman"/>
                <w:sz w:val="18"/>
                <w:szCs w:val="18"/>
                <w:rtl w:val="0"/>
                <w:lang w:val="en-US"/>
              </w:rPr>
              <w:t>QFT vacuum state</w:t>
            </w:r>
          </w:p>
        </w:tc>
        <w:tc>
          <w:tcPr>
            <w:tcW w:type="dxa" w:w="3960"/>
            <w:tcBorders>
              <w:top w:val="nil"/>
              <w:left w:val="nil"/>
              <w:bottom w:val="nil"/>
              <w:right w:val="nil"/>
            </w:tcBorders>
            <w:shd w:val="clear" w:color="auto" w:fill="auto"/>
            <w:tcMar>
              <w:top w:type="dxa" w:w="80"/>
              <w:left w:type="dxa" w:w="80"/>
              <w:bottom w:type="dxa" w:w="80"/>
              <w:right w:type="dxa" w:w="80"/>
            </w:tcMar>
            <w:vAlign w:val="top"/>
          </w:tcPr>
          <w:p>
            <w:pPr>
              <w:pStyle w:val="Compact"/>
              <w:spacing w:after="40" w:line="240" w:lineRule="auto"/>
            </w:pPr>
            <w:r>
              <w:rPr>
                <w:rFonts w:ascii="Times New Roman" w:hAnsi="Times New Roman"/>
                <w:sz w:val="18"/>
                <w:szCs w:val="18"/>
                <w:rtl w:val="0"/>
                <w:lang w:val="en-US"/>
              </w:rPr>
              <w:t>A distinguished state of a specified field algebra, usually selected using spacetime symmetry or another prescription.</w:t>
            </w:r>
          </w:p>
        </w:tc>
      </w:tr>
      <w:tr>
        <w:tblPrEx>
          <w:shd w:val="clear" w:color="auto" w:fill="ced7e7"/>
        </w:tblPrEx>
        <w:trPr>
          <w:trHeight w:val="612" w:hRule="atLeast"/>
        </w:trPr>
        <w:tc>
          <w:tcPr>
            <w:tcW w:type="dxa" w:w="3960"/>
            <w:tcBorders>
              <w:top w:val="nil"/>
              <w:left w:val="nil"/>
              <w:bottom w:val="nil"/>
              <w:right w:val="nil"/>
            </w:tcBorders>
            <w:shd w:val="clear" w:color="auto" w:fill="auto"/>
            <w:tcMar>
              <w:top w:type="dxa" w:w="80"/>
              <w:left w:type="dxa" w:w="80"/>
              <w:bottom w:type="dxa" w:w="80"/>
              <w:right w:type="dxa" w:w="80"/>
            </w:tcMar>
            <w:vAlign w:val="top"/>
          </w:tcPr>
          <w:p>
            <w:pPr>
              <w:pStyle w:val="Compact"/>
              <w:spacing w:after="40" w:line="240" w:lineRule="auto"/>
            </w:pPr>
            <w:r>
              <w:rPr>
                <w:rFonts w:ascii="Times New Roman" w:hAnsi="Times New Roman"/>
                <w:sz w:val="18"/>
                <w:szCs w:val="18"/>
                <w:rtl w:val="0"/>
                <w:lang w:val="en-US"/>
              </w:rPr>
              <w:t>Hamiltonian ground state</w:t>
            </w:r>
          </w:p>
        </w:tc>
        <w:tc>
          <w:tcPr>
            <w:tcW w:type="dxa" w:w="3960"/>
            <w:tcBorders>
              <w:top w:val="nil"/>
              <w:left w:val="nil"/>
              <w:bottom w:val="nil"/>
              <w:right w:val="nil"/>
            </w:tcBorders>
            <w:shd w:val="clear" w:color="auto" w:fill="auto"/>
            <w:tcMar>
              <w:top w:type="dxa" w:w="80"/>
              <w:left w:type="dxa" w:w="80"/>
              <w:bottom w:type="dxa" w:w="80"/>
              <w:right w:type="dxa" w:w="80"/>
            </w:tcMar>
            <w:vAlign w:val="top"/>
          </w:tcPr>
          <w:p>
            <w:pPr>
              <w:pStyle w:val="Compact"/>
              <w:spacing w:after="40" w:line="240" w:lineRule="auto"/>
            </w:pPr>
            <w:r>
              <w:rPr>
                <w:rFonts w:ascii="Times New Roman" w:hAnsi="Times New Roman"/>
                <w:sz w:val="18"/>
                <w:szCs w:val="18"/>
                <w:rtl w:val="0"/>
                <w:lang w:val="en-US"/>
              </w:rPr>
              <w:t>A lowest-energy state for a specified Hamiltonian, if one exists. It need not be unique or be the vacuum chosen in another description.</w:t>
            </w:r>
          </w:p>
        </w:tc>
      </w:tr>
      <w:tr>
        <w:tblPrEx>
          <w:shd w:val="clear" w:color="auto" w:fill="ced7e7"/>
        </w:tblPrEx>
        <w:trPr>
          <w:trHeight w:val="612" w:hRule="atLeast"/>
        </w:trPr>
        <w:tc>
          <w:tcPr>
            <w:tcW w:type="dxa" w:w="3960"/>
            <w:tcBorders>
              <w:top w:val="nil"/>
              <w:left w:val="nil"/>
              <w:bottom w:val="single" w:color="777777" w:sz="8" w:space="0" w:shadow="0" w:frame="0"/>
              <w:right w:val="nil"/>
            </w:tcBorders>
            <w:shd w:val="clear" w:color="auto" w:fill="auto"/>
            <w:tcMar>
              <w:top w:type="dxa" w:w="80"/>
              <w:left w:type="dxa" w:w="80"/>
              <w:bottom w:type="dxa" w:w="80"/>
              <w:right w:type="dxa" w:w="80"/>
            </w:tcMar>
            <w:vAlign w:val="top"/>
          </w:tcPr>
          <w:p>
            <w:pPr>
              <w:pStyle w:val="Compact"/>
              <w:spacing w:after="40" w:line="240" w:lineRule="auto"/>
            </w:pPr>
            <w:r>
              <w:rPr>
                <w:rFonts w:ascii="Times New Roman" w:hAnsi="Times New Roman"/>
                <w:sz w:val="18"/>
                <w:szCs w:val="18"/>
                <w:rtl w:val="0"/>
                <w:lang w:val="en-US"/>
              </w:rPr>
              <w:t>Relational ground sector</w:t>
            </w:r>
          </w:p>
        </w:tc>
        <w:tc>
          <w:tcPr>
            <w:tcW w:type="dxa" w:w="3960"/>
            <w:tcBorders>
              <w:top w:val="nil"/>
              <w:left w:val="nil"/>
              <w:bottom w:val="single" w:color="777777" w:sz="8" w:space="0" w:shadow="0" w:frame="0"/>
              <w:right w:val="nil"/>
            </w:tcBorders>
            <w:shd w:val="clear" w:color="auto" w:fill="auto"/>
            <w:tcMar>
              <w:top w:type="dxa" w:w="80"/>
              <w:left w:type="dxa" w:w="80"/>
              <w:bottom w:type="dxa" w:w="80"/>
              <w:right w:type="dxa" w:w="80"/>
            </w:tcMar>
            <w:vAlign w:val="top"/>
          </w:tcPr>
          <w:p>
            <w:pPr>
              <w:pStyle w:val="Compact"/>
              <w:spacing w:after="40" w:line="240" w:lineRule="auto"/>
            </w:pPr>
            <w:r>
              <w:rPr>
                <w:rFonts w:ascii="Times New Roman" w:hAnsi="Times New Roman"/>
                <w:sz w:val="18"/>
                <w:szCs w:val="18"/>
                <w:rtl w:val="0"/>
                <w:lang w:val="en-US"/>
              </w:rPr>
              <w:t>A hypothetical sector of microscopic relational dynamics; no photon algebra, metric or Hamiltonian ground-state property is inferred from the name.</w:t>
            </w:r>
          </w:p>
        </w:tc>
      </w:tr>
    </w:tbl>
    <w:p>
      <w:pPr>
        <w:pStyle w:val="Текстовый блок"/>
        <w:widowControl w:val="0"/>
        <w:spacing w:line="240" w:lineRule="atLeast"/>
        <w:jc w:val="center"/>
      </w:pPr>
    </w:p>
    <w:p>
      <w:pPr>
        <w:pStyle w:val="Текстовый блок"/>
        <w:spacing w:line="240" w:lineRule="atLeast"/>
      </w:pPr>
      <w:r>
        <w:rPr>
          <w:rtl w:val="0"/>
          <w:lang w:val="en-US"/>
        </w:rPr>
        <w:t>Vacuum correlations will be examined only after the effective field algebra and hyperbolic dynamics have been specified. The compact scalar zero mode in Section</w:t>
      </w:r>
      <w:r>
        <w:rPr>
          <w:rtl w:val="0"/>
          <w:lang w:val="en-US"/>
        </w:rPr>
        <w:t> </w:t>
      </w:r>
      <w:r>
        <w:rPr>
          <w:rtl w:val="0"/>
          <w:lang w:val="en-US"/>
        </w:rPr>
        <w:t>2 is a concrete warning against silently assuming a ground state.</w:t>
      </w:r>
      <w:bookmarkEnd w:id="32"/>
    </w:p>
    <w:p>
      <w:pPr>
        <w:pStyle w:val="Заголовок 2"/>
        <w:spacing w:line="240" w:lineRule="atLeast"/>
      </w:pPr>
      <w:bookmarkStart w:name="X7064c2ec566b7366c4129679faecb2bb7463723" w:id="33"/>
      <w:r>
        <w:rPr>
          <w:rtl w:val="0"/>
          <w:lang w:val="en-US"/>
        </w:rPr>
        <w:t>6. Domain, possible accessibility and signal history</w:t>
      </w:r>
    </w:p>
    <w:p>
      <w:pPr>
        <w:pStyle w:val="Текстовый блок"/>
        <w:spacing w:line="240" w:lineRule="atLeast"/>
      </w:pPr>
      <w:r>
        <w:rPr>
          <w:rtl w:val="0"/>
          <w:lang w:val="en-US"/>
        </w:rPr>
        <w:t xml:space="preserve">Let </w:t>
      </w:r>
      <m:oMath>
        <m:r>
          <m:t>B</m:t>
        </m:r>
      </m:oMath>
      <w:r>
        <w:rPr>
          <w:rtl w:val="0"/>
          <w:lang w:val="en-US"/>
        </w:rPr>
        <w:t xml:space="preserve"> be a declared domain of a physical description, with whatever boundary conditions are needed for its dynamics. Predicates of this model are defined on </w:t>
      </w:r>
      <m:oMath>
        <m:r>
          <m:t>B</m:t>
        </m:r>
      </m:oMath>
      <w:r>
        <w:rPr>
          <w:rtl w:val="0"/>
          <w:lang w:val="en-US"/>
        </w:rPr>
        <w:t xml:space="preserve">; the model need not assign a truth value outside </w:t>
      </w:r>
      <m:oMath>
        <m:r>
          <m:t>B</m:t>
        </m:r>
      </m:oMath>
      <w:r>
        <w:rPr>
          <w:rtl w:val="0"/>
          <w:lang w:val="en-US"/>
        </w:rPr>
        <w:t xml:space="preserve">. For an observer world tube </w:t>
      </w:r>
      <m:oMath>
        <m:r>
          <m:t>O</m:t>
        </m:r>
      </m:oMath>
      <w:r>
        <w:rPr>
          <w:rtl w:val="0"/>
          <w:lang w:val="en-US"/>
        </w:rPr>
        <w:t xml:space="preserve"> up to clock reading </w:t>
      </w:r>
      <m:oMath>
        <m:r>
          <m:t>τ</m:t>
        </m:r>
      </m:oMath>
      <w:r>
        <w:rPr>
          <w:rtl w:val="0"/>
          <w:lang w:val="en-US"/>
        </w:rPr>
        <w:t xml:space="preserve">, the causal past </w:t>
      </w:r>
      <m:oMath>
        <m:sSubSup>
          <m:e>
            <m:r>
              <m:t>J</m:t>
            </m:r>
          </m:e>
          <m:sub>
            <m:r>
              <m:t>B</m:t>
            </m:r>
          </m:sub>
          <m:sup>
            <m:r>
              <m:t>−</m:t>
            </m:r>
          </m:sup>
        </m:sSubSup>
        <m:d>
          <m:e>
            <m:sSub>
              <m:e>
                <m:r>
                  <m:t>O</m:t>
                </m:r>
              </m:e>
              <m:sub>
                <m:r>
                  <m:t>≤τ</m:t>
                </m:r>
              </m:sub>
            </m:sSub>
          </m:e>
        </m:d>
      </m:oMath>
      <w:r>
        <w:rPr>
          <w:rtl w:val="0"/>
          <w:lang w:val="en-US"/>
        </w:rPr>
        <w:t xml:space="preserve"> bounds possible incoming access. Actual accessible information can occupy a smaller set because sensors and controls are limited. Let </w:t>
      </w:r>
      <m:oMath>
        <m:sSub>
          <m:e>
            <m:r>
              <m:rPr>
                <m:scr m:val="script"/>
              </m:rPr>
              <m:t>H</m:t>
            </m:r>
          </m:e>
          <m:sub>
            <m:r>
              <m:rPr>
                <m:sty m:val="p"/>
              </m:rPr>
              <m:t>sig</m:t>
            </m:r>
          </m:sub>
        </m:sSub>
        <m:r>
          <m:t>⊂B×B</m:t>
        </m:r>
      </m:oMath>
      <w:r>
        <w:rPr>
          <w:rtl w:val="0"/>
          <w:lang w:val="en-US"/>
        </w:rPr>
        <w:t xml:space="preserve"> record actual emission</w:t>
      </w:r>
      <w:r>
        <w:rPr>
          <w:rtl w:val="0"/>
          <w:lang w:val="en-US"/>
        </w:rPr>
        <w:t>–</w:t>
      </w:r>
      <w:r>
        <w:rPr>
          <w:rtl w:val="0"/>
          <w:lang w:val="en-US"/>
        </w:rPr>
        <w:t>reception pairs. Then</w:t>
      </w:r>
    </w:p>
    <w:tbl>
      <w:tblPr>
        <w:tblW w:w="9522"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666"/>
        <w:gridCol w:w="8190"/>
        <w:gridCol w:w="666"/>
      </w:tblGrid>
      <w:tr>
        <w:tblPrEx>
          <w:shd w:val="clear" w:color="auto" w:fill="ced7e7"/>
        </w:tblPrEx>
        <w:trPr>
          <w:trHeight w:val="310" w:hRule="atLeast"/>
        </w:trPr>
        <w:tc>
          <w:tcPr>
            <w:tcW w:type="dxa" w:w="666"/>
            <w:tcBorders>
              <w:top w:val="nil"/>
              <w:left w:val="nil"/>
              <w:bottom w:val="nil"/>
              <w:right w:val="nil"/>
            </w:tcBorders>
            <w:shd w:val="clear" w:color="auto" w:fill="auto"/>
            <w:tcMar>
              <w:top w:type="dxa" w:w="80"/>
              <w:left w:type="dxa" w:w="80"/>
              <w:bottom w:type="dxa" w:w="80"/>
              <w:right w:type="dxa" w:w="80"/>
            </w:tcMar>
            <w:vAlign w:val="top"/>
          </w:tcPr>
          <w:p/>
        </w:tc>
        <w:tc>
          <w:tcPr>
            <w:tcW w:type="dxa" w:w="8190"/>
            <w:tcBorders>
              <w:top w:val="nil"/>
              <w:left w:val="nil"/>
              <w:bottom w:val="nil"/>
              <w:right w:val="nil"/>
            </w:tcBorders>
            <w:shd w:val="clear" w:color="auto" w:fill="auto"/>
            <w:tcMar>
              <w:top w:type="dxa" w:w="80"/>
              <w:left w:type="dxa" w:w="80"/>
              <w:bottom w:type="dxa" w:w="80"/>
              <w:right w:type="dxa" w:w="80"/>
            </w:tcMar>
            <w:vAlign w:val="top"/>
          </w:tcPr>
          <w:p>
            <w:pPr>
              <w:pStyle w:val="Текстовый блок"/>
              <w:spacing w:after="40" w:line="240" w:lineRule="auto"/>
              <w:jc w:val="center"/>
            </w:pPr>
            <m:oMathPara>
              <m:oMathParaPr>
                <m:jc m:val="center"/>
              </m:oMathParaPr>
              <m:oMath>
                <m:r>
                  <m:rPr>
                    <m:nor/>
                  </m:rPr>
                  <m:t>domain</m:t>
                </m:r>
                <m:r>
                  <m:t>B≠</m:t>
                </m:r>
                <m:r>
                  <m:rPr>
                    <m:nor/>
                  </m:rPr>
                  <m:t>current accessibility</m:t>
                </m:r>
                <m:r>
                  <m:t>≠</m:t>
                </m:r>
                <m:r>
                  <m:rPr>
                    <m:nor/>
                  </m:rPr>
                  <m:t>actual signal history</m:t>
                </m:r>
                <m:sSub>
                  <m:e>
                    <m:r>
                      <m:rPr>
                        <m:scr m:val="script"/>
                      </m:rPr>
                      <m:t>H</m:t>
                    </m:r>
                  </m:e>
                  <m:sub>
                    <m:r>
                      <m:rPr>
                        <m:sty m:val="p"/>
                      </m:rPr>
                      <m:t>sig</m:t>
                    </m:r>
                  </m:sub>
                </m:sSub>
                <m:r>
                  <m:t>.</m:t>
                </m:r>
              </m:oMath>
            </m:oMathPara>
          </w:p>
        </w:tc>
        <w:tc>
          <w:tcPr>
            <w:tcW w:type="dxa" w:w="666"/>
            <w:tcBorders>
              <w:top w:val="nil"/>
              <w:left w:val="nil"/>
              <w:bottom w:val="nil"/>
              <w:right w:val="nil"/>
            </w:tcBorders>
            <w:shd w:val="clear" w:color="auto" w:fill="auto"/>
            <w:tcMar>
              <w:top w:type="dxa" w:w="80"/>
              <w:left w:type="dxa" w:w="80"/>
              <w:bottom w:type="dxa" w:w="80"/>
              <w:right w:type="dxa" w:w="80"/>
            </w:tcMar>
            <w:vAlign w:val="top"/>
          </w:tcPr>
          <w:p>
            <w:pPr>
              <w:pStyle w:val="Normal.0"/>
              <w:spacing w:after="40" w:line="240" w:lineRule="auto"/>
              <w:jc w:val="right"/>
            </w:pPr>
            <w:r>
              <w:rPr>
                <w:sz w:val="18"/>
                <w:szCs w:val="18"/>
                <w:rtl w:val="0"/>
                <w:lang w:val="en-US"/>
              </w:rPr>
              <w:t>(6.1)</w:t>
            </w:r>
          </w:p>
        </w:tc>
      </w:tr>
    </w:tbl>
    <w:p>
      <w:pPr>
        <w:pStyle w:val="Текстовый блок"/>
        <w:widowControl w:val="0"/>
        <w:spacing w:line="240" w:lineRule="atLeast"/>
        <w:jc w:val="center"/>
      </w:pPr>
    </w:p>
    <w:p>
      <w:pPr>
        <w:pStyle w:val="Текстовый блок"/>
        <w:spacing w:line="240" w:lineRule="atLeast"/>
      </w:pPr>
      <w:r>
        <w:rPr>
          <w:rtl w:val="0"/>
          <w:lang w:val="en-US"/>
        </w:rPr>
        <w:t>Two regions can share the same local dynamics and cone without having exchanged a photon in a given time window. Causal structure describes possible influences subject to the dynamics, not a census of photons.</w:t>
      </w:r>
    </w:p>
    <w:p>
      <w:pPr>
        <w:pStyle w:val="Текстовый блок"/>
        <w:spacing w:line="240" w:lineRule="atLeast"/>
      </w:pPr>
      <w:r>
        <w:rPr>
          <w:rtl w:val="0"/>
          <w:lang w:val="en-US"/>
        </w:rPr>
        <w:t xml:space="preserve">A particle horizon depends on the available past history; an event horizon depends on an appropriate future boundary or asymptotic accessibility; a Hubble radius uses an expansion rate and is not generally a causal horizon. None is automatically </w:t>
      </w:r>
      <m:oMath>
        <m:r>
          <m:t>B</m:t>
        </m:r>
      </m:oMath>
      <w:r>
        <w:rPr>
          <w:rtl w:val="0"/>
          <w:lang w:val="en-US"/>
        </w:rPr>
        <w:t>. A local cone field defines directed causal curves only after orientation, and a global causal relation can have pathologies unless extra conditions hold [29]. Global hyperbolicity is explicitly assumed when used below.</w:t>
      </w:r>
      <w:bookmarkEnd w:id="33"/>
    </w:p>
    <w:p>
      <w:pPr>
        <w:pStyle w:val="Заголовок 2"/>
        <w:spacing w:line="240" w:lineRule="atLeast"/>
      </w:pPr>
      <w:bookmarkStart w:name="X09b129c34d2864977c2793a98ea865d94d3d8c5" w:id="34"/>
      <w:r>
        <w:rPr>
          <w:rtl w:val="0"/>
          <w:lang w:val="en-US"/>
        </w:rPr>
        <w:t>7. Present-state data and an internal observer</w:t>
      </w:r>
    </w:p>
    <w:p>
      <w:pPr>
        <w:pStyle w:val="Текстовый блок"/>
        <w:spacing w:line="240" w:lineRule="atLeast"/>
      </w:pPr>
      <w:r>
        <w:rPr>
          <w:rtl w:val="0"/>
          <w:lang w:val="en-US"/>
        </w:rPr>
        <w:t xml:space="preserve">On a chosen Cauchy surface, complete classical data evolve as </w:t>
      </w:r>
      <m:oMath>
        <m:r>
          <m:t>X</m:t>
        </m:r>
        <m:d>
          <m:e>
            <m:r>
              <m:t>t</m:t>
            </m:r>
          </m:e>
        </m:d>
        <m:r>
          <m:t>=</m:t>
        </m:r>
        <m:sSub>
          <m:e>
            <m:r>
              <m:t>Φ</m:t>
            </m:r>
          </m:e>
          <m:sub>
            <m:r>
              <m:t>t−</m:t>
            </m:r>
            <m:sSub>
              <m:e>
                <m:r>
                  <m:t>t</m:t>
                </m:r>
              </m:e>
              <m:sub>
                <m:r>
                  <m:t>0</m:t>
                </m:r>
              </m:sub>
            </m:sSub>
          </m:sub>
        </m:sSub>
        <m:d>
          <m:e>
            <m:r>
              <m:t>X</m:t>
            </m:r>
            <m:d>
              <m:e>
                <m:sSub>
                  <m:e>
                    <m:r>
                      <m:t>t</m:t>
                    </m:r>
                  </m:e>
                  <m:sub>
                    <m:r>
                      <m:t>0</m:t>
                    </m:r>
                  </m:sub>
                </m:sSub>
              </m:e>
            </m:d>
          </m:e>
        </m:d>
      </m:oMath>
      <w:r>
        <w:rPr>
          <w:rtl w:val="0"/>
          <w:lang w:val="en-US"/>
        </w:rPr>
        <w:t xml:space="preserve"> when the flow exists and is reversible. In a specified unitary quantum representation, </w:t>
      </w:r>
      <m:oMath>
        <m:d>
          <m:dPr>
            <m:begChr m:val="|"/>
            <m:endChr m:val="|"/>
          </m:dPr>
          <m:e>
            <m:r>
              <m:t>ψ</m:t>
            </m:r>
            <m:d>
              <m:e>
                <m:r>
                  <m:t>t</m:t>
                </m:r>
              </m:e>
            </m:d>
            <m:r>
              <m:t>⟩=U</m:t>
            </m:r>
            <m:d>
              <m:e>
                <m:r>
                  <m:t>t,</m:t>
                </m:r>
                <m:sSub>
                  <m:e>
                    <m:r>
                      <m:t>t</m:t>
                    </m:r>
                  </m:e>
                  <m:sub>
                    <m:r>
                      <m:t>0</m:t>
                    </m:r>
                  </m:sub>
                </m:sSub>
              </m:e>
            </m:d>
          </m:e>
        </m:d>
        <m:r>
          <m:t>ψ</m:t>
        </m:r>
        <m:d>
          <m:e>
            <m:sSub>
              <m:e>
                <m:r>
                  <m:t>t</m:t>
                </m:r>
              </m:e>
              <m:sub>
                <m:r>
                  <m:t>0</m:t>
                </m:r>
              </m:sub>
            </m:sSub>
          </m:e>
        </m:d>
        <m:r>
          <m:t>⟩</m:t>
        </m:r>
      </m:oMath>
      <w:r>
        <w:rPr>
          <w:rtl w:val="0"/>
          <w:lang w:val="en-US"/>
        </w:rPr>
        <w:t>. Neither equation grants an internal subsystem access to the full state.</w:t>
      </w:r>
    </w:p>
    <w:p>
      <w:pPr>
        <w:pStyle w:val="Текстовый блок"/>
        <w:keepLines w:val="1"/>
        <w:spacing w:before="60" w:line="240" w:lineRule="atLeast"/>
      </w:pPr>
      <w:r>
        <w:rPr>
          <w:b w:val="1"/>
          <w:bCs w:val="1"/>
          <w:rtl w:val="0"/>
          <w:lang w:val="en-US"/>
        </w:rPr>
        <w:t>Definition 7.1 (Operational observer data).</w:t>
      </w:r>
      <w:r>
        <w:rPr>
          <w:rtl w:val="0"/>
          <w:lang w:val="en-US"/>
        </w:rPr>
        <w:t xml:space="preserve"> An observer is an assumed stable quasilocal subsystem equipped with an accessible algebra </w:t>
      </w:r>
      <m:oMath>
        <m:sSub>
          <m:e>
            <m:r>
              <m:rPr>
                <m:scr m:val="script"/>
              </m:rPr>
              <m:t>A</m:t>
            </m:r>
          </m:e>
          <m:sub>
            <m:r>
              <m:t>O</m:t>
            </m:r>
          </m:sub>
        </m:sSub>
      </m:oMath>
      <w:r>
        <w:rPr>
          <w:rtl w:val="0"/>
          <w:lang w:val="en-US"/>
        </w:rPr>
        <w:t xml:space="preserve">, a clock readout </w:t>
      </w:r>
      <m:oMath>
        <m:sSub>
          <m:e>
            <m:r>
              <m:t>T</m:t>
            </m:r>
          </m:e>
          <m:sub>
            <m:r>
              <m:t>O</m:t>
            </m:r>
          </m:sub>
        </m:sSub>
      </m:oMath>
      <w:r>
        <w:rPr>
          <w:rtl w:val="0"/>
          <w:lang w:val="en-US"/>
        </w:rPr>
        <w:t xml:space="preserve"> over a stated working interval, admissible controls, record degrees of freedom and readout maps. No consciousness variable, perfect global clock or tensor factorisation of every local algebra is assumed.</w:t>
      </w:r>
    </w:p>
    <w:p>
      <w:pPr>
        <w:pStyle w:val="Текстовый блок"/>
        <w:spacing w:line="240" w:lineRule="atLeast"/>
      </w:pPr>
      <w:r>
        <w:rPr>
          <w:rtl w:val="0"/>
          <w:lang w:val="en-US"/>
        </w:rPr>
        <w:t xml:space="preserve">Global state data, restrictions to </w:t>
      </w:r>
      <m:oMath>
        <m:sSub>
          <m:e>
            <m:r>
              <m:rPr>
                <m:scr m:val="script"/>
              </m:rPr>
              <m:t>A</m:t>
            </m:r>
          </m:e>
          <m:sub>
            <m:r>
              <m:t>O</m:t>
            </m:r>
          </m:sub>
        </m:sSub>
      </m:oMath>
      <w:r>
        <w:rPr>
          <w:rtl w:val="0"/>
          <w:lang w:val="en-US"/>
        </w:rPr>
        <w:t>, stored records used to infer past states and conditional predictions of future readings are different objects. In particular, a clock readout need not be a self-adjoint operator canonically conjugate to a semibounded Hamiltonian on its full spectrum.</w:t>
      </w:r>
    </w:p>
    <w:p>
      <w:pPr>
        <w:pStyle w:val="Текстовый блок"/>
        <w:keepLines w:val="1"/>
        <w:spacing w:before="60" w:line="240" w:lineRule="atLeast"/>
      </w:pPr>
      <w:r>
        <w:rPr>
          <w:b w:val="1"/>
          <w:bCs w:val="1"/>
          <w:rtl w:val="0"/>
          <w:lang w:val="en-US"/>
        </w:rPr>
        <w:t>Lemma 7.2 (Finite-access nonuniqueness).</w:t>
      </w:r>
      <w:r>
        <w:rPr>
          <w:rtl w:val="0"/>
          <w:lang w:val="en-US"/>
        </w:rPr>
        <w:t xml:space="preserve"> If a unitary </w:t>
      </w:r>
      <m:oMath>
        <m:r>
          <m:t>V</m:t>
        </m:r>
      </m:oMath>
      <w:r>
        <w:rPr>
          <w:rtl w:val="0"/>
          <w:lang w:val="en-US"/>
        </w:rPr>
        <w:t xml:space="preserve"> commutes with every </w:t>
      </w:r>
      <m:oMath>
        <m:r>
          <m:t>A∈</m:t>
        </m:r>
        <m:sSub>
          <m:e>
            <m:r>
              <m:rPr>
                <m:scr m:val="script"/>
              </m:rPr>
              <m:t>A</m:t>
            </m:r>
          </m:e>
          <m:sub>
            <m:r>
              <m:t>O</m:t>
            </m:r>
          </m:sub>
        </m:sSub>
      </m:oMath>
      <w:r>
        <w:rPr>
          <w:rtl w:val="0"/>
          <w:lang w:val="en-US"/>
        </w:rPr>
        <w:t xml:space="preserve">, the states </w:t>
      </w:r>
      <m:oMath>
        <m:r>
          <m:t>ω</m:t>
        </m:r>
      </m:oMath>
      <w:r>
        <w:rPr>
          <w:rtl w:val="0"/>
          <w:lang w:val="en-US"/>
        </w:rPr>
        <w:t xml:space="preserve"> and </w:t>
      </w:r>
      <m:oMath>
        <m:sSub>
          <m:e>
            <m:r>
              <m:t>ω</m:t>
            </m:r>
          </m:e>
          <m:sub>
            <m:r>
              <m:t>V</m:t>
            </m:r>
          </m:sub>
        </m:sSub>
        <m:d>
          <m:e>
            <m:r>
              <m:t>A</m:t>
            </m:r>
          </m:e>
        </m:d>
        <m:r>
          <m:t>=ω</m:t>
        </m:r>
        <m:d>
          <m:e>
            <m:sSup>
              <m:e>
                <m:r>
                  <m:t>V</m:t>
                </m:r>
              </m:e>
              <m:sup>
                <m:r>
                  <m:rPr>
                    <m:sty m:val="p"/>
                  </m:rPr>
                  <m:t>*</m:t>
                </m:r>
              </m:sup>
            </m:sSup>
            <m:r>
              <m:t>AV</m:t>
            </m:r>
          </m:e>
        </m:d>
      </m:oMath>
      <w:r>
        <w:rPr>
          <w:rtl w:val="0"/>
          <w:lang w:val="en-US"/>
        </w:rPr>
        <w:t xml:space="preserve"> agree on </w:t>
      </w:r>
      <m:oMath>
        <m:sSub>
          <m:e>
            <m:r>
              <m:rPr>
                <m:scr m:val="script"/>
              </m:rPr>
              <m:t>A</m:t>
            </m:r>
          </m:e>
          <m:sub>
            <m:r>
              <m:t>O</m:t>
            </m:r>
          </m:sub>
        </m:sSub>
      </m:oMath>
      <w:r>
        <w:rPr>
          <w:rtl w:val="0"/>
          <w:lang w:val="en-US"/>
        </w:rPr>
        <w:t xml:space="preserve"> even if they differ on the global algebra.</w:t>
      </w:r>
    </w:p>
    <w:p>
      <w:pPr>
        <w:pStyle w:val="Текстовый блок"/>
        <w:spacing w:before="20" w:line="240" w:lineRule="atLeast"/>
      </w:pPr>
      <w:r>
        <w:rPr>
          <w:i w:val="1"/>
          <w:iCs w:val="1"/>
          <w:rtl w:val="0"/>
          <w:lang w:val="en-US"/>
        </w:rPr>
        <w:t>Proof.</w:t>
      </w:r>
      <w:r>
        <w:rPr>
          <w:rtl w:val="0"/>
        </w:rPr>
        <w:t xml:space="preserve"> </w:t>
      </w:r>
      <m:oMath>
        <m:sSup>
          <m:e>
            <m:r>
              <m:t>V</m:t>
            </m:r>
          </m:e>
          <m:sup>
            <m:r>
              <m:rPr>
                <m:sty m:val="p"/>
              </m:rPr>
              <m:t>*</m:t>
            </m:r>
          </m:sup>
        </m:sSup>
        <m:r>
          <m:t>AV=A</m:t>
        </m:r>
      </m:oMath>
      <w:r>
        <w:rPr>
          <w:rtl w:val="0"/>
          <w:lang w:val="en-US"/>
        </w:rPr>
        <w:t xml:space="preserve"> on the accessible algebra. No inversion of the global unitary evolution can distinguish these restrictions from accessible data alone.</w:t>
      </w:r>
      <w:r>
        <w:rPr>
          <w:rtl w:val="0"/>
          <w:lang w:val="en-US"/>
        </w:rPr>
        <w:t> □</w:t>
      </w:r>
    </w:p>
    <w:p>
      <w:pPr>
        <w:pStyle w:val="Текстовый блок"/>
        <w:spacing w:line="240" w:lineRule="atLeast"/>
      </w:pPr>
      <w:r>
        <w:rPr>
          <w:rtl w:val="0"/>
          <w:lang w:val="en-US"/>
        </w:rPr>
        <w:t>Local commutativity supplies physical examples with controls in a spacelike separated region. Classically, finite domain of dependence gives the analogous indistinguishability of initial data that differ outside the relevant causal past. A time orientation chooses a cone component; retarded preparation specifies a response convention; records require a state and recording interaction; a thermodynamic arrow requires statistical and boundary information. Universal calibration selects none of these arrows.</w:t>
      </w:r>
      <w:bookmarkEnd w:id="34"/>
    </w:p>
    <w:p>
      <w:pPr>
        <w:pStyle w:val="Заголовок 2"/>
        <w:spacing w:line="240" w:lineRule="atLeast"/>
      </w:pPr>
      <w:bookmarkStart w:name="X37000b83291254b429a0aa2c27dd73294fd3084" w:id="35"/>
      <w:r>
        <w:rPr>
          <w:rtl w:val="0"/>
          <w:lang w:val="en-US"/>
        </w:rPr>
        <w:t>8. One action and several different operations</w:t>
      </w:r>
    </w:p>
    <w:p>
      <w:pPr>
        <w:pStyle w:val="Текстовый блок"/>
        <w:keepLines w:val="1"/>
        <w:spacing w:before="60" w:line="240" w:lineRule="atLeast"/>
      </w:pPr>
      <w:r>
        <w:rPr>
          <w:b w:val="1"/>
          <w:bCs w:val="1"/>
          <w:rtl w:val="0"/>
          <w:lang w:val="en-US"/>
        </w:rPr>
        <w:t>Assumption 8.1 (Maxwell control sector).</w:t>
      </w:r>
      <w:r>
        <w:rPr>
          <w:rtl w:val="0"/>
          <w:lang w:val="en-US"/>
        </w:rPr>
        <w:t xml:space="preserve"> The effective domain is a smooth oriented, time-oriented, four-dimensional Lorentzian manifold with signature </w:t>
      </w:r>
      <m:oMath>
        <m:d>
          <m:e>
            <m:r>
              <m:t>−,+,+,+</m:t>
            </m:r>
          </m:e>
        </m:d>
      </m:oMath>
      <w:r>
        <w:rPr>
          <w:rtl w:val="0"/>
          <w:lang w:val="en-US"/>
        </w:rPr>
        <w:t>. In the region studied the field is linear vacuum Maxwell theory with a positive constant action normalisation, with no dispersive material or nonlinear constitutive correction. The theory is considered locally in a trivial gauge patch; global topological flux sectors require separate data. Global hyperbolicity is additionally imposed for global retarded Green operators.</w:t>
      </w:r>
    </w:p>
    <w:p>
      <w:pPr>
        <w:pStyle w:val="Текстовый блок"/>
        <w:spacing w:line="240" w:lineRule="atLeast"/>
      </w:pPr>
      <w:r>
        <w:rPr>
          <w:rtl w:val="0"/>
          <w:lang w:val="en-US"/>
        </w:rPr>
        <w:t xml:space="preserve">Unless SI factors are displayed, </w:t>
      </w:r>
      <m:oMath>
        <m:r>
          <m:t>c=1</m:t>
        </m:r>
      </m:oMath>
      <w:r>
        <w:rPr>
          <w:rtl w:val="0"/>
          <w:lang w:val="en-US"/>
        </w:rPr>
        <w:t xml:space="preserve"> and rationalised field units are used; </w:t>
      </w:r>
      <m:oMath>
        <m:r>
          <m:rPr>
            <m:sty m:val="p"/>
          </m:rPr>
          <m:t>ℏ</m:t>
        </m:r>
      </m:oMath>
      <w:r>
        <w:rPr>
          <w:rtl w:val="0"/>
          <w:lang w:val="en-US"/>
        </w:rPr>
        <w:t xml:space="preserve"> is retained. Start with</w:t>
      </w:r>
    </w:p>
    <w:tbl>
      <w:tblPr>
        <w:tblW w:w="9522"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666"/>
        <w:gridCol w:w="8190"/>
        <w:gridCol w:w="666"/>
      </w:tblGrid>
      <w:tr>
        <w:tblPrEx>
          <w:shd w:val="clear" w:color="auto" w:fill="ced7e7"/>
        </w:tblPrEx>
        <w:trPr>
          <w:trHeight w:val="563" w:hRule="atLeast"/>
        </w:trPr>
        <w:tc>
          <w:tcPr>
            <w:tcW w:type="dxa" w:w="666"/>
            <w:tcBorders>
              <w:top w:val="nil"/>
              <w:left w:val="nil"/>
              <w:bottom w:val="nil"/>
              <w:right w:val="nil"/>
            </w:tcBorders>
            <w:shd w:val="clear" w:color="auto" w:fill="auto"/>
            <w:tcMar>
              <w:top w:type="dxa" w:w="80"/>
              <w:left w:type="dxa" w:w="80"/>
              <w:bottom w:type="dxa" w:w="80"/>
              <w:right w:type="dxa" w:w="80"/>
            </w:tcMar>
            <w:vAlign w:val="top"/>
          </w:tcPr>
          <w:p/>
        </w:tc>
        <w:tc>
          <w:tcPr>
            <w:tcW w:type="dxa" w:w="8190"/>
            <w:tcBorders>
              <w:top w:val="nil"/>
              <w:left w:val="nil"/>
              <w:bottom w:val="nil"/>
              <w:right w:val="nil"/>
            </w:tcBorders>
            <w:shd w:val="clear" w:color="auto" w:fill="auto"/>
            <w:tcMar>
              <w:top w:type="dxa" w:w="80"/>
              <w:left w:type="dxa" w:w="80"/>
              <w:bottom w:type="dxa" w:w="80"/>
              <w:right w:type="dxa" w:w="80"/>
            </w:tcMar>
            <w:vAlign w:val="top"/>
          </w:tcPr>
          <w:p>
            <w:pPr>
              <w:pStyle w:val="Текстовый блок"/>
              <w:spacing w:after="40" w:line="240" w:lineRule="auto"/>
              <w:jc w:val="center"/>
            </w:pPr>
            <m:oMathPara>
              <m:oMathParaPr>
                <m:jc m:val="center"/>
              </m:oMathParaPr>
              <m:oMath>
                <m:sSub>
                  <m:e>
                    <m:r>
                      <m:t>S</m:t>
                    </m:r>
                  </m:e>
                  <m:sub>
                    <m:r>
                      <m:t>γ</m:t>
                    </m:r>
                  </m:sub>
                </m:sSub>
                <m:d>
                  <m:dPr>
                    <m:begChr m:val="["/>
                    <m:endChr m:val="]"/>
                  </m:dPr>
                  <m:e>
                    <m:r>
                      <m:t>A,g</m:t>
                    </m:r>
                  </m:e>
                </m:d>
                <m:r>
                  <m:t>=−</m:t>
                </m:r>
                <m:f>
                  <m:fPr>
                    <m:type m:val="bar"/>
                  </m:fPr>
                  <m:num>
                    <m:r>
                      <m:t>γ</m:t>
                    </m:r>
                  </m:num>
                  <m:den>
                    <m:r>
                      <m:t>4</m:t>
                    </m:r>
                  </m:den>
                </m:f>
                <m:nary>
                  <m:naryPr>
                    <m:chr m:val="∫"/>
                    <m:limLoc m:val="subSup"/>
                    <m:grow m:val="0"/>
                    <m:subHide m:val="off"/>
                    <m:supHide m:val="on"/>
                  </m:naryPr>
                  <m:sub>
                    <m:r>
                      <m:t>B</m:t>
                    </m:r>
                  </m:sub>
                  <m:sup/>
                  <m:e>
                    <m:sSub>
                      <m:e>
                        <m:r>
                          <m:t>F</m:t>
                        </m:r>
                      </m:e>
                      <m:sub>
                        <m:r>
                          <m:t>μν</m:t>
                        </m:r>
                      </m:sub>
                    </m:sSub>
                  </m:e>
                </m:nary>
                <m:sSup>
                  <m:e>
                    <m:r>
                      <m:t>F</m:t>
                    </m:r>
                  </m:e>
                  <m:sup>
                    <m:r>
                      <m:t>μν</m:t>
                    </m:r>
                  </m:sup>
                </m:sSup>
                <m:rad>
                  <m:radPr>
                    <m:degHide m:val="on"/>
                  </m:radPr>
                  <m:deg/>
                  <m:e>
                    <m:r>
                      <m:t>−g</m:t>
                    </m:r>
                  </m:e>
                </m:rad>
                <m:r>
                  <m:t/>
                </m:r>
                <m:sSup>
                  <m:e>
                    <m:r>
                      <m:rPr>
                        <m:sty m:val="p"/>
                      </m:rPr>
                      <m:t>d</m:t>
                    </m:r>
                  </m:e>
                  <m:sup>
                    <m:r>
                      <m:t>4</m:t>
                    </m:r>
                  </m:sup>
                </m:sSup>
                <m:r>
                  <m:t>x,F=</m:t>
                </m:r>
                <m:r>
                  <m:rPr>
                    <m:sty m:val="p"/>
                  </m:rPr>
                  <m:t>d</m:t>
                </m:r>
                <m:r>
                  <m:t>A,γ&gt;0.</m:t>
                </m:r>
              </m:oMath>
            </m:oMathPara>
          </w:p>
        </w:tc>
        <w:tc>
          <w:tcPr>
            <w:tcW w:type="dxa" w:w="666"/>
            <w:tcBorders>
              <w:top w:val="nil"/>
              <w:left w:val="nil"/>
              <w:bottom w:val="nil"/>
              <w:right w:val="nil"/>
            </w:tcBorders>
            <w:shd w:val="clear" w:color="auto" w:fill="auto"/>
            <w:tcMar>
              <w:top w:type="dxa" w:w="80"/>
              <w:left w:type="dxa" w:w="80"/>
              <w:bottom w:type="dxa" w:w="80"/>
              <w:right w:type="dxa" w:w="80"/>
            </w:tcMar>
            <w:vAlign w:val="top"/>
          </w:tcPr>
          <w:p>
            <w:pPr>
              <w:pStyle w:val="Normal.0"/>
              <w:spacing w:after="40" w:line="240" w:lineRule="auto"/>
              <w:jc w:val="right"/>
            </w:pPr>
            <w:r>
              <w:rPr>
                <w:sz w:val="18"/>
                <w:szCs w:val="18"/>
                <w:rtl w:val="0"/>
                <w:lang w:val="en-US"/>
              </w:rPr>
              <w:t>(8.1)</w:t>
            </w:r>
          </w:p>
        </w:tc>
      </w:tr>
    </w:tbl>
    <w:p>
      <w:pPr>
        <w:pStyle w:val="Текстовый блок"/>
        <w:widowControl w:val="0"/>
        <w:spacing w:line="240" w:lineRule="atLeast"/>
        <w:jc w:val="center"/>
      </w:pPr>
    </w:p>
    <w:p>
      <w:pPr>
        <w:pStyle w:val="Текстовый блок"/>
        <w:spacing w:line="240" w:lineRule="atLeast"/>
      </w:pPr>
      <w:r>
        <w:rPr>
          <w:rtl w:val="0"/>
          <w:lang w:val="en-US"/>
        </w:rPr>
        <w:t xml:space="preserve">The requested standard action is </w:t>
      </w:r>
      <m:oMath>
        <m:r>
          <m:t>γ=1</m:t>
        </m:r>
      </m:oMath>
      <w:r>
        <w:rPr>
          <w:rtl w:val="0"/>
          <w:lang w:val="en-US"/>
        </w:rPr>
        <w:t xml:space="preserve">. Keeping </w:t>
      </w:r>
      <m:oMath>
        <m:r>
          <m:t>γ</m:t>
        </m:r>
      </m:oMath>
      <w:r>
        <w:rPr>
          <w:rtl w:val="0"/>
          <w:lang w:val="en-US"/>
        </w:rPr>
        <w:t xml:space="preserve"> visible exposes a normalisation which the cone cannot determine. With compactly supported variations,</w:t>
      </w:r>
    </w:p>
    <w:tbl>
      <w:tblPr>
        <w:tblW w:w="9522"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666"/>
        <w:gridCol w:w="8190"/>
        <w:gridCol w:w="666"/>
      </w:tblGrid>
      <w:tr>
        <w:tblPrEx>
          <w:shd w:val="clear" w:color="auto" w:fill="ced7e7"/>
        </w:tblPrEx>
        <w:trPr>
          <w:trHeight w:val="563" w:hRule="atLeast"/>
        </w:trPr>
        <w:tc>
          <w:tcPr>
            <w:tcW w:type="dxa" w:w="666"/>
            <w:tcBorders>
              <w:top w:val="nil"/>
              <w:left w:val="nil"/>
              <w:bottom w:val="nil"/>
              <w:right w:val="nil"/>
            </w:tcBorders>
            <w:shd w:val="clear" w:color="auto" w:fill="auto"/>
            <w:tcMar>
              <w:top w:type="dxa" w:w="80"/>
              <w:left w:type="dxa" w:w="80"/>
              <w:bottom w:type="dxa" w:w="80"/>
              <w:right w:type="dxa" w:w="80"/>
            </w:tcMar>
            <w:vAlign w:val="top"/>
          </w:tcPr>
          <w:p/>
        </w:tc>
        <w:tc>
          <w:tcPr>
            <w:tcW w:type="dxa" w:w="8190"/>
            <w:tcBorders>
              <w:top w:val="nil"/>
              <w:left w:val="nil"/>
              <w:bottom w:val="nil"/>
              <w:right w:val="nil"/>
            </w:tcBorders>
            <w:shd w:val="clear" w:color="auto" w:fill="auto"/>
            <w:tcMar>
              <w:top w:type="dxa" w:w="80"/>
              <w:left w:type="dxa" w:w="80"/>
              <w:bottom w:type="dxa" w:w="80"/>
              <w:right w:type="dxa" w:w="80"/>
            </w:tcMar>
            <w:vAlign w:val="top"/>
          </w:tcPr>
          <w:p>
            <w:pPr>
              <w:pStyle w:val="Текстовый блок"/>
              <w:spacing w:after="40" w:line="240" w:lineRule="auto"/>
              <w:jc w:val="center"/>
            </w:pPr>
            <m:oMathPara>
              <m:oMathParaPr>
                <m:jc m:val="center"/>
              </m:oMathParaPr>
              <m:oMath>
                <m:sSub>
                  <m:e>
                    <m:r>
                      <m:t>δ</m:t>
                    </m:r>
                  </m:e>
                  <m:sub>
                    <m:r>
                      <m:t>A</m:t>
                    </m:r>
                  </m:sub>
                </m:sSub>
                <m:sSub>
                  <m:e>
                    <m:r>
                      <m:t>S</m:t>
                    </m:r>
                  </m:e>
                  <m:sub>
                    <m:r>
                      <m:t>γ</m:t>
                    </m:r>
                  </m:sub>
                </m:sSub>
                <m:r>
                  <m:t>=γ</m:t>
                </m:r>
                <m:nary>
                  <m:naryPr>
                    <m:chr m:val="∫"/>
                    <m:limLoc m:val="subSup"/>
                    <m:grow m:val="0"/>
                    <m:subHide m:val="off"/>
                    <m:supHide m:val="on"/>
                  </m:naryPr>
                  <m:sub>
                    <m:r>
                      <m:t>B</m:t>
                    </m:r>
                  </m:sub>
                  <m:sup/>
                  <m:e>
                    <m:d>
                      <m:e>
                        <m:sSub>
                          <m:e>
                            <m:r>
                              <m:t>∇</m:t>
                            </m:r>
                          </m:e>
                          <m:sub>
                            <m:r>
                              <m:t>μ</m:t>
                            </m:r>
                          </m:sub>
                        </m:sSub>
                        <m:sSup>
                          <m:e>
                            <m:r>
                              <m:t>F</m:t>
                            </m:r>
                          </m:e>
                          <m:sup>
                            <m:r>
                              <m:t>μν</m:t>
                            </m:r>
                          </m:sup>
                        </m:sSup>
                      </m:e>
                    </m:d>
                  </m:e>
                </m:nary>
                <m:r>
                  <m:t>δ</m:t>
                </m:r>
                <m:sSub>
                  <m:e>
                    <m:r>
                      <m:t>A</m:t>
                    </m:r>
                  </m:e>
                  <m:sub>
                    <m:r>
                      <m:t>ν</m:t>
                    </m:r>
                  </m:sub>
                </m:sSub>
                <m:r>
                  <m:t/>
                </m:r>
                <m:r>
                  <m:rPr>
                    <m:sty m:val="p"/>
                  </m:rPr>
                  <m:t>d</m:t>
                </m:r>
                <m:sSub>
                  <m:e>
                    <m:r>
                      <m:rPr>
                        <m:sty m:val="p"/>
                      </m:rPr>
                      <m:t>vol</m:t>
                    </m:r>
                  </m:e>
                  <m:sub>
                    <m:r>
                      <m:t>g</m:t>
                    </m:r>
                  </m:sub>
                </m:sSub>
                <m:r>
                  <m:t>,</m:t>
                </m:r>
                <m:sSub>
                  <m:e>
                    <m:r>
                      <m:t>∇</m:t>
                    </m:r>
                  </m:e>
                  <m:sub>
                    <m:r>
                      <m:t>μ</m:t>
                    </m:r>
                  </m:sub>
                </m:sSub>
                <m:sSup>
                  <m:e>
                    <m:r>
                      <m:t>F</m:t>
                    </m:r>
                  </m:e>
                  <m:sup>
                    <m:r>
                      <m:t>μν</m:t>
                    </m:r>
                  </m:sup>
                </m:sSup>
                <m:r>
                  <m:t>=0,</m:t>
                </m:r>
                <m:r>
                  <m:rPr>
                    <m:sty m:val="p"/>
                  </m:rPr>
                  <m:t>d</m:t>
                </m:r>
                <m:r>
                  <m:t>F=0,</m:t>
                </m:r>
              </m:oMath>
            </m:oMathPara>
          </w:p>
        </w:tc>
        <w:tc>
          <w:tcPr>
            <w:tcW w:type="dxa" w:w="666"/>
            <w:tcBorders>
              <w:top w:val="nil"/>
              <w:left w:val="nil"/>
              <w:bottom w:val="nil"/>
              <w:right w:val="nil"/>
            </w:tcBorders>
            <w:shd w:val="clear" w:color="auto" w:fill="auto"/>
            <w:tcMar>
              <w:top w:type="dxa" w:w="80"/>
              <w:left w:type="dxa" w:w="80"/>
              <w:bottom w:type="dxa" w:w="80"/>
              <w:right w:type="dxa" w:w="80"/>
            </w:tcMar>
            <w:vAlign w:val="top"/>
          </w:tcPr>
          <w:p>
            <w:pPr>
              <w:pStyle w:val="Normal.0"/>
              <w:spacing w:after="40" w:line="240" w:lineRule="auto"/>
              <w:jc w:val="right"/>
            </w:pPr>
            <w:r>
              <w:rPr>
                <w:sz w:val="18"/>
                <w:szCs w:val="18"/>
                <w:rtl w:val="0"/>
                <w:lang w:val="en-US"/>
              </w:rPr>
              <w:t>(8.2)</w:t>
            </w:r>
          </w:p>
        </w:tc>
      </w:tr>
    </w:tbl>
    <w:p>
      <w:pPr>
        <w:pStyle w:val="Текстовый блок"/>
        <w:widowControl w:val="0"/>
        <w:spacing w:line="240" w:lineRule="atLeast"/>
        <w:jc w:val="center"/>
      </w:pPr>
    </w:p>
    <w:tbl>
      <w:tblPr>
        <w:tblW w:w="9522"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666"/>
        <w:gridCol w:w="8190"/>
        <w:gridCol w:w="666"/>
      </w:tblGrid>
      <w:tr>
        <w:tblPrEx>
          <w:shd w:val="clear" w:color="auto" w:fill="ced7e7"/>
        </w:tblPrEx>
        <w:trPr>
          <w:trHeight w:val="650" w:hRule="atLeast"/>
        </w:trPr>
        <w:tc>
          <w:tcPr>
            <w:tcW w:type="dxa" w:w="666"/>
            <w:tcBorders>
              <w:top w:val="nil"/>
              <w:left w:val="nil"/>
              <w:bottom w:val="nil"/>
              <w:right w:val="nil"/>
            </w:tcBorders>
            <w:shd w:val="clear" w:color="auto" w:fill="auto"/>
            <w:tcMar>
              <w:top w:type="dxa" w:w="80"/>
              <w:left w:type="dxa" w:w="80"/>
              <w:bottom w:type="dxa" w:w="80"/>
              <w:right w:type="dxa" w:w="80"/>
            </w:tcMar>
            <w:vAlign w:val="top"/>
          </w:tcPr>
          <w:p/>
        </w:tc>
        <w:tc>
          <w:tcPr>
            <w:tcW w:type="dxa" w:w="8190"/>
            <w:tcBorders>
              <w:top w:val="nil"/>
              <w:left w:val="nil"/>
              <w:bottom w:val="nil"/>
              <w:right w:val="nil"/>
            </w:tcBorders>
            <w:shd w:val="clear" w:color="auto" w:fill="auto"/>
            <w:tcMar>
              <w:top w:type="dxa" w:w="80"/>
              <w:left w:type="dxa" w:w="80"/>
              <w:bottom w:type="dxa" w:w="80"/>
              <w:right w:type="dxa" w:w="80"/>
            </w:tcMar>
            <w:vAlign w:val="top"/>
          </w:tcPr>
          <w:p>
            <w:pPr>
              <w:pStyle w:val="Текстовый блок"/>
              <w:spacing w:after="40" w:line="240" w:lineRule="auto"/>
              <w:jc w:val="center"/>
            </w:pPr>
            <m:oMathPara>
              <m:oMathParaPr>
                <m:jc m:val="center"/>
              </m:oMathParaPr>
              <m:oMath>
                <m:sSub>
                  <m:e>
                    <m:r>
                      <m:t>T</m:t>
                    </m:r>
                  </m:e>
                  <m:sub>
                    <m:r>
                      <m:t>μν</m:t>
                    </m:r>
                  </m:sub>
                </m:sSub>
                <m:r>
                  <m:t>:=−</m:t>
                </m:r>
                <m:f>
                  <m:fPr>
                    <m:type m:val="bar"/>
                  </m:fPr>
                  <m:num>
                    <m:r>
                      <m:t>2</m:t>
                    </m:r>
                  </m:num>
                  <m:den>
                    <m:rad>
                      <m:radPr>
                        <m:degHide m:val="on"/>
                      </m:radPr>
                      <m:deg/>
                      <m:e>
                        <m:r>
                          <m:t>−g</m:t>
                        </m:r>
                      </m:e>
                    </m:rad>
                  </m:den>
                </m:f>
                <m:f>
                  <m:fPr>
                    <m:type m:val="bar"/>
                  </m:fPr>
                  <m:num>
                    <m:r>
                      <m:t>δ</m:t>
                    </m:r>
                    <m:sSub>
                      <m:e>
                        <m:r>
                          <m:t>S</m:t>
                        </m:r>
                      </m:e>
                      <m:sub>
                        <m:r>
                          <m:t>γ</m:t>
                        </m:r>
                      </m:sub>
                    </m:sSub>
                  </m:num>
                  <m:den>
                    <m:r>
                      <m:t>δ</m:t>
                    </m:r>
                    <m:sSup>
                      <m:e>
                        <m:r>
                          <m:t>g</m:t>
                        </m:r>
                      </m:e>
                      <m:sup>
                        <m:r>
                          <m:t>μν</m:t>
                        </m:r>
                      </m:sup>
                    </m:sSup>
                  </m:den>
                </m:f>
                <m:r>
                  <m:t>=γ</m:t>
                </m:r>
                <m:d>
                  <m:e>
                    <m:sSub>
                      <m:e>
                        <m:r>
                          <m:t>F</m:t>
                        </m:r>
                      </m:e>
                      <m:sub>
                        <m:r>
                          <m:t>μα</m:t>
                        </m:r>
                      </m:sub>
                    </m:sSub>
                    <m:sSub>
                      <m:e>
                        <m:r>
                          <m:t>F</m:t>
                        </m:r>
                      </m:e>
                      <m:sub>
                        <m:r>
                          <m:t>ν</m:t>
                        </m:r>
                      </m:sub>
                    </m:sSub>
                    <m:sSup>
                      <m:e>
                        <m:r>
                          <m:t/>
                        </m:r>
                      </m:e>
                      <m:sup>
                        <m:r>
                          <m:t>α</m:t>
                        </m:r>
                      </m:sup>
                    </m:sSup>
                    <m:r>
                      <m:t>−</m:t>
                    </m:r>
                    <m:f>
                      <m:fPr>
                        <m:type m:val="bar"/>
                      </m:fPr>
                      <m:num>
                        <m:r>
                          <m:t>1</m:t>
                        </m:r>
                      </m:num>
                      <m:den>
                        <m:r>
                          <m:t>4</m:t>
                        </m:r>
                      </m:den>
                    </m:f>
                    <m:sSub>
                      <m:e>
                        <m:r>
                          <m:t>g</m:t>
                        </m:r>
                      </m:e>
                      <m:sub>
                        <m:r>
                          <m:t>μν</m:t>
                        </m:r>
                      </m:sub>
                    </m:sSub>
                    <m:sSub>
                      <m:e>
                        <m:r>
                          <m:t>F</m:t>
                        </m:r>
                      </m:e>
                      <m:sub>
                        <m:r>
                          <m:t>αβ</m:t>
                        </m:r>
                      </m:sub>
                    </m:sSub>
                    <m:sSup>
                      <m:e>
                        <m:r>
                          <m:t>F</m:t>
                        </m:r>
                      </m:e>
                      <m:sup>
                        <m:r>
                          <m:t>αβ</m:t>
                        </m:r>
                      </m:sup>
                    </m:sSup>
                  </m:e>
                </m:d>
                <m:r>
                  <m:t>.</m:t>
                </m:r>
              </m:oMath>
            </m:oMathPara>
          </w:p>
        </w:tc>
        <w:tc>
          <w:tcPr>
            <w:tcW w:type="dxa" w:w="666"/>
            <w:tcBorders>
              <w:top w:val="nil"/>
              <w:left w:val="nil"/>
              <w:bottom w:val="nil"/>
              <w:right w:val="nil"/>
            </w:tcBorders>
            <w:shd w:val="clear" w:color="auto" w:fill="auto"/>
            <w:tcMar>
              <w:top w:type="dxa" w:w="80"/>
              <w:left w:type="dxa" w:w="80"/>
              <w:bottom w:type="dxa" w:w="80"/>
              <w:right w:type="dxa" w:w="80"/>
            </w:tcMar>
            <w:vAlign w:val="top"/>
          </w:tcPr>
          <w:p>
            <w:pPr>
              <w:pStyle w:val="Normal.0"/>
              <w:spacing w:after="40" w:line="240" w:lineRule="auto"/>
              <w:jc w:val="right"/>
            </w:pPr>
            <w:r>
              <w:rPr>
                <w:sz w:val="18"/>
                <w:szCs w:val="18"/>
                <w:rtl w:val="0"/>
                <w:lang w:val="en-US"/>
              </w:rPr>
              <w:t>(8.3)</w:t>
            </w:r>
          </w:p>
        </w:tc>
      </w:tr>
    </w:tbl>
    <w:p>
      <w:pPr>
        <w:pStyle w:val="Текстовый блок"/>
        <w:widowControl w:val="0"/>
        <w:spacing w:line="240" w:lineRule="atLeast"/>
        <w:jc w:val="center"/>
      </w:pPr>
    </w:p>
    <w:p>
      <w:pPr>
        <w:pStyle w:val="Текстовый блок"/>
        <w:spacing w:line="240" w:lineRule="atLeast"/>
      </w:pPr>
      <w:r>
        <w:rPr>
          <w:rtl w:val="0"/>
          <w:lang w:val="en-US"/>
        </w:rPr>
        <w:t xml:space="preserve">The metric variation holds the covariant components of </w:t>
      </w:r>
      <m:oMath>
        <m:r>
          <m:t>A</m:t>
        </m:r>
      </m:oMath>
      <w:r>
        <w:rPr>
          <w:rtl w:val="0"/>
          <w:lang w:val="en-US"/>
        </w:rPr>
        <w:t xml:space="preserve"> fixed. Using </w:t>
      </w:r>
      <m:oMath>
        <m:r>
          <m:t>δ</m:t>
        </m:r>
        <m:rad>
          <m:radPr>
            <m:degHide m:val="on"/>
          </m:radPr>
          <m:deg/>
          <m:e>
            <m:r>
              <m:t>−g</m:t>
            </m:r>
          </m:e>
        </m:rad>
        <m:r>
          <m:t>=−</m:t>
        </m:r>
        <m:f>
          <m:fPr>
            <m:type m:val="lin"/>
          </m:fPr>
          <m:num>
            <m:r>
              <m:t>1</m:t>
            </m:r>
          </m:num>
          <m:den>
            <m:r>
              <m:t>2</m:t>
            </m:r>
          </m:den>
        </m:f>
        <m:rad>
          <m:radPr>
            <m:degHide m:val="on"/>
          </m:radPr>
          <m:deg/>
          <m:e>
            <m:r>
              <m:t>−g</m:t>
            </m:r>
          </m:e>
        </m:rad>
        <m:sSub>
          <m:e>
            <m:r>
              <m:t>g</m:t>
            </m:r>
          </m:e>
          <m:sub>
            <m:r>
              <m:t>μν</m:t>
            </m:r>
          </m:sub>
        </m:sSub>
        <m:r>
          <m:t>δ</m:t>
        </m:r>
        <m:sSup>
          <m:e>
            <m:r>
              <m:t>g</m:t>
            </m:r>
          </m:e>
          <m:sup>
            <m:r>
              <m:t>μν</m:t>
            </m:r>
          </m:sup>
        </m:sSup>
      </m:oMath>
      <w:r>
        <w:rPr>
          <w:rtl w:val="0"/>
          <w:lang w:val="en-US"/>
        </w:rPr>
        <w:t xml:space="preserve"> and </w:t>
      </w:r>
      <m:oMath>
        <m:r>
          <m:t>δ</m:t>
        </m:r>
        <m:d>
          <m:e>
            <m:sSup>
              <m:e>
                <m:r>
                  <m:t>F</m:t>
                </m:r>
              </m:e>
              <m:sup>
                <m:r>
                  <m:t>2</m:t>
                </m:r>
              </m:sup>
            </m:sSup>
          </m:e>
        </m:d>
        <m:r>
          <m:t>=2</m:t>
        </m:r>
        <m:sSub>
          <m:e>
            <m:r>
              <m:t>F</m:t>
            </m:r>
          </m:e>
          <m:sub>
            <m:r>
              <m:t>μα</m:t>
            </m:r>
          </m:sub>
        </m:sSub>
        <m:sSub>
          <m:e>
            <m:r>
              <m:t>F</m:t>
            </m:r>
          </m:e>
          <m:sub>
            <m:r>
              <m:t>ν</m:t>
            </m:r>
          </m:sub>
        </m:sSub>
        <m:sSup>
          <m:e>
            <m:r>
              <m:t/>
            </m:r>
          </m:e>
          <m:sup>
            <m:r>
              <m:t>α</m:t>
            </m:r>
          </m:sup>
        </m:sSup>
        <m:r>
          <m:t>δ</m:t>
        </m:r>
        <m:sSup>
          <m:e>
            <m:r>
              <m:t>g</m:t>
            </m:r>
          </m:e>
          <m:sup>
            <m:r>
              <m:t>μν</m:t>
            </m:r>
          </m:sup>
        </m:sSup>
      </m:oMath>
      <w:r>
        <w:rPr>
          <w:rtl w:val="0"/>
          <w:lang w:val="en-US"/>
        </w:rPr>
        <w:t xml:space="preserve"> gives the second identity. Thus equations of motion and stress are derivatives with respect to different arguments of one functional.</w:t>
      </w:r>
    </w:p>
    <w:p>
      <w:pPr>
        <w:pStyle w:val="Текстовый блок"/>
        <w:spacing w:line="240" w:lineRule="atLeast"/>
      </w:pPr>
      <w:r>
        <w:rPr>
          <w:rtl w:val="0"/>
          <w:lang w:val="en-US"/>
        </w:rPr>
        <w:t xml:space="preserve">The field equations imply </w:t>
      </w:r>
      <m:oMath>
        <m:sSub>
          <m:e>
            <m:r>
              <m:t>∇</m:t>
            </m:r>
          </m:e>
          <m:sub>
            <m:r>
              <m:t>μ</m:t>
            </m:r>
          </m:sub>
        </m:sSub>
        <m:sSup>
          <m:e>
            <m:r>
              <m:t>T</m:t>
            </m:r>
          </m:e>
          <m:sup>
            <m:r>
              <m:t>μν</m:t>
            </m:r>
          </m:sup>
        </m:sSup>
        <m:r>
          <m:t>=0</m:t>
        </m:r>
      </m:oMath>
      <w:r>
        <w:rPr>
          <w:rtl w:val="0"/>
          <w:lang w:val="en-US"/>
        </w:rPr>
        <w:t xml:space="preserve"> in a source-free region. For a Killing field </w:t>
      </w:r>
      <m:oMath>
        <m:r>
          <m:t>ξ</m:t>
        </m:r>
      </m:oMath>
      <w:r>
        <w:rPr>
          <w:rtl w:val="0"/>
          <w:lang w:val="en-US"/>
        </w:rPr>
        <w:t xml:space="preserve">, the current </w:t>
      </w:r>
      <m:oMath>
        <m:sSubSup>
          <m:e>
            <m:r>
              <m:t>J</m:t>
            </m:r>
          </m:e>
          <m:sub>
            <m:r>
              <m:t>ξ</m:t>
            </m:r>
          </m:sub>
          <m:sup>
            <m:r>
              <m:t>μ</m:t>
            </m:r>
          </m:sup>
        </m:sSubSup>
        <m:r>
          <m:t>=</m:t>
        </m:r>
        <m:sSup>
          <m:e>
            <m:r>
              <m:t>T</m:t>
            </m:r>
          </m:e>
          <m:sup>
            <m:r>
              <m:t>μν</m:t>
            </m:r>
          </m:sup>
        </m:sSup>
        <m:sSub>
          <m:e>
            <m:r>
              <m:t>ξ</m:t>
            </m:r>
          </m:e>
          <m:sub>
            <m:r>
              <m:t>ν</m:t>
            </m:r>
          </m:sub>
        </m:sSub>
      </m:oMath>
      <w:r>
        <w:rPr>
          <w:rtl w:val="0"/>
        </w:rPr>
        <w:t xml:space="preserve"> obeys</w:t>
      </w:r>
    </w:p>
    <w:tbl>
      <w:tblPr>
        <w:tblW w:w="9522"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666"/>
        <w:gridCol w:w="8190"/>
        <w:gridCol w:w="666"/>
      </w:tblGrid>
      <w:tr>
        <w:tblPrEx>
          <w:shd w:val="clear" w:color="auto" w:fill="ced7e7"/>
        </w:tblPrEx>
        <w:trPr>
          <w:trHeight w:val="345" w:hRule="atLeast"/>
        </w:trPr>
        <w:tc>
          <w:tcPr>
            <w:tcW w:type="dxa" w:w="666"/>
            <w:tcBorders>
              <w:top w:val="nil"/>
              <w:left w:val="nil"/>
              <w:bottom w:val="nil"/>
              <w:right w:val="nil"/>
            </w:tcBorders>
            <w:shd w:val="clear" w:color="auto" w:fill="auto"/>
            <w:tcMar>
              <w:top w:type="dxa" w:w="80"/>
              <w:left w:type="dxa" w:w="80"/>
              <w:bottom w:type="dxa" w:w="80"/>
              <w:right w:type="dxa" w:w="80"/>
            </w:tcMar>
            <w:vAlign w:val="top"/>
          </w:tcPr>
          <w:p/>
        </w:tc>
        <w:tc>
          <w:tcPr>
            <w:tcW w:type="dxa" w:w="8190"/>
            <w:tcBorders>
              <w:top w:val="nil"/>
              <w:left w:val="nil"/>
              <w:bottom w:val="nil"/>
              <w:right w:val="nil"/>
            </w:tcBorders>
            <w:shd w:val="clear" w:color="auto" w:fill="auto"/>
            <w:tcMar>
              <w:top w:type="dxa" w:w="80"/>
              <w:left w:type="dxa" w:w="80"/>
              <w:bottom w:type="dxa" w:w="80"/>
              <w:right w:type="dxa" w:w="80"/>
            </w:tcMar>
            <w:vAlign w:val="top"/>
          </w:tcPr>
          <w:p>
            <w:pPr>
              <w:pStyle w:val="Текстовый блок"/>
              <w:spacing w:after="40" w:line="240" w:lineRule="auto"/>
              <w:jc w:val="center"/>
            </w:pPr>
            <m:oMathPara>
              <m:oMathParaPr>
                <m:jc m:val="center"/>
              </m:oMathParaPr>
              <m:oMath>
                <m:sSub>
                  <m:e>
                    <m:r>
                      <m:t>∇</m:t>
                    </m:r>
                  </m:e>
                  <m:sub>
                    <m:r>
                      <m:t>μ</m:t>
                    </m:r>
                  </m:sub>
                </m:sSub>
                <m:sSubSup>
                  <m:e>
                    <m:r>
                      <m:t>J</m:t>
                    </m:r>
                  </m:e>
                  <m:sub>
                    <m:r>
                      <m:t>ξ</m:t>
                    </m:r>
                  </m:sub>
                  <m:sup>
                    <m:r>
                      <m:t>μ</m:t>
                    </m:r>
                  </m:sup>
                </m:sSubSup>
                <m:r>
                  <m:t>=</m:t>
                </m:r>
                <m:sSup>
                  <m:e>
                    <m:r>
                      <m:t>T</m:t>
                    </m:r>
                  </m:e>
                  <m:sup>
                    <m:r>
                      <m:t>μν</m:t>
                    </m:r>
                  </m:sup>
                </m:sSup>
                <m:sSub>
                  <m:e>
                    <m:r>
                      <m:t>∇</m:t>
                    </m:r>
                  </m:e>
                  <m:sub>
                    <m:r>
                      <m:t>(μ</m:t>
                    </m:r>
                  </m:sub>
                </m:sSub>
                <m:sSub>
                  <m:e>
                    <m:r>
                      <m:t>ξ</m:t>
                    </m:r>
                  </m:e>
                  <m:sub>
                    <m:r>
                      <m:t>ν)</m:t>
                    </m:r>
                  </m:sub>
                </m:sSub>
                <m:r>
                  <m:t>=0.</m:t>
                </m:r>
              </m:oMath>
            </m:oMathPara>
          </w:p>
        </w:tc>
        <w:tc>
          <w:tcPr>
            <w:tcW w:type="dxa" w:w="666"/>
            <w:tcBorders>
              <w:top w:val="nil"/>
              <w:left w:val="nil"/>
              <w:bottom w:val="nil"/>
              <w:right w:val="nil"/>
            </w:tcBorders>
            <w:shd w:val="clear" w:color="auto" w:fill="auto"/>
            <w:tcMar>
              <w:top w:type="dxa" w:w="80"/>
              <w:left w:type="dxa" w:w="80"/>
              <w:bottom w:type="dxa" w:w="80"/>
              <w:right w:type="dxa" w:w="80"/>
            </w:tcMar>
            <w:vAlign w:val="top"/>
          </w:tcPr>
          <w:p>
            <w:pPr>
              <w:pStyle w:val="Normal.0"/>
              <w:spacing w:after="40" w:line="240" w:lineRule="auto"/>
              <w:jc w:val="right"/>
            </w:pPr>
            <w:r>
              <w:rPr>
                <w:sz w:val="18"/>
                <w:szCs w:val="18"/>
                <w:rtl w:val="0"/>
                <w:lang w:val="en-US"/>
              </w:rPr>
              <w:t>(8.4)</w:t>
            </w:r>
          </w:p>
        </w:tc>
      </w:tr>
    </w:tbl>
    <w:p>
      <w:pPr>
        <w:pStyle w:val="Текстовый блок"/>
        <w:widowControl w:val="0"/>
        <w:spacing w:line="240" w:lineRule="atLeast"/>
        <w:jc w:val="center"/>
      </w:pPr>
    </w:p>
    <w:p>
      <w:pPr>
        <w:pStyle w:val="Текстовый блок"/>
        <w:spacing w:line="240" w:lineRule="atLeast"/>
      </w:pPr>
      <w:r>
        <w:rPr>
          <w:rtl w:val="0"/>
          <w:lang w:val="en-US"/>
        </w:rPr>
        <w:t xml:space="preserve">A global charge additionally needs a suitable integration surface and control of boundary flux. Generic curved spacetimes need not have a conserved global energy. </w:t>
      </w:r>
    </w:p>
    <w:p>
      <w:pPr>
        <w:pStyle w:val="Текстовый блок"/>
        <w:spacing w:line="240" w:lineRule="atLeast"/>
      </w:pPr>
      <w:r>
        <w:rPr>
          <w:rtl w:val="0"/>
          <w:lang w:val="en-US"/>
        </w:rPr>
        <w:t>In Minkowski space, translations provide the energy and momentum charges; gauge symmetry supplies constraints and identities rather than an additional freely propagating polarisation. These standard variational and conservation constructions are the anchors for the following calculations [38, 39].</w:t>
      </w:r>
    </w:p>
    <w:p>
      <w:pPr>
        <w:pStyle w:val="Текстовый блок"/>
        <w:keepLines w:val="1"/>
        <w:spacing w:before="60" w:line="240" w:lineRule="atLeast"/>
      </w:pPr>
      <w:r>
        <w:rPr>
          <w:b w:val="1"/>
          <w:bCs w:val="1"/>
          <w:rtl w:val="0"/>
          <w:lang w:val="en-US"/>
        </w:rPr>
        <w:t>Proposition 8.2 (Normalisation is invisible to the cone).</w:t>
      </w:r>
      <w:r>
        <w:rPr>
          <w:rtl w:val="0"/>
          <w:lang w:val="en-US"/>
        </w:rPr>
        <w:t xml:space="preserve"> At fixed </w:t>
      </w:r>
      <m:oMath>
        <m:r>
          <m:t>g</m:t>
        </m:r>
      </m:oMath>
      <w:r>
        <w:rPr>
          <w:rtl w:val="0"/>
          <w:lang w:val="en-US"/>
        </w:rPr>
        <w:t xml:space="preserve"> and fixed classical field amplitude, all positive constants </w:t>
      </w:r>
      <m:oMath>
        <m:r>
          <m:t>γ</m:t>
        </m:r>
      </m:oMath>
      <w:r>
        <w:rPr>
          <w:rtl w:val="0"/>
          <w:lang w:val="en-US"/>
        </w:rPr>
        <w:t xml:space="preserve"> give the same source-free field equations and physical characteristics, while </w:t>
      </w:r>
      <m:oMath>
        <m:sSub>
          <m:e>
            <m:r>
              <m:t>T</m:t>
            </m:r>
          </m:e>
          <m:sub>
            <m:r>
              <m:t>γ</m:t>
            </m:r>
          </m:sub>
        </m:sSub>
        <m:r>
          <m:t>=γ</m:t>
        </m:r>
        <m:sSub>
          <m:e>
            <m:r>
              <m:t>T</m:t>
            </m:r>
          </m:e>
          <m:sub>
            <m:r>
              <m:t>1</m:t>
            </m:r>
          </m:sub>
        </m:sSub>
      </m:oMath>
      <w:r>
        <w:rPr>
          <w:rtl w:val="0"/>
        </w:rPr>
        <w:t>.</w:t>
      </w:r>
    </w:p>
    <w:p>
      <w:pPr>
        <w:pStyle w:val="Текстовый блок"/>
        <w:spacing w:before="20" w:line="240" w:lineRule="atLeast"/>
      </w:pPr>
      <w:r>
        <w:rPr>
          <w:i w:val="1"/>
          <w:iCs w:val="1"/>
          <w:rtl w:val="0"/>
          <w:lang w:val="en-US"/>
        </w:rPr>
        <w:t>Proof.</w:t>
      </w:r>
      <w:r>
        <w:rPr>
          <w:rtl w:val="0"/>
          <w:lang w:val="en-US"/>
        </w:rPr>
        <w:t xml:space="preserve"> Divide the first equation of (8.2) by </w:t>
      </w:r>
      <m:oMath>
        <m:r>
          <m:t>γ</m:t>
        </m:r>
      </m:oMath>
      <w:r>
        <w:rPr>
          <w:rtl w:val="0"/>
          <w:lang w:val="en-US"/>
        </w:rPr>
        <w:t xml:space="preserve"> and inspect (8.3).</w:t>
      </w:r>
      <w:r>
        <w:rPr>
          <w:rtl w:val="0"/>
          <w:lang w:val="en-US"/>
        </w:rPr>
        <w:t> □</w:t>
      </w:r>
    </w:p>
    <w:p>
      <w:pPr>
        <w:pStyle w:val="Текстовый блок"/>
        <w:spacing w:line="240" w:lineRule="atLeast"/>
      </w:pPr>
      <w:r>
        <w:rPr>
          <w:rtl w:val="0"/>
          <w:lang w:val="en-US"/>
        </w:rPr>
        <w:t xml:space="preserve">This comparison preserves homogeneous evolution and its cone; it does not preserve response amplitudes to a source whose coupling is held fixed. The sourced inverse operator and canonical brackets scale inversely with </w:t>
      </w:r>
      <m:oMath>
        <m:r>
          <m:t>γ</m:t>
        </m:r>
      </m:oMath>
      <w:r>
        <w:rPr>
          <w:rtl w:val="0"/>
          <w:lang w:val="en-US"/>
        </w:rPr>
        <w:t>. Hence it is not a counterexample to a theorem assuming full source and observable normalisation.</w:t>
      </w:r>
      <w:bookmarkEnd w:id="35"/>
    </w:p>
    <w:p>
      <w:pPr>
        <w:pStyle w:val="Заголовок 2"/>
        <w:spacing w:line="240" w:lineRule="atLeast"/>
      </w:pPr>
      <w:bookmarkStart w:name="Xf401aa85b54454cebd71e8e3d05f1080dfc0a12" w:id="36"/>
      <w:r>
        <w:rPr>
          <w:rtl w:val="0"/>
          <w:lang w:val="en-US"/>
        </w:rPr>
        <w:t>9. Physical characteristics after gauge reduction</w:t>
      </w:r>
    </w:p>
    <w:p>
      <w:pPr>
        <w:pStyle w:val="Текстовый блок"/>
        <w:spacing w:line="240" w:lineRule="atLeast"/>
      </w:pPr>
      <w:r>
        <w:rPr>
          <w:rtl w:val="0"/>
          <w:lang w:val="en-US"/>
        </w:rPr>
        <w:t>Up to a nonzero overall factor the principal symbol of the potential equation is</w:t>
      </w:r>
    </w:p>
    <w:tbl>
      <w:tblPr>
        <w:tblW w:w="9522"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666"/>
        <w:gridCol w:w="8190"/>
        <w:gridCol w:w="666"/>
      </w:tblGrid>
      <w:tr>
        <w:tblPrEx>
          <w:shd w:val="clear" w:color="auto" w:fill="ced7e7"/>
        </w:tblPrEx>
        <w:trPr>
          <w:trHeight w:val="308" w:hRule="atLeast"/>
        </w:trPr>
        <w:tc>
          <w:tcPr>
            <w:tcW w:type="dxa" w:w="666"/>
            <w:tcBorders>
              <w:top w:val="nil"/>
              <w:left w:val="nil"/>
              <w:bottom w:val="nil"/>
              <w:right w:val="nil"/>
            </w:tcBorders>
            <w:shd w:val="clear" w:color="auto" w:fill="auto"/>
            <w:tcMar>
              <w:top w:type="dxa" w:w="80"/>
              <w:left w:type="dxa" w:w="80"/>
              <w:bottom w:type="dxa" w:w="80"/>
              <w:right w:type="dxa" w:w="80"/>
            </w:tcMar>
            <w:vAlign w:val="top"/>
          </w:tcPr>
          <w:p/>
        </w:tc>
        <w:tc>
          <w:tcPr>
            <w:tcW w:type="dxa" w:w="8190"/>
            <w:tcBorders>
              <w:top w:val="nil"/>
              <w:left w:val="nil"/>
              <w:bottom w:val="nil"/>
              <w:right w:val="nil"/>
            </w:tcBorders>
            <w:shd w:val="clear" w:color="auto" w:fill="auto"/>
            <w:tcMar>
              <w:top w:type="dxa" w:w="80"/>
              <w:left w:type="dxa" w:w="80"/>
              <w:bottom w:type="dxa" w:w="80"/>
              <w:right w:type="dxa" w:w="80"/>
            </w:tcMar>
            <w:vAlign w:val="top"/>
          </w:tcPr>
          <w:p>
            <w:pPr>
              <w:pStyle w:val="Текстовый блок"/>
              <w:spacing w:after="40" w:line="240" w:lineRule="auto"/>
              <w:jc w:val="center"/>
            </w:pPr>
            <m:oMathPara>
              <m:oMathParaPr>
                <m:jc m:val="center"/>
              </m:oMathParaPr>
              <m:oMath>
                <m:r>
                  <m:t>P</m:t>
                </m:r>
                <m:d>
                  <m:e>
                    <m:r>
                      <m:t>k</m:t>
                    </m:r>
                  </m:e>
                </m:d>
                <m:r>
                  <m:t>a=−</m:t>
                </m:r>
                <m:sSup>
                  <m:e>
                    <m:r>
                      <m:t>k</m:t>
                    </m:r>
                  </m:e>
                  <m:sup>
                    <m:r>
                      <m:t>2</m:t>
                    </m:r>
                  </m:sup>
                </m:sSup>
                <m:r>
                  <m:t>a+k</m:t>
                </m:r>
                <m:d>
                  <m:e>
                    <m:r>
                      <m:t>k⋅a</m:t>
                    </m:r>
                  </m:e>
                </m:d>
                <m:r>
                  <m:t>,</m:t>
                </m:r>
                <m:sSup>
                  <m:e>
                    <m:r>
                      <m:t>k</m:t>
                    </m:r>
                  </m:e>
                  <m:sup>
                    <m:r>
                      <m:t>2</m:t>
                    </m:r>
                  </m:sup>
                </m:sSup>
                <m:r>
                  <m:t>=</m:t>
                </m:r>
                <m:sSup>
                  <m:e>
                    <m:r>
                      <m:t>g</m:t>
                    </m:r>
                  </m:e>
                  <m:sup>
                    <m:r>
                      <m:t>μν</m:t>
                    </m:r>
                  </m:sup>
                </m:sSup>
                <m:sSub>
                  <m:e>
                    <m:r>
                      <m:t>k</m:t>
                    </m:r>
                  </m:e>
                  <m:sub>
                    <m:r>
                      <m:t>μ</m:t>
                    </m:r>
                  </m:sub>
                </m:sSub>
                <m:sSub>
                  <m:e>
                    <m:r>
                      <m:t>k</m:t>
                    </m:r>
                  </m:e>
                  <m:sub>
                    <m:r>
                      <m:t>ν</m:t>
                    </m:r>
                  </m:sub>
                </m:sSub>
                <m:r>
                  <m:t>.</m:t>
                </m:r>
              </m:oMath>
            </m:oMathPara>
          </w:p>
        </w:tc>
        <w:tc>
          <w:tcPr>
            <w:tcW w:type="dxa" w:w="666"/>
            <w:tcBorders>
              <w:top w:val="nil"/>
              <w:left w:val="nil"/>
              <w:bottom w:val="nil"/>
              <w:right w:val="nil"/>
            </w:tcBorders>
            <w:shd w:val="clear" w:color="auto" w:fill="auto"/>
            <w:tcMar>
              <w:top w:type="dxa" w:w="80"/>
              <w:left w:type="dxa" w:w="80"/>
              <w:bottom w:type="dxa" w:w="80"/>
              <w:right w:type="dxa" w:w="80"/>
            </w:tcMar>
            <w:vAlign w:val="top"/>
          </w:tcPr>
          <w:p>
            <w:pPr>
              <w:pStyle w:val="Normal.0"/>
              <w:spacing w:after="40" w:line="240" w:lineRule="auto"/>
              <w:jc w:val="right"/>
            </w:pPr>
            <w:r>
              <w:rPr>
                <w:sz w:val="18"/>
                <w:szCs w:val="18"/>
                <w:rtl w:val="0"/>
                <w:lang w:val="en-US"/>
              </w:rPr>
              <w:t>(9.1)</w:t>
            </w:r>
          </w:p>
        </w:tc>
      </w:tr>
    </w:tbl>
    <w:p>
      <w:pPr>
        <w:pStyle w:val="Текстовый блок"/>
        <w:widowControl w:val="0"/>
        <w:spacing w:line="240" w:lineRule="atLeast"/>
        <w:jc w:val="center"/>
      </w:pPr>
    </w:p>
    <w:p>
      <w:pPr>
        <w:pStyle w:val="Текстовый блок"/>
        <w:spacing w:line="240" w:lineRule="atLeast"/>
      </w:pPr>
      <w:r>
        <w:rPr>
          <w:rtl w:val="0"/>
          <w:lang w:val="en-US"/>
        </w:rPr>
        <w:t xml:space="preserve">Every covector has the gauge kernel </w:t>
      </w:r>
      <m:oMath>
        <m:r>
          <m:t>a∝k</m:t>
        </m:r>
      </m:oMath>
      <w:r>
        <w:rPr>
          <w:rtl w:val="0"/>
          <w:lang w:val="en-US"/>
        </w:rPr>
        <w:t>. Counting this kernel as a physical characteristic would declare every covector characteristic.</w:t>
      </w:r>
    </w:p>
    <w:p>
      <w:pPr>
        <w:pStyle w:val="Текстовый блок"/>
        <w:keepLines w:val="1"/>
        <w:spacing w:before="60" w:line="240" w:lineRule="atLeast"/>
      </w:pPr>
      <w:r>
        <w:rPr>
          <w:b w:val="1"/>
          <w:bCs w:val="1"/>
          <w:rtl w:val="0"/>
          <w:lang w:val="en-US"/>
        </w:rPr>
        <w:t>Proposition 9.1 (Maxwell physical cone and screen space).</w:t>
      </w:r>
      <w:r>
        <w:rPr>
          <w:rtl w:val="0"/>
          <w:lang w:val="it-IT"/>
        </w:rPr>
        <w:t xml:space="preserve"> For nonzero </w:t>
      </w:r>
      <m:oMath>
        <m:r>
          <m:t>k</m:t>
        </m:r>
      </m:oMath>
      <w:r>
        <w:rPr>
          <w:rtl w:val="0"/>
          <w:lang w:val="en-US"/>
        </w:rPr>
        <w:t xml:space="preserve">, a nontrivial physical polarisation exists precisely when </w:t>
      </w:r>
      <m:oMath>
        <m:sSup>
          <m:e>
            <m:r>
              <m:t>k</m:t>
            </m:r>
          </m:e>
          <m:sup>
            <m:r>
              <m:t>2</m:t>
            </m:r>
          </m:sup>
        </m:sSup>
        <m:r>
          <m:t>=0</m:t>
        </m:r>
      </m:oMath>
      <w:r>
        <w:rPr>
          <w:rtl w:val="0"/>
          <w:lang w:val="en-US"/>
        </w:rPr>
        <w:t xml:space="preserve">. At such a covector the physical polarisation space is </w:t>
      </w:r>
      <m:oMath>
        <m:sSup>
          <m:e>
            <m:r>
              <m:t>k</m:t>
            </m:r>
          </m:e>
          <m:sup>
            <m:r>
              <m:t>⊥</m:t>
            </m:r>
          </m:sup>
        </m:sSup>
        <m:r>
          <m:t>/</m:t>
        </m:r>
        <m:r>
          <m:rPr>
            <m:sty m:val="p"/>
          </m:rPr>
          <m:t>span</m:t>
        </m:r>
        <m:r>
          <m:t>{k}</m:t>
        </m:r>
      </m:oMath>
      <w:r>
        <w:rPr>
          <w:rtl w:val="0"/>
          <w:lang w:val="en-US"/>
        </w:rPr>
        <w:t xml:space="preserve"> and has dimension two over the field of amplitudes.</w:t>
      </w:r>
    </w:p>
    <w:p>
      <w:pPr>
        <w:pStyle w:val="Текстовый блок"/>
        <w:spacing w:before="20" w:line="240" w:lineRule="atLeast"/>
      </w:pPr>
      <w:r>
        <w:rPr>
          <w:i w:val="1"/>
          <w:iCs w:val="1"/>
          <w:rtl w:val="0"/>
          <w:lang w:val="en-US"/>
        </w:rPr>
        <w:t>Proof.</w:t>
      </w:r>
      <w:r>
        <w:rPr>
          <w:rtl w:val="0"/>
          <w:lang w:val="en-US"/>
        </w:rPr>
        <w:t xml:space="preserve"> If </w:t>
      </w:r>
      <m:oMath>
        <m:sSup>
          <m:e>
            <m:r>
              <m:t>k</m:t>
            </m:r>
          </m:e>
          <m:sup>
            <m:r>
              <m:t>2</m:t>
            </m:r>
          </m:sup>
        </m:sSup>
        <m:r>
          <m:t>≠0</m:t>
        </m:r>
      </m:oMath>
      <w:r>
        <w:rPr>
          <w:rtl w:val="0"/>
          <w:lang w:val="en-US"/>
        </w:rPr>
        <w:t xml:space="preserve">, the equation forces </w:t>
      </w:r>
      <m:oMath>
        <m:r>
          <m:t>a=k</m:t>
        </m:r>
        <m:d>
          <m:e>
            <m:r>
              <m:t>k⋅a</m:t>
            </m:r>
          </m:e>
        </m:d>
        <m:r>
          <m:t>/</m:t>
        </m:r>
        <m:sSup>
          <m:e>
            <m:r>
              <m:t>k</m:t>
            </m:r>
          </m:e>
          <m:sup>
            <m:r>
              <m:t>2</m:t>
            </m:r>
          </m:sup>
        </m:sSup>
      </m:oMath>
      <w:r>
        <w:rPr>
          <w:rtl w:val="0"/>
          <w:lang w:val="en-US"/>
        </w:rPr>
        <w:t xml:space="preserve">, a pure gauge amplitude. If </w:t>
      </w:r>
      <m:oMath>
        <m:sSup>
          <m:e>
            <m:r>
              <m:t>k</m:t>
            </m:r>
          </m:e>
          <m:sup>
            <m:r>
              <m:t>2</m:t>
            </m:r>
          </m:sup>
        </m:sSup>
        <m:r>
          <m:t>=0</m:t>
        </m:r>
      </m:oMath>
      <w:r>
        <w:rPr>
          <w:rtl w:val="0"/>
          <w:lang w:val="en-US"/>
        </w:rPr>
        <w:t xml:space="preserve">, it forces </w:t>
      </w:r>
      <m:oMath>
        <m:r>
          <m:t>k⋅a=0</m:t>
        </m:r>
      </m:oMath>
      <w:r>
        <w:rPr>
          <w:rtl w:val="0"/>
          <w:lang w:val="en-US"/>
        </w:rPr>
        <w:t>. The three-dimensional orthogonal space contains the one-dimensional gauge direction, leaving a two-dimensional quotient.</w:t>
      </w:r>
      <w:r>
        <w:rPr>
          <w:rtl w:val="0"/>
          <w:lang w:val="en-US"/>
        </w:rPr>
        <w:t> □</w:t>
      </w:r>
    </w:p>
    <w:p>
      <w:pPr>
        <w:pStyle w:val="Текстовый блок"/>
        <w:spacing w:line="240" w:lineRule="atLeast"/>
      </w:pPr>
      <w:r>
        <w:rPr>
          <w:rtl w:val="0"/>
          <w:lang w:val="en-US"/>
        </w:rPr>
        <w:t>Consequently</w:t>
      </w:r>
    </w:p>
    <w:tbl>
      <w:tblPr>
        <w:tblW w:w="9522"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666"/>
        <w:gridCol w:w="8190"/>
        <w:gridCol w:w="666"/>
      </w:tblGrid>
      <w:tr>
        <w:tblPrEx>
          <w:shd w:val="clear" w:color="auto" w:fill="ced7e7"/>
        </w:tblPrEx>
        <w:trPr>
          <w:trHeight w:val="308" w:hRule="atLeast"/>
        </w:trPr>
        <w:tc>
          <w:tcPr>
            <w:tcW w:type="dxa" w:w="666"/>
            <w:tcBorders>
              <w:top w:val="nil"/>
              <w:left w:val="nil"/>
              <w:bottom w:val="nil"/>
              <w:right w:val="nil"/>
            </w:tcBorders>
            <w:shd w:val="clear" w:color="auto" w:fill="auto"/>
            <w:tcMar>
              <w:top w:type="dxa" w:w="80"/>
              <w:left w:type="dxa" w:w="80"/>
              <w:bottom w:type="dxa" w:w="80"/>
              <w:right w:type="dxa" w:w="80"/>
            </w:tcMar>
            <w:vAlign w:val="top"/>
          </w:tcPr>
          <w:p/>
        </w:tc>
        <w:tc>
          <w:tcPr>
            <w:tcW w:type="dxa" w:w="8190"/>
            <w:tcBorders>
              <w:top w:val="nil"/>
              <w:left w:val="nil"/>
              <w:bottom w:val="nil"/>
              <w:right w:val="nil"/>
            </w:tcBorders>
            <w:shd w:val="clear" w:color="auto" w:fill="auto"/>
            <w:tcMar>
              <w:top w:type="dxa" w:w="80"/>
              <w:left w:type="dxa" w:w="80"/>
              <w:bottom w:type="dxa" w:w="80"/>
              <w:right w:type="dxa" w:w="80"/>
            </w:tcMar>
            <w:vAlign w:val="top"/>
          </w:tcPr>
          <w:p>
            <w:pPr>
              <w:pStyle w:val="Текстовый блок"/>
              <w:spacing w:after="40" w:line="240" w:lineRule="auto"/>
              <w:jc w:val="center"/>
            </w:pPr>
            <m:oMathPara>
              <m:oMathParaPr>
                <m:jc m:val="center"/>
              </m:oMathParaPr>
              <m:oMath>
                <m:sSub>
                  <m:e>
                    <m:r>
                      <m:rPr>
                        <m:sty m:val="p"/>
                      </m:rPr>
                      <m:t>Char</m:t>
                    </m:r>
                  </m:e>
                  <m:sub>
                    <m:r>
                      <m:rPr>
                        <m:sty m:val="p"/>
                      </m:rPr>
                      <m:t>phys</m:t>
                    </m:r>
                  </m:sub>
                </m:sSub>
                <m:d>
                  <m:e>
                    <m:r>
                      <m:t>P</m:t>
                    </m:r>
                  </m:e>
                </m:d>
                <m:r>
                  <m:t>={</m:t>
                </m:r>
                <m:d>
                  <m:e>
                    <m:r>
                      <m:t>x,k</m:t>
                    </m:r>
                  </m:e>
                </m:d>
                <m:r>
                  <m:t>:k≠0,</m:t>
                </m:r>
                <m:sSup>
                  <m:e>
                    <m:r>
                      <m:t>g</m:t>
                    </m:r>
                  </m:e>
                  <m:sup>
                    <m:r>
                      <m:t>μν</m:t>
                    </m:r>
                  </m:sup>
                </m:sSup>
                <m:sSub>
                  <m:e>
                    <m:r>
                      <m:t>k</m:t>
                    </m:r>
                  </m:e>
                  <m:sub>
                    <m:r>
                      <m:t>μ</m:t>
                    </m:r>
                  </m:sub>
                </m:sSub>
                <m:sSub>
                  <m:e>
                    <m:r>
                      <m:t>k</m:t>
                    </m:r>
                  </m:e>
                  <m:sub>
                    <m:r>
                      <m:t>ν</m:t>
                    </m:r>
                  </m:sub>
                </m:sSub>
                <m:r>
                  <m:t>=0}.</m:t>
                </m:r>
              </m:oMath>
            </m:oMathPara>
          </w:p>
        </w:tc>
        <w:tc>
          <w:tcPr>
            <w:tcW w:type="dxa" w:w="666"/>
            <w:tcBorders>
              <w:top w:val="nil"/>
              <w:left w:val="nil"/>
              <w:bottom w:val="nil"/>
              <w:right w:val="nil"/>
            </w:tcBorders>
            <w:shd w:val="clear" w:color="auto" w:fill="auto"/>
            <w:tcMar>
              <w:top w:type="dxa" w:w="80"/>
              <w:left w:type="dxa" w:w="80"/>
              <w:bottom w:type="dxa" w:w="80"/>
              <w:right w:type="dxa" w:w="80"/>
            </w:tcMar>
            <w:vAlign w:val="top"/>
          </w:tcPr>
          <w:p>
            <w:pPr>
              <w:pStyle w:val="Normal.0"/>
              <w:spacing w:after="40" w:line="240" w:lineRule="auto"/>
              <w:jc w:val="right"/>
            </w:pPr>
            <w:r>
              <w:rPr>
                <w:sz w:val="18"/>
                <w:szCs w:val="18"/>
                <w:rtl w:val="0"/>
                <w:lang w:val="en-US"/>
              </w:rPr>
              <w:t>(9.2)</w:t>
            </w:r>
          </w:p>
        </w:tc>
      </w:tr>
    </w:tbl>
    <w:p>
      <w:pPr>
        <w:pStyle w:val="Текстовый блок"/>
        <w:widowControl w:val="0"/>
        <w:spacing w:line="240" w:lineRule="atLeast"/>
        <w:jc w:val="center"/>
      </w:pPr>
    </w:p>
    <w:p>
      <w:pPr>
        <w:pStyle w:val="Текстовый блок"/>
        <w:spacing w:line="240" w:lineRule="atLeast"/>
      </w:pPr>
      <w:r>
        <w:rPr>
          <w:rtl w:val="0"/>
          <w:lang w:val="en-US"/>
        </w:rPr>
        <w:t>The determinant on unreduced potentials is not used. Lorenz gauge gives a normally hyperbolic potential equation with a lower-order curvature term, while the gauge-invariant field strength and physical quotient carry the observable content. A massless scalar, Maxwell field and linearised gravitational field can share this quadratic cone while having different physical polarisations [40].</w:t>
      </w:r>
      <w:bookmarkEnd w:id="36"/>
    </w:p>
    <w:p>
      <w:pPr>
        <w:pStyle w:val="Заголовок 2"/>
        <w:spacing w:line="240" w:lineRule="atLeast"/>
      </w:pPr>
      <w:bookmarkStart w:name="nullenergymomentumanditsexactdomain" w:id="37"/>
      <w:r>
        <w:rPr>
          <w:rtl w:val="0"/>
          <w:lang w:val="en-US"/>
        </w:rPr>
        <w:t>10. Null energy</w:t>
      </w:r>
      <w:r>
        <w:rPr>
          <w:rtl w:val="0"/>
          <w:lang w:val="en-US"/>
        </w:rPr>
        <w:t>–</w:t>
      </w:r>
      <w:r>
        <w:rPr>
          <w:rtl w:val="0"/>
          <w:lang w:val="en-US"/>
        </w:rPr>
        <w:t>momentum and its exact domain</w:t>
      </w:r>
      <w:bookmarkEnd w:id="37"/>
    </w:p>
    <w:p>
      <w:pPr>
        <w:pStyle w:val="Заголовок 3"/>
        <w:spacing w:line="240" w:lineRule="atLeast"/>
      </w:pPr>
      <w:bookmarkStart w:name="geometricopticsandnormalisation" w:id="38"/>
      <w:r>
        <w:rPr>
          <w:rtl w:val="0"/>
          <w:lang w:val="en-US"/>
        </w:rPr>
        <w:t>10.1. Geometric optics and normalisation</w:t>
      </w:r>
    </w:p>
    <w:p>
      <w:pPr>
        <w:pStyle w:val="Текстовый блок"/>
        <w:spacing w:line="240" w:lineRule="atLeast"/>
      </w:pPr>
      <w:r>
        <w:rPr>
          <w:rtl w:val="0"/>
          <w:lang w:val="en-US"/>
        </w:rPr>
        <w:t>Consider a smooth geometric-optics family away from caustics and boundaries,</w:t>
      </w:r>
    </w:p>
    <w:tbl>
      <w:tblPr>
        <w:tblW w:w="9522"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666"/>
        <w:gridCol w:w="8190"/>
        <w:gridCol w:w="666"/>
      </w:tblGrid>
      <w:tr>
        <w:tblPrEx>
          <w:shd w:val="clear" w:color="auto" w:fill="ced7e7"/>
        </w:tblPrEx>
        <w:trPr>
          <w:trHeight w:val="434" w:hRule="atLeast"/>
        </w:trPr>
        <w:tc>
          <w:tcPr>
            <w:tcW w:type="dxa" w:w="666"/>
            <w:tcBorders>
              <w:top w:val="nil"/>
              <w:left w:val="nil"/>
              <w:bottom w:val="nil"/>
              <w:right w:val="nil"/>
            </w:tcBorders>
            <w:shd w:val="clear" w:color="auto" w:fill="auto"/>
            <w:tcMar>
              <w:top w:type="dxa" w:w="80"/>
              <w:left w:type="dxa" w:w="80"/>
              <w:bottom w:type="dxa" w:w="80"/>
              <w:right w:type="dxa" w:w="80"/>
            </w:tcMar>
            <w:vAlign w:val="top"/>
          </w:tcPr>
          <w:p/>
        </w:tc>
        <w:tc>
          <w:tcPr>
            <w:tcW w:type="dxa" w:w="8190"/>
            <w:tcBorders>
              <w:top w:val="nil"/>
              <w:left w:val="nil"/>
              <w:bottom w:val="nil"/>
              <w:right w:val="nil"/>
            </w:tcBorders>
            <w:shd w:val="clear" w:color="auto" w:fill="auto"/>
            <w:tcMar>
              <w:top w:type="dxa" w:w="80"/>
              <w:left w:type="dxa" w:w="80"/>
              <w:bottom w:type="dxa" w:w="80"/>
              <w:right w:type="dxa" w:w="80"/>
            </w:tcMar>
            <w:vAlign w:val="top"/>
          </w:tcPr>
          <w:p>
            <w:pPr>
              <w:pStyle w:val="Текстовый блок"/>
              <w:spacing w:after="40" w:line="240" w:lineRule="auto"/>
              <w:jc w:val="center"/>
            </w:pPr>
            <m:oMathPara>
              <m:oMathParaPr>
                <m:jc m:val="center"/>
              </m:oMathParaPr>
              <m:oMath>
                <m:sSubSup>
                  <m:e>
                    <m:r>
                      <m:t>A</m:t>
                    </m:r>
                  </m:e>
                  <m:sub>
                    <m:r>
                      <m:t>μ</m:t>
                    </m:r>
                  </m:sub>
                  <m:sup>
                    <m:d>
                      <m:e>
                        <m:r>
                          <m:t>ε</m:t>
                        </m:r>
                      </m:e>
                    </m:d>
                  </m:sup>
                </m:sSubSup>
                <m:r>
                  <m:t>=</m:t>
                </m:r>
                <m:r>
                  <m:rPr>
                    <m:sty m:val="p"/>
                  </m:rPr>
                  <m:t>ℜ</m:t>
                </m:r>
                <m:r>
                  <m:t>{</m:t>
                </m:r>
                <m:d>
                  <m:e>
                    <m:sSub>
                      <m:e>
                        <m:r>
                          <m:t>a</m:t>
                        </m:r>
                      </m:e>
                      <m:sub>
                        <m:r>
                          <m:t>μ</m:t>
                        </m:r>
                      </m:sub>
                    </m:sSub>
                    <m:r>
                      <m:t>+O</m:t>
                    </m:r>
                    <m:d>
                      <m:e>
                        <m:r>
                          <m:t>ε</m:t>
                        </m:r>
                      </m:e>
                    </m:d>
                  </m:e>
                </m:d>
                <m:sSup>
                  <m:e>
                    <m:r>
                      <m:t>e</m:t>
                    </m:r>
                  </m:e>
                  <m:sup>
                    <m:r>
                      <m:t>iθ/ε</m:t>
                    </m:r>
                  </m:sup>
                </m:sSup>
                <m:r>
                  <m:t>},</m:t>
                </m:r>
                <m:sSub>
                  <m:e>
                    <m:r>
                      <m:t>q</m:t>
                    </m:r>
                  </m:e>
                  <m:sub>
                    <m:r>
                      <m:t>μ</m:t>
                    </m:r>
                  </m:sub>
                </m:sSub>
                <m:r>
                  <m:t>=</m:t>
                </m:r>
                <m:sSub>
                  <m:e>
                    <m:r>
                      <m:t>∇</m:t>
                    </m:r>
                  </m:e>
                  <m:sub>
                    <m:r>
                      <m:t>μ</m:t>
                    </m:r>
                  </m:sub>
                </m:sSub>
                <m:r>
                  <m:t>θ,</m:t>
                </m:r>
                <m:sSub>
                  <m:e>
                    <m:r>
                      <m:t>κ</m:t>
                    </m:r>
                  </m:e>
                  <m:sub>
                    <m:r>
                      <m:t>μ</m:t>
                    </m:r>
                  </m:sub>
                </m:sSub>
                <m:r>
                  <m:t>=</m:t>
                </m:r>
                <m:sSub>
                  <m:e>
                    <m:r>
                      <m:t>q</m:t>
                    </m:r>
                  </m:e>
                  <m:sub>
                    <m:r>
                      <m:t>μ</m:t>
                    </m:r>
                  </m:sub>
                </m:sSub>
                <m:r>
                  <m:t>/ε.</m:t>
                </m:r>
              </m:oMath>
            </m:oMathPara>
          </w:p>
        </w:tc>
        <w:tc>
          <w:tcPr>
            <w:tcW w:type="dxa" w:w="666"/>
            <w:tcBorders>
              <w:top w:val="nil"/>
              <w:left w:val="nil"/>
              <w:bottom w:val="nil"/>
              <w:right w:val="nil"/>
            </w:tcBorders>
            <w:shd w:val="clear" w:color="auto" w:fill="auto"/>
            <w:tcMar>
              <w:top w:type="dxa" w:w="80"/>
              <w:left w:type="dxa" w:w="80"/>
              <w:bottom w:type="dxa" w:w="80"/>
              <w:right w:type="dxa" w:w="80"/>
            </w:tcMar>
            <w:vAlign w:val="top"/>
          </w:tcPr>
          <w:p>
            <w:pPr>
              <w:pStyle w:val="Normal.0"/>
              <w:spacing w:after="40" w:line="240" w:lineRule="auto"/>
              <w:jc w:val="right"/>
            </w:pPr>
            <w:r>
              <w:rPr>
                <w:sz w:val="18"/>
                <w:szCs w:val="18"/>
                <w:rtl w:val="0"/>
                <w:lang w:val="en-US"/>
              </w:rPr>
              <w:t>(10.1)</w:t>
            </w:r>
          </w:p>
        </w:tc>
      </w:tr>
    </w:tbl>
    <w:p>
      <w:pPr>
        <w:pStyle w:val="Текстовый блок"/>
        <w:widowControl w:val="0"/>
        <w:spacing w:line="240" w:lineRule="atLeast"/>
        <w:jc w:val="center"/>
      </w:pPr>
    </w:p>
    <w:p>
      <w:pPr>
        <w:pStyle w:val="Текстовый блок"/>
        <w:spacing w:line="240" w:lineRule="atLeast"/>
      </w:pPr>
      <w:r>
        <w:rPr>
          <w:rtl w:val="0"/>
          <w:lang w:val="en-US"/>
        </w:rPr>
        <w:t xml:space="preserve">Here </w:t>
      </w:r>
      <m:oMath>
        <m:r>
          <m:t>κ</m:t>
        </m:r>
      </m:oMath>
      <w:r>
        <w:rPr>
          <w:rtl w:val="0"/>
          <w:lang w:val="en-US"/>
        </w:rPr>
        <w:t xml:space="preserve"> is the physical phase covector; </w:t>
      </w:r>
      <m:oMath>
        <m:r>
          <m:t>q</m:t>
        </m:r>
      </m:oMath>
      <w:r>
        <w:rPr>
          <w:rtl w:val="0"/>
          <w:lang w:val="en-US"/>
        </w:rPr>
        <w:t xml:space="preserve"> is its scaled counterpart. The wavelength is small compared with the variation scales of the background and envelope. The leading equations and next transport order give</w:t>
      </w:r>
    </w:p>
    <w:tbl>
      <w:tblPr>
        <w:tblW w:w="9522"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666"/>
        <w:gridCol w:w="8190"/>
        <w:gridCol w:w="666"/>
      </w:tblGrid>
      <w:tr>
        <w:tblPrEx>
          <w:shd w:val="clear" w:color="auto" w:fill="ced7e7"/>
        </w:tblPrEx>
        <w:trPr>
          <w:trHeight w:val="412" w:hRule="atLeast"/>
        </w:trPr>
        <w:tc>
          <w:tcPr>
            <w:tcW w:type="dxa" w:w="666"/>
            <w:tcBorders>
              <w:top w:val="nil"/>
              <w:left w:val="nil"/>
              <w:bottom w:val="nil"/>
              <w:right w:val="nil"/>
            </w:tcBorders>
            <w:shd w:val="clear" w:color="auto" w:fill="auto"/>
            <w:tcMar>
              <w:top w:type="dxa" w:w="80"/>
              <w:left w:type="dxa" w:w="80"/>
              <w:bottom w:type="dxa" w:w="80"/>
              <w:right w:type="dxa" w:w="80"/>
            </w:tcMar>
            <w:vAlign w:val="top"/>
          </w:tcPr>
          <w:p/>
        </w:tc>
        <w:tc>
          <w:tcPr>
            <w:tcW w:type="dxa" w:w="8190"/>
            <w:tcBorders>
              <w:top w:val="nil"/>
              <w:left w:val="nil"/>
              <w:bottom w:val="nil"/>
              <w:right w:val="nil"/>
            </w:tcBorders>
            <w:shd w:val="clear" w:color="auto" w:fill="auto"/>
            <w:tcMar>
              <w:top w:type="dxa" w:w="80"/>
              <w:left w:type="dxa" w:w="80"/>
              <w:bottom w:type="dxa" w:w="80"/>
              <w:right w:type="dxa" w:w="80"/>
            </w:tcMar>
            <w:vAlign w:val="top"/>
          </w:tcPr>
          <w:p>
            <w:pPr>
              <w:pStyle w:val="Текстовый блок"/>
              <w:spacing w:after="40" w:line="240" w:lineRule="auto"/>
              <w:jc w:val="center"/>
            </w:pPr>
            <m:oMathPara>
              <m:oMathParaPr>
                <m:jc m:val="center"/>
              </m:oMathParaPr>
              <m:oMath>
                <m:sSup>
                  <m:e>
                    <m:r>
                      <m:t>q</m:t>
                    </m:r>
                  </m:e>
                  <m:sup>
                    <m:r>
                      <m:t>2</m:t>
                    </m:r>
                  </m:sup>
                </m:sSup>
                <m:r>
                  <m:t>=0,q⋅a=0,</m:t>
                </m:r>
                <m:sSup>
                  <m:e>
                    <m:r>
                      <m:t>q</m:t>
                    </m:r>
                  </m:e>
                  <m:sup>
                    <m:r>
                      <m:t>ν</m:t>
                    </m:r>
                  </m:sup>
                </m:sSup>
                <m:sSub>
                  <m:e>
                    <m:r>
                      <m:t>∇</m:t>
                    </m:r>
                  </m:e>
                  <m:sub>
                    <m:r>
                      <m:t>ν</m:t>
                    </m:r>
                  </m:sub>
                </m:sSub>
                <m:sSup>
                  <m:e>
                    <m:r>
                      <m:t>q</m:t>
                    </m:r>
                  </m:e>
                  <m:sup>
                    <m:r>
                      <m:t>μ</m:t>
                    </m:r>
                  </m:sup>
                </m:sSup>
                <m:r>
                  <m:t>=0,</m:t>
                </m:r>
                <m:sSub>
                  <m:e>
                    <m:r>
                      <m:t>∇</m:t>
                    </m:r>
                  </m:e>
                  <m:sub>
                    <m:r>
                      <m:t>μ</m:t>
                    </m:r>
                  </m:sub>
                </m:sSub>
                <m:d>
                  <m:e>
                    <m:sSup>
                      <m:e>
                        <m:r>
                          <m:rPr>
                            <m:sty m:val="p"/>
                            <m:scr m:val="fraktur"/>
                          </m:rPr>
                          <m:t>a</m:t>
                        </m:r>
                      </m:e>
                      <m:sup>
                        <m:r>
                          <m:t>2</m:t>
                        </m:r>
                      </m:sup>
                    </m:sSup>
                    <m:sSup>
                      <m:e>
                        <m:r>
                          <m:t>q</m:t>
                        </m:r>
                      </m:e>
                      <m:sup>
                        <m:r>
                          <m:t>μ</m:t>
                        </m:r>
                      </m:sup>
                    </m:sSup>
                  </m:e>
                </m:d>
                <m:r>
                  <m:t>=0,</m:t>
                </m:r>
                <m:sSup>
                  <m:e>
                    <m:r>
                      <m:t>q</m:t>
                    </m:r>
                  </m:e>
                  <m:sup>
                    <m:r>
                      <m:t>ν</m:t>
                    </m:r>
                  </m:sup>
                </m:sSup>
                <m:sSub>
                  <m:e>
                    <m:r>
                      <m:t>∇</m:t>
                    </m:r>
                  </m:e>
                  <m:sub>
                    <m:r>
                      <m:t>ν</m:t>
                    </m:r>
                  </m:sub>
                </m:sSub>
                <m:sSup>
                  <m:e>
                    <m:r>
                      <m:t>e</m:t>
                    </m:r>
                  </m:e>
                  <m:sup>
                    <m:r>
                      <m:t>μ</m:t>
                    </m:r>
                  </m:sup>
                </m:sSup>
                <m:r>
                  <m:t>=0</m:t>
                </m:r>
                <m:r>
                  <m:rPr>
                    <m:nor/>
                  </m:rPr>
                  <m:t>modulo</m:t>
                </m:r>
                <m:sSup>
                  <m:e>
                    <m:r>
                      <m:t>q</m:t>
                    </m:r>
                  </m:e>
                  <m:sup>
                    <m:r>
                      <m:t>μ</m:t>
                    </m:r>
                  </m:sup>
                </m:sSup>
                <m:r>
                  <m:t>,</m:t>
                </m:r>
              </m:oMath>
            </m:oMathPara>
          </w:p>
        </w:tc>
        <w:tc>
          <w:tcPr>
            <w:tcW w:type="dxa" w:w="666"/>
            <w:tcBorders>
              <w:top w:val="nil"/>
              <w:left w:val="nil"/>
              <w:bottom w:val="nil"/>
              <w:right w:val="nil"/>
            </w:tcBorders>
            <w:shd w:val="clear" w:color="auto" w:fill="auto"/>
            <w:tcMar>
              <w:top w:type="dxa" w:w="80"/>
              <w:left w:type="dxa" w:w="80"/>
              <w:bottom w:type="dxa" w:w="80"/>
              <w:right w:type="dxa" w:w="80"/>
            </w:tcMar>
            <w:vAlign w:val="top"/>
          </w:tcPr>
          <w:p>
            <w:pPr>
              <w:pStyle w:val="Normal.0"/>
              <w:spacing w:after="40" w:line="240" w:lineRule="auto"/>
              <w:jc w:val="right"/>
            </w:pPr>
            <w:r>
              <w:rPr>
                <w:sz w:val="18"/>
                <w:szCs w:val="18"/>
                <w:rtl w:val="0"/>
                <w:lang w:val="en-US"/>
              </w:rPr>
              <w:t>(10.2)</w:t>
            </w:r>
          </w:p>
        </w:tc>
      </w:tr>
    </w:tbl>
    <w:p>
      <w:pPr>
        <w:pStyle w:val="Текстовый блок"/>
        <w:widowControl w:val="0"/>
        <w:spacing w:line="240" w:lineRule="atLeast"/>
        <w:jc w:val="center"/>
      </w:pPr>
    </w:p>
    <w:p>
      <w:pPr>
        <w:pStyle w:val="Текстовый блок"/>
        <w:spacing w:line="240" w:lineRule="atLeast"/>
      </w:pPr>
      <w:r>
        <w:rPr>
          <w:rtl w:val="0"/>
          <w:lang w:val="en-US"/>
        </w:rPr>
        <w:t xml:space="preserve">where </w:t>
      </w:r>
      <m:oMath>
        <m:r>
          <m:t>a=</m:t>
        </m:r>
        <m:r>
          <m:rPr>
            <m:sty m:val="p"/>
            <m:scr m:val="fraktur"/>
          </m:rPr>
          <m:t>a</m:t>
        </m:r>
        <m:r>
          <m:t>e</m:t>
        </m:r>
      </m:oMath>
      <w:r>
        <w:rPr>
          <w:rtl w:val="0"/>
          <w:lang w:val="en-US"/>
        </w:rPr>
        <w:t xml:space="preserve"> is a screen-polarisation decomposition with </w:t>
      </w:r>
      <m:oMath>
        <m:r>
          <m:t>e⋅</m:t>
        </m:r>
        <m:limUpp>
          <m:e>
            <m:r>
              <m:t>e</m:t>
            </m:r>
          </m:e>
          <m:lim>
            <m:r>
              <m:rPr>
                <m:sty m:val="p"/>
              </m:rPr>
              <m:t>‾</m:t>
            </m:r>
          </m:lim>
        </m:limUpp>
        <m:r>
          <m:t>=1</m:t>
        </m:r>
      </m:oMath>
      <w:r>
        <w:rPr>
          <w:rtl w:val="0"/>
          <w:lang w:val="en-US"/>
        </w:rPr>
        <w:t xml:space="preserve">. The geodesic identity follows directly from </w:t>
      </w:r>
      <m:oMath>
        <m:r>
          <m:t>q=</m:t>
        </m:r>
        <m:r>
          <m:rPr>
            <m:sty m:val="p"/>
          </m:rPr>
          <m:t>d</m:t>
        </m:r>
        <m:r>
          <m:t>θ</m:t>
        </m:r>
      </m:oMath>
      <w:r>
        <w:rPr>
          <w:rtl w:val="0"/>
          <w:lang w:val="en-US"/>
        </w:rPr>
        <w:t xml:space="preserve"> and </w:t>
      </w:r>
      <m:oMath>
        <m:r>
          <m:t>∇</m:t>
        </m:r>
        <m:d>
          <m:e>
            <m:sSup>
              <m:e>
                <m:r>
                  <m:t>q</m:t>
                </m:r>
              </m:e>
              <m:sup>
                <m:r>
                  <m:t>2</m:t>
                </m:r>
              </m:sup>
            </m:sSup>
          </m:e>
        </m:d>
        <m:r>
          <m:t>=0</m:t>
        </m:r>
      </m:oMath>
      <w:r>
        <w:rPr>
          <w:rtl w:val="0"/>
          <w:lang w:val="en-US"/>
        </w:rPr>
        <w:t>. The transport statements require the next order of the field equation, not just its characteristic set. They are the standard leading Maxwell geometric-optics equations [40].</w:t>
      </w:r>
    </w:p>
    <w:p>
      <w:pPr>
        <w:pStyle w:val="Текстовый блок"/>
        <w:spacing w:line="240" w:lineRule="atLeast"/>
      </w:pPr>
      <w:r>
        <w:rPr>
          <w:rtl w:val="0"/>
          <w:lang w:val="en-US"/>
        </w:rPr>
        <w:t xml:space="preserve">Average over rapid phase while keeping the slowly varying amplitude fixed. Since the average of two real oscillatory factors supplies </w:t>
      </w:r>
      <m:oMath>
        <m:r>
          <m:t>1/2</m:t>
        </m:r>
      </m:oMath>
      <w:r>
        <w:rPr>
          <w:rtl w:val="0"/>
          <w:lang w:val="en-US"/>
        </w:rPr>
        <w:t xml:space="preserve">, contraction of </w:t>
      </w:r>
      <m:oMath>
        <m:sSub>
          <m:e>
            <m:r>
              <m:t>q</m:t>
            </m:r>
          </m:e>
          <m:sub>
            <m:r>
              <m:t>μ</m:t>
            </m:r>
          </m:sub>
        </m:sSub>
        <m:sSub>
          <m:e>
            <m:r>
              <m:t>a</m:t>
            </m:r>
          </m:e>
          <m:sub>
            <m:r>
              <m:t>ν</m:t>
            </m:r>
          </m:sub>
        </m:sSub>
        <m:r>
          <m:t>−</m:t>
        </m:r>
        <m:sSub>
          <m:e>
            <m:r>
              <m:t>q</m:t>
            </m:r>
          </m:e>
          <m:sub>
            <m:r>
              <m:t>ν</m:t>
            </m:r>
          </m:sub>
        </m:sSub>
        <m:sSub>
          <m:e>
            <m:r>
              <m:t>a</m:t>
            </m:r>
          </m:e>
          <m:sub>
            <m:r>
              <m:t>μ</m:t>
            </m:r>
          </m:sub>
        </m:sSub>
      </m:oMath>
      <w:r>
        <w:rPr>
          <w:rtl w:val="0"/>
          <w:lang w:val="en-US"/>
        </w:rPr>
        <w:t xml:space="preserve"> in (8.3) gives</w:t>
      </w:r>
    </w:p>
    <w:tbl>
      <w:tblPr>
        <w:tblW w:w="9522"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666"/>
        <w:gridCol w:w="8190"/>
        <w:gridCol w:w="666"/>
      </w:tblGrid>
      <w:tr>
        <w:tblPrEx>
          <w:shd w:val="clear" w:color="auto" w:fill="ced7e7"/>
        </w:tblPrEx>
        <w:trPr>
          <w:trHeight w:val="569" w:hRule="atLeast"/>
        </w:trPr>
        <w:tc>
          <w:tcPr>
            <w:tcW w:type="dxa" w:w="666"/>
            <w:tcBorders>
              <w:top w:val="nil"/>
              <w:left w:val="nil"/>
              <w:bottom w:val="nil"/>
              <w:right w:val="nil"/>
            </w:tcBorders>
            <w:shd w:val="clear" w:color="auto" w:fill="auto"/>
            <w:tcMar>
              <w:top w:type="dxa" w:w="80"/>
              <w:left w:type="dxa" w:w="80"/>
              <w:bottom w:type="dxa" w:w="80"/>
              <w:right w:type="dxa" w:w="80"/>
            </w:tcMar>
            <w:vAlign w:val="top"/>
          </w:tcPr>
          <w:p/>
        </w:tc>
        <w:tc>
          <w:tcPr>
            <w:tcW w:type="dxa" w:w="8190"/>
            <w:tcBorders>
              <w:top w:val="nil"/>
              <w:left w:val="nil"/>
              <w:bottom w:val="nil"/>
              <w:right w:val="nil"/>
            </w:tcBorders>
            <w:shd w:val="clear" w:color="auto" w:fill="auto"/>
            <w:tcMar>
              <w:top w:type="dxa" w:w="80"/>
              <w:left w:type="dxa" w:w="80"/>
              <w:bottom w:type="dxa" w:w="80"/>
              <w:right w:type="dxa" w:w="80"/>
            </w:tcMar>
            <w:vAlign w:val="top"/>
          </w:tcPr>
          <w:p>
            <w:pPr>
              <w:pStyle w:val="Текстовый блок"/>
              <w:spacing w:after="40" w:line="240" w:lineRule="auto"/>
              <w:jc w:val="center"/>
            </w:pPr>
            <m:oMathPara>
              <m:oMathParaPr>
                <m:jc m:val="center"/>
              </m:oMathParaPr>
              <m:oMath>
                <m:sSup>
                  <m:e>
                    <m:r>
                      <m:t>ε</m:t>
                    </m:r>
                  </m:e>
                  <m:sup>
                    <m:r>
                      <m:t>2</m:t>
                    </m:r>
                  </m:sup>
                </m:sSup>
                <m:r>
                  <m:t>⟨</m:t>
                </m:r>
                <m:sSup>
                  <m:e>
                    <m:r>
                      <m:t>T</m:t>
                    </m:r>
                  </m:e>
                  <m:sup>
                    <m:r>
                      <m:t>μν</m:t>
                    </m:r>
                  </m:sup>
                </m:sSup>
                <m:d>
                  <m:dPr>
                    <m:begChr m:val="["/>
                    <m:endChr m:val="]"/>
                  </m:dPr>
                  <m:e>
                    <m:sSup>
                      <m:e>
                        <m:r>
                          <m:t>A</m:t>
                        </m:r>
                      </m:e>
                      <m:sup>
                        <m:d>
                          <m:e>
                            <m:r>
                              <m:t>ε</m:t>
                            </m:r>
                          </m:e>
                        </m:d>
                      </m:sup>
                    </m:sSup>
                  </m:e>
                </m:d>
                <m:r>
                  <m:t>⟩=</m:t>
                </m:r>
                <m:f>
                  <m:fPr>
                    <m:type m:val="bar"/>
                  </m:fPr>
                  <m:num>
                    <m:r>
                      <m:t>γ</m:t>
                    </m:r>
                  </m:num>
                  <m:den>
                    <m:r>
                      <m:t>2</m:t>
                    </m:r>
                  </m:den>
                </m:f>
                <m:d>
                  <m:e>
                    <m:r>
                      <m:t>a⋅</m:t>
                    </m:r>
                    <m:limUpp>
                      <m:e>
                        <m:r>
                          <m:t>a</m:t>
                        </m:r>
                      </m:e>
                      <m:lim>
                        <m:r>
                          <m:rPr>
                            <m:sty m:val="p"/>
                          </m:rPr>
                          <m:t>‾</m:t>
                        </m:r>
                      </m:lim>
                    </m:limUpp>
                  </m:e>
                </m:d>
                <m:sSup>
                  <m:e>
                    <m:r>
                      <m:t>q</m:t>
                    </m:r>
                  </m:e>
                  <m:sup>
                    <m:r>
                      <m:t>μ</m:t>
                    </m:r>
                  </m:sup>
                </m:sSup>
                <m:sSup>
                  <m:e>
                    <m:r>
                      <m:t>q</m:t>
                    </m:r>
                  </m:e>
                  <m:sup>
                    <m:r>
                      <m:t>ν</m:t>
                    </m:r>
                  </m:sup>
                </m:sSup>
                <m:r>
                  <m:t>+O</m:t>
                </m:r>
                <m:d>
                  <m:e>
                    <m:r>
                      <m:t>ε</m:t>
                    </m:r>
                  </m:e>
                </m:d>
                <m:r>
                  <m:t>.</m:t>
                </m:r>
              </m:oMath>
            </m:oMathPara>
          </w:p>
        </w:tc>
        <w:tc>
          <w:tcPr>
            <w:tcW w:type="dxa" w:w="666"/>
            <w:tcBorders>
              <w:top w:val="nil"/>
              <w:left w:val="nil"/>
              <w:bottom w:val="nil"/>
              <w:right w:val="nil"/>
            </w:tcBorders>
            <w:shd w:val="clear" w:color="auto" w:fill="auto"/>
            <w:tcMar>
              <w:top w:type="dxa" w:w="80"/>
              <w:left w:type="dxa" w:w="80"/>
              <w:bottom w:type="dxa" w:w="80"/>
              <w:right w:type="dxa" w:w="80"/>
            </w:tcMar>
            <w:vAlign w:val="top"/>
          </w:tcPr>
          <w:p>
            <w:pPr>
              <w:pStyle w:val="Normal.0"/>
              <w:spacing w:after="40" w:line="240" w:lineRule="auto"/>
              <w:jc w:val="right"/>
            </w:pPr>
            <w:r>
              <w:rPr>
                <w:sz w:val="18"/>
                <w:szCs w:val="18"/>
                <w:rtl w:val="0"/>
                <w:lang w:val="en-US"/>
              </w:rPr>
              <w:t>(10.3)</w:t>
            </w:r>
          </w:p>
        </w:tc>
      </w:tr>
    </w:tbl>
    <w:p>
      <w:pPr>
        <w:pStyle w:val="Текстовый блок"/>
        <w:widowControl w:val="0"/>
        <w:spacing w:line="240" w:lineRule="atLeast"/>
        <w:jc w:val="center"/>
      </w:pPr>
    </w:p>
    <w:p>
      <w:pPr>
        <w:pStyle w:val="Текстовый блок"/>
        <w:spacing w:line="240" w:lineRule="atLeast"/>
      </w:pPr>
      <w:r>
        <w:rPr>
          <w:rtl w:val="0"/>
          <w:lang w:val="en-US"/>
        </w:rPr>
        <w:t xml:space="preserve">Equivalently the leading unscaled tensor is </w:t>
      </w:r>
      <m:oMath>
        <m:f>
          <m:fPr>
            <m:type m:val="bar"/>
          </m:fPr>
          <m:num>
            <m:r>
              <m:t>γ</m:t>
            </m:r>
          </m:num>
          <m:den>
            <m:r>
              <m:t>2</m:t>
            </m:r>
          </m:den>
        </m:f>
        <m:d>
          <m:e>
            <m:r>
              <m:t>a⋅</m:t>
            </m:r>
            <m:limUpp>
              <m:e>
                <m:r>
                  <m:t>a</m:t>
                </m:r>
              </m:e>
              <m:lim>
                <m:r>
                  <m:rPr>
                    <m:sty m:val="p"/>
                  </m:rPr>
                  <m:t>‾</m:t>
                </m:r>
              </m:lim>
            </m:limUpp>
          </m:e>
        </m:d>
        <m:sSup>
          <m:e>
            <m:r>
              <m:t>κ</m:t>
            </m:r>
          </m:e>
          <m:sup>
            <m:r>
              <m:t>μ</m:t>
            </m:r>
          </m:sup>
        </m:sSup>
        <m:sSup>
          <m:e>
            <m:r>
              <m:t>κ</m:t>
            </m:r>
          </m:e>
          <m:sup>
            <m:r>
              <m:t>ν</m:t>
            </m:r>
          </m:sup>
        </m:sSup>
      </m:oMath>
      <w:r>
        <w:rPr>
          <w:rtl w:val="0"/>
          <w:lang w:val="en-US"/>
        </w:rPr>
        <w:t xml:space="preserve">. The error statement concerns smooth asymptotic families on compact regions where the expansion is valid, not an estimate uniform through caustics. Gauge shifts by multiples of </w:t>
      </w:r>
      <m:oMath>
        <m:r>
          <m:t>q</m:t>
        </m:r>
      </m:oMath>
      <w:r>
        <w:rPr>
          <w:rtl w:val="0"/>
          <w:lang w:val="en-US"/>
        </w:rPr>
        <w:t xml:space="preserve"> leave the leading screen norm and tensor unchanged. Co-propagating mixed polarisations may be averaged within the same null ray sector; different propagation directions generally cannot.</w:t>
      </w:r>
    </w:p>
    <w:p>
      <w:pPr>
        <w:pStyle w:val="Текстовый блок"/>
        <w:spacing w:line="240" w:lineRule="atLeast"/>
      </w:pPr>
      <w:r>
        <w:rPr>
          <w:rtl w:val="0"/>
          <w:lang w:val="en-US"/>
        </w:rPr>
        <w:t xml:space="preserve">The notation </w:t>
      </w:r>
      <m:oMath>
        <m:sSup>
          <m:e>
            <m:r>
              <m:t>T</m:t>
            </m:r>
          </m:e>
          <m:sup>
            <m:r>
              <m:t>μν</m:t>
            </m:r>
          </m:sup>
        </m:sSup>
        <m:r>
          <m:t>=ρ</m:t>
        </m:r>
        <m:sSup>
          <m:e>
            <m:r>
              <m:t>q</m:t>
            </m:r>
          </m:e>
          <m:sup>
            <m:r>
              <m:t>μ</m:t>
            </m:r>
          </m:sup>
        </m:sSup>
        <m:sSup>
          <m:e>
            <m:r>
              <m:t>q</m:t>
            </m:r>
          </m:e>
          <m:sup>
            <m:r>
              <m:t>ν</m:t>
            </m:r>
          </m:sup>
        </m:sSup>
      </m:oMath>
      <w:r>
        <w:rPr>
          <w:rtl w:val="0"/>
          <w:lang w:val="en-US"/>
        </w:rPr>
        <w:t xml:space="preserve"> has a scaling redundancy: </w:t>
      </w:r>
      <m:oMath>
        <m:r>
          <m:t>q↦bq</m:t>
        </m:r>
      </m:oMath>
      <w:r>
        <w:rPr>
          <w:rtl w:val="0"/>
        </w:rPr>
        <w:t xml:space="preserve">, </w:t>
      </w:r>
      <m:oMath>
        <m:r>
          <m:t>ρ↦ρ/</m:t>
        </m:r>
        <m:sSup>
          <m:e>
            <m:r>
              <m:t>b</m:t>
            </m:r>
          </m:e>
          <m:sup>
            <m:r>
              <m:t>2</m:t>
            </m:r>
          </m:sup>
        </m:sSup>
      </m:oMath>
      <w:r>
        <w:rPr>
          <w:rtl w:val="0"/>
          <w:lang w:val="en-US"/>
        </w:rPr>
        <w:t xml:space="preserve">. The null direction alone therefore does not set energy density. Given a unit future observer </w:t>
      </w:r>
      <m:oMath>
        <m:r>
          <m:t>U</m:t>
        </m:r>
      </m:oMath>
      <w:r>
        <w:rPr>
          <w:rtl w:val="0"/>
          <w:lang w:val="en-US"/>
        </w:rPr>
        <w:t xml:space="preserve"> in </w:t>
      </w:r>
      <m:oMath>
        <m:r>
          <m:t>c=1</m:t>
        </m:r>
      </m:oMath>
      <w:r>
        <w:rPr>
          <w:rtl w:val="0"/>
          <w:lang w:val="en-US"/>
        </w:rPr>
        <w:t xml:space="preserve"> units, normalise </w:t>
      </w:r>
      <m:oMath>
        <m:r>
          <m:rPr>
            <m:sty m:val="p"/>
          </m:rPr>
          <m:t>ℓ</m:t>
        </m:r>
        <m:r>
          <m:t>=q/</m:t>
        </m:r>
        <m:d>
          <m:e>
            <m:r>
              <m:t>−U⋅q</m:t>
            </m:r>
          </m:e>
        </m:d>
      </m:oMath>
      <w:r>
        <w:rPr>
          <w:rtl w:val="0"/>
          <w:lang w:val="en-US"/>
        </w:rPr>
        <w:t xml:space="preserve"> and write </w:t>
      </w:r>
      <m:oMath>
        <m:r>
          <m:rPr>
            <m:sty m:val="p"/>
          </m:rPr>
          <m:t>ℓ</m:t>
        </m:r>
        <m:r>
          <m:t>=U+n</m:t>
        </m:r>
      </m:oMath>
      <w:r>
        <w:rPr>
          <w:rtl w:val="0"/>
          <w:lang w:val="en-US"/>
        </w:rPr>
        <w:t xml:space="preserve"> with </w:t>
      </w:r>
      <m:oMath>
        <m:r>
          <m:t>U⋅n=0</m:t>
        </m:r>
      </m:oMath>
      <w:r>
        <w:rPr>
          <w:rtl w:val="0"/>
        </w:rPr>
        <w:t xml:space="preserve">, </w:t>
      </w:r>
      <m:oMath>
        <m:sSup>
          <m:e>
            <m:r>
              <m:t>n</m:t>
            </m:r>
          </m:e>
          <m:sup>
            <m:r>
              <m:t>2</m:t>
            </m:r>
          </m:sup>
        </m:sSup>
        <m:r>
          <m:t>=1</m:t>
        </m:r>
      </m:oMath>
      <w:r>
        <w:rPr>
          <w:rtl w:val="0"/>
          <w:lang w:val="en-US"/>
        </w:rPr>
        <w:t xml:space="preserve">. The tensor is then </w:t>
      </w:r>
      <m:oMath>
        <m:r>
          <m:t>T=u</m:t>
        </m:r>
        <m:r>
          <m:rPr>
            <m:sty m:val="p"/>
          </m:rPr>
          <m:t>ℓ</m:t>
        </m:r>
        <m:r>
          <m:t>⊗</m:t>
        </m:r>
        <m:r>
          <m:rPr>
            <m:sty m:val="p"/>
          </m:rPr>
          <m:t>ℓ</m:t>
        </m:r>
      </m:oMath>
      <w:r>
        <w:rPr>
          <w:rtl w:val="0"/>
          <w:lang w:val="en-US"/>
        </w:rPr>
        <w:t xml:space="preserve">, where </w:t>
      </w:r>
      <m:oMath>
        <m:r>
          <m:t>u=</m:t>
        </m:r>
        <m:sSub>
          <m:e>
            <m:r>
              <m:t>T</m:t>
            </m:r>
          </m:e>
          <m:sub>
            <m:r>
              <m:t>μν</m:t>
            </m:r>
          </m:sub>
        </m:sSub>
        <m:sSup>
          <m:e>
            <m:r>
              <m:t>U</m:t>
            </m:r>
          </m:e>
          <m:sup>
            <m:r>
              <m:t>μ</m:t>
            </m:r>
          </m:sup>
        </m:sSup>
        <m:sSup>
          <m:e>
            <m:r>
              <m:t>U</m:t>
            </m:r>
          </m:e>
          <m:sup>
            <m:r>
              <m:t>ν</m:t>
            </m:r>
          </m:sup>
        </m:sSup>
      </m:oMath>
      <w:r>
        <w:rPr>
          <w:rtl w:val="0"/>
          <w:lang w:val="en-US"/>
        </w:rPr>
        <w:t xml:space="preserve"> is measured energy density.</w:t>
      </w:r>
    </w:p>
    <w:p>
      <w:pPr>
        <w:pStyle w:val="Текстовый блок"/>
        <w:keepLines w:val="1"/>
        <w:spacing w:before="60" w:line="240" w:lineRule="atLeast"/>
      </w:pPr>
      <w:r>
        <w:rPr>
          <w:b w:val="1"/>
          <w:bCs w:val="1"/>
          <w:rtl w:val="0"/>
          <w:lang w:val="en-US"/>
        </w:rPr>
        <w:t>Theorem 10.1 (Conditional null-sector functional closure).</w:t>
      </w:r>
      <w:r>
        <w:rPr>
          <w:rtl w:val="0"/>
          <w:lang w:val="en-US"/>
        </w:rPr>
        <w:t xml:space="preserve"> Under Assumption</w:t>
      </w:r>
      <w:r>
        <w:rPr>
          <w:rtl w:val="0"/>
          <w:lang w:val="en-US"/>
        </w:rPr>
        <w:t> </w:t>
      </w:r>
      <w:r>
        <w:rPr>
          <w:rtl w:val="0"/>
          <w:lang w:val="en-US"/>
        </w:rPr>
        <w:t>8.1, take either a nonzero exact null Maxwell field at a point, or the leading averaged tensor of a single-ray geometric-optics family. In an observer</w:t>
      </w:r>
      <w:r>
        <w:rPr>
          <w:rtl w:val="0"/>
          <w:lang w:val="en-US"/>
        </w:rPr>
        <w:t>’</w:t>
      </w:r>
      <w:r>
        <w:rPr>
          <w:rtl w:val="0"/>
          <w:lang w:val="en-US"/>
        </w:rPr>
        <w:t xml:space="preserve">s orthonormal frame, restoring SI units with </w:t>
      </w:r>
      <m:oMath>
        <m:sSup>
          <m:e>
            <m:r>
              <m:t>x</m:t>
            </m:r>
          </m:e>
          <m:sup>
            <m:r>
              <m:t>0</m:t>
            </m:r>
          </m:sup>
        </m:sSup>
        <m:r>
          <m:t>=ct</m:t>
        </m:r>
      </m:oMath>
      <w:r>
        <w:rPr>
          <w:rtl w:val="0"/>
          <w:lang w:val="en-US"/>
        </w:rPr>
        <w:t>, the same stress tensor has components</w:t>
      </w:r>
    </w:p>
    <w:tbl>
      <w:tblPr>
        <w:tblW w:w="9522"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666"/>
        <w:gridCol w:w="8190"/>
        <w:gridCol w:w="666"/>
      </w:tblGrid>
      <w:tr>
        <w:tblPrEx>
          <w:shd w:val="clear" w:color="auto" w:fill="ced7e7"/>
        </w:tblPrEx>
        <w:trPr>
          <w:trHeight w:val="569" w:hRule="atLeast"/>
        </w:trPr>
        <w:tc>
          <w:tcPr>
            <w:tcW w:type="dxa" w:w="666"/>
            <w:tcBorders>
              <w:top w:val="nil"/>
              <w:left w:val="nil"/>
              <w:bottom w:val="nil"/>
              <w:right w:val="nil"/>
            </w:tcBorders>
            <w:shd w:val="clear" w:color="auto" w:fill="auto"/>
            <w:tcMar>
              <w:top w:type="dxa" w:w="80"/>
              <w:left w:type="dxa" w:w="80"/>
              <w:bottom w:type="dxa" w:w="80"/>
              <w:right w:type="dxa" w:w="80"/>
            </w:tcMar>
            <w:vAlign w:val="top"/>
          </w:tcPr>
          <w:p/>
        </w:tc>
        <w:tc>
          <w:tcPr>
            <w:tcW w:type="dxa" w:w="8190"/>
            <w:tcBorders>
              <w:top w:val="nil"/>
              <w:left w:val="nil"/>
              <w:bottom w:val="nil"/>
              <w:right w:val="nil"/>
            </w:tcBorders>
            <w:shd w:val="clear" w:color="auto" w:fill="auto"/>
            <w:tcMar>
              <w:top w:type="dxa" w:w="80"/>
              <w:left w:type="dxa" w:w="80"/>
              <w:bottom w:type="dxa" w:w="80"/>
              <w:right w:type="dxa" w:w="80"/>
            </w:tcMar>
            <w:vAlign w:val="top"/>
          </w:tcPr>
          <w:p>
            <w:pPr>
              <w:pStyle w:val="Текстовый блок"/>
              <w:spacing w:after="40" w:line="240" w:lineRule="auto"/>
              <w:jc w:val="center"/>
            </w:pPr>
            <m:oMathPara>
              <m:oMathParaPr>
                <m:jc m:val="center"/>
              </m:oMathParaPr>
              <m:oMath>
                <m:sSup>
                  <m:e>
                    <m:r>
                      <m:t>T</m:t>
                    </m:r>
                  </m:e>
                  <m:sup>
                    <m:limUpp>
                      <m:e>
                        <m:r>
                          <m:t>μ</m:t>
                        </m:r>
                      </m:e>
                      <m:lim>
                        <m:r>
                          <m:rPr>
                            <m:sty m:val="p"/>
                          </m:rPr>
                          <m:t>^</m:t>
                        </m:r>
                      </m:lim>
                    </m:limUpp>
                    <m:limUpp>
                      <m:e>
                        <m:r>
                          <m:t>ν</m:t>
                        </m:r>
                      </m:e>
                      <m:lim>
                        <m:r>
                          <m:rPr>
                            <m:sty m:val="p"/>
                          </m:rPr>
                          <m:t>^</m:t>
                        </m:r>
                      </m:lim>
                    </m:limUpp>
                  </m:sup>
                </m:sSup>
                <m:r>
                  <m:t>=u</m:t>
                </m:r>
                <m:d>
                  <m:e>
                    <m:m>
                      <m:mPr>
                        <m:baseJc m:val="center"/>
                        <m:plcHide m:val="on"/>
                        <m:mcs>
                          <m:mc>
                            <m:mcPr>
                              <m:count m:val="2"/>
                              <m:mcJc m:val="center"/>
                            </m:mcPr>
                          </m:mc>
                        </m:mcs>
                      </m:mPr>
                      <m:mr>
                        <m:e>
                          <m:r>
                            <m:t>1</m:t>
                          </m:r>
                        </m:e>
                        <m:e>
                          <m:sSup>
                            <m:e>
                              <m:r>
                                <m:rPr>
                                  <m:sty m:val="b"/>
                                </m:rPr>
                                <m:t>n</m:t>
                              </m:r>
                            </m:e>
                            <m:sup>
                              <m:r>
                                <m:rPr>
                                  <m:sty m:val="p"/>
                                  <m:scr m:val="sans-serif"/>
                                </m:rPr>
                                <m:t>T</m:t>
                              </m:r>
                            </m:sup>
                          </m:sSup>
                        </m:e>
                      </m:mr>
                      <m:mr>
                        <m:e>
                          <m:r>
                            <m:rPr>
                              <m:sty m:val="b"/>
                            </m:rPr>
                            <m:t>n</m:t>
                          </m:r>
                        </m:e>
                        <m:e>
                          <m:r>
                            <m:rPr>
                              <m:sty m:val="b"/>
                            </m:rPr>
                            <m:t>n</m:t>
                          </m:r>
                          <m:sSup>
                            <m:e>
                              <m:r>
                                <m:rPr>
                                  <m:sty m:val="b"/>
                                </m:rPr>
                                <m:t>n</m:t>
                              </m:r>
                            </m:e>
                            <m:sup>
                              <m:r>
                                <m:rPr>
                                  <m:sty m:val="p"/>
                                  <m:scr m:val="sans-serif"/>
                                </m:rPr>
                                <m:t>T</m:t>
                              </m:r>
                            </m:sup>
                          </m:sSup>
                        </m:e>
                      </m:mr>
                    </m:m>
                  </m:e>
                </m:d>
                <m:r>
                  <m:t>,</m:t>
                </m:r>
                <m:d>
                  <m:dPr>
                    <m:begChr m:val="|"/>
                    <m:endChr m:val="|"/>
                  </m:dPr>
                  <m:e>
                    <m:r>
                      <m:rPr>
                        <m:sty m:val="b"/>
                      </m:rPr>
                      <m:t>n</m:t>
                    </m:r>
                  </m:e>
                </m:d>
                <m:r>
                  <m:t>=1,</m:t>
                </m:r>
              </m:oMath>
            </m:oMathPara>
          </w:p>
        </w:tc>
        <w:tc>
          <w:tcPr>
            <w:tcW w:type="dxa" w:w="666"/>
            <w:tcBorders>
              <w:top w:val="nil"/>
              <w:left w:val="nil"/>
              <w:bottom w:val="nil"/>
              <w:right w:val="nil"/>
            </w:tcBorders>
            <w:shd w:val="clear" w:color="auto" w:fill="auto"/>
            <w:tcMar>
              <w:top w:type="dxa" w:w="80"/>
              <w:left w:type="dxa" w:w="80"/>
              <w:bottom w:type="dxa" w:w="80"/>
              <w:right w:type="dxa" w:w="80"/>
            </w:tcMar>
            <w:vAlign w:val="top"/>
          </w:tcPr>
          <w:p>
            <w:pPr>
              <w:pStyle w:val="Normal.0"/>
              <w:spacing w:after="40" w:line="240" w:lineRule="auto"/>
              <w:jc w:val="right"/>
            </w:pPr>
            <w:r>
              <w:rPr>
                <w:sz w:val="18"/>
                <w:szCs w:val="18"/>
                <w:rtl w:val="0"/>
                <w:lang w:val="en-US"/>
              </w:rPr>
              <w:t>(10.4)</w:t>
            </w:r>
          </w:p>
        </w:tc>
      </w:tr>
    </w:tbl>
    <w:p>
      <w:pPr>
        <w:pStyle w:val="Текстовый блок"/>
        <w:keepLines w:val="1"/>
        <w:widowControl w:val="0"/>
        <w:spacing w:before="60" w:line="240" w:lineRule="atLeast"/>
        <w:jc w:val="center"/>
      </w:pPr>
    </w:p>
    <w:p>
      <w:pPr>
        <w:pStyle w:val="Текстовый блок"/>
        <w:spacing w:line="240" w:lineRule="atLeast"/>
      </w:pPr>
      <w:r>
        <w:rPr>
          <w:rtl w:val="0"/>
          <w:lang w:val="en-US"/>
        </w:rPr>
        <w:t>and consequently</w:t>
      </w:r>
    </w:p>
    <w:tbl>
      <w:tblPr>
        <w:tblW w:w="9522"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666"/>
        <w:gridCol w:w="8190"/>
        <w:gridCol w:w="666"/>
      </w:tblGrid>
      <w:tr>
        <w:tblPrEx>
          <w:shd w:val="clear" w:color="auto" w:fill="ced7e7"/>
        </w:tblPrEx>
        <w:trPr>
          <w:trHeight w:val="503" w:hRule="atLeast"/>
        </w:trPr>
        <w:tc>
          <w:tcPr>
            <w:tcW w:type="dxa" w:w="666"/>
            <w:tcBorders>
              <w:top w:val="nil"/>
              <w:left w:val="nil"/>
              <w:bottom w:val="nil"/>
              <w:right w:val="nil"/>
            </w:tcBorders>
            <w:shd w:val="clear" w:color="auto" w:fill="auto"/>
            <w:tcMar>
              <w:top w:type="dxa" w:w="80"/>
              <w:left w:type="dxa" w:w="80"/>
              <w:bottom w:type="dxa" w:w="80"/>
              <w:right w:type="dxa" w:w="80"/>
            </w:tcMar>
            <w:vAlign w:val="top"/>
          </w:tcPr>
          <w:p/>
        </w:tc>
        <w:tc>
          <w:tcPr>
            <w:tcW w:type="dxa" w:w="8190"/>
            <w:tcBorders>
              <w:top w:val="nil"/>
              <w:left w:val="nil"/>
              <w:bottom w:val="nil"/>
              <w:right w:val="nil"/>
            </w:tcBorders>
            <w:shd w:val="clear" w:color="auto" w:fill="auto"/>
            <w:tcMar>
              <w:top w:type="dxa" w:w="80"/>
              <w:left w:type="dxa" w:w="80"/>
              <w:bottom w:type="dxa" w:w="80"/>
              <w:right w:type="dxa" w:w="80"/>
            </w:tcMar>
            <w:vAlign w:val="top"/>
          </w:tcPr>
          <w:p>
            <w:pPr>
              <w:pStyle w:val="Текстовый блок"/>
              <w:spacing w:after="40" w:line="240" w:lineRule="auto"/>
              <w:jc w:val="center"/>
            </w:pPr>
            <m:oMathPara>
              <m:oMathParaPr>
                <m:jc m:val="center"/>
              </m:oMathParaPr>
              <m:oMath>
                <m:r>
                  <m:rPr>
                    <m:sty m:val="b"/>
                  </m:rPr>
                  <m:t>S</m:t>
                </m:r>
                <m:r>
                  <m:t>=cu</m:t>
                </m:r>
                <m:r>
                  <m:rPr>
                    <m:sty m:val="b"/>
                  </m:rPr>
                  <m:t>n</m:t>
                </m:r>
                <m:r>
                  <m:t>,</m:t>
                </m:r>
                <m:sSub>
                  <m:e>
                    <m:r>
                      <m:rPr>
                        <m:sty m:val="b"/>
                      </m:rPr>
                      <m:t>g</m:t>
                    </m:r>
                  </m:e>
                  <m:sub>
                    <m:r>
                      <m:rPr>
                        <m:sty m:val="p"/>
                      </m:rPr>
                      <m:t>mom</m:t>
                    </m:r>
                  </m:sub>
                </m:sSub>
                <m:r>
                  <m:t>=</m:t>
                </m:r>
                <m:f>
                  <m:fPr>
                    <m:type m:val="bar"/>
                  </m:fPr>
                  <m:num>
                    <m:r>
                      <m:rPr>
                        <m:sty m:val="b"/>
                      </m:rPr>
                      <m:t>S</m:t>
                    </m:r>
                  </m:num>
                  <m:den>
                    <m:sSup>
                      <m:e>
                        <m:r>
                          <m:t>c</m:t>
                        </m:r>
                      </m:e>
                      <m:sup>
                        <m:r>
                          <m:t>2</m:t>
                        </m:r>
                      </m:sup>
                    </m:sSup>
                  </m:den>
                </m:f>
                <m:r>
                  <m:t>=</m:t>
                </m:r>
                <m:f>
                  <m:fPr>
                    <m:type m:val="bar"/>
                  </m:fPr>
                  <m:num>
                    <m:r>
                      <m:t>u</m:t>
                    </m:r>
                  </m:num>
                  <m:den>
                    <m:r>
                      <m:t>c</m:t>
                    </m:r>
                  </m:den>
                </m:f>
                <m:r>
                  <m:rPr>
                    <m:sty m:val="b"/>
                  </m:rPr>
                  <m:t>n</m:t>
                </m:r>
                <m:r>
                  <m:t>,</m:t>
                </m:r>
                <m:sSub>
                  <m:e>
                    <m:r>
                      <m:t>Π</m:t>
                    </m:r>
                  </m:e>
                  <m:sub>
                    <m:r>
                      <m:t>ij</m:t>
                    </m:r>
                  </m:sub>
                </m:sSub>
                <m:r>
                  <m:t>=u</m:t>
                </m:r>
                <m:sSub>
                  <m:e>
                    <m:r>
                      <m:t>n</m:t>
                    </m:r>
                  </m:e>
                  <m:sub>
                    <m:r>
                      <m:t>i</m:t>
                    </m:r>
                  </m:sub>
                </m:sSub>
                <m:sSub>
                  <m:e>
                    <m:r>
                      <m:t>n</m:t>
                    </m:r>
                  </m:e>
                  <m:sub>
                    <m:r>
                      <m:t>j</m:t>
                    </m:r>
                  </m:sub>
                </m:sSub>
                <m:r>
                  <m:t>,</m:t>
                </m:r>
                <m:sSub>
                  <m:e>
                    <m:r>
                      <m:t>Π</m:t>
                    </m:r>
                  </m:e>
                  <m:sub>
                    <m:r>
                      <m:t>nn</m:t>
                    </m:r>
                  </m:sub>
                </m:sSub>
                <m:r>
                  <m:t>=u=I/c.</m:t>
                </m:r>
              </m:oMath>
            </m:oMathPara>
          </w:p>
        </w:tc>
        <w:tc>
          <w:tcPr>
            <w:tcW w:type="dxa" w:w="666"/>
            <w:tcBorders>
              <w:top w:val="nil"/>
              <w:left w:val="nil"/>
              <w:bottom w:val="nil"/>
              <w:right w:val="nil"/>
            </w:tcBorders>
            <w:shd w:val="clear" w:color="auto" w:fill="auto"/>
            <w:tcMar>
              <w:top w:type="dxa" w:w="80"/>
              <w:left w:type="dxa" w:w="80"/>
              <w:bottom w:type="dxa" w:w="80"/>
              <w:right w:type="dxa" w:w="80"/>
            </w:tcMar>
            <w:vAlign w:val="top"/>
          </w:tcPr>
          <w:p>
            <w:pPr>
              <w:pStyle w:val="Normal.0"/>
              <w:spacing w:after="40" w:line="240" w:lineRule="auto"/>
              <w:jc w:val="right"/>
            </w:pPr>
            <w:r>
              <w:rPr>
                <w:sz w:val="18"/>
                <w:szCs w:val="18"/>
                <w:rtl w:val="0"/>
                <w:lang w:val="en-US"/>
              </w:rPr>
              <w:t>(10.5)</w:t>
            </w:r>
          </w:p>
        </w:tc>
      </w:tr>
    </w:tbl>
    <w:p>
      <w:pPr>
        <w:pStyle w:val="Текстовый блок"/>
        <w:widowControl w:val="0"/>
        <w:spacing w:line="240" w:lineRule="atLeast"/>
        <w:jc w:val="center"/>
      </w:pPr>
    </w:p>
    <w:p>
      <w:pPr>
        <w:pStyle w:val="Текстовый блок"/>
        <w:spacing w:line="240" w:lineRule="atLeast"/>
      </w:pPr>
      <w:r>
        <w:rPr>
          <w:rtl w:val="0"/>
          <w:lang w:val="en-US"/>
        </w:rPr>
        <w:t xml:space="preserve">Here </w:t>
      </w:r>
      <m:oMath>
        <m:r>
          <m:t>I=</m:t>
        </m:r>
        <m:d>
          <m:dPr>
            <m:begChr m:val="|"/>
            <m:endChr m:val="|"/>
          </m:dPr>
          <m:e>
            <m:r>
              <m:rPr>
                <m:sty m:val="b"/>
              </m:rPr>
              <m:t>S</m:t>
            </m:r>
          </m:e>
        </m:d>
      </m:oMath>
      <w:r>
        <w:rPr>
          <w:rtl w:val="0"/>
        </w:rPr>
        <w:t xml:space="preserve">, </w:t>
      </w:r>
      <m:oMath>
        <m:sSub>
          <m:e>
            <m:r>
              <m:rPr>
                <m:sty m:val="b"/>
              </m:rPr>
              <m:t>g</m:t>
            </m:r>
          </m:e>
          <m:sub>
            <m:r>
              <m:rPr>
                <m:sty m:val="p"/>
              </m:rPr>
              <m:t>mom</m:t>
            </m:r>
          </m:sub>
        </m:sSub>
      </m:oMath>
      <w:r>
        <w:rPr>
          <w:rtl w:val="0"/>
          <w:lang w:val="en-US"/>
        </w:rPr>
        <w:t xml:space="preserve"> is momentum density and </w:t>
      </w:r>
      <m:oMath>
        <m:r>
          <m:t>Π</m:t>
        </m:r>
      </m:oMath>
      <w:r>
        <w:rPr>
          <w:rtl w:val="0"/>
          <w:lang w:val="en-US"/>
        </w:rPr>
        <w:t xml:space="preserve"> is momentum flux. For geometric optics these are leading-order relations. Boundary force is obtained only after the incoming and outgoing fluxes have been specified.</w:t>
      </w:r>
    </w:p>
    <w:p>
      <w:pPr>
        <w:pStyle w:val="Текстовый блок"/>
        <w:spacing w:before="20" w:line="240" w:lineRule="atLeast"/>
      </w:pPr>
      <w:r>
        <w:rPr>
          <w:i w:val="1"/>
          <w:iCs w:val="1"/>
          <w:rtl w:val="0"/>
          <w:lang w:val="en-US"/>
        </w:rPr>
        <w:t>Proof.</w:t>
      </w:r>
      <w:r>
        <w:rPr>
          <w:rtl w:val="0"/>
          <w:lang w:val="en-US"/>
        </w:rPr>
        <w:t xml:space="preserve"> For geometric optics, (10.3) and the observer normalisation give (10.4). For an exact null field choose the observer</w:t>
      </w:r>
      <w:r>
        <w:rPr>
          <w:rtl w:val="0"/>
          <w:lang w:val="en-US"/>
        </w:rPr>
        <w:t>’</w:t>
      </w:r>
      <w:r>
        <w:rPr>
          <w:rtl w:val="0"/>
          <w:lang w:val="en-US"/>
        </w:rPr>
        <w:t xml:space="preserve">s spatial axes so that </w:t>
      </w:r>
      <m:oMath>
        <m:r>
          <m:rPr>
            <m:sty m:val="b"/>
          </m:rPr>
          <m:t>E</m:t>
        </m:r>
        <m:r>
          <m:t>⊥</m:t>
        </m:r>
        <m:r>
          <m:rPr>
            <m:sty m:val="b"/>
          </m:rPr>
          <m:t>B</m:t>
        </m:r>
      </m:oMath>
      <w:r>
        <w:rPr>
          <w:rtl w:val="0"/>
          <w:lang w:val="en-US"/>
        </w:rPr>
        <w:t xml:space="preserve"> and </w:t>
      </w:r>
      <m:oMath>
        <m:d>
          <m:dPr>
            <m:begChr m:val="|"/>
            <m:endChr m:val="|"/>
          </m:dPr>
          <m:e>
            <m:r>
              <m:rPr>
                <m:sty m:val="b"/>
              </m:rPr>
              <m:t>E</m:t>
            </m:r>
          </m:e>
        </m:d>
        <m:r>
          <m:t>=c</m:t>
        </m:r>
        <m:d>
          <m:dPr>
            <m:begChr m:val="|"/>
            <m:endChr m:val="|"/>
          </m:dPr>
          <m:e>
            <m:r>
              <m:rPr>
                <m:sty m:val="b"/>
              </m:rPr>
              <m:t>B</m:t>
            </m:r>
          </m:e>
        </m:d>
      </m:oMath>
      <w:r>
        <w:rPr>
          <w:rtl w:val="0"/>
          <w:lang w:val="fr-FR"/>
        </w:rPr>
        <w:t>. Substitution in</w:t>
      </w:r>
    </w:p>
    <w:p>
      <w:pPr>
        <w:pStyle w:val="Текстовый блок"/>
        <w:spacing w:line="240" w:lineRule="atLeast"/>
        <w:jc w:val="center"/>
      </w:pPr>
      <m:oMathPara>
        <m:oMathParaPr>
          <m:jc m:val="center"/>
        </m:oMathParaPr>
        <m:oMath>
          <m:r>
            <m:t>u=</m:t>
          </m:r>
          <m:f>
            <m:fPr>
              <m:type m:val="bar"/>
            </m:fPr>
            <m:num>
              <m:sSub>
                <m:e>
                  <m:r>
                    <m:t>ϵ</m:t>
                  </m:r>
                </m:e>
                <m:sub>
                  <m:r>
                    <m:t>0</m:t>
                  </m:r>
                </m:sub>
              </m:sSub>
            </m:num>
            <m:den>
              <m:r>
                <m:t>2</m:t>
              </m:r>
            </m:den>
          </m:f>
          <m:d>
            <m:e>
              <m:sSup>
                <m:e>
                  <m:r>
                    <m:t>E</m:t>
                  </m:r>
                </m:e>
                <m:sup>
                  <m:r>
                    <m:t>2</m:t>
                  </m:r>
                </m:sup>
              </m:sSup>
              <m:r>
                <m:t>+</m:t>
              </m:r>
              <m:sSup>
                <m:e>
                  <m:r>
                    <m:t>c</m:t>
                  </m:r>
                </m:e>
                <m:sup>
                  <m:r>
                    <m:t>2</m:t>
                  </m:r>
                </m:sup>
              </m:sSup>
              <m:sSup>
                <m:e>
                  <m:r>
                    <m:t>B</m:t>
                  </m:r>
                </m:e>
                <m:sup>
                  <m:r>
                    <m:t>2</m:t>
                  </m:r>
                </m:sup>
              </m:sSup>
            </m:e>
          </m:d>
          <m:r>
            <m:t>,</m:t>
          </m:r>
          <m:r>
            <m:rPr>
              <m:sty m:val="b"/>
            </m:rPr>
            <m:t>S</m:t>
          </m:r>
          <m:r>
            <m:t>=</m:t>
          </m:r>
          <m:sSub>
            <m:e>
              <m:r>
                <m:t>ϵ</m:t>
              </m:r>
            </m:e>
            <m:sub>
              <m:r>
                <m:t>0</m:t>
              </m:r>
            </m:sub>
          </m:sSub>
          <m:sSup>
            <m:e>
              <m:r>
                <m:t>c</m:t>
              </m:r>
            </m:e>
            <m:sup>
              <m:r>
                <m:t>2</m:t>
              </m:r>
            </m:sup>
          </m:sSup>
          <m:r>
            <m:rPr>
              <m:sty m:val="b"/>
            </m:rPr>
            <m:t>E</m:t>
          </m:r>
          <m:r>
            <m:t>×</m:t>
          </m:r>
          <m:r>
            <m:rPr>
              <m:sty m:val="b"/>
            </m:rPr>
            <m:t>B</m:t>
          </m:r>
          <m:r>
            <m:t>,</m:t>
          </m:r>
        </m:oMath>
      </m:oMathPara>
    </w:p>
    <w:tbl>
      <w:tblPr>
        <w:tblW w:w="9522"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666"/>
        <w:gridCol w:w="8190"/>
        <w:gridCol w:w="666"/>
      </w:tblGrid>
      <w:tr>
        <w:tblPrEx>
          <w:shd w:val="clear" w:color="auto" w:fill="ced7e7"/>
        </w:tblPrEx>
        <w:trPr>
          <w:trHeight w:val="434" w:hRule="atLeast"/>
        </w:trPr>
        <w:tc>
          <w:tcPr>
            <w:tcW w:type="dxa" w:w="666"/>
            <w:tcBorders>
              <w:top w:val="nil"/>
              <w:left w:val="nil"/>
              <w:bottom w:val="nil"/>
              <w:right w:val="nil"/>
            </w:tcBorders>
            <w:shd w:val="clear" w:color="auto" w:fill="auto"/>
            <w:tcMar>
              <w:top w:type="dxa" w:w="80"/>
              <w:left w:type="dxa" w:w="80"/>
              <w:bottom w:type="dxa" w:w="80"/>
              <w:right w:type="dxa" w:w="80"/>
            </w:tcMar>
            <w:vAlign w:val="top"/>
          </w:tcPr>
          <w:p/>
        </w:tc>
        <w:tc>
          <w:tcPr>
            <w:tcW w:type="dxa" w:w="8190"/>
            <w:tcBorders>
              <w:top w:val="nil"/>
              <w:left w:val="nil"/>
              <w:bottom w:val="nil"/>
              <w:right w:val="nil"/>
            </w:tcBorders>
            <w:shd w:val="clear" w:color="auto" w:fill="auto"/>
            <w:tcMar>
              <w:top w:type="dxa" w:w="80"/>
              <w:left w:type="dxa" w:w="80"/>
              <w:bottom w:type="dxa" w:w="80"/>
              <w:right w:type="dxa" w:w="80"/>
            </w:tcMar>
            <w:vAlign w:val="top"/>
          </w:tcPr>
          <w:p>
            <w:pPr>
              <w:pStyle w:val="Текстовый блок"/>
              <w:spacing w:after="40" w:line="240" w:lineRule="auto"/>
              <w:jc w:val="center"/>
            </w:pPr>
            <m:oMathPara>
              <m:oMathParaPr>
                <m:jc m:val="center"/>
              </m:oMathParaPr>
              <m:oMath>
                <m:sSub>
                  <m:e>
                    <m:r>
                      <m:t>Π</m:t>
                    </m:r>
                  </m:e>
                  <m:sub>
                    <m:r>
                      <m:t>ij</m:t>
                    </m:r>
                  </m:sub>
                </m:sSub>
                <m:r>
                  <m:t>=u</m:t>
                </m:r>
                <m:sSub>
                  <m:e>
                    <m:r>
                      <m:t>δ</m:t>
                    </m:r>
                  </m:e>
                  <m:sub>
                    <m:r>
                      <m:t>ij</m:t>
                    </m:r>
                  </m:sub>
                </m:sSub>
                <m:r>
                  <m:t>−</m:t>
                </m:r>
                <m:sSub>
                  <m:e>
                    <m:r>
                      <m:t>ϵ</m:t>
                    </m:r>
                  </m:e>
                  <m:sub>
                    <m:r>
                      <m:t>0</m:t>
                    </m:r>
                  </m:sub>
                </m:sSub>
                <m:d>
                  <m:e>
                    <m:sSub>
                      <m:e>
                        <m:r>
                          <m:t>E</m:t>
                        </m:r>
                      </m:e>
                      <m:sub>
                        <m:r>
                          <m:t>i</m:t>
                        </m:r>
                      </m:sub>
                    </m:sSub>
                    <m:sSub>
                      <m:e>
                        <m:r>
                          <m:t>E</m:t>
                        </m:r>
                      </m:e>
                      <m:sub>
                        <m:r>
                          <m:t>j</m:t>
                        </m:r>
                      </m:sub>
                    </m:sSub>
                    <m:r>
                      <m:t>+</m:t>
                    </m:r>
                    <m:sSup>
                      <m:e>
                        <m:r>
                          <m:t>c</m:t>
                        </m:r>
                      </m:e>
                      <m:sup>
                        <m:r>
                          <m:t>2</m:t>
                        </m:r>
                      </m:sup>
                    </m:sSup>
                    <m:sSub>
                      <m:e>
                        <m:r>
                          <m:t>B</m:t>
                        </m:r>
                      </m:e>
                      <m:sub>
                        <m:r>
                          <m:t>i</m:t>
                        </m:r>
                      </m:sub>
                    </m:sSub>
                    <m:sSub>
                      <m:e>
                        <m:r>
                          <m:t>B</m:t>
                        </m:r>
                      </m:e>
                      <m:sub>
                        <m:r>
                          <m:t>j</m:t>
                        </m:r>
                      </m:sub>
                    </m:sSub>
                  </m:e>
                </m:d>
              </m:oMath>
            </m:oMathPara>
          </w:p>
        </w:tc>
        <w:tc>
          <w:tcPr>
            <w:tcW w:type="dxa" w:w="666"/>
            <w:tcBorders>
              <w:top w:val="nil"/>
              <w:left w:val="nil"/>
              <w:bottom w:val="nil"/>
              <w:right w:val="nil"/>
            </w:tcBorders>
            <w:shd w:val="clear" w:color="auto" w:fill="auto"/>
            <w:tcMar>
              <w:top w:type="dxa" w:w="80"/>
              <w:left w:type="dxa" w:w="80"/>
              <w:bottom w:type="dxa" w:w="80"/>
              <w:right w:type="dxa" w:w="80"/>
            </w:tcMar>
            <w:vAlign w:val="top"/>
          </w:tcPr>
          <w:p>
            <w:pPr>
              <w:pStyle w:val="Normal.0"/>
              <w:spacing w:after="40" w:line="240" w:lineRule="auto"/>
              <w:jc w:val="right"/>
            </w:pPr>
            <w:r>
              <w:rPr>
                <w:sz w:val="18"/>
                <w:szCs w:val="18"/>
                <w:rtl w:val="0"/>
                <w:lang w:val="en-US"/>
              </w:rPr>
              <w:t>(10.6)</w:t>
            </w:r>
          </w:p>
        </w:tc>
      </w:tr>
    </w:tbl>
    <w:p>
      <w:pPr>
        <w:pStyle w:val="Текстовый блок"/>
        <w:widowControl w:val="0"/>
        <w:spacing w:line="240" w:lineRule="atLeast"/>
        <w:jc w:val="center"/>
      </w:pPr>
    </w:p>
    <w:p>
      <w:pPr>
        <w:pStyle w:val="Текстовый блок"/>
        <w:spacing w:line="240" w:lineRule="atLeast"/>
      </w:pPr>
      <w:r>
        <w:rPr>
          <w:rtl w:val="0"/>
          <w:lang w:val="en-US"/>
        </w:rPr>
        <w:t xml:space="preserve">gives the same rank-one spatial flux. In </w:t>
      </w:r>
      <m:oMath>
        <m:sSup>
          <m:e>
            <m:r>
              <m:t>x</m:t>
            </m:r>
          </m:e>
          <m:sup>
            <m:r>
              <m:t>0</m:t>
            </m:r>
          </m:sup>
        </m:sSup>
        <m:r>
          <m:t>=ct</m:t>
        </m:r>
      </m:oMath>
      <w:r>
        <w:rPr>
          <w:rtl w:val="0"/>
          <w:lang w:val="en-US"/>
        </w:rPr>
        <w:t xml:space="preserve"> coordinates, </w:t>
      </w:r>
      <m:oMath>
        <m:sSup>
          <m:e>
            <m:r>
              <m:t>T</m:t>
            </m:r>
          </m:e>
          <m:sup>
            <m:r>
              <m:t>00</m:t>
            </m:r>
          </m:sup>
        </m:sSup>
        <m:r>
          <m:t>=u</m:t>
        </m:r>
      </m:oMath>
      <w:r>
        <w:rPr>
          <w:rtl w:val="0"/>
        </w:rPr>
        <w:t xml:space="preserve">, </w:t>
      </w:r>
      <m:oMath>
        <m:sSup>
          <m:e>
            <m:r>
              <m:t>T</m:t>
            </m:r>
          </m:e>
          <m:sup>
            <m:r>
              <m:t>0i</m:t>
            </m:r>
          </m:sup>
        </m:sSup>
        <m:r>
          <m:t>=</m:t>
        </m:r>
        <m:sSub>
          <m:e>
            <m:r>
              <m:t>S</m:t>
            </m:r>
          </m:e>
          <m:sub>
            <m:r>
              <m:t>i</m:t>
            </m:r>
          </m:sub>
        </m:sSub>
        <m:r>
          <m:t>/c=c</m:t>
        </m:r>
        <m:sSub>
          <m:e>
            <m:r>
              <m:t>g</m:t>
            </m:r>
          </m:e>
          <m:sub>
            <m:r>
              <m:rPr>
                <m:sty m:val="p"/>
              </m:rPr>
              <m:t>mom</m:t>
            </m:r>
            <m:r>
              <m:t>,i</m:t>
            </m:r>
          </m:sub>
        </m:sSub>
      </m:oMath>
      <w:r>
        <w:rPr>
          <w:rtl w:val="0"/>
          <w:lang w:val="en-US"/>
        </w:rPr>
        <w:t xml:space="preserve"> and </w:t>
      </w:r>
      <m:oMath>
        <m:sSup>
          <m:e>
            <m:r>
              <m:t>T</m:t>
            </m:r>
          </m:e>
          <m:sup>
            <m:r>
              <m:t>ij</m:t>
            </m:r>
          </m:sup>
        </m:sSup>
        <m:r>
          <m:t>=</m:t>
        </m:r>
        <m:sSub>
          <m:e>
            <m:r>
              <m:t>Π</m:t>
            </m:r>
          </m:e>
          <m:sub>
            <m:r>
              <m:t>ij</m:t>
            </m:r>
          </m:sub>
        </m:sSub>
      </m:oMath>
      <w:r>
        <w:rPr>
          <w:rtl w:val="0"/>
          <w:lang w:val="en-US"/>
        </w:rPr>
        <w:t>. Reading off these components proves (10.5).</w:t>
      </w:r>
      <w:r>
        <w:rPr>
          <w:rtl w:val="0"/>
          <w:lang w:val="en-US"/>
        </w:rPr>
        <w:t> □</w:t>
      </w:r>
    </w:p>
    <w:p>
      <w:pPr>
        <w:pStyle w:val="Текстовый блок"/>
        <w:spacing w:line="240" w:lineRule="atLeast"/>
      </w:pPr>
      <w:r>
        <w:rPr>
          <w:rtl w:val="0"/>
          <w:lang w:val="en-US"/>
        </w:rPr>
        <w:t xml:space="preserve">The SI expressions use the vacuum constitutive relation </w:t>
      </w:r>
      <m:oMath>
        <m:sSub>
          <m:e>
            <m:r>
              <m:t>ϵ</m:t>
            </m:r>
          </m:e>
          <m:sub>
            <m:r>
              <m:t>0</m:t>
            </m:r>
          </m:sub>
        </m:sSub>
        <m:sSub>
          <m:e>
            <m:r>
              <m:t>μ</m:t>
            </m:r>
          </m:e>
          <m:sub>
            <m:r>
              <m:t>0</m:t>
            </m:r>
          </m:sub>
        </m:sSub>
        <m:sSup>
          <m:e>
            <m:r>
              <m:t>c</m:t>
            </m:r>
          </m:e>
          <m:sup>
            <m:r>
              <m:t>2</m:t>
            </m:r>
          </m:sup>
        </m:sSup>
        <m:r>
          <m:t>=1</m:t>
        </m:r>
      </m:oMath>
      <w:r>
        <w:rPr>
          <w:rtl w:val="0"/>
          <w:lang w:val="en-US"/>
        </w:rPr>
        <w:t xml:space="preserve"> and the standard field normalisation. They do not derive these constitutive assumptions from relational data.</w:t>
      </w:r>
    </w:p>
    <w:p>
      <w:pPr>
        <w:pStyle w:val="Текстовый блок"/>
        <w:spacing w:line="240" w:lineRule="atLeast"/>
      </w:pPr>
      <w:r>
        <w:rPr>
          <w:rtl w:val="0"/>
          <w:lang w:val="en-US"/>
        </w:rPr>
        <w:t xml:space="preserve">Some texts call </w:t>
      </w:r>
      <m:oMath>
        <m:sSub>
          <m:e>
            <m:r>
              <m:t>σ</m:t>
            </m:r>
          </m:e>
          <m:sub>
            <m:r>
              <m:t>ij</m:t>
            </m:r>
          </m:sub>
        </m:sSub>
        <m:r>
          <m:t>=−</m:t>
        </m:r>
        <m:sSub>
          <m:e>
            <m:r>
              <m:t>Π</m:t>
            </m:r>
          </m:e>
          <m:sub>
            <m:r>
              <m:t>ij</m:t>
            </m:r>
          </m:sub>
        </m:sSub>
      </m:oMath>
      <w:r>
        <w:rPr>
          <w:rtl w:val="0"/>
          <w:lang w:val="en-US"/>
        </w:rPr>
        <w:t xml:space="preserve"> the Maxwell stress tensor. With that sign convention the Lorentz force density satisfies</w:t>
      </w:r>
    </w:p>
    <w:tbl>
      <w:tblPr>
        <w:tblW w:w="9522"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666"/>
        <w:gridCol w:w="8190"/>
        <w:gridCol w:w="666"/>
      </w:tblGrid>
      <w:tr>
        <w:tblPrEx>
          <w:shd w:val="clear" w:color="auto" w:fill="ced7e7"/>
        </w:tblPrEx>
        <w:trPr>
          <w:trHeight w:val="412" w:hRule="atLeast"/>
        </w:trPr>
        <w:tc>
          <w:tcPr>
            <w:tcW w:type="dxa" w:w="666"/>
            <w:tcBorders>
              <w:top w:val="nil"/>
              <w:left w:val="nil"/>
              <w:bottom w:val="nil"/>
              <w:right w:val="nil"/>
            </w:tcBorders>
            <w:shd w:val="clear" w:color="auto" w:fill="auto"/>
            <w:tcMar>
              <w:top w:type="dxa" w:w="80"/>
              <w:left w:type="dxa" w:w="80"/>
              <w:bottom w:type="dxa" w:w="80"/>
              <w:right w:type="dxa" w:w="80"/>
            </w:tcMar>
            <w:vAlign w:val="top"/>
          </w:tcPr>
          <w:p/>
        </w:tc>
        <w:tc>
          <w:tcPr>
            <w:tcW w:type="dxa" w:w="8190"/>
            <w:tcBorders>
              <w:top w:val="nil"/>
              <w:left w:val="nil"/>
              <w:bottom w:val="nil"/>
              <w:right w:val="nil"/>
            </w:tcBorders>
            <w:shd w:val="clear" w:color="auto" w:fill="auto"/>
            <w:tcMar>
              <w:top w:type="dxa" w:w="80"/>
              <w:left w:type="dxa" w:w="80"/>
              <w:bottom w:type="dxa" w:w="80"/>
              <w:right w:type="dxa" w:w="80"/>
            </w:tcMar>
            <w:vAlign w:val="top"/>
          </w:tcPr>
          <w:p>
            <w:pPr>
              <w:pStyle w:val="Текстовый блок"/>
              <w:spacing w:after="40" w:line="240" w:lineRule="auto"/>
              <w:jc w:val="center"/>
            </w:pPr>
            <m:oMathPara>
              <m:oMathParaPr>
                <m:jc m:val="center"/>
              </m:oMathParaPr>
              <m:oMath>
                <m:sSub>
                  <m:e>
                    <m:r>
                      <m:t>∂</m:t>
                    </m:r>
                  </m:e>
                  <m:sub>
                    <m:r>
                      <m:t>t</m:t>
                    </m:r>
                  </m:sub>
                </m:sSub>
                <m:sSub>
                  <m:e>
                    <m:r>
                      <m:rPr>
                        <m:sty m:val="b"/>
                      </m:rPr>
                      <m:t>g</m:t>
                    </m:r>
                  </m:e>
                  <m:sub>
                    <m:r>
                      <m:rPr>
                        <m:sty m:val="p"/>
                      </m:rPr>
                      <m:t>mom</m:t>
                    </m:r>
                  </m:sub>
                </m:sSub>
                <m:r>
                  <m:t>+∇⋅Π=−</m:t>
                </m:r>
                <m:sSub>
                  <m:e>
                    <m:r>
                      <m:rPr>
                        <m:sty m:val="b"/>
                      </m:rPr>
                      <m:t>f</m:t>
                    </m:r>
                  </m:e>
                  <m:sub>
                    <m:r>
                      <m:rPr>
                        <m:sty m:val="p"/>
                      </m:rPr>
                      <m:t>matter</m:t>
                    </m:r>
                  </m:sub>
                </m:sSub>
                <m:r>
                  <m:t>,</m:t>
                </m:r>
                <m:sSub>
                  <m:e>
                    <m:r>
                      <m:rPr>
                        <m:sty m:val="b"/>
                      </m:rPr>
                      <m:t>f</m:t>
                    </m:r>
                  </m:e>
                  <m:sub>
                    <m:r>
                      <m:rPr>
                        <m:sty m:val="p"/>
                      </m:rPr>
                      <m:t>matter</m:t>
                    </m:r>
                  </m:sub>
                </m:sSub>
                <m:r>
                  <m:t>=∇⋅σ−</m:t>
                </m:r>
                <m:sSub>
                  <m:e>
                    <m:r>
                      <m:t>∂</m:t>
                    </m:r>
                  </m:e>
                  <m:sub>
                    <m:r>
                      <m:t>t</m:t>
                    </m:r>
                  </m:sub>
                </m:sSub>
                <m:sSub>
                  <m:e>
                    <m:r>
                      <m:rPr>
                        <m:sty m:val="b"/>
                      </m:rPr>
                      <m:t>g</m:t>
                    </m:r>
                  </m:e>
                  <m:sub>
                    <m:r>
                      <m:rPr>
                        <m:sty m:val="p"/>
                      </m:rPr>
                      <m:t>mom</m:t>
                    </m:r>
                  </m:sub>
                </m:sSub>
                <m:r>
                  <m:t>.</m:t>
                </m:r>
              </m:oMath>
            </m:oMathPara>
          </w:p>
        </w:tc>
        <w:tc>
          <w:tcPr>
            <w:tcW w:type="dxa" w:w="666"/>
            <w:tcBorders>
              <w:top w:val="nil"/>
              <w:left w:val="nil"/>
              <w:bottom w:val="nil"/>
              <w:right w:val="nil"/>
            </w:tcBorders>
            <w:shd w:val="clear" w:color="auto" w:fill="auto"/>
            <w:tcMar>
              <w:top w:type="dxa" w:w="80"/>
              <w:left w:type="dxa" w:w="80"/>
              <w:bottom w:type="dxa" w:w="80"/>
              <w:right w:type="dxa" w:w="80"/>
            </w:tcMar>
            <w:vAlign w:val="top"/>
          </w:tcPr>
          <w:p>
            <w:pPr>
              <w:pStyle w:val="Normal.0"/>
              <w:spacing w:after="40" w:line="240" w:lineRule="auto"/>
              <w:jc w:val="right"/>
            </w:pPr>
            <w:r>
              <w:rPr>
                <w:sz w:val="18"/>
                <w:szCs w:val="18"/>
                <w:rtl w:val="0"/>
                <w:lang w:val="en-US"/>
              </w:rPr>
              <w:t>(10.7)</w:t>
            </w:r>
          </w:p>
        </w:tc>
      </w:tr>
    </w:tbl>
    <w:p>
      <w:pPr>
        <w:pStyle w:val="Текстовый блок"/>
        <w:widowControl w:val="0"/>
        <w:spacing w:line="240" w:lineRule="atLeast"/>
        <w:jc w:val="center"/>
      </w:pPr>
    </w:p>
    <w:p>
      <w:pPr>
        <w:pStyle w:val="Текстовый блок"/>
        <w:spacing w:line="240" w:lineRule="atLeast"/>
      </w:pPr>
      <w:r>
        <w:rPr>
          <w:rtl w:val="0"/>
          <w:lang w:val="en-US"/>
        </w:rPr>
        <w:t>The sign convention is fixed here to avoid identifying tensile stress with positive outgoing momentum flux.</w:t>
      </w:r>
      <w:bookmarkEnd w:id="38"/>
    </w:p>
    <w:p>
      <w:pPr>
        <w:pStyle w:val="Заголовок 3"/>
        <w:spacing w:line="240" w:lineRule="atLeast"/>
      </w:pPr>
      <w:bookmarkStart w:name="X36dcbe70d0bdc2de801965d1ad4f00bc019a604" w:id="39"/>
      <w:r>
        <w:rPr>
          <w:rtl w:val="0"/>
          <w:lang w:val="en-US"/>
        </w:rPr>
        <w:t>10.2. An algebraic diagnostic and counterexamples</w:t>
      </w:r>
    </w:p>
    <w:p>
      <w:pPr>
        <w:pStyle w:val="Текстовый блок"/>
        <w:spacing w:line="240" w:lineRule="atLeast"/>
      </w:pPr>
      <w:r>
        <w:rPr>
          <w:rtl w:val="0"/>
          <w:lang w:val="en-US"/>
        </w:rPr>
        <w:t>For every real classical Maxwell field in a vacuum observer frame,</w:t>
      </w:r>
    </w:p>
    <w:tbl>
      <w:tblPr>
        <w:tblW w:w="9522"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666"/>
        <w:gridCol w:w="8190"/>
        <w:gridCol w:w="666"/>
      </w:tblGrid>
      <w:tr>
        <w:tblPrEx>
          <w:shd w:val="clear" w:color="auto" w:fill="ced7e7"/>
        </w:tblPrEx>
        <w:trPr>
          <w:trHeight w:val="657" w:hRule="atLeast"/>
        </w:trPr>
        <w:tc>
          <w:tcPr>
            <w:tcW w:type="dxa" w:w="666"/>
            <w:tcBorders>
              <w:top w:val="nil"/>
              <w:left w:val="nil"/>
              <w:bottom w:val="nil"/>
              <w:right w:val="nil"/>
            </w:tcBorders>
            <w:shd w:val="clear" w:color="auto" w:fill="auto"/>
            <w:tcMar>
              <w:top w:type="dxa" w:w="80"/>
              <w:left w:type="dxa" w:w="80"/>
              <w:bottom w:type="dxa" w:w="80"/>
              <w:right w:type="dxa" w:w="80"/>
            </w:tcMar>
            <w:vAlign w:val="top"/>
          </w:tcPr>
          <w:p/>
        </w:tc>
        <w:tc>
          <w:tcPr>
            <w:tcW w:type="dxa" w:w="8190"/>
            <w:tcBorders>
              <w:top w:val="nil"/>
              <w:left w:val="nil"/>
              <w:bottom w:val="nil"/>
              <w:right w:val="nil"/>
            </w:tcBorders>
            <w:shd w:val="clear" w:color="auto" w:fill="auto"/>
            <w:tcMar>
              <w:top w:type="dxa" w:w="80"/>
              <w:left w:type="dxa" w:w="80"/>
              <w:bottom w:type="dxa" w:w="80"/>
              <w:right w:type="dxa" w:w="80"/>
            </w:tcMar>
            <w:vAlign w:val="top"/>
          </w:tcPr>
          <w:p>
            <w:pPr>
              <w:pStyle w:val="Текстовый блок"/>
              <w:spacing w:after="40" w:line="240" w:lineRule="auto"/>
              <w:jc w:val="center"/>
            </w:pPr>
            <m:oMathPara>
              <m:oMathParaPr>
                <m:jc m:val="center"/>
              </m:oMathParaPr>
              <m:oMath>
                <m:sSup>
                  <m:e>
                    <m:r>
                      <m:t>u</m:t>
                    </m:r>
                  </m:e>
                  <m:sup>
                    <m:r>
                      <m:t>2</m:t>
                    </m:r>
                  </m:sup>
                </m:sSup>
                <m:r>
                  <m:t>−</m:t>
                </m:r>
                <m:f>
                  <m:fPr>
                    <m:type m:val="bar"/>
                  </m:fPr>
                  <m:num>
                    <m:sSup>
                      <m:e>
                        <m:d>
                          <m:dPr>
                            <m:begChr m:val="|"/>
                            <m:endChr m:val="|"/>
                          </m:dPr>
                          <m:e>
                            <m:r>
                              <m:rPr>
                                <m:sty m:val="b"/>
                              </m:rPr>
                              <m:t>S</m:t>
                            </m:r>
                          </m:e>
                        </m:d>
                      </m:e>
                      <m:sup>
                        <m:r>
                          <m:t>2</m:t>
                        </m:r>
                      </m:sup>
                    </m:sSup>
                  </m:num>
                  <m:den>
                    <m:sSup>
                      <m:e>
                        <m:r>
                          <m:t>c</m:t>
                        </m:r>
                      </m:e>
                      <m:sup>
                        <m:r>
                          <m:t>2</m:t>
                        </m:r>
                      </m:sup>
                    </m:sSup>
                  </m:den>
                </m:f>
                <m:r>
                  <m:t>=</m:t>
                </m:r>
                <m:f>
                  <m:fPr>
                    <m:type m:val="bar"/>
                  </m:fPr>
                  <m:num>
                    <m:sSubSup>
                      <m:e>
                        <m:r>
                          <m:t>ϵ</m:t>
                        </m:r>
                      </m:e>
                      <m:sub>
                        <m:r>
                          <m:t>0</m:t>
                        </m:r>
                      </m:sub>
                      <m:sup>
                        <m:r>
                          <m:t>2</m:t>
                        </m:r>
                      </m:sup>
                    </m:sSubSup>
                  </m:num>
                  <m:den>
                    <m:r>
                      <m:t>4</m:t>
                    </m:r>
                  </m:den>
                </m:f>
                <m:sSup>
                  <m:e>
                    <m:d>
                      <m:e>
                        <m:sSup>
                          <m:e>
                            <m:r>
                              <m:t>E</m:t>
                            </m:r>
                          </m:e>
                          <m:sup>
                            <m:r>
                              <m:t>2</m:t>
                            </m:r>
                          </m:sup>
                        </m:sSup>
                        <m:r>
                          <m:t>−</m:t>
                        </m:r>
                        <m:sSup>
                          <m:e>
                            <m:r>
                              <m:t>c</m:t>
                            </m:r>
                          </m:e>
                          <m:sup>
                            <m:r>
                              <m:t>2</m:t>
                            </m:r>
                          </m:sup>
                        </m:sSup>
                        <m:sSup>
                          <m:e>
                            <m:r>
                              <m:t>B</m:t>
                            </m:r>
                          </m:e>
                          <m:sup>
                            <m:r>
                              <m:t>2</m:t>
                            </m:r>
                          </m:sup>
                        </m:sSup>
                      </m:e>
                    </m:d>
                  </m:e>
                  <m:sup>
                    <m:r>
                      <m:t>2</m:t>
                    </m:r>
                  </m:sup>
                </m:sSup>
                <m:r>
                  <m:t>+</m:t>
                </m:r>
                <m:sSubSup>
                  <m:e>
                    <m:r>
                      <m:t>ϵ</m:t>
                    </m:r>
                  </m:e>
                  <m:sub>
                    <m:r>
                      <m:t>0</m:t>
                    </m:r>
                  </m:sub>
                  <m:sup>
                    <m:r>
                      <m:t>2</m:t>
                    </m:r>
                  </m:sup>
                </m:sSubSup>
                <m:sSup>
                  <m:e>
                    <m:r>
                      <m:t>c</m:t>
                    </m:r>
                  </m:e>
                  <m:sup>
                    <m:r>
                      <m:t>2</m:t>
                    </m:r>
                  </m:sup>
                </m:sSup>
                <m:sSup>
                  <m:e>
                    <m:d>
                      <m:e>
                        <m:r>
                          <m:rPr>
                            <m:sty m:val="b"/>
                          </m:rPr>
                          <m:t>E</m:t>
                        </m:r>
                        <m:r>
                          <m:t>⋅</m:t>
                        </m:r>
                        <m:r>
                          <m:rPr>
                            <m:sty m:val="b"/>
                          </m:rPr>
                          <m:t>B</m:t>
                        </m:r>
                      </m:e>
                    </m:d>
                  </m:e>
                  <m:sup>
                    <m:r>
                      <m:t>2</m:t>
                    </m:r>
                  </m:sup>
                </m:sSup>
                <m:r>
                  <m:t>≥0.</m:t>
                </m:r>
              </m:oMath>
            </m:oMathPara>
          </w:p>
        </w:tc>
        <w:tc>
          <w:tcPr>
            <w:tcW w:type="dxa" w:w="666"/>
            <w:tcBorders>
              <w:top w:val="nil"/>
              <w:left w:val="nil"/>
              <w:bottom w:val="nil"/>
              <w:right w:val="nil"/>
            </w:tcBorders>
            <w:shd w:val="clear" w:color="auto" w:fill="auto"/>
            <w:tcMar>
              <w:top w:type="dxa" w:w="80"/>
              <w:left w:type="dxa" w:w="80"/>
              <w:bottom w:type="dxa" w:w="80"/>
              <w:right w:type="dxa" w:w="80"/>
            </w:tcMar>
            <w:vAlign w:val="top"/>
          </w:tcPr>
          <w:p>
            <w:pPr>
              <w:pStyle w:val="Normal.0"/>
              <w:spacing w:after="40" w:line="240" w:lineRule="auto"/>
              <w:jc w:val="right"/>
            </w:pPr>
            <w:r>
              <w:rPr>
                <w:sz w:val="18"/>
                <w:szCs w:val="18"/>
                <w:rtl w:val="0"/>
                <w:lang w:val="en-US"/>
              </w:rPr>
              <w:t>(10.8)</w:t>
            </w:r>
          </w:p>
        </w:tc>
      </w:tr>
    </w:tbl>
    <w:p>
      <w:pPr>
        <w:pStyle w:val="Текстовый блок"/>
        <w:widowControl w:val="0"/>
        <w:spacing w:line="240" w:lineRule="atLeast"/>
        <w:jc w:val="center"/>
      </w:pPr>
    </w:p>
    <w:p>
      <w:pPr>
        <w:pStyle w:val="Текстовый блок"/>
        <w:spacing w:line="240" w:lineRule="atLeast"/>
      </w:pPr>
      <w:r>
        <w:rPr>
          <w:rtl w:val="0"/>
          <w:lang w:val="en-US"/>
        </w:rPr>
        <w:t xml:space="preserve">This follows from </w:t>
      </w:r>
      <m:oMath>
        <m:sSup>
          <m:e>
            <m:d>
              <m:dPr>
                <m:begChr m:val="|"/>
                <m:endChr m:val="|"/>
              </m:dPr>
              <m:e>
                <m:r>
                  <m:rPr>
                    <m:sty m:val="b"/>
                  </m:rPr>
                  <m:t>E</m:t>
                </m:r>
                <m:r>
                  <m:t>×</m:t>
                </m:r>
                <m:r>
                  <m:rPr>
                    <m:sty m:val="b"/>
                  </m:rPr>
                  <m:t>B</m:t>
                </m:r>
              </m:e>
            </m:d>
          </m:e>
          <m:sup>
            <m:r>
              <m:t>2</m:t>
            </m:r>
          </m:sup>
        </m:sSup>
        <m:r>
          <m:t>=</m:t>
        </m:r>
        <m:sSup>
          <m:e>
            <m:r>
              <m:t>E</m:t>
            </m:r>
          </m:e>
          <m:sup>
            <m:r>
              <m:t>2</m:t>
            </m:r>
          </m:sup>
        </m:sSup>
        <m:sSup>
          <m:e>
            <m:r>
              <m:t>B</m:t>
            </m:r>
          </m:e>
          <m:sup>
            <m:r>
              <m:t>2</m:t>
            </m:r>
          </m:sup>
        </m:sSup>
        <m:r>
          <m:t>−</m:t>
        </m:r>
        <m:sSup>
          <m:e>
            <m:d>
              <m:e>
                <m:r>
                  <m:rPr>
                    <m:sty m:val="b"/>
                  </m:rPr>
                  <m:t>E</m:t>
                </m:r>
                <m:r>
                  <m:t>⋅</m:t>
                </m:r>
                <m:r>
                  <m:rPr>
                    <m:sty m:val="b"/>
                  </m:rPr>
                  <m:t>B</m:t>
                </m:r>
              </m:e>
            </m:d>
          </m:e>
          <m:sup>
            <m:r>
              <m:t>2</m:t>
            </m:r>
          </m:sup>
        </m:sSup>
      </m:oMath>
      <w:r>
        <w:rPr>
          <w:rtl w:val="0"/>
          <w:lang w:val="en-US"/>
        </w:rPr>
        <w:t xml:space="preserve">. For </w:t>
      </w:r>
      <m:oMath>
        <m:r>
          <m:t>u&gt;0</m:t>
        </m:r>
      </m:oMath>
      <w:r>
        <w:rPr>
          <w:rtl w:val="0"/>
          <w:lang w:val="en-US"/>
        </w:rPr>
        <w:t xml:space="preserve">, equality is equivalent to the two electromagnetic invariants vanishing. Thus </w:t>
      </w:r>
      <m:oMath>
        <m:r>
          <m:t>1−</m:t>
        </m:r>
        <m:sSup>
          <m:e>
            <m:d>
              <m:dPr>
                <m:begChr m:val="|"/>
                <m:endChr m:val="|"/>
              </m:dPr>
              <m:e>
                <m:r>
                  <m:rPr>
                    <m:sty m:val="b"/>
                  </m:rPr>
                  <m:t>S</m:t>
                </m:r>
              </m:e>
            </m:d>
          </m:e>
          <m:sup>
            <m:r>
              <m:t>2</m:t>
            </m:r>
          </m:sup>
        </m:sSup>
        <m:r>
          <m:t>/</m:t>
        </m:r>
        <m:d>
          <m:e>
            <m:sSup>
              <m:e>
                <m:r>
                  <m:t>c</m:t>
                </m:r>
              </m:e>
              <m:sup>
                <m:r>
                  <m:t>2</m:t>
                </m:r>
              </m:sup>
            </m:sSup>
            <m:sSup>
              <m:e>
                <m:r>
                  <m:t>u</m:t>
                </m:r>
              </m:e>
              <m:sup>
                <m:r>
                  <m:t>2</m:t>
                </m:r>
              </m:sup>
            </m:sSup>
          </m:e>
        </m:d>
      </m:oMath>
      <w:r>
        <w:rPr>
          <w:rtl w:val="0"/>
          <w:lang w:val="en-US"/>
        </w:rPr>
        <w:t xml:space="preserve"> diagnoses departure from a single null field, although its nonzero value depends on the observer.</w:t>
      </w:r>
    </w:p>
    <w:p>
      <w:pPr>
        <w:pStyle w:val="Текстовый блок"/>
        <w:spacing w:line="240" w:lineRule="atLeast"/>
      </w:pPr>
      <w:r>
        <w:rPr>
          <w:rtl w:val="0"/>
          <w:lang w:val="en-US"/>
        </w:rPr>
        <w:t xml:space="preserve">A static electric or magnetic field has </w:t>
      </w:r>
      <m:oMath>
        <m:r>
          <m:t>u&gt;0</m:t>
        </m:r>
      </m:oMath>
      <w:r>
        <w:rPr>
          <w:rtl w:val="0"/>
          <w:lang w:val="en-US"/>
        </w:rPr>
        <w:t xml:space="preserve"> and </w:t>
      </w:r>
      <m:oMath>
        <m:r>
          <m:rPr>
            <m:sty m:val="b"/>
          </m:rPr>
          <m:t>S</m:t>
        </m:r>
        <m:r>
          <m:t>=0</m:t>
        </m:r>
      </m:oMath>
      <w:r>
        <w:rPr>
          <w:rtl w:val="0"/>
          <w:lang w:val="en-US"/>
        </w:rPr>
        <w:t xml:space="preserve">. Two incoherent equal counter-propagating beams have total </w:t>
      </w:r>
      <m:oMath>
        <m:r>
          <m:rPr>
            <m:sty m:val="b"/>
          </m:rPr>
          <m:t>S</m:t>
        </m:r>
        <m:r>
          <m:t>=0</m:t>
        </m:r>
      </m:oMath>
      <w:r>
        <w:rPr>
          <w:rtl w:val="0"/>
          <w:lang w:val="en-US"/>
        </w:rPr>
        <w:t xml:space="preserve"> and </w:t>
      </w:r>
      <m:oMath>
        <m:sSub>
          <m:e>
            <m:r>
              <m:t>Π</m:t>
            </m:r>
          </m:e>
          <m:sub>
            <m:r>
              <m:t>zz</m:t>
            </m:r>
          </m:sub>
        </m:sSub>
        <m:r>
          <m:t>=u</m:t>
        </m:r>
      </m:oMath>
      <w:r>
        <w:rPr>
          <w:rtl w:val="0"/>
          <w:lang w:val="en-US"/>
        </w:rPr>
        <w:t xml:space="preserve">, not </w:t>
      </w:r>
      <m:oMath>
        <m:r>
          <m:t>T=u</m:t>
        </m:r>
        <m:r>
          <m:rPr>
            <m:sty m:val="p"/>
          </m:rPr>
          <m:t>ℓ</m:t>
        </m:r>
        <m:r>
          <m:t>⊗</m:t>
        </m:r>
        <m:r>
          <m:rPr>
            <m:sty m:val="p"/>
          </m:rPr>
          <m:t>ℓ</m:t>
        </m:r>
      </m:oMath>
      <w:r>
        <w:rPr>
          <w:rtl w:val="0"/>
          <w:lang w:val="en-US"/>
        </w:rPr>
        <w:t xml:space="preserve">. A coherent standing wave also has zero time-averaged energy flux and nonzero longitudinal stress; interference affects its local transverse stress. More generally, </w:t>
      </w:r>
      <m:oMath>
        <m:r>
          <m:t>T=</m:t>
        </m:r>
        <m:nary>
          <m:naryPr>
            <m:chr m:val="∑"/>
            <m:limLoc m:val="undOvr"/>
            <m:grow m:val="0"/>
            <m:subHide m:val="off"/>
            <m:supHide m:val="on"/>
          </m:naryPr>
          <m:sub>
            <m:r>
              <m:t>a</m:t>
            </m:r>
          </m:sub>
          <m:sup/>
          <m:e>
            <m:sSub>
              <m:e>
                <m:r>
                  <m:t>u</m:t>
                </m:r>
              </m:e>
              <m:sub>
                <m:r>
                  <m:t>a</m:t>
                </m:r>
              </m:sub>
            </m:sSub>
          </m:e>
        </m:nary>
        <m:sSub>
          <m:e>
            <m:r>
              <m:rPr>
                <m:sty m:val="p"/>
              </m:rPr>
              <m:t>ℓ</m:t>
            </m:r>
          </m:e>
          <m:sub>
            <m:r>
              <m:t>a</m:t>
            </m:r>
          </m:sub>
        </m:sSub>
        <m:r>
          <m:t>⊗</m:t>
        </m:r>
        <m:sSub>
          <m:e>
            <m:r>
              <m:rPr>
                <m:sty m:val="p"/>
              </m:rPr>
              <m:t>ℓ</m:t>
            </m:r>
          </m:e>
          <m:sub>
            <m:r>
              <m:t>a</m:t>
            </m:r>
          </m:sub>
        </m:sSub>
      </m:oMath>
      <w:r>
        <w:rPr>
          <w:rtl w:val="0"/>
          <w:lang w:val="en-US"/>
        </w:rPr>
        <w:t xml:space="preserve"> is rank one only when all occupied directions coincide, for positive </w:t>
      </w:r>
      <m:oMath>
        <m:sSub>
          <m:e>
            <m:r>
              <m:t>u</m:t>
            </m:r>
          </m:e>
          <m:sub>
            <m:r>
              <m:t>a</m:t>
            </m:r>
          </m:sub>
        </m:sSub>
      </m:oMath>
      <w:r>
        <w:rPr>
          <w:rtl w:val="0"/>
          <w:lang w:val="en-US"/>
        </w:rPr>
        <w:t>. Arbitrary superpositions and non-null electromagnetic configurations therefore fall outside Theorem</w:t>
      </w:r>
      <w:r>
        <w:rPr>
          <w:rtl w:val="0"/>
          <w:lang w:val="en-US"/>
        </w:rPr>
        <w:t> </w:t>
      </w:r>
      <w:r>
        <w:rPr>
          <w:rtl w:val="0"/>
          <w:lang w:val="en-US"/>
        </w:rPr>
        <w:t>10.1. A vanishing averaged flux does not imply zero stored energy or zero force on confining boundaries.</w:t>
      </w:r>
      <w:bookmarkEnd w:id="39"/>
    </w:p>
    <w:p>
      <w:pPr>
        <w:pStyle w:val="Заголовок 2"/>
        <w:spacing w:line="240" w:lineRule="atLeast"/>
      </w:pPr>
      <w:bookmarkStart w:name="Xe9529c5833511b61caca8ec4ab1574196b3571e" w:id="40"/>
      <w:r>
        <w:rPr>
          <w:rtl w:val="0"/>
          <w:lang w:val="en-US"/>
        </w:rPr>
        <w:t>11. Radiation pressure and an independent readout</w:t>
      </w:r>
      <w:bookmarkEnd w:id="40"/>
    </w:p>
    <w:p>
      <w:pPr>
        <w:pStyle w:val="Заголовок 3"/>
        <w:spacing w:line="240" w:lineRule="atLeast"/>
      </w:pPr>
      <w:bookmarkStart w:name="stationaryboundaries" w:id="41"/>
      <w:r>
        <w:rPr>
          <w:rtl w:val="0"/>
          <w:lang w:val="en-US"/>
        </w:rPr>
        <w:t>11.1. Stationary boundaries</w:t>
      </w:r>
    </w:p>
    <w:p>
      <w:pPr>
        <w:pStyle w:val="Текстовый блок"/>
        <w:spacing w:line="240" w:lineRule="atLeast"/>
      </w:pPr>
      <w:r>
        <w:rPr>
          <w:rtl w:val="0"/>
          <w:lang w:val="en-US"/>
        </w:rPr>
        <w:t xml:space="preserve">Let a beam of intensity </w:t>
      </w:r>
      <m:oMath>
        <m:r>
          <m:t>I</m:t>
        </m:r>
      </m:oMath>
      <w:r>
        <w:rPr>
          <w:rtl w:val="0"/>
          <w:lang w:val="en-US"/>
        </w:rPr>
        <w:t xml:space="preserve">, measured per area perpendicular to its ray, meet a stationary planar surface of area </w:t>
      </w:r>
      <m:oMath>
        <m:r>
          <m:rPr>
            <m:scr m:val="script"/>
          </m:rPr>
          <m:t>A</m:t>
        </m:r>
      </m:oMath>
      <w:r>
        <w:rPr>
          <w:rtl w:val="0"/>
          <w:lang w:val="da-DK"/>
        </w:rPr>
        <w:t xml:space="preserve"> at angle </w:t>
      </w:r>
      <m:oMath>
        <m:r>
          <m:t>θ</m:t>
        </m:r>
      </m:oMath>
      <w:r>
        <w:rPr>
          <w:rtl w:val="0"/>
          <w:lang w:val="en-US"/>
        </w:rPr>
        <w:t xml:space="preserve"> to its normal. The power intercepted per surface area is </w:t>
      </w:r>
      <m:oMath>
        <m:r>
          <m:t>I</m:t>
        </m:r>
        <m:r>
          <m:rPr>
            <m:sty m:val="p"/>
          </m:rPr>
          <m:t>cos</m:t>
        </m:r>
        <m:r>
          <m:t>θ</m:t>
        </m:r>
      </m:oMath>
      <w:r>
        <w:rPr>
          <w:rtl w:val="0"/>
          <w:lang w:val="en-US"/>
        </w:rPr>
        <w:t xml:space="preserve">. By (10.5), a narrow incoming packet of energy </w:t>
      </w:r>
      <m:oMath>
        <m:r>
          <m:rPr>
            <m:sty m:val="p"/>
          </m:rPr>
          <m:t>d</m:t>
        </m:r>
        <m:r>
          <m:t>E</m:t>
        </m:r>
      </m:oMath>
      <w:r>
        <w:rPr>
          <w:rtl w:val="0"/>
          <w:lang w:val="en-US"/>
        </w:rPr>
        <w:t xml:space="preserve"> carries momentum </w:t>
      </w:r>
      <m:oMath>
        <m:r>
          <m:rPr>
            <m:sty m:val="p"/>
          </m:rPr>
          <m:t>d</m:t>
        </m:r>
        <m:r>
          <m:t>E</m:t>
        </m:r>
        <m:sSub>
          <m:e>
            <m:r>
              <m:rPr>
                <m:sty m:val="b"/>
              </m:rPr>
              <m:t>n</m:t>
            </m:r>
          </m:e>
          <m:sub>
            <m:r>
              <m:rPr>
                <m:sty m:val="p"/>
              </m:rPr>
              <m:t>i</m:t>
            </m:r>
          </m:sub>
        </m:sSub>
        <m:r>
          <m:t>/c</m:t>
        </m:r>
      </m:oMath>
      <w:r>
        <w:rPr>
          <w:rtl w:val="0"/>
        </w:rPr>
        <w:t>.</w:t>
      </w:r>
    </w:p>
    <w:p>
      <w:pPr>
        <w:pStyle w:val="Текстовый блок"/>
        <w:spacing w:line="240" w:lineRule="atLeast"/>
      </w:pPr>
      <w:r>
        <w:rPr>
          <w:rtl w:val="0"/>
          <w:lang w:val="en-US"/>
        </w:rPr>
        <w:t xml:space="preserve">Let </w:t>
      </w:r>
      <m:oMath>
        <m:r>
          <m:t>α,r,τ</m:t>
        </m:r>
      </m:oMath>
      <w:r>
        <w:rPr>
          <w:rtl w:val="0"/>
          <w:lang w:val="en-US"/>
        </w:rPr>
        <w:t xml:space="preserve"> be absorbed, reflected and transmitted fractions of intercepted power, with </w:t>
      </w:r>
      <m:oMath>
        <m:r>
          <m:t>α+r+τ=1</m:t>
        </m:r>
      </m:oMath>
      <w:r>
        <w:rPr>
          <w:rtl w:val="0"/>
          <w:lang w:val="en-US"/>
        </w:rPr>
        <w:t>. Assume elastic specular reflection and straight transmission into the same vacuum, with no additional emission. Conservation of momentum gives the vector force per surface area</w:t>
      </w:r>
    </w:p>
    <w:tbl>
      <w:tblPr>
        <w:tblW w:w="9522"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666"/>
        <w:gridCol w:w="8190"/>
        <w:gridCol w:w="666"/>
      </w:tblGrid>
      <w:tr>
        <w:tblPrEx>
          <w:shd w:val="clear" w:color="auto" w:fill="ced7e7"/>
        </w:tblPrEx>
        <w:trPr>
          <w:trHeight w:val="501" w:hRule="atLeast"/>
        </w:trPr>
        <w:tc>
          <w:tcPr>
            <w:tcW w:type="dxa" w:w="666"/>
            <w:tcBorders>
              <w:top w:val="nil"/>
              <w:left w:val="nil"/>
              <w:bottom w:val="nil"/>
              <w:right w:val="nil"/>
            </w:tcBorders>
            <w:shd w:val="clear" w:color="auto" w:fill="auto"/>
            <w:tcMar>
              <w:top w:type="dxa" w:w="80"/>
              <w:left w:type="dxa" w:w="80"/>
              <w:bottom w:type="dxa" w:w="80"/>
              <w:right w:type="dxa" w:w="80"/>
            </w:tcMar>
            <w:vAlign w:val="top"/>
          </w:tcPr>
          <w:p/>
        </w:tc>
        <w:tc>
          <w:tcPr>
            <w:tcW w:type="dxa" w:w="8190"/>
            <w:tcBorders>
              <w:top w:val="nil"/>
              <w:left w:val="nil"/>
              <w:bottom w:val="nil"/>
              <w:right w:val="nil"/>
            </w:tcBorders>
            <w:shd w:val="clear" w:color="auto" w:fill="auto"/>
            <w:tcMar>
              <w:top w:type="dxa" w:w="80"/>
              <w:left w:type="dxa" w:w="80"/>
              <w:bottom w:type="dxa" w:w="80"/>
              <w:right w:type="dxa" w:w="80"/>
            </w:tcMar>
            <w:vAlign w:val="top"/>
          </w:tcPr>
          <w:p>
            <w:pPr>
              <w:pStyle w:val="Текстовый блок"/>
              <w:spacing w:after="40" w:line="240" w:lineRule="auto"/>
              <w:jc w:val="center"/>
            </w:pPr>
            <m:oMathPara>
              <m:oMathParaPr>
                <m:jc m:val="center"/>
              </m:oMathParaPr>
              <m:oMath>
                <m:f>
                  <m:fPr>
                    <m:type m:val="bar"/>
                  </m:fPr>
                  <m:num>
                    <m:r>
                      <m:rPr>
                        <m:sty m:val="b"/>
                      </m:rPr>
                      <m:t>F</m:t>
                    </m:r>
                  </m:num>
                  <m:den>
                    <m:r>
                      <m:rPr>
                        <m:scr m:val="script"/>
                      </m:rPr>
                      <m:t>A</m:t>
                    </m:r>
                  </m:den>
                </m:f>
                <m:r>
                  <m:t>=</m:t>
                </m:r>
                <m:f>
                  <m:fPr>
                    <m:type m:val="bar"/>
                  </m:fPr>
                  <m:num>
                    <m:r>
                      <m:t>I</m:t>
                    </m:r>
                    <m:r>
                      <m:rPr>
                        <m:sty m:val="p"/>
                      </m:rPr>
                      <m:t>cos</m:t>
                    </m:r>
                    <m:r>
                      <m:t>θ</m:t>
                    </m:r>
                  </m:num>
                  <m:den>
                    <m:r>
                      <m:t>c</m:t>
                    </m:r>
                  </m:den>
                </m:f>
                <m:d>
                  <m:e>
                    <m:sSub>
                      <m:e>
                        <m:r>
                          <m:rPr>
                            <m:sty m:val="b"/>
                          </m:rPr>
                          <m:t>n</m:t>
                        </m:r>
                      </m:e>
                      <m:sub>
                        <m:r>
                          <m:rPr>
                            <m:sty m:val="p"/>
                          </m:rPr>
                          <m:t>i</m:t>
                        </m:r>
                      </m:sub>
                    </m:sSub>
                    <m:r>
                      <m:t>−r</m:t>
                    </m:r>
                    <m:sSub>
                      <m:e>
                        <m:r>
                          <m:rPr>
                            <m:sty m:val="b"/>
                          </m:rPr>
                          <m:t>n</m:t>
                        </m:r>
                      </m:e>
                      <m:sub>
                        <m:r>
                          <m:rPr>
                            <m:sty m:val="p"/>
                          </m:rPr>
                          <m:t>r</m:t>
                        </m:r>
                      </m:sub>
                    </m:sSub>
                    <m:r>
                      <m:t>−τ</m:t>
                    </m:r>
                    <m:sSub>
                      <m:e>
                        <m:r>
                          <m:rPr>
                            <m:sty m:val="b"/>
                          </m:rPr>
                          <m:t>n</m:t>
                        </m:r>
                      </m:e>
                      <m:sub>
                        <m:r>
                          <m:rPr>
                            <m:sty m:val="p"/>
                          </m:rPr>
                          <m:t>t</m:t>
                        </m:r>
                      </m:sub>
                    </m:sSub>
                  </m:e>
                </m:d>
                <m:r>
                  <m:t>.</m:t>
                </m:r>
              </m:oMath>
            </m:oMathPara>
          </w:p>
        </w:tc>
        <w:tc>
          <w:tcPr>
            <w:tcW w:type="dxa" w:w="666"/>
            <w:tcBorders>
              <w:top w:val="nil"/>
              <w:left w:val="nil"/>
              <w:bottom w:val="nil"/>
              <w:right w:val="nil"/>
            </w:tcBorders>
            <w:shd w:val="clear" w:color="auto" w:fill="auto"/>
            <w:tcMar>
              <w:top w:type="dxa" w:w="80"/>
              <w:left w:type="dxa" w:w="80"/>
              <w:bottom w:type="dxa" w:w="80"/>
              <w:right w:type="dxa" w:w="80"/>
            </w:tcMar>
            <w:vAlign w:val="top"/>
          </w:tcPr>
          <w:p>
            <w:pPr>
              <w:pStyle w:val="Normal.0"/>
              <w:spacing w:after="40" w:line="240" w:lineRule="auto"/>
              <w:jc w:val="right"/>
            </w:pPr>
            <w:r>
              <w:rPr>
                <w:sz w:val="18"/>
                <w:szCs w:val="18"/>
                <w:rtl w:val="0"/>
                <w:lang w:val="en-US"/>
              </w:rPr>
              <w:t>(11.1)</w:t>
            </w:r>
          </w:p>
        </w:tc>
      </w:tr>
    </w:tbl>
    <w:p>
      <w:pPr>
        <w:pStyle w:val="Текстовый блок"/>
        <w:widowControl w:val="0"/>
        <w:spacing w:line="240" w:lineRule="atLeast"/>
        <w:jc w:val="center"/>
      </w:pPr>
    </w:p>
    <w:p>
      <w:pPr>
        <w:pStyle w:val="Текстовый блок"/>
        <w:spacing w:line="240" w:lineRule="atLeast"/>
      </w:pPr>
      <w:r>
        <w:rPr>
          <w:rtl w:val="0"/>
          <w:lang w:val="en-US"/>
        </w:rPr>
        <w:t xml:space="preserve">Since the normal projections of the three directions are </w:t>
      </w:r>
      <m:oMath>
        <m:r>
          <m:rPr>
            <m:sty m:val="p"/>
          </m:rPr>
          <m:t>cos</m:t>
        </m:r>
        <m:r>
          <m:t>θ,−</m:t>
        </m:r>
        <m:r>
          <m:rPr>
            <m:sty m:val="p"/>
          </m:rPr>
          <m:t>cos</m:t>
        </m:r>
        <m:r>
          <m:t>θ,</m:t>
        </m:r>
        <m:r>
          <m:rPr>
            <m:sty m:val="p"/>
          </m:rPr>
          <m:t>cos</m:t>
        </m:r>
        <m:r>
          <m:t>θ</m:t>
        </m:r>
      </m:oMath>
      <w:r>
        <w:rPr>
          <w:rtl w:val="0"/>
          <w:lang w:val="en-US"/>
        </w:rPr>
        <w:t>, respectively,</w:t>
      </w:r>
    </w:p>
    <w:tbl>
      <w:tblPr>
        <w:tblW w:w="9522"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666"/>
        <w:gridCol w:w="8190"/>
        <w:gridCol w:w="666"/>
      </w:tblGrid>
      <w:tr>
        <w:tblPrEx>
          <w:shd w:val="clear" w:color="auto" w:fill="ced7e7"/>
        </w:tblPrEx>
        <w:trPr>
          <w:trHeight w:val="494" w:hRule="atLeast"/>
        </w:trPr>
        <w:tc>
          <w:tcPr>
            <w:tcW w:type="dxa" w:w="666"/>
            <w:tcBorders>
              <w:top w:val="nil"/>
              <w:left w:val="nil"/>
              <w:bottom w:val="nil"/>
              <w:right w:val="nil"/>
            </w:tcBorders>
            <w:shd w:val="clear" w:color="auto" w:fill="auto"/>
            <w:tcMar>
              <w:top w:type="dxa" w:w="80"/>
              <w:left w:type="dxa" w:w="80"/>
              <w:bottom w:type="dxa" w:w="80"/>
              <w:right w:type="dxa" w:w="80"/>
            </w:tcMar>
            <w:vAlign w:val="top"/>
          </w:tcPr>
          <w:p/>
        </w:tc>
        <w:tc>
          <w:tcPr>
            <w:tcW w:type="dxa" w:w="8190"/>
            <w:tcBorders>
              <w:top w:val="nil"/>
              <w:left w:val="nil"/>
              <w:bottom w:val="nil"/>
              <w:right w:val="nil"/>
            </w:tcBorders>
            <w:shd w:val="clear" w:color="auto" w:fill="auto"/>
            <w:tcMar>
              <w:top w:type="dxa" w:w="80"/>
              <w:left w:type="dxa" w:w="80"/>
              <w:bottom w:type="dxa" w:w="80"/>
              <w:right w:type="dxa" w:w="80"/>
            </w:tcMar>
            <w:vAlign w:val="top"/>
          </w:tcPr>
          <w:p>
            <w:pPr>
              <w:pStyle w:val="Текстовый блок"/>
              <w:spacing w:after="40" w:line="240" w:lineRule="auto"/>
              <w:jc w:val="center"/>
            </w:pPr>
            <m:oMathPara>
              <m:oMathParaPr>
                <m:jc m:val="center"/>
              </m:oMathParaPr>
              <m:oMath>
                <m:sSub>
                  <m:e>
                    <m:r>
                      <m:t>P</m:t>
                    </m:r>
                  </m:e>
                  <m:sub>
                    <m:r>
                      <m:t>⊥</m:t>
                    </m:r>
                  </m:sub>
                </m:sSub>
                <m:r>
                  <m:t>=</m:t>
                </m:r>
                <m:d>
                  <m:e>
                    <m:r>
                      <m:t>1+r−τ</m:t>
                    </m:r>
                  </m:e>
                </m:d>
                <m:f>
                  <m:fPr>
                    <m:type m:val="bar"/>
                  </m:fPr>
                  <m:num>
                    <m:r>
                      <m:t>I</m:t>
                    </m:r>
                  </m:num>
                  <m:den>
                    <m:r>
                      <m:t>c</m:t>
                    </m:r>
                  </m:den>
                </m:f>
                <m:sSup>
                  <m:e>
                    <m:r>
                      <m:rPr>
                        <m:sty m:val="p"/>
                      </m:rPr>
                      <m:t>cos</m:t>
                    </m:r>
                  </m:e>
                  <m:sup>
                    <m:r>
                      <m:t>2</m:t>
                    </m:r>
                  </m:sup>
                </m:sSup>
                <m:r>
                  <m:t>θ=</m:t>
                </m:r>
                <m:d>
                  <m:e>
                    <m:r>
                      <m:t>α+2r</m:t>
                    </m:r>
                  </m:e>
                </m:d>
                <m:f>
                  <m:fPr>
                    <m:type m:val="bar"/>
                  </m:fPr>
                  <m:num>
                    <m:r>
                      <m:t>I</m:t>
                    </m:r>
                  </m:num>
                  <m:den>
                    <m:r>
                      <m:t>c</m:t>
                    </m:r>
                  </m:den>
                </m:f>
                <m:sSup>
                  <m:e>
                    <m:r>
                      <m:rPr>
                        <m:sty m:val="p"/>
                      </m:rPr>
                      <m:t>cos</m:t>
                    </m:r>
                  </m:e>
                  <m:sup>
                    <m:r>
                      <m:t>2</m:t>
                    </m:r>
                  </m:sup>
                </m:sSup>
                <m:r>
                  <m:t>θ.</m:t>
                </m:r>
              </m:oMath>
            </m:oMathPara>
          </w:p>
        </w:tc>
        <w:tc>
          <w:tcPr>
            <w:tcW w:type="dxa" w:w="666"/>
            <w:tcBorders>
              <w:top w:val="nil"/>
              <w:left w:val="nil"/>
              <w:bottom w:val="nil"/>
              <w:right w:val="nil"/>
            </w:tcBorders>
            <w:shd w:val="clear" w:color="auto" w:fill="auto"/>
            <w:tcMar>
              <w:top w:type="dxa" w:w="80"/>
              <w:left w:type="dxa" w:w="80"/>
              <w:bottom w:type="dxa" w:w="80"/>
              <w:right w:type="dxa" w:w="80"/>
            </w:tcMar>
            <w:vAlign w:val="top"/>
          </w:tcPr>
          <w:p>
            <w:pPr>
              <w:pStyle w:val="Normal.0"/>
              <w:spacing w:after="40" w:line="240" w:lineRule="auto"/>
              <w:jc w:val="right"/>
            </w:pPr>
            <w:r>
              <w:rPr>
                <w:sz w:val="18"/>
                <w:szCs w:val="18"/>
                <w:rtl w:val="0"/>
                <w:lang w:val="en-US"/>
              </w:rPr>
              <w:t>(11.2)</w:t>
            </w:r>
          </w:p>
        </w:tc>
      </w:tr>
    </w:tbl>
    <w:p>
      <w:pPr>
        <w:pStyle w:val="Текстовый блок"/>
        <w:widowControl w:val="0"/>
        <w:spacing w:line="240" w:lineRule="atLeast"/>
        <w:jc w:val="center"/>
      </w:pPr>
    </w:p>
    <w:p>
      <w:pPr>
        <w:pStyle w:val="Текстовый блок"/>
        <w:spacing w:line="240" w:lineRule="atLeast"/>
      </w:pPr>
      <w:r>
        <w:rPr>
          <w:rtl w:val="0"/>
          <w:lang w:val="en-US"/>
        </w:rPr>
        <w:t xml:space="preserve">One cosine accounts for intercepted power and the other for transferred normal momentum. The tangential force in the plane of incidence is </w:t>
      </w:r>
      <m:oMath>
        <m:r>
          <m:t>αI</m:t>
        </m:r>
        <m:r>
          <m:rPr>
            <m:sty m:val="p"/>
          </m:rPr>
          <m:t>sin</m:t>
        </m:r>
        <m:r>
          <m:t>θ</m:t>
        </m:r>
        <m:r>
          <m:rPr>
            <m:sty m:val="p"/>
          </m:rPr>
          <m:t>cos</m:t>
        </m:r>
        <m:r>
          <m:t>θ/c</m:t>
        </m:r>
      </m:oMath>
      <w:r>
        <w:rPr>
          <w:rtl w:val="0"/>
          <w:lang w:val="en-US"/>
        </w:rPr>
        <w:t xml:space="preserve"> in this specular model.</w:t>
      </w:r>
    </w:p>
    <w:p>
      <w:pPr>
        <w:pStyle w:val="Текстовый блок"/>
        <w:spacing w:line="240" w:lineRule="atLeast"/>
      </w:pPr>
      <w:r>
        <w:rPr>
          <w:rtl w:val="0"/>
          <w:lang w:val="en-US"/>
        </w:rPr>
        <w:t xml:space="preserve">At normal incidence, complete absorption gives </w:t>
      </w:r>
      <m:oMath>
        <m:r>
          <m:t>P=I/c</m:t>
        </m:r>
      </m:oMath>
      <w:r>
        <w:rPr>
          <w:rtl w:val="0"/>
          <w:lang w:val="en-US"/>
        </w:rPr>
        <w:t xml:space="preserve">, ideal reflection gives </w:t>
      </w:r>
      <m:oMath>
        <m:r>
          <m:t>P=2I/c</m:t>
        </m:r>
      </m:oMath>
      <w:r>
        <w:rPr>
          <w:rtl w:val="0"/>
          <w:lang w:val="en-US"/>
        </w:rPr>
        <w:t>, and lossless straight transmission gives zero net pressure. These are also the jumps of the normal component of momentum flux in (10.6). Perfect reflection reverses momentum without absorbing net beam energy at a stationary ideal mirror, which already separates pressure from heating.</w:t>
      </w:r>
    </w:p>
    <w:p>
      <w:pPr>
        <w:pStyle w:val="Текстовый блок"/>
        <w:spacing w:line="240" w:lineRule="atLeast"/>
      </w:pPr>
      <w:r>
        <w:rPr>
          <w:rtl w:val="0"/>
          <w:lang w:val="en-US"/>
        </w:rPr>
        <w:t>The boundary or material assumptions are indispensable. Diffuse scattering requires its angular distribution; refraction requires momentum accounting for field and medium; heating followed by thermal emission adds a recoil term. The formulas above describe the specified optical momentum transfer, not all forces on an arbitrary illuminated object. Absorption over a finite interval can increase internal energy; steady thermal operation needs an energy-removal model.</w:t>
      </w:r>
      <w:bookmarkEnd w:id="41"/>
    </w:p>
    <w:p>
      <w:pPr>
        <w:pStyle w:val="Заголовок 3"/>
        <w:spacing w:line="240" w:lineRule="atLeast"/>
      </w:pPr>
      <w:bookmarkStart w:name="amovingmirrorcontrol" w:id="42"/>
      <w:r>
        <w:rPr>
          <w:rtl w:val="0"/>
          <w:lang w:val="en-US"/>
        </w:rPr>
        <w:t>11.2. A moving-mirror control</w:t>
      </w:r>
    </w:p>
    <w:p>
      <w:pPr>
        <w:pStyle w:val="Текстовый блок"/>
        <w:spacing w:line="240" w:lineRule="atLeast"/>
      </w:pPr>
      <w:r>
        <w:rPr>
          <w:rtl w:val="0"/>
          <w:lang w:val="en-US"/>
        </w:rPr>
        <w:t xml:space="preserve">For a prescribed perfectly reflecting plane moving along the incident normal at speed </w:t>
      </w:r>
      <m:oMath>
        <m:r>
          <m:t>βc</m:t>
        </m:r>
      </m:oMath>
      <w:r>
        <w:rPr>
          <w:rtl w:val="0"/>
        </w:rPr>
        <w:t xml:space="preserve">, </w:t>
      </w:r>
      <m:oMath>
        <m:d>
          <m:dPr>
            <m:begChr m:val="|"/>
            <m:endChr m:val="|"/>
          </m:dPr>
          <m:e>
            <m:r>
              <m:t>β</m:t>
            </m:r>
          </m:e>
        </m:d>
        <m:r>
          <m:t>&lt;1</m:t>
        </m:r>
      </m:oMath>
      <w:r>
        <w:rPr>
          <w:rtl w:val="0"/>
          <w:lang w:val="en-US"/>
        </w:rPr>
        <w:t>, neglect recoil during the reflection of a packet and work in the incident laboratory frame. Boost the incoming null energy</w:t>
      </w:r>
      <w:r>
        <w:rPr>
          <w:rtl w:val="0"/>
          <w:lang w:val="en-US"/>
        </w:rPr>
        <w:t>–</w:t>
      </w:r>
      <w:r>
        <w:rPr>
          <w:rtl w:val="0"/>
          <w:lang w:val="en-US"/>
        </w:rPr>
        <w:t>momentum to the mirror rest frame, reverse its spatial momentum there, and boost back. The reflected packet energy and frequency obey</w:t>
      </w:r>
    </w:p>
    <w:tbl>
      <w:tblPr>
        <w:tblW w:w="9522"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666"/>
        <w:gridCol w:w="8190"/>
        <w:gridCol w:w="666"/>
      </w:tblGrid>
      <w:tr>
        <w:tblPrEx>
          <w:shd w:val="clear" w:color="auto" w:fill="ced7e7"/>
        </w:tblPrEx>
        <w:trPr>
          <w:trHeight w:val="547" w:hRule="atLeast"/>
        </w:trPr>
        <w:tc>
          <w:tcPr>
            <w:tcW w:type="dxa" w:w="666"/>
            <w:tcBorders>
              <w:top w:val="nil"/>
              <w:left w:val="nil"/>
              <w:bottom w:val="nil"/>
              <w:right w:val="nil"/>
            </w:tcBorders>
            <w:shd w:val="clear" w:color="auto" w:fill="auto"/>
            <w:tcMar>
              <w:top w:type="dxa" w:w="80"/>
              <w:left w:type="dxa" w:w="80"/>
              <w:bottom w:type="dxa" w:w="80"/>
              <w:right w:type="dxa" w:w="80"/>
            </w:tcMar>
            <w:vAlign w:val="top"/>
          </w:tcPr>
          <w:p/>
        </w:tc>
        <w:tc>
          <w:tcPr>
            <w:tcW w:type="dxa" w:w="8190"/>
            <w:tcBorders>
              <w:top w:val="nil"/>
              <w:left w:val="nil"/>
              <w:bottom w:val="nil"/>
              <w:right w:val="nil"/>
            </w:tcBorders>
            <w:shd w:val="clear" w:color="auto" w:fill="auto"/>
            <w:tcMar>
              <w:top w:type="dxa" w:w="80"/>
              <w:left w:type="dxa" w:w="80"/>
              <w:bottom w:type="dxa" w:w="80"/>
              <w:right w:type="dxa" w:w="80"/>
            </w:tcMar>
            <w:vAlign w:val="top"/>
          </w:tcPr>
          <w:p>
            <w:pPr>
              <w:pStyle w:val="Текстовый блок"/>
              <w:spacing w:after="40" w:line="240" w:lineRule="auto"/>
              <w:jc w:val="center"/>
            </w:pPr>
            <m:oMathPara>
              <m:oMathParaPr>
                <m:jc m:val="center"/>
              </m:oMathParaPr>
              <m:oMath>
                <m:f>
                  <m:fPr>
                    <m:type m:val="bar"/>
                  </m:fPr>
                  <m:num>
                    <m:sSub>
                      <m:e>
                        <m:r>
                          <m:t>E</m:t>
                        </m:r>
                      </m:e>
                      <m:sub>
                        <m:r>
                          <m:rPr>
                            <m:sty m:val="p"/>
                          </m:rPr>
                          <m:t>r</m:t>
                        </m:r>
                      </m:sub>
                    </m:sSub>
                  </m:num>
                  <m:den>
                    <m:sSub>
                      <m:e>
                        <m:r>
                          <m:t>E</m:t>
                        </m:r>
                      </m:e>
                      <m:sub>
                        <m:r>
                          <m:rPr>
                            <m:sty m:val="p"/>
                          </m:rPr>
                          <m:t>i</m:t>
                        </m:r>
                      </m:sub>
                    </m:sSub>
                  </m:den>
                </m:f>
                <m:r>
                  <m:t>=</m:t>
                </m:r>
                <m:f>
                  <m:fPr>
                    <m:type m:val="bar"/>
                  </m:fPr>
                  <m:num>
                    <m:sSub>
                      <m:e>
                        <m:r>
                          <m:t>ω</m:t>
                        </m:r>
                      </m:e>
                      <m:sub>
                        <m:r>
                          <m:rPr>
                            <m:sty m:val="p"/>
                          </m:rPr>
                          <m:t>r</m:t>
                        </m:r>
                      </m:sub>
                    </m:sSub>
                  </m:num>
                  <m:den>
                    <m:sSub>
                      <m:e>
                        <m:r>
                          <m:t>ω</m:t>
                        </m:r>
                      </m:e>
                      <m:sub>
                        <m:r>
                          <m:rPr>
                            <m:sty m:val="p"/>
                          </m:rPr>
                          <m:t>i</m:t>
                        </m:r>
                      </m:sub>
                    </m:sSub>
                  </m:den>
                </m:f>
                <m:r>
                  <m:t>=</m:t>
                </m:r>
                <m:sSub>
                  <m:e>
                    <m:r>
                      <m:t>q</m:t>
                    </m:r>
                  </m:e>
                  <m:sub>
                    <m:r>
                      <m:t>β</m:t>
                    </m:r>
                  </m:sub>
                </m:sSub>
                <m:r>
                  <m:t>:=</m:t>
                </m:r>
                <m:f>
                  <m:fPr>
                    <m:type m:val="bar"/>
                  </m:fPr>
                  <m:num>
                    <m:r>
                      <m:t>1−β</m:t>
                    </m:r>
                  </m:num>
                  <m:den>
                    <m:r>
                      <m:t>1+β</m:t>
                    </m:r>
                  </m:den>
                </m:f>
                <m:r>
                  <m:t>.</m:t>
                </m:r>
              </m:oMath>
            </m:oMathPara>
          </w:p>
        </w:tc>
        <w:tc>
          <w:tcPr>
            <w:tcW w:type="dxa" w:w="666"/>
            <w:tcBorders>
              <w:top w:val="nil"/>
              <w:left w:val="nil"/>
              <w:bottom w:val="nil"/>
              <w:right w:val="nil"/>
            </w:tcBorders>
            <w:shd w:val="clear" w:color="auto" w:fill="auto"/>
            <w:tcMar>
              <w:top w:type="dxa" w:w="80"/>
              <w:left w:type="dxa" w:w="80"/>
              <w:bottom w:type="dxa" w:w="80"/>
              <w:right w:type="dxa" w:w="80"/>
            </w:tcMar>
            <w:vAlign w:val="top"/>
          </w:tcPr>
          <w:p>
            <w:pPr>
              <w:pStyle w:val="Normal.0"/>
              <w:spacing w:after="40" w:line="240" w:lineRule="auto"/>
              <w:jc w:val="right"/>
            </w:pPr>
            <w:r>
              <w:rPr>
                <w:sz w:val="18"/>
                <w:szCs w:val="18"/>
                <w:rtl w:val="0"/>
                <w:lang w:val="en-US"/>
              </w:rPr>
              <w:t>(11.3)</w:t>
            </w:r>
          </w:p>
        </w:tc>
      </w:tr>
    </w:tbl>
    <w:p>
      <w:pPr>
        <w:pStyle w:val="Текстовый блок"/>
        <w:widowControl w:val="0"/>
        <w:spacing w:line="240" w:lineRule="atLeast"/>
        <w:jc w:val="center"/>
      </w:pPr>
    </w:p>
    <w:p>
      <w:pPr>
        <w:pStyle w:val="Текстовый блок"/>
        <w:spacing w:line="240" w:lineRule="atLeast"/>
      </w:pPr>
      <w:r>
        <w:rPr>
          <w:rtl w:val="0"/>
          <w:lang w:val="en-US"/>
        </w:rPr>
        <w:t xml:space="preserve">With </w:t>
      </w:r>
      <m:oMath>
        <m:sSub>
          <m:e>
            <m:r>
              <m:t>γ</m:t>
            </m:r>
          </m:e>
          <m:sub>
            <m:r>
              <m:t>β</m:t>
            </m:r>
          </m:sub>
        </m:sSub>
        <m:r>
          <m:t>=</m:t>
        </m:r>
        <m:sSup>
          <m:e>
            <m:d>
              <m:e>
                <m:r>
                  <m:t>1−</m:t>
                </m:r>
                <m:sSup>
                  <m:e>
                    <m:r>
                      <m:t>β</m:t>
                    </m:r>
                  </m:e>
                  <m:sup>
                    <m:r>
                      <m:t>2</m:t>
                    </m:r>
                  </m:sup>
                </m:sSup>
              </m:e>
            </m:d>
          </m:e>
          <m:sup>
            <m:r>
              <m:t>−1/2</m:t>
            </m:r>
          </m:sup>
        </m:sSup>
      </m:oMath>
      <w:r>
        <w:rPr>
          <w:rtl w:val="0"/>
          <w:lang w:val="en-US"/>
        </w:rPr>
        <w:t xml:space="preserve">, for example, </w:t>
      </w:r>
      <m:oMath>
        <m:r>
          <m:t>E′=</m:t>
        </m:r>
        <m:sSub>
          <m:e>
            <m:r>
              <m:t>γ</m:t>
            </m:r>
          </m:e>
          <m:sub>
            <m:r>
              <m:t>β</m:t>
            </m:r>
          </m:sub>
        </m:sSub>
        <m:d>
          <m:e>
            <m:r>
              <m:t>1−β</m:t>
            </m:r>
          </m:e>
        </m:d>
        <m:sSub>
          <m:e>
            <m:r>
              <m:t>E</m:t>
            </m:r>
          </m:e>
          <m:sub>
            <m:r>
              <m:rPr>
                <m:sty m:val="p"/>
              </m:rPr>
              <m:t>i</m:t>
            </m:r>
          </m:sub>
        </m:sSub>
      </m:oMath>
      <w:r>
        <w:rPr>
          <w:rtl w:val="0"/>
          <w:lang w:val="en-US"/>
        </w:rPr>
        <w:t xml:space="preserve"> and </w:t>
      </w:r>
      <m:oMath>
        <m:sSub>
          <m:e>
            <m:r>
              <m:t>E</m:t>
            </m:r>
          </m:e>
          <m:sub>
            <m:r>
              <m:rPr>
                <m:sty m:val="p"/>
              </m:rPr>
              <m:t>r</m:t>
            </m:r>
          </m:sub>
        </m:sSub>
        <m:r>
          <m:t>=</m:t>
        </m:r>
        <m:sSub>
          <m:e>
            <m:r>
              <m:t>γ</m:t>
            </m:r>
          </m:e>
          <m:sub>
            <m:r>
              <m:t>β</m:t>
            </m:r>
          </m:sub>
        </m:sSub>
        <m:d>
          <m:e>
            <m:r>
              <m:t>1−β</m:t>
            </m:r>
          </m:e>
        </m:d>
        <m:r>
          <m:t>E′</m:t>
        </m:r>
      </m:oMath>
      <w:r>
        <w:rPr>
          <w:rtl w:val="0"/>
          <w:lang w:val="en-US"/>
        </w:rPr>
        <w:t xml:space="preserve">, which gives this ratio. The number of equal-energy incident packets reaching unit mirror area per laboratory time is </w:t>
      </w:r>
      <m:oMath>
        <m:d>
          <m:e>
            <m:f>
              <m:fPr>
                <m:type m:val="lin"/>
              </m:fPr>
              <m:num>
                <m:r>
                  <m:t>I</m:t>
                </m:r>
              </m:num>
              <m:den>
                <m:sSub>
                  <m:e>
                    <m:r>
                      <m:t>E</m:t>
                    </m:r>
                  </m:e>
                  <m:sub>
                    <m:r>
                      <m:rPr>
                        <m:sty m:val="p"/>
                      </m:rPr>
                      <m:t>i</m:t>
                    </m:r>
                  </m:sub>
                </m:sSub>
              </m:den>
            </m:f>
          </m:e>
        </m:d>
        <m:d>
          <m:e>
            <m:r>
              <m:t>1−β</m:t>
            </m:r>
          </m:e>
        </m:d>
      </m:oMath>
      <w:r>
        <w:rPr>
          <w:rtl w:val="0"/>
          <w:lang w:val="en-US"/>
        </w:rPr>
        <w:t xml:space="preserve">. Multiplying it by their momentum change </w:t>
      </w:r>
      <m:oMath>
        <m:d>
          <m:e>
            <m:sSub>
              <m:e>
                <m:r>
                  <m:t>E</m:t>
                </m:r>
              </m:e>
              <m:sub>
                <m:r>
                  <m:rPr>
                    <m:sty m:val="p"/>
                  </m:rPr>
                  <m:t>i</m:t>
                </m:r>
              </m:sub>
            </m:sSub>
            <m:r>
              <m:t>+</m:t>
            </m:r>
            <m:sSub>
              <m:e>
                <m:r>
                  <m:t>E</m:t>
                </m:r>
              </m:e>
              <m:sub>
                <m:r>
                  <m:rPr>
                    <m:sty m:val="p"/>
                  </m:rPr>
                  <m:t>r</m:t>
                </m:r>
              </m:sub>
            </m:sSub>
          </m:e>
        </m:d>
        <m:r>
          <m:t>/c</m:t>
        </m:r>
      </m:oMath>
      <w:r>
        <w:rPr>
          <w:rtl w:val="0"/>
          <w:lang w:val="en-US"/>
        </w:rPr>
        <w:t xml:space="preserve"> yields</w:t>
      </w:r>
    </w:p>
    <w:tbl>
      <w:tblPr>
        <w:tblW w:w="9522"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666"/>
        <w:gridCol w:w="8190"/>
        <w:gridCol w:w="666"/>
      </w:tblGrid>
      <w:tr>
        <w:tblPrEx>
          <w:shd w:val="clear" w:color="auto" w:fill="ced7e7"/>
        </w:tblPrEx>
        <w:trPr>
          <w:trHeight w:val="542" w:hRule="atLeast"/>
        </w:trPr>
        <w:tc>
          <w:tcPr>
            <w:tcW w:type="dxa" w:w="666"/>
            <w:tcBorders>
              <w:top w:val="nil"/>
              <w:left w:val="nil"/>
              <w:bottom w:val="nil"/>
              <w:right w:val="nil"/>
            </w:tcBorders>
            <w:shd w:val="clear" w:color="auto" w:fill="auto"/>
            <w:tcMar>
              <w:top w:type="dxa" w:w="80"/>
              <w:left w:type="dxa" w:w="80"/>
              <w:bottom w:type="dxa" w:w="80"/>
              <w:right w:type="dxa" w:w="80"/>
            </w:tcMar>
            <w:vAlign w:val="top"/>
          </w:tcPr>
          <w:p/>
        </w:tc>
        <w:tc>
          <w:tcPr>
            <w:tcW w:type="dxa" w:w="8190"/>
            <w:tcBorders>
              <w:top w:val="nil"/>
              <w:left w:val="nil"/>
              <w:bottom w:val="nil"/>
              <w:right w:val="nil"/>
            </w:tcBorders>
            <w:shd w:val="clear" w:color="auto" w:fill="auto"/>
            <w:tcMar>
              <w:top w:type="dxa" w:w="80"/>
              <w:left w:type="dxa" w:w="80"/>
              <w:bottom w:type="dxa" w:w="80"/>
              <w:right w:type="dxa" w:w="80"/>
            </w:tcMar>
            <w:vAlign w:val="top"/>
          </w:tcPr>
          <w:p>
            <w:pPr>
              <w:pStyle w:val="Текстовый блок"/>
              <w:spacing w:after="40" w:line="240" w:lineRule="auto"/>
              <w:jc w:val="center"/>
            </w:pPr>
            <m:oMathPara>
              <m:oMathParaPr>
                <m:jc m:val="center"/>
              </m:oMathParaPr>
              <m:oMath>
                <m:sSub>
                  <m:e>
                    <m:r>
                      <m:t>P</m:t>
                    </m:r>
                  </m:e>
                  <m:sub>
                    <m:r>
                      <m:rPr>
                        <m:sty m:val="p"/>
                      </m:rPr>
                      <m:t>lab</m:t>
                    </m:r>
                  </m:sub>
                </m:sSub>
                <m:r>
                  <m:t>=</m:t>
                </m:r>
                <m:f>
                  <m:fPr>
                    <m:type m:val="bar"/>
                  </m:fPr>
                  <m:num>
                    <m:r>
                      <m:t>2I</m:t>
                    </m:r>
                  </m:num>
                  <m:den>
                    <m:r>
                      <m:t>c</m:t>
                    </m:r>
                  </m:den>
                </m:f>
                <m:f>
                  <m:fPr>
                    <m:type m:val="bar"/>
                  </m:fPr>
                  <m:num>
                    <m:r>
                      <m:t>1−β</m:t>
                    </m:r>
                  </m:num>
                  <m:den>
                    <m:r>
                      <m:t>1+β</m:t>
                    </m:r>
                  </m:den>
                </m:f>
                <m:r>
                  <m:t>.</m:t>
                </m:r>
              </m:oMath>
            </m:oMathPara>
          </w:p>
        </w:tc>
        <w:tc>
          <w:tcPr>
            <w:tcW w:type="dxa" w:w="666"/>
            <w:tcBorders>
              <w:top w:val="nil"/>
              <w:left w:val="nil"/>
              <w:bottom w:val="nil"/>
              <w:right w:val="nil"/>
            </w:tcBorders>
            <w:shd w:val="clear" w:color="auto" w:fill="auto"/>
            <w:tcMar>
              <w:top w:type="dxa" w:w="80"/>
              <w:left w:type="dxa" w:w="80"/>
              <w:bottom w:type="dxa" w:w="80"/>
              <w:right w:type="dxa" w:w="80"/>
            </w:tcMar>
            <w:vAlign w:val="top"/>
          </w:tcPr>
          <w:p>
            <w:pPr>
              <w:pStyle w:val="Normal.0"/>
              <w:spacing w:after="40" w:line="240" w:lineRule="auto"/>
              <w:jc w:val="right"/>
            </w:pPr>
            <w:r>
              <w:rPr>
                <w:sz w:val="18"/>
                <w:szCs w:val="18"/>
                <w:rtl w:val="0"/>
                <w:lang w:val="en-US"/>
              </w:rPr>
              <w:t>(11.4)</w:t>
            </w:r>
          </w:p>
        </w:tc>
      </w:tr>
    </w:tbl>
    <w:p>
      <w:pPr>
        <w:pStyle w:val="Текстовый блок"/>
        <w:widowControl w:val="0"/>
        <w:spacing w:line="240" w:lineRule="atLeast"/>
        <w:jc w:val="center"/>
      </w:pPr>
    </w:p>
    <w:p>
      <w:pPr>
        <w:pStyle w:val="Текстовый блок"/>
        <w:spacing w:line="240" w:lineRule="atLeast"/>
      </w:pPr>
      <w:r>
        <w:rPr>
          <w:rtl w:val="0"/>
          <w:lang w:val="en-US"/>
        </w:rPr>
        <w:t xml:space="preserve">This derivation uses null packet momentum, not a quantisation assumption. The mechanical power density </w:t>
      </w:r>
      <m:oMath>
        <m:r>
          <m:t>βc</m:t>
        </m:r>
        <m:sSub>
          <m:e>
            <m:r>
              <m:t>P</m:t>
            </m:r>
          </m:e>
          <m:sub>
            <m:r>
              <m:rPr>
                <m:sty m:val="p"/>
              </m:rPr>
              <m:t>lab</m:t>
            </m:r>
          </m:sub>
        </m:sSub>
      </m:oMath>
      <w:r>
        <w:rPr>
          <w:rtl w:val="0"/>
          <w:lang w:val="it-IT"/>
        </w:rPr>
        <w:t xml:space="preserve"> equals </w:t>
      </w:r>
      <m:oMath>
        <m:r>
          <m:t>I</m:t>
        </m:r>
        <m:d>
          <m:e>
            <m:r>
              <m:t>1−β</m:t>
            </m:r>
          </m:e>
        </m:d>
        <m:d>
          <m:e>
            <m:r>
              <m:t>1−</m:t>
            </m:r>
            <m:sSub>
              <m:e>
                <m:r>
                  <m:t>q</m:t>
                </m:r>
              </m:e>
              <m:sub>
                <m:r>
                  <m:t>β</m:t>
                </m:r>
              </m:sub>
            </m:sSub>
          </m:e>
        </m:d>
      </m:oMath>
      <w:r>
        <w:rPr>
          <w:rtl w:val="0"/>
          <w:lang w:val="en-US"/>
        </w:rPr>
        <w:t>, the intercepted energy minus the energy carried away by reflected packets per laboratory time. Omitting the interception factor would give an incorrect force. Acceleration, finite-mass recoil and nonideal optical response require an enlarged model.</w:t>
      </w:r>
      <w:bookmarkEnd w:id="42"/>
    </w:p>
    <w:p>
      <w:pPr>
        <w:pStyle w:val="Заголовок 3"/>
        <w:spacing w:line="240" w:lineRule="atLeast"/>
      </w:pPr>
      <w:bookmarkStart w:name="whatmakesthetestindependent" w:id="43"/>
      <w:r>
        <w:rPr>
          <w:rtl w:val="0"/>
          <w:lang w:val="en-US"/>
        </w:rPr>
        <w:t>11.3. What makes the test independent?</w:t>
      </w:r>
    </w:p>
    <w:p>
      <w:pPr>
        <w:pStyle w:val="Текстовый блок"/>
        <w:keepLines w:val="1"/>
        <w:spacing w:before="60" w:line="240" w:lineRule="atLeast"/>
      </w:pPr>
      <w:r>
        <w:rPr>
          <w:b w:val="1"/>
          <w:bCs w:val="1"/>
          <w:rtl w:val="0"/>
          <w:lang w:val="en-US"/>
        </w:rPr>
        <w:t>Definition 11.1 (Operational pressure closure residual).</w:t>
      </w:r>
      <w:r>
        <w:rPr>
          <w:rtl w:val="0"/>
          <w:lang w:val="en-US"/>
        </w:rPr>
        <w:t xml:space="preserve"> At a stationary boundary with known nonzero </w:t>
      </w:r>
      <m:oMath>
        <m:r>
          <m:t>b=</m:t>
        </m:r>
        <m:d>
          <m:e>
            <m:r>
              <m:t>α+2r</m:t>
            </m:r>
          </m:e>
        </m:d>
        <m:sSup>
          <m:e>
            <m:r>
              <m:rPr>
                <m:sty m:val="p"/>
              </m:rPr>
              <m:t>cos</m:t>
            </m:r>
          </m:e>
          <m:sup>
            <m:r>
              <m:t>2</m:t>
            </m:r>
          </m:sup>
        </m:sSup>
        <m:r>
          <m:t>θ</m:t>
        </m:r>
      </m:oMath>
      <w:r>
        <w:rPr>
          <w:rtl w:val="0"/>
          <w:lang w:val="it-IT"/>
        </w:rPr>
        <w:t>, define</w:t>
      </w:r>
    </w:p>
    <w:tbl>
      <w:tblPr>
        <w:tblW w:w="9522"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666"/>
        <w:gridCol w:w="8190"/>
        <w:gridCol w:w="666"/>
      </w:tblGrid>
      <w:tr>
        <w:tblPrEx>
          <w:shd w:val="clear" w:color="auto" w:fill="ced7e7"/>
        </w:tblPrEx>
        <w:trPr>
          <w:trHeight w:val="503" w:hRule="atLeast"/>
        </w:trPr>
        <w:tc>
          <w:tcPr>
            <w:tcW w:type="dxa" w:w="666"/>
            <w:tcBorders>
              <w:top w:val="nil"/>
              <w:left w:val="nil"/>
              <w:bottom w:val="nil"/>
              <w:right w:val="nil"/>
            </w:tcBorders>
            <w:shd w:val="clear" w:color="auto" w:fill="auto"/>
            <w:tcMar>
              <w:top w:type="dxa" w:w="80"/>
              <w:left w:type="dxa" w:w="80"/>
              <w:bottom w:type="dxa" w:w="80"/>
              <w:right w:type="dxa" w:w="80"/>
            </w:tcMar>
            <w:vAlign w:val="top"/>
          </w:tcPr>
          <w:p/>
        </w:tc>
        <w:tc>
          <w:tcPr>
            <w:tcW w:type="dxa" w:w="8190"/>
            <w:tcBorders>
              <w:top w:val="nil"/>
              <w:left w:val="nil"/>
              <w:bottom w:val="nil"/>
              <w:right w:val="nil"/>
            </w:tcBorders>
            <w:shd w:val="clear" w:color="auto" w:fill="auto"/>
            <w:tcMar>
              <w:top w:type="dxa" w:w="80"/>
              <w:left w:type="dxa" w:w="80"/>
              <w:bottom w:type="dxa" w:w="80"/>
              <w:right w:type="dxa" w:w="80"/>
            </w:tcMar>
            <w:vAlign w:val="top"/>
          </w:tcPr>
          <w:p>
            <w:pPr>
              <w:pStyle w:val="Текстовый блок"/>
              <w:spacing w:after="40" w:line="240" w:lineRule="auto"/>
              <w:jc w:val="center"/>
            </w:pPr>
            <m:oMathPara>
              <m:oMathParaPr>
                <m:jc m:val="center"/>
              </m:oMathParaPr>
              <m:oMath>
                <m:sSub>
                  <m:e>
                    <m:r>
                      <m:rPr>
                        <m:scr m:val="script"/>
                      </m:rPr>
                      <m:t>R</m:t>
                    </m:r>
                  </m:e>
                  <m:sub>
                    <m:r>
                      <m:t>P</m:t>
                    </m:r>
                  </m:sub>
                </m:sSub>
                <m:r>
                  <m:t>=</m:t>
                </m:r>
                <m:f>
                  <m:fPr>
                    <m:type m:val="bar"/>
                  </m:fPr>
                  <m:num>
                    <m:sSub>
                      <m:e>
                        <m:r>
                          <m:t>c</m:t>
                        </m:r>
                      </m:e>
                      <m:sub>
                        <m:r>
                          <m:rPr>
                            <m:sty m:val="p"/>
                          </m:rPr>
                          <m:t>TOF</m:t>
                        </m:r>
                      </m:sub>
                    </m:sSub>
                    <m:sSub>
                      <m:e>
                        <m:r>
                          <m:t>P</m:t>
                        </m:r>
                      </m:e>
                      <m:sub>
                        <m:r>
                          <m:t>⊥</m:t>
                        </m:r>
                      </m:sub>
                    </m:sSub>
                  </m:num>
                  <m:den>
                    <m:r>
                      <m:t>bI</m:t>
                    </m:r>
                  </m:den>
                </m:f>
                <m:r>
                  <m:t>−1,</m:t>
                </m:r>
                <m:sSub>
                  <m:e>
                    <m:r>
                      <m:t>c</m:t>
                    </m:r>
                  </m:e>
                  <m:sub>
                    <m:r>
                      <m:rPr>
                        <m:sty m:val="p"/>
                      </m:rPr>
                      <m:t>TOF</m:t>
                    </m:r>
                  </m:sub>
                </m:sSub>
                <m:r>
                  <m:t>=L/Δt,</m:t>
                </m:r>
              </m:oMath>
            </m:oMathPara>
          </w:p>
        </w:tc>
        <w:tc>
          <w:tcPr>
            <w:tcW w:type="dxa" w:w="666"/>
            <w:tcBorders>
              <w:top w:val="nil"/>
              <w:left w:val="nil"/>
              <w:bottom w:val="nil"/>
              <w:right w:val="nil"/>
            </w:tcBorders>
            <w:shd w:val="clear" w:color="auto" w:fill="auto"/>
            <w:tcMar>
              <w:top w:type="dxa" w:w="80"/>
              <w:left w:type="dxa" w:w="80"/>
              <w:bottom w:type="dxa" w:w="80"/>
              <w:right w:type="dxa" w:w="80"/>
            </w:tcMar>
            <w:vAlign w:val="top"/>
          </w:tcPr>
          <w:p>
            <w:pPr>
              <w:pStyle w:val="Normal.0"/>
              <w:spacing w:after="40" w:line="240" w:lineRule="auto"/>
              <w:jc w:val="right"/>
            </w:pPr>
            <w:r>
              <w:rPr>
                <w:sz w:val="18"/>
                <w:szCs w:val="18"/>
                <w:rtl w:val="0"/>
                <w:lang w:val="en-US"/>
              </w:rPr>
              <w:t>(11.5)</w:t>
            </w:r>
          </w:p>
        </w:tc>
      </w:tr>
    </w:tbl>
    <w:p>
      <w:pPr>
        <w:pStyle w:val="Текстовый блок"/>
        <w:keepLines w:val="1"/>
        <w:widowControl w:val="0"/>
        <w:spacing w:before="60" w:line="240" w:lineRule="atLeast"/>
        <w:jc w:val="center"/>
      </w:pPr>
    </w:p>
    <w:p>
      <w:pPr>
        <w:pStyle w:val="Текстовый блок"/>
        <w:spacing w:line="240" w:lineRule="atLeast"/>
      </w:pPr>
      <w:r>
        <w:rPr>
          <w:rtl w:val="0"/>
          <w:lang w:val="en-US"/>
        </w:rPr>
        <w:t>using independently calibrated timing, power and force measurements in the same effective vacuum regime.</w:t>
      </w:r>
    </w:p>
    <w:p>
      <w:pPr>
        <w:pStyle w:val="Текстовый блок"/>
        <w:spacing w:line="240" w:lineRule="atLeast"/>
      </w:pPr>
      <w:r>
        <w:rPr>
          <w:rtl w:val="0"/>
          <w:lang w:val="en-US"/>
        </w:rPr>
        <w:t xml:space="preserve">The action and boundary model predict </w:t>
      </w:r>
      <m:oMath>
        <m:sSub>
          <m:e>
            <m:r>
              <m:rPr>
                <m:scr m:val="script"/>
              </m:rPr>
              <m:t>R</m:t>
            </m:r>
          </m:e>
          <m:sub>
            <m:r>
              <m:t>P</m:t>
            </m:r>
          </m:sub>
        </m:sSub>
        <m:r>
          <m:t>=0</m:t>
        </m:r>
      </m:oMath>
      <w:r>
        <w:rPr>
          <w:rtl w:val="0"/>
          <w:lang w:val="en-US"/>
        </w:rPr>
        <w:t>. Time of flight tests propagation; mechanical recoil tests energy</w:t>
      </w:r>
      <w:r>
        <w:rPr>
          <w:rtl w:val="0"/>
          <w:lang w:val="en-US"/>
        </w:rPr>
        <w:t>–</w:t>
      </w:r>
      <w:r>
        <w:rPr>
          <w:rtl w:val="0"/>
          <w:lang w:val="en-US"/>
        </w:rPr>
        <w:t>momentum transfer and the boundary coupling. Their apparatus and systematic errors differ. Pressure is thus an independent operational channel, while its value is mathematically constrained by the assumed functional structure. It is not a logically independent axiom once Maxwell dynamics and the boundary conditions have been imposed.</w:t>
      </w:r>
    </w:p>
    <w:p>
      <w:pPr>
        <w:pStyle w:val="Текстовый блок"/>
        <w:spacing w:line="240" w:lineRule="atLeast"/>
      </w:pPr>
      <w:r>
        <w:rPr>
          <w:rtl w:val="0"/>
          <w:lang w:val="en-US"/>
        </w:rPr>
        <w:t>Radiation-pressure radiometry is an existing physical anchor [42, 43]. Such a power meter uses the pressure relation as its calibration law; comparing it with itself would not test that law. An actual closure test needs an independent power or energy calibration and independently characterised reflection and absorption. No experiment or experimental confirmation is claimed in this manuscript.</w:t>
      </w:r>
      <w:bookmarkEnd w:id="43"/>
    </w:p>
    <w:p>
      <w:pPr>
        <w:pStyle w:val="Заголовок 2"/>
        <w:spacing w:line="240" w:lineRule="atLeast"/>
      </w:pPr>
      <w:bookmarkStart w:name="Xb4537da707ef9c7c81bf9b236f89411e0fd4668" w:id="44"/>
      <w:r>
        <w:rPr>
          <w:rtl w:val="0"/>
          <w:lang w:val="en-US"/>
        </w:rPr>
        <w:t>12. Directed stress, photon-gas pressure and dimension</w:t>
      </w:r>
    </w:p>
    <w:p>
      <w:pPr>
        <w:pStyle w:val="Текстовый блок"/>
        <w:spacing w:line="240" w:lineRule="atLeast"/>
      </w:pPr>
      <w:r>
        <w:rPr>
          <w:rtl w:val="0"/>
          <w:lang w:val="en-US"/>
        </w:rPr>
        <w:t xml:space="preserve">Directed surface pressure, electromagnetic stress, momentum flux, isotropic photon-gas pressure and thermodynamic radiation pressure are distinct objects. In particular, </w:t>
      </w:r>
      <m:oMath>
        <m:r>
          <m:t>I/c</m:t>
        </m:r>
      </m:oMath>
      <w:r>
        <w:rPr>
          <w:rtl w:val="0"/>
          <w:lang w:val="en-US"/>
        </w:rPr>
        <w:t xml:space="preserve"> for an absorbed directed beam must not be substituted for the equation of state of an isotropic gas.</w:t>
      </w:r>
    </w:p>
    <w:p>
      <w:pPr>
        <w:pStyle w:val="Текстовый блок"/>
        <w:keepLines w:val="1"/>
        <w:spacing w:before="60" w:line="240" w:lineRule="atLeast"/>
      </w:pPr>
      <w:r>
        <w:rPr>
          <w:b w:val="1"/>
          <w:bCs w:val="1"/>
          <w:rtl w:val="0"/>
          <w:lang w:val="en-US"/>
        </w:rPr>
        <w:t>Proposition 12.1 (Isotropic massless pressure).</w:t>
      </w:r>
      <w:r>
        <w:rPr>
          <w:rtl w:val="0"/>
          <w:lang w:val="en-US"/>
        </w:rPr>
        <w:t xml:space="preserve"> For a noninteracting massless kinetic sector in </w:t>
      </w:r>
      <m:oMath>
        <m:r>
          <m:t>d</m:t>
        </m:r>
      </m:oMath>
      <w:r>
        <w:rPr>
          <w:rtl w:val="0"/>
          <w:lang w:val="en-US"/>
        </w:rPr>
        <w:t xml:space="preserve"> spatial dimensions, with isotropic finite energy distribution and dispersion </w:t>
      </w:r>
      <m:oMath>
        <m:r>
          <m:t>E=c</m:t>
        </m:r>
        <m:d>
          <m:dPr>
            <m:begChr m:val="|"/>
            <m:endChr m:val="|"/>
          </m:dPr>
          <m:e>
            <m:r>
              <m:rPr>
                <m:sty m:val="b"/>
              </m:rPr>
              <m:t>p</m:t>
            </m:r>
          </m:e>
        </m:d>
      </m:oMath>
      <w:r>
        <w:rPr>
          <w:rtl w:val="0"/>
        </w:rPr>
        <w:t>,</w:t>
      </w:r>
    </w:p>
    <w:tbl>
      <w:tblPr>
        <w:tblW w:w="9522"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666"/>
        <w:gridCol w:w="8190"/>
        <w:gridCol w:w="666"/>
      </w:tblGrid>
      <w:tr>
        <w:tblPrEx>
          <w:shd w:val="clear" w:color="auto" w:fill="ced7e7"/>
        </w:tblPrEx>
        <w:trPr>
          <w:trHeight w:val="448" w:hRule="atLeast"/>
        </w:trPr>
        <w:tc>
          <w:tcPr>
            <w:tcW w:type="dxa" w:w="666"/>
            <w:tcBorders>
              <w:top w:val="nil"/>
              <w:left w:val="nil"/>
              <w:bottom w:val="nil"/>
              <w:right w:val="nil"/>
            </w:tcBorders>
            <w:shd w:val="clear" w:color="auto" w:fill="auto"/>
            <w:tcMar>
              <w:top w:type="dxa" w:w="80"/>
              <w:left w:type="dxa" w:w="80"/>
              <w:bottom w:type="dxa" w:w="80"/>
              <w:right w:type="dxa" w:w="80"/>
            </w:tcMar>
            <w:vAlign w:val="top"/>
          </w:tcPr>
          <w:p/>
        </w:tc>
        <w:tc>
          <w:tcPr>
            <w:tcW w:type="dxa" w:w="8190"/>
            <w:tcBorders>
              <w:top w:val="nil"/>
              <w:left w:val="nil"/>
              <w:bottom w:val="nil"/>
              <w:right w:val="nil"/>
            </w:tcBorders>
            <w:shd w:val="clear" w:color="auto" w:fill="auto"/>
            <w:tcMar>
              <w:top w:type="dxa" w:w="80"/>
              <w:left w:type="dxa" w:w="80"/>
              <w:bottom w:type="dxa" w:w="80"/>
              <w:right w:type="dxa" w:w="80"/>
            </w:tcMar>
            <w:vAlign w:val="top"/>
          </w:tcPr>
          <w:p>
            <w:pPr>
              <w:pStyle w:val="Текстовый блок"/>
              <w:spacing w:after="40" w:line="240" w:lineRule="auto"/>
              <w:jc w:val="center"/>
            </w:pPr>
            <m:oMathPara>
              <m:oMathParaPr>
                <m:jc m:val="center"/>
              </m:oMathParaPr>
              <m:oMath>
                <m:sSub>
                  <m:e>
                    <m:r>
                      <m:t>Π</m:t>
                    </m:r>
                  </m:e>
                  <m:sub>
                    <m:r>
                      <m:t>ij</m:t>
                    </m:r>
                  </m:sub>
                </m:sSub>
                <m:r>
                  <m:t>=</m:t>
                </m:r>
                <m:f>
                  <m:fPr>
                    <m:type m:val="bar"/>
                  </m:fPr>
                  <m:num>
                    <m:r>
                      <m:t>u</m:t>
                    </m:r>
                  </m:num>
                  <m:den>
                    <m:r>
                      <m:t>d</m:t>
                    </m:r>
                  </m:den>
                </m:f>
                <m:sSub>
                  <m:e>
                    <m:r>
                      <m:t>δ</m:t>
                    </m:r>
                  </m:e>
                  <m:sub>
                    <m:r>
                      <m:t>ij</m:t>
                    </m:r>
                  </m:sub>
                </m:sSub>
                <m:r>
                  <m:t>,</m:t>
                </m:r>
                <m:sSub>
                  <m:e>
                    <m:r>
                      <m:t>p</m:t>
                    </m:r>
                  </m:e>
                  <m:sub>
                    <m:r>
                      <m:rPr>
                        <m:sty m:val="p"/>
                      </m:rPr>
                      <m:t>iso</m:t>
                    </m:r>
                  </m:sub>
                </m:sSub>
                <m:r>
                  <m:t>=u/d.</m:t>
                </m:r>
              </m:oMath>
            </m:oMathPara>
          </w:p>
        </w:tc>
        <w:tc>
          <w:tcPr>
            <w:tcW w:type="dxa" w:w="666"/>
            <w:tcBorders>
              <w:top w:val="nil"/>
              <w:left w:val="nil"/>
              <w:bottom w:val="nil"/>
              <w:right w:val="nil"/>
            </w:tcBorders>
            <w:shd w:val="clear" w:color="auto" w:fill="auto"/>
            <w:tcMar>
              <w:top w:type="dxa" w:w="80"/>
              <w:left w:type="dxa" w:w="80"/>
              <w:bottom w:type="dxa" w:w="80"/>
              <w:right w:type="dxa" w:w="80"/>
            </w:tcMar>
            <w:vAlign w:val="top"/>
          </w:tcPr>
          <w:p>
            <w:pPr>
              <w:pStyle w:val="Normal.0"/>
              <w:spacing w:after="40" w:line="240" w:lineRule="auto"/>
              <w:jc w:val="right"/>
            </w:pPr>
            <w:r>
              <w:rPr>
                <w:sz w:val="18"/>
                <w:szCs w:val="18"/>
                <w:rtl w:val="0"/>
                <w:lang w:val="en-US"/>
              </w:rPr>
              <w:t>(12.1)</w:t>
            </w:r>
          </w:p>
        </w:tc>
      </w:tr>
    </w:tbl>
    <w:p>
      <w:pPr>
        <w:pStyle w:val="Текстовый блок"/>
        <w:keepLines w:val="1"/>
        <w:widowControl w:val="0"/>
        <w:spacing w:before="60" w:line="240" w:lineRule="atLeast"/>
        <w:jc w:val="center"/>
      </w:pPr>
    </w:p>
    <w:p>
      <w:pPr>
        <w:pStyle w:val="Текстовый блок"/>
        <w:spacing w:line="240" w:lineRule="atLeast"/>
      </w:pPr>
      <w:r>
        <w:rPr>
          <w:rtl w:val="0"/>
          <w:lang w:val="en-US"/>
        </w:rPr>
        <w:t>Thermal equilibrium is not needed for this kinetic identity.</w:t>
      </w:r>
    </w:p>
    <w:p>
      <w:pPr>
        <w:pStyle w:val="Текстовый блок"/>
        <w:spacing w:line="240" w:lineRule="atLeast"/>
      </w:pPr>
      <w:r>
        <w:rPr>
          <w:i w:val="1"/>
          <w:iCs w:val="1"/>
          <w:rtl w:val="0"/>
          <w:lang w:val="en-US"/>
        </w:rPr>
        <w:t>Angular proof.</w:t>
      </w:r>
      <w:r>
        <w:rPr>
          <w:rtl w:val="0"/>
          <w:lang w:val="en-US"/>
        </w:rPr>
        <w:t xml:space="preserve"> Let </w:t>
      </w:r>
      <m:oMath>
        <m:r>
          <m:t>w</m:t>
        </m:r>
        <m:d>
          <m:e>
            <m:r>
              <m:rPr>
                <m:sty m:val="b"/>
              </m:rPr>
              <m:t>n</m:t>
            </m:r>
          </m:e>
        </m:d>
        <m:r>
          <m:rPr>
            <m:sty m:val="p"/>
          </m:rPr>
          <m:t>d</m:t>
        </m:r>
        <m:r>
          <m:t>Ω</m:t>
        </m:r>
      </m:oMath>
      <w:r>
        <w:rPr>
          <w:rtl w:val="0"/>
          <w:lang w:val="en-US"/>
        </w:rPr>
        <w:t xml:space="preserve"> be directional energy density. Each direction contributes </w:t>
      </w:r>
      <m:oMath>
        <m:r>
          <m:t>w</m:t>
        </m:r>
        <m:d>
          <m:e>
            <m:r>
              <m:rPr>
                <m:sty m:val="b"/>
              </m:rPr>
              <m:t>n</m:t>
            </m:r>
          </m:e>
        </m:d>
        <m:sSub>
          <m:e>
            <m:r>
              <m:t>n</m:t>
            </m:r>
          </m:e>
          <m:sub>
            <m:r>
              <m:t>i</m:t>
            </m:r>
          </m:sub>
        </m:sSub>
        <m:sSub>
          <m:e>
            <m:r>
              <m:t>n</m:t>
            </m:r>
          </m:e>
          <m:sub>
            <m:r>
              <m:t>j</m:t>
            </m:r>
          </m:sub>
        </m:sSub>
        <m:r>
          <m:rPr>
            <m:sty m:val="p"/>
          </m:rPr>
          <m:t>d</m:t>
        </m:r>
        <m:r>
          <m:t>Ω</m:t>
        </m:r>
      </m:oMath>
      <w:r>
        <w:rPr>
          <w:rtl w:val="0"/>
          <w:lang w:val="en-US"/>
        </w:rPr>
        <w:t xml:space="preserve"> to momentum flux. Rotational symmetry forces its average to be </w:t>
      </w:r>
      <m:oMath>
        <m:r>
          <m:t>C</m:t>
        </m:r>
        <m:sSub>
          <m:e>
            <m:r>
              <m:t>δ</m:t>
            </m:r>
          </m:e>
          <m:sub>
            <m:r>
              <m:t>ij</m:t>
            </m:r>
          </m:sub>
        </m:sSub>
      </m:oMath>
      <w:r>
        <w:rPr>
          <w:rtl w:val="0"/>
          <w:lang w:val="en-US"/>
        </w:rPr>
        <w:t xml:space="preserve">; tracing and using </w:t>
      </w:r>
      <m:oMath>
        <m:nary>
          <m:naryPr>
            <m:chr m:val="∑"/>
            <m:limLoc m:val="undOvr"/>
            <m:grow m:val="0"/>
            <m:subHide m:val="off"/>
            <m:supHide m:val="on"/>
          </m:naryPr>
          <m:sub>
            <m:r>
              <m:t>i</m:t>
            </m:r>
          </m:sub>
          <m:sup/>
          <m:e>
            <m:sSubSup>
              <m:e>
                <m:r>
                  <m:t>n</m:t>
                </m:r>
              </m:e>
              <m:sub>
                <m:r>
                  <m:t>i</m:t>
                </m:r>
              </m:sub>
              <m:sup>
                <m:r>
                  <m:t>2</m:t>
                </m:r>
              </m:sup>
            </m:sSubSup>
          </m:e>
        </m:nary>
        <m:r>
          <m:t>=1</m:t>
        </m:r>
      </m:oMath>
      <w:r>
        <w:rPr>
          <w:rtl w:val="0"/>
          <w:lang w:val="en-US"/>
        </w:rPr>
        <w:t xml:space="preserve"> gives </w:t>
      </w:r>
      <m:oMath>
        <m:r>
          <m:t>dC=u</m:t>
        </m:r>
      </m:oMath>
      <w:r>
        <w:rPr>
          <w:rtl w:val="0"/>
        </w:rPr>
        <w:t>.</w:t>
      </w:r>
      <w:r>
        <w:rPr>
          <w:rtl w:val="0"/>
          <w:lang w:val="en-US"/>
        </w:rPr>
        <w:t> □</w:t>
      </w:r>
    </w:p>
    <w:p>
      <w:pPr>
        <w:pStyle w:val="Текстовый блок"/>
        <w:spacing w:line="240" w:lineRule="atLeast"/>
      </w:pPr>
      <w:r>
        <w:rPr>
          <w:i w:val="1"/>
          <w:iCs w:val="1"/>
          <w:rtl w:val="0"/>
          <w:lang w:val="en-US"/>
        </w:rPr>
        <w:t>Trace proof.</w:t>
      </w:r>
      <w:r>
        <w:rPr>
          <w:rtl w:val="0"/>
          <w:lang w:val="en-US"/>
        </w:rPr>
        <w:t xml:space="preserve"> The massless kinetic tensor is a positive sum or integral of null outer products, hence </w:t>
      </w:r>
      <m:oMath>
        <m:sSup>
          <m:e>
            <m:r>
              <m:t>T</m:t>
            </m:r>
          </m:e>
          <m:sup>
            <m:r>
              <m:t>μ</m:t>
            </m:r>
          </m:sup>
        </m:sSup>
        <m:sSub>
          <m:e>
            <m:r>
              <m:t/>
            </m:r>
          </m:e>
          <m:sub>
            <m:r>
              <m:t>μ</m:t>
            </m:r>
          </m:sub>
        </m:sSub>
        <m:r>
          <m:t>=0</m:t>
        </m:r>
      </m:oMath>
      <w:r>
        <w:rPr>
          <w:rtl w:val="0"/>
          <w:lang w:val="en-US"/>
        </w:rPr>
        <w:t xml:space="preserve">. Isotropy gives </w:t>
      </w:r>
      <m:oMath>
        <m:sSup>
          <m:e>
            <m:r>
              <m:t>T</m:t>
            </m:r>
          </m:e>
          <m:sup>
            <m:limUpp>
              <m:e>
                <m:r>
                  <m:t>μ</m:t>
                </m:r>
              </m:e>
              <m:lim>
                <m:r>
                  <m:rPr>
                    <m:sty m:val="p"/>
                  </m:rPr>
                  <m:t>^</m:t>
                </m:r>
              </m:lim>
            </m:limUpp>
            <m:limUpp>
              <m:e>
                <m:r>
                  <m:t>ν</m:t>
                </m:r>
              </m:e>
              <m:lim>
                <m:r>
                  <m:rPr>
                    <m:sty m:val="p"/>
                  </m:rPr>
                  <m:t>^</m:t>
                </m:r>
              </m:lim>
            </m:limUpp>
          </m:sup>
        </m:sSup>
        <m:r>
          <m:t>=</m:t>
        </m:r>
        <m:r>
          <m:rPr>
            <m:sty m:val="p"/>
          </m:rPr>
          <m:t>diag</m:t>
        </m:r>
        <m:d>
          <m:e>
            <m:r>
              <m:t>u,p,…,p</m:t>
            </m:r>
          </m:e>
        </m:d>
      </m:oMath>
      <w:r>
        <w:rPr>
          <w:rtl w:val="0"/>
          <w:lang w:val="en-US"/>
        </w:rPr>
        <w:t xml:space="preserve">, so </w:t>
      </w:r>
      <m:oMath>
        <m:r>
          <m:t>−u+dp=0</m:t>
        </m:r>
      </m:oMath>
      <w:r>
        <w:rPr>
          <w:rtl w:val="0"/>
        </w:rPr>
        <w:t>.</w:t>
      </w:r>
      <w:r>
        <w:rPr>
          <w:rtl w:val="0"/>
          <w:lang w:val="en-US"/>
        </w:rPr>
        <w:t> □</w:t>
      </w:r>
    </w:p>
    <w:p>
      <w:pPr>
        <w:pStyle w:val="Текстовый блок"/>
        <w:spacing w:line="240" w:lineRule="atLeast"/>
      </w:pPr>
      <w:r>
        <w:rPr>
          <w:rtl w:val="0"/>
          <w:lang w:val="en-US"/>
        </w:rPr>
        <w:t xml:space="preserve">These are two derivations of the same constraint, not two statistically independent experiments. For classical Maxwell theory in four spacetime dimensions the trace vanishes directly from (8.3). In general spacetime dimension </w:t>
      </w:r>
      <m:oMath>
        <m:r>
          <m:t>D</m:t>
        </m:r>
      </m:oMath>
      <w:r>
        <w:rPr>
          <w:rtl w:val="0"/>
          <w:lang w:val="en-US"/>
        </w:rPr>
        <w:t>, that same action instead gives</w:t>
      </w:r>
    </w:p>
    <w:tbl>
      <w:tblPr>
        <w:tblW w:w="9522"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666"/>
        <w:gridCol w:w="8190"/>
        <w:gridCol w:w="666"/>
      </w:tblGrid>
      <w:tr>
        <w:tblPrEx>
          <w:shd w:val="clear" w:color="auto" w:fill="ced7e7"/>
        </w:tblPrEx>
        <w:trPr>
          <w:trHeight w:val="412" w:hRule="atLeast"/>
        </w:trPr>
        <w:tc>
          <w:tcPr>
            <w:tcW w:type="dxa" w:w="666"/>
            <w:tcBorders>
              <w:top w:val="nil"/>
              <w:left w:val="nil"/>
              <w:bottom w:val="nil"/>
              <w:right w:val="nil"/>
            </w:tcBorders>
            <w:shd w:val="clear" w:color="auto" w:fill="auto"/>
            <w:tcMar>
              <w:top w:type="dxa" w:w="80"/>
              <w:left w:type="dxa" w:w="80"/>
              <w:bottom w:type="dxa" w:w="80"/>
              <w:right w:type="dxa" w:w="80"/>
            </w:tcMar>
            <w:vAlign w:val="top"/>
          </w:tcPr>
          <w:p/>
        </w:tc>
        <w:tc>
          <w:tcPr>
            <w:tcW w:type="dxa" w:w="8190"/>
            <w:tcBorders>
              <w:top w:val="nil"/>
              <w:left w:val="nil"/>
              <w:bottom w:val="nil"/>
              <w:right w:val="nil"/>
            </w:tcBorders>
            <w:shd w:val="clear" w:color="auto" w:fill="auto"/>
            <w:tcMar>
              <w:top w:type="dxa" w:w="80"/>
              <w:left w:type="dxa" w:w="80"/>
              <w:bottom w:type="dxa" w:w="80"/>
              <w:right w:type="dxa" w:w="80"/>
            </w:tcMar>
            <w:vAlign w:val="top"/>
          </w:tcPr>
          <w:p>
            <w:pPr>
              <w:pStyle w:val="Текстовый блок"/>
              <w:spacing w:after="40" w:line="240" w:lineRule="auto"/>
              <w:jc w:val="center"/>
            </w:pPr>
            <m:oMathPara>
              <m:oMathParaPr>
                <m:jc m:val="center"/>
              </m:oMathParaPr>
              <m:oMath>
                <m:sSup>
                  <m:e>
                    <m:r>
                      <m:t>T</m:t>
                    </m:r>
                  </m:e>
                  <m:sup>
                    <m:r>
                      <m:t>μ</m:t>
                    </m:r>
                  </m:sup>
                </m:sSup>
                <m:sSub>
                  <m:e>
                    <m:r>
                      <m:t/>
                    </m:r>
                  </m:e>
                  <m:sub>
                    <m:r>
                      <m:t>μ</m:t>
                    </m:r>
                  </m:sub>
                </m:sSub>
                <m:r>
                  <m:t>=γ</m:t>
                </m:r>
                <m:d>
                  <m:e>
                    <m:r>
                      <m:t>1−D/4</m:t>
                    </m:r>
                  </m:e>
                </m:d>
                <m:sSub>
                  <m:e>
                    <m:r>
                      <m:t>F</m:t>
                    </m:r>
                  </m:e>
                  <m:sub>
                    <m:r>
                      <m:t>αβ</m:t>
                    </m:r>
                  </m:sub>
                </m:sSub>
                <m:sSup>
                  <m:e>
                    <m:r>
                      <m:t>F</m:t>
                    </m:r>
                  </m:e>
                  <m:sup>
                    <m:r>
                      <m:t>αβ</m:t>
                    </m:r>
                  </m:sup>
                </m:sSup>
                <m:r>
                  <m:t>.</m:t>
                </m:r>
              </m:oMath>
            </m:oMathPara>
          </w:p>
        </w:tc>
        <w:tc>
          <w:tcPr>
            <w:tcW w:type="dxa" w:w="666"/>
            <w:tcBorders>
              <w:top w:val="nil"/>
              <w:left w:val="nil"/>
              <w:bottom w:val="nil"/>
              <w:right w:val="nil"/>
            </w:tcBorders>
            <w:shd w:val="clear" w:color="auto" w:fill="auto"/>
            <w:tcMar>
              <w:top w:type="dxa" w:w="80"/>
              <w:left w:type="dxa" w:w="80"/>
              <w:bottom w:type="dxa" w:w="80"/>
              <w:right w:type="dxa" w:w="80"/>
            </w:tcMar>
            <w:vAlign w:val="top"/>
          </w:tcPr>
          <w:p>
            <w:pPr>
              <w:pStyle w:val="Normal.0"/>
              <w:spacing w:after="40" w:line="240" w:lineRule="auto"/>
              <w:jc w:val="right"/>
            </w:pPr>
            <w:r>
              <w:rPr>
                <w:sz w:val="18"/>
                <w:szCs w:val="18"/>
                <w:rtl w:val="0"/>
                <w:lang w:val="en-US"/>
              </w:rPr>
              <w:t>(12.2)</w:t>
            </w:r>
          </w:p>
        </w:tc>
      </w:tr>
    </w:tbl>
    <w:p>
      <w:pPr>
        <w:pStyle w:val="Текстовый блок"/>
        <w:widowControl w:val="0"/>
        <w:spacing w:line="240" w:lineRule="atLeast"/>
        <w:jc w:val="center"/>
      </w:pPr>
    </w:p>
    <w:p>
      <w:pPr>
        <w:pStyle w:val="Текстовый блок"/>
        <w:spacing w:line="240" w:lineRule="atLeast"/>
      </w:pPr>
      <w:r>
        <w:rPr>
          <w:rtl w:val="0"/>
          <w:lang w:val="en-US"/>
        </w:rPr>
        <w:t xml:space="preserve">One must therefore not justify </w:t>
      </w:r>
      <m:oMath>
        <m:r>
          <m:t>p=u/d</m:t>
        </m:r>
      </m:oMath>
      <w:r>
        <w:rPr>
          <w:rtl w:val="0"/>
          <w:lang w:val="en-US"/>
        </w:rPr>
        <w:t xml:space="preserve"> for arbitrary Maxwell fields in arbitrary dimensions by an unqualified tracelessness claim. The massless kinetic argument is valid in any stated </w:t>
      </w:r>
      <m:oMath>
        <m:r>
          <m:t>d</m:t>
        </m:r>
      </m:oMath>
      <w:r>
        <w:rPr>
          <w:rtl w:val="0"/>
          <w:lang w:val="en-US"/>
        </w:rPr>
        <w:t xml:space="preserve">; arbitrary classical Maxwell tracelessness is special to </w:t>
      </w:r>
      <m:oMath>
        <m:r>
          <m:t>D=4</m:t>
        </m:r>
      </m:oMath>
      <w:r>
        <w:rPr>
          <w:rtl w:val="0"/>
        </w:rPr>
        <w:t>.</w:t>
      </w:r>
    </w:p>
    <w:p>
      <w:pPr>
        <w:pStyle w:val="Текстовый блок"/>
        <w:spacing w:line="240" w:lineRule="atLeast"/>
      </w:pPr>
    </w:p>
    <w:p>
      <w:pPr>
        <w:pStyle w:val="Текстовый блок"/>
        <w:spacing w:line="240" w:lineRule="atLeast"/>
      </w:pPr>
    </w:p>
    <w:p>
      <w:pPr>
        <w:pStyle w:val="Текстовый блок"/>
        <w:spacing w:line="240" w:lineRule="atLeast"/>
      </w:pPr>
    </w:p>
    <w:p>
      <w:pPr>
        <w:pStyle w:val="Текстовый блок"/>
        <w:spacing w:line="240" w:lineRule="atLeast"/>
      </w:pPr>
      <w:r>
        <w:rPr>
          <w:rtl w:val="0"/>
          <w:lang w:val="en-US"/>
        </w:rPr>
        <w:t>For a three-dimensional equilibrium photon gas, two transverse states and zero chemical potential give</w:t>
      </w:r>
    </w:p>
    <w:tbl>
      <w:tblPr>
        <w:tblW w:w="9522"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666"/>
        <w:gridCol w:w="8190"/>
        <w:gridCol w:w="666"/>
      </w:tblGrid>
      <w:tr>
        <w:tblPrEx>
          <w:shd w:val="clear" w:color="auto" w:fill="ced7e7"/>
        </w:tblPrEx>
        <w:trPr>
          <w:trHeight w:val="695" w:hRule="atLeast"/>
        </w:trPr>
        <w:tc>
          <w:tcPr>
            <w:tcW w:type="dxa" w:w="666"/>
            <w:tcBorders>
              <w:top w:val="nil"/>
              <w:left w:val="nil"/>
              <w:bottom w:val="nil"/>
              <w:right w:val="nil"/>
            </w:tcBorders>
            <w:shd w:val="clear" w:color="auto" w:fill="auto"/>
            <w:tcMar>
              <w:top w:type="dxa" w:w="80"/>
              <w:left w:type="dxa" w:w="80"/>
              <w:bottom w:type="dxa" w:w="80"/>
              <w:right w:type="dxa" w:w="80"/>
            </w:tcMar>
            <w:vAlign w:val="top"/>
          </w:tcPr>
          <w:p/>
        </w:tc>
        <w:tc>
          <w:tcPr>
            <w:tcW w:type="dxa" w:w="8190"/>
            <w:tcBorders>
              <w:top w:val="nil"/>
              <w:left w:val="nil"/>
              <w:bottom w:val="nil"/>
              <w:right w:val="nil"/>
            </w:tcBorders>
            <w:shd w:val="clear" w:color="auto" w:fill="auto"/>
            <w:tcMar>
              <w:top w:type="dxa" w:w="80"/>
              <w:left w:type="dxa" w:w="80"/>
              <w:bottom w:type="dxa" w:w="80"/>
              <w:right w:type="dxa" w:w="80"/>
            </w:tcMar>
            <w:vAlign w:val="top"/>
          </w:tcPr>
          <w:p>
            <w:pPr>
              <w:pStyle w:val="Текстовый блок"/>
              <w:spacing w:after="40" w:line="240" w:lineRule="auto"/>
              <w:jc w:val="center"/>
            </w:pPr>
            <m:oMathPara>
              <m:oMathParaPr>
                <m:jc m:val="center"/>
              </m:oMathParaPr>
              <m:oMath>
                <m:r>
                  <m:t>u=2∫</m:t>
                </m:r>
                <m:f>
                  <m:fPr>
                    <m:type m:val="bar"/>
                  </m:fPr>
                  <m:num>
                    <m:sSup>
                      <m:e>
                        <m:r>
                          <m:rPr>
                            <m:sty m:val="p"/>
                          </m:rPr>
                          <m:t>d</m:t>
                        </m:r>
                      </m:e>
                      <m:sup>
                        <m:r>
                          <m:t>3</m:t>
                        </m:r>
                      </m:sup>
                    </m:sSup>
                    <m:r>
                      <m:t>k</m:t>
                    </m:r>
                  </m:num>
                  <m:den>
                    <m:sSup>
                      <m:e>
                        <m:d>
                          <m:e>
                            <m:r>
                              <m:t>2π</m:t>
                            </m:r>
                          </m:e>
                        </m:d>
                      </m:e>
                      <m:sup>
                        <m:r>
                          <m:t>3</m:t>
                        </m:r>
                      </m:sup>
                    </m:sSup>
                  </m:den>
                </m:f>
                <m:f>
                  <m:fPr>
                    <m:type m:val="bar"/>
                  </m:fPr>
                  <m:num>
                    <m:r>
                      <m:rPr>
                        <m:sty m:val="p"/>
                      </m:rPr>
                      <m:t>ℏ</m:t>
                    </m:r>
                    <m:r>
                      <m:t>c</m:t>
                    </m:r>
                    <m:d>
                      <m:dPr>
                        <m:begChr m:val="|"/>
                        <m:endChr m:val="|"/>
                      </m:dPr>
                      <m:e>
                        <m:r>
                          <m:rPr>
                            <m:sty m:val="b"/>
                          </m:rPr>
                          <m:t>k</m:t>
                        </m:r>
                      </m:e>
                    </m:d>
                  </m:num>
                  <m:den>
                    <m:sSup>
                      <m:e>
                        <m:r>
                          <m:t>e</m:t>
                        </m:r>
                      </m:e>
                      <m:sup>
                        <m:r>
                          <m:rPr>
                            <m:sty m:val="p"/>
                          </m:rPr>
                          <m:t>ℏ</m:t>
                        </m:r>
                        <m:r>
                          <m:t>c</m:t>
                        </m:r>
                        <m:d>
                          <m:dPr>
                            <m:begChr m:val="|"/>
                            <m:endChr m:val="|"/>
                          </m:dPr>
                          <m:e>
                            <m:r>
                              <m:rPr>
                                <m:sty m:val="b"/>
                              </m:rPr>
                              <m:t>k</m:t>
                            </m:r>
                          </m:e>
                        </m:d>
                        <m:r>
                          <m:t>/</m:t>
                        </m:r>
                        <m:d>
                          <m:e>
                            <m:sSub>
                              <m:e>
                                <m:r>
                                  <m:t>k</m:t>
                                </m:r>
                              </m:e>
                              <m:sub>
                                <m:r>
                                  <m:rPr>
                                    <m:sty m:val="p"/>
                                  </m:rPr>
                                  <m:t>B</m:t>
                                </m:r>
                              </m:sub>
                            </m:sSub>
                            <m:r>
                              <m:t>T</m:t>
                            </m:r>
                          </m:e>
                        </m:d>
                      </m:sup>
                    </m:sSup>
                    <m:r>
                      <m:t>−1</m:t>
                    </m:r>
                  </m:den>
                </m:f>
                <m:r>
                  <m:t>=</m:t>
                </m:r>
                <m:f>
                  <m:fPr>
                    <m:type m:val="bar"/>
                  </m:fPr>
                  <m:num>
                    <m:sSup>
                      <m:e>
                        <m:r>
                          <m:t>π</m:t>
                        </m:r>
                      </m:e>
                      <m:sup>
                        <m:r>
                          <m:t>2</m:t>
                        </m:r>
                      </m:sup>
                    </m:sSup>
                    <m:sSup>
                      <m:e>
                        <m:d>
                          <m:e>
                            <m:sSub>
                              <m:e>
                                <m:r>
                                  <m:t>k</m:t>
                                </m:r>
                              </m:e>
                              <m:sub>
                                <m:r>
                                  <m:rPr>
                                    <m:sty m:val="p"/>
                                  </m:rPr>
                                  <m:t>B</m:t>
                                </m:r>
                              </m:sub>
                            </m:sSub>
                            <m:r>
                              <m:t>T</m:t>
                            </m:r>
                          </m:e>
                        </m:d>
                      </m:e>
                      <m:sup>
                        <m:r>
                          <m:t>4</m:t>
                        </m:r>
                      </m:sup>
                    </m:sSup>
                  </m:num>
                  <m:den>
                    <m:r>
                      <m:t>15</m:t>
                    </m:r>
                    <m:sSup>
                      <m:e>
                        <m:r>
                          <m:rPr>
                            <m:sty m:val="p"/>
                          </m:rPr>
                          <m:t>ℏ</m:t>
                        </m:r>
                      </m:e>
                      <m:sup>
                        <m:r>
                          <m:t>3</m:t>
                        </m:r>
                      </m:sup>
                    </m:sSup>
                    <m:sSup>
                      <m:e>
                        <m:r>
                          <m:t>c</m:t>
                        </m:r>
                      </m:e>
                      <m:sup>
                        <m:r>
                          <m:t>3</m:t>
                        </m:r>
                      </m:sup>
                    </m:sSup>
                  </m:den>
                </m:f>
                <m:r>
                  <m:t>,p=u/3.</m:t>
                </m:r>
              </m:oMath>
            </m:oMathPara>
          </w:p>
        </w:tc>
        <w:tc>
          <w:tcPr>
            <w:tcW w:type="dxa" w:w="666"/>
            <w:tcBorders>
              <w:top w:val="nil"/>
              <w:left w:val="nil"/>
              <w:bottom w:val="nil"/>
              <w:right w:val="nil"/>
            </w:tcBorders>
            <w:shd w:val="clear" w:color="auto" w:fill="auto"/>
            <w:tcMar>
              <w:top w:type="dxa" w:w="80"/>
              <w:left w:type="dxa" w:w="80"/>
              <w:bottom w:type="dxa" w:w="80"/>
              <w:right w:type="dxa" w:w="80"/>
            </w:tcMar>
            <w:vAlign w:val="top"/>
          </w:tcPr>
          <w:p>
            <w:pPr>
              <w:pStyle w:val="Normal.0"/>
              <w:spacing w:after="40" w:line="240" w:lineRule="auto"/>
              <w:jc w:val="right"/>
            </w:pPr>
            <w:r>
              <w:rPr>
                <w:sz w:val="18"/>
                <w:szCs w:val="18"/>
                <w:rtl w:val="0"/>
                <w:lang w:val="en-US"/>
              </w:rPr>
              <w:t>(12.3)</w:t>
            </w:r>
          </w:p>
        </w:tc>
      </w:tr>
    </w:tbl>
    <w:p>
      <w:pPr>
        <w:pStyle w:val="Текстовый блок"/>
        <w:widowControl w:val="0"/>
        <w:spacing w:line="240" w:lineRule="atLeast"/>
        <w:jc w:val="center"/>
      </w:pPr>
    </w:p>
    <w:p>
      <w:pPr>
        <w:pStyle w:val="Текстовый блок"/>
        <w:spacing w:line="240" w:lineRule="atLeast"/>
      </w:pPr>
      <w:r>
        <w:rPr>
          <w:rtl w:val="0"/>
          <w:lang w:val="en-US"/>
        </w:rPr>
        <w:t xml:space="preserve">Equivalently the equilibrium free energy has </w:t>
      </w:r>
      <m:oMath>
        <m:r>
          <m:t>p=−</m:t>
        </m:r>
        <m:sSub>
          <m:e>
            <m:d>
              <m:e>
                <m:r>
                  <m:t>∂</m:t>
                </m:r>
                <m:r>
                  <m:rPr>
                    <m:scr m:val="script"/>
                  </m:rPr>
                  <m:t>F</m:t>
                </m:r>
                <m:r>
                  <m:t>/∂V</m:t>
                </m:r>
              </m:e>
            </m:d>
          </m:e>
          <m:sub>
            <m:r>
              <m:t>T</m:t>
            </m:r>
          </m:sub>
        </m:sSub>
        <m:r>
          <m:t>=u/3</m:t>
        </m:r>
      </m:oMath>
      <w:r>
        <w:rPr>
          <w:rtl w:val="0"/>
          <w:lang w:val="en-US"/>
        </w:rPr>
        <w:t xml:space="preserve"> in the thermodynamic limit [44]. Finite cavities, boundary stresses and vacuum contributions need separate terms. Quantum trace anomalies also lie outside the classical trace proof. The ratio </w:t>
      </w:r>
      <m:oMath>
        <m:r>
          <m:t>u/p</m:t>
        </m:r>
      </m:oMath>
      <w:r>
        <w:rPr>
          <w:rtl w:val="0"/>
          <w:lang w:val="en-US"/>
        </w:rPr>
        <w:t xml:space="preserve"> can diagnose effective dimension only conditional on isotropy, a known massless dispersion and absence of additional stress. Failure of any of these assumptions can imitate a different value; the relation does not derive the observed spatial dimension.</w:t>
      </w:r>
      <w:bookmarkEnd w:id="44"/>
    </w:p>
    <w:p>
      <w:pPr>
        <w:pStyle w:val="Заголовок 2"/>
        <w:spacing w:line="240" w:lineRule="atLeast"/>
      </w:pPr>
      <w:bookmarkStart w:name="Xe1511b7bf63f641023e52002cc909dde1f262d1" w:id="45"/>
      <w:r>
        <w:rPr>
          <w:rtl w:val="0"/>
          <w:lang w:val="en-US"/>
        </w:rPr>
        <w:t>13. Rest mass, pressure and confined radiation</w:t>
      </w:r>
      <w:bookmarkEnd w:id="45"/>
    </w:p>
    <w:p>
      <w:pPr>
        <w:pStyle w:val="Заголовок 3"/>
        <w:spacing w:line="240" w:lineRule="atLeast"/>
      </w:pPr>
      <w:bookmarkStart w:name="thelocalgravitationalsource" w:id="46"/>
      <w:r>
        <w:rPr>
          <w:rtl w:val="0"/>
          <w:lang w:val="en-US"/>
        </w:rPr>
        <w:t>13.1. The local gravitational source</w:t>
      </w:r>
    </w:p>
    <w:p>
      <w:pPr>
        <w:pStyle w:val="Текстовый блок"/>
        <w:spacing w:line="240" w:lineRule="atLeast"/>
      </w:pPr>
      <w:r>
        <w:rPr>
          <w:rtl w:val="0"/>
          <w:lang w:val="en-US"/>
        </w:rPr>
        <w:t>Radiation can have zero constituent rest mass and nonzero stress. Ideal dust has nonzero rest-mass density and zero pressure in its comoving frame:</w:t>
      </w:r>
    </w:p>
    <w:tbl>
      <w:tblPr>
        <w:tblW w:w="9522"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666"/>
        <w:gridCol w:w="8190"/>
        <w:gridCol w:w="666"/>
      </w:tblGrid>
      <w:tr>
        <w:tblPrEx>
          <w:shd w:val="clear" w:color="auto" w:fill="ced7e7"/>
        </w:tblPrEx>
        <w:trPr>
          <w:trHeight w:val="412" w:hRule="atLeast"/>
        </w:trPr>
        <w:tc>
          <w:tcPr>
            <w:tcW w:type="dxa" w:w="666"/>
            <w:tcBorders>
              <w:top w:val="nil"/>
              <w:left w:val="nil"/>
              <w:bottom w:val="nil"/>
              <w:right w:val="nil"/>
            </w:tcBorders>
            <w:shd w:val="clear" w:color="auto" w:fill="auto"/>
            <w:tcMar>
              <w:top w:type="dxa" w:w="80"/>
              <w:left w:type="dxa" w:w="80"/>
              <w:bottom w:type="dxa" w:w="80"/>
              <w:right w:type="dxa" w:w="80"/>
            </w:tcMar>
            <w:vAlign w:val="top"/>
          </w:tcPr>
          <w:p/>
        </w:tc>
        <w:tc>
          <w:tcPr>
            <w:tcW w:type="dxa" w:w="8190"/>
            <w:tcBorders>
              <w:top w:val="nil"/>
              <w:left w:val="nil"/>
              <w:bottom w:val="nil"/>
              <w:right w:val="nil"/>
            </w:tcBorders>
            <w:shd w:val="clear" w:color="auto" w:fill="auto"/>
            <w:tcMar>
              <w:top w:type="dxa" w:w="80"/>
              <w:left w:type="dxa" w:w="80"/>
              <w:bottom w:type="dxa" w:w="80"/>
              <w:right w:type="dxa" w:w="80"/>
            </w:tcMar>
            <w:vAlign w:val="top"/>
          </w:tcPr>
          <w:p>
            <w:pPr>
              <w:pStyle w:val="Текстовый блок"/>
              <w:spacing w:after="40" w:line="240" w:lineRule="auto"/>
              <w:jc w:val="center"/>
            </w:pPr>
            <m:oMathPara>
              <m:oMathParaPr>
                <m:jc m:val="center"/>
              </m:oMathParaPr>
              <m:oMath>
                <m:sSubSup>
                  <m:e>
                    <m:r>
                      <m:t>T</m:t>
                    </m:r>
                  </m:e>
                  <m:sub>
                    <m:r>
                      <m:rPr>
                        <m:sty m:val="p"/>
                      </m:rPr>
                      <m:t>rad</m:t>
                    </m:r>
                  </m:sub>
                  <m:sup>
                    <m:limUpp>
                      <m:e>
                        <m:r>
                          <m:t>μ</m:t>
                        </m:r>
                      </m:e>
                      <m:lim>
                        <m:r>
                          <m:rPr>
                            <m:sty m:val="p"/>
                          </m:rPr>
                          <m:t>^</m:t>
                        </m:r>
                      </m:lim>
                    </m:limUpp>
                    <m:limUpp>
                      <m:e>
                        <m:r>
                          <m:t>ν</m:t>
                        </m:r>
                      </m:e>
                      <m:lim>
                        <m:r>
                          <m:rPr>
                            <m:sty m:val="p"/>
                          </m:rPr>
                          <m:t>^</m:t>
                        </m:r>
                      </m:lim>
                    </m:limUpp>
                  </m:sup>
                </m:sSubSup>
                <m:r>
                  <m:t>=</m:t>
                </m:r>
                <m:r>
                  <m:rPr>
                    <m:sty m:val="p"/>
                  </m:rPr>
                  <m:t>diag</m:t>
                </m:r>
                <m:d>
                  <m:e>
                    <m:r>
                      <m:t>u,u/3,u/3,u/3</m:t>
                    </m:r>
                  </m:e>
                </m:d>
                <m:r>
                  <m:t>,</m:t>
                </m:r>
                <m:sSubSup>
                  <m:e>
                    <m:r>
                      <m:t>T</m:t>
                    </m:r>
                  </m:e>
                  <m:sub>
                    <m:r>
                      <m:rPr>
                        <m:sty m:val="p"/>
                      </m:rPr>
                      <m:t>dust</m:t>
                    </m:r>
                  </m:sub>
                  <m:sup>
                    <m:limUpp>
                      <m:e>
                        <m:r>
                          <m:t>μ</m:t>
                        </m:r>
                      </m:e>
                      <m:lim>
                        <m:r>
                          <m:rPr>
                            <m:sty m:val="p"/>
                          </m:rPr>
                          <m:t>^</m:t>
                        </m:r>
                      </m:lim>
                    </m:limUpp>
                    <m:limUpp>
                      <m:e>
                        <m:r>
                          <m:t>ν</m:t>
                        </m:r>
                      </m:e>
                      <m:lim>
                        <m:r>
                          <m:rPr>
                            <m:sty m:val="p"/>
                          </m:rPr>
                          <m:t>^</m:t>
                        </m:r>
                      </m:lim>
                    </m:limUpp>
                  </m:sup>
                </m:sSubSup>
                <m:r>
                  <m:t>=</m:t>
                </m:r>
                <m:r>
                  <m:rPr>
                    <m:sty m:val="p"/>
                  </m:rPr>
                  <m:t>diag</m:t>
                </m:r>
                <m:d>
                  <m:e>
                    <m:sSub>
                      <m:e>
                        <m:r>
                          <m:t>ρ</m:t>
                        </m:r>
                      </m:e>
                      <m:sub>
                        <m:r>
                          <m:rPr>
                            <m:sty m:val="p"/>
                          </m:rPr>
                          <m:t>m</m:t>
                        </m:r>
                      </m:sub>
                    </m:sSub>
                    <m:sSup>
                      <m:e>
                        <m:r>
                          <m:t>c</m:t>
                        </m:r>
                      </m:e>
                      <m:sup>
                        <m:r>
                          <m:t>2</m:t>
                        </m:r>
                      </m:sup>
                    </m:sSup>
                    <m:r>
                      <m:t>,0,0,0</m:t>
                    </m:r>
                  </m:e>
                </m:d>
                <m:r>
                  <m:t>.</m:t>
                </m:r>
              </m:oMath>
            </m:oMathPara>
          </w:p>
        </w:tc>
        <w:tc>
          <w:tcPr>
            <w:tcW w:type="dxa" w:w="666"/>
            <w:tcBorders>
              <w:top w:val="nil"/>
              <w:left w:val="nil"/>
              <w:bottom w:val="nil"/>
              <w:right w:val="nil"/>
            </w:tcBorders>
            <w:shd w:val="clear" w:color="auto" w:fill="auto"/>
            <w:tcMar>
              <w:top w:type="dxa" w:w="80"/>
              <w:left w:type="dxa" w:w="80"/>
              <w:bottom w:type="dxa" w:w="80"/>
              <w:right w:type="dxa" w:w="80"/>
            </w:tcMar>
            <w:vAlign w:val="top"/>
          </w:tcPr>
          <w:p>
            <w:pPr>
              <w:pStyle w:val="Normal.0"/>
              <w:spacing w:after="40" w:line="240" w:lineRule="auto"/>
              <w:jc w:val="right"/>
            </w:pPr>
            <w:r>
              <w:rPr>
                <w:sz w:val="18"/>
                <w:szCs w:val="18"/>
                <w:rtl w:val="0"/>
                <w:lang w:val="en-US"/>
              </w:rPr>
              <w:t>(13.1)</w:t>
            </w:r>
          </w:p>
        </w:tc>
      </w:tr>
    </w:tbl>
    <w:p>
      <w:pPr>
        <w:pStyle w:val="Текстовый блок"/>
        <w:widowControl w:val="0"/>
        <w:spacing w:line="240" w:lineRule="atLeast"/>
        <w:jc w:val="center"/>
      </w:pPr>
    </w:p>
    <w:p>
      <w:pPr>
        <w:pStyle w:val="Текстовый блок"/>
        <w:spacing w:line="240" w:lineRule="atLeast"/>
      </w:pPr>
      <w:r>
        <w:rPr>
          <w:rtl w:val="0"/>
          <w:lang w:val="en-US"/>
        </w:rPr>
        <w:t>Thus pressure and rest-mass density cannot be identified. In general relativity the source is the full tensor, including energy density, momentum density, isotropic pressure and anisotropic stress:</w:t>
      </w:r>
    </w:p>
    <w:tbl>
      <w:tblPr>
        <w:tblW w:w="9522"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666"/>
        <w:gridCol w:w="8190"/>
        <w:gridCol w:w="666"/>
      </w:tblGrid>
      <w:tr>
        <w:tblPrEx>
          <w:shd w:val="clear" w:color="auto" w:fill="ced7e7"/>
        </w:tblPrEx>
        <w:trPr>
          <w:trHeight w:val="499" w:hRule="atLeast"/>
        </w:trPr>
        <w:tc>
          <w:tcPr>
            <w:tcW w:type="dxa" w:w="666"/>
            <w:tcBorders>
              <w:top w:val="nil"/>
              <w:left w:val="nil"/>
              <w:bottom w:val="nil"/>
              <w:right w:val="nil"/>
            </w:tcBorders>
            <w:shd w:val="clear" w:color="auto" w:fill="auto"/>
            <w:tcMar>
              <w:top w:type="dxa" w:w="80"/>
              <w:left w:type="dxa" w:w="80"/>
              <w:bottom w:type="dxa" w:w="80"/>
              <w:right w:type="dxa" w:w="80"/>
            </w:tcMar>
            <w:vAlign w:val="top"/>
          </w:tcPr>
          <w:p/>
        </w:tc>
        <w:tc>
          <w:tcPr>
            <w:tcW w:type="dxa" w:w="8190"/>
            <w:tcBorders>
              <w:top w:val="nil"/>
              <w:left w:val="nil"/>
              <w:bottom w:val="nil"/>
              <w:right w:val="nil"/>
            </w:tcBorders>
            <w:shd w:val="clear" w:color="auto" w:fill="auto"/>
            <w:tcMar>
              <w:top w:type="dxa" w:w="80"/>
              <w:left w:type="dxa" w:w="80"/>
              <w:bottom w:type="dxa" w:w="80"/>
              <w:right w:type="dxa" w:w="80"/>
            </w:tcMar>
            <w:vAlign w:val="top"/>
          </w:tcPr>
          <w:p>
            <w:pPr>
              <w:pStyle w:val="Текстовый блок"/>
              <w:spacing w:after="40" w:line="240" w:lineRule="auto"/>
              <w:jc w:val="center"/>
            </w:pPr>
            <m:oMathPara>
              <m:oMathParaPr>
                <m:jc m:val="center"/>
              </m:oMathParaPr>
              <m:oMath>
                <m:sSub>
                  <m:e>
                    <m:r>
                      <m:t>G</m:t>
                    </m:r>
                  </m:e>
                  <m:sub>
                    <m:r>
                      <m:t>μν</m:t>
                    </m:r>
                  </m:sub>
                </m:sSub>
                <m:r>
                  <m:t>+Λ</m:t>
                </m:r>
                <m:sSub>
                  <m:e>
                    <m:r>
                      <m:t>g</m:t>
                    </m:r>
                  </m:e>
                  <m:sub>
                    <m:r>
                      <m:t>μν</m:t>
                    </m:r>
                  </m:sub>
                </m:sSub>
                <m:r>
                  <m:t>=</m:t>
                </m:r>
                <m:f>
                  <m:fPr>
                    <m:type m:val="bar"/>
                  </m:fPr>
                  <m:num>
                    <m:r>
                      <m:t>8πG</m:t>
                    </m:r>
                  </m:num>
                  <m:den>
                    <m:sSup>
                      <m:e>
                        <m:r>
                          <m:t>c</m:t>
                        </m:r>
                      </m:e>
                      <m:sup>
                        <m:r>
                          <m:t>4</m:t>
                        </m:r>
                      </m:sup>
                    </m:sSup>
                  </m:den>
                </m:f>
                <m:sSubSup>
                  <m:e>
                    <m:r>
                      <m:t>T</m:t>
                    </m:r>
                  </m:e>
                  <m:sub>
                    <m:r>
                      <m:t>μν</m:t>
                    </m:r>
                  </m:sub>
                  <m:sup>
                    <m:r>
                      <m:rPr>
                        <m:sty m:val="p"/>
                      </m:rPr>
                      <m:t>total</m:t>
                    </m:r>
                  </m:sup>
                </m:sSubSup>
                <m:r>
                  <m:t>.</m:t>
                </m:r>
              </m:oMath>
            </m:oMathPara>
          </w:p>
        </w:tc>
        <w:tc>
          <w:tcPr>
            <w:tcW w:type="dxa" w:w="666"/>
            <w:tcBorders>
              <w:top w:val="nil"/>
              <w:left w:val="nil"/>
              <w:bottom w:val="nil"/>
              <w:right w:val="nil"/>
            </w:tcBorders>
            <w:shd w:val="clear" w:color="auto" w:fill="auto"/>
            <w:tcMar>
              <w:top w:type="dxa" w:w="80"/>
              <w:left w:type="dxa" w:w="80"/>
              <w:bottom w:type="dxa" w:w="80"/>
              <w:right w:type="dxa" w:w="80"/>
            </w:tcMar>
            <w:vAlign w:val="top"/>
          </w:tcPr>
          <w:p>
            <w:pPr>
              <w:pStyle w:val="Normal.0"/>
              <w:spacing w:after="40" w:line="240" w:lineRule="auto"/>
              <w:jc w:val="right"/>
            </w:pPr>
            <w:r>
              <w:rPr>
                <w:sz w:val="18"/>
                <w:szCs w:val="18"/>
                <w:rtl w:val="0"/>
                <w:lang w:val="en-US"/>
              </w:rPr>
              <w:t>(13.2)</w:t>
            </w:r>
          </w:p>
        </w:tc>
      </w:tr>
    </w:tbl>
    <w:p>
      <w:pPr>
        <w:pStyle w:val="Текстовый блок"/>
        <w:widowControl w:val="0"/>
        <w:spacing w:line="240" w:lineRule="atLeast"/>
        <w:jc w:val="center"/>
      </w:pPr>
    </w:p>
    <w:p>
      <w:pPr>
        <w:pStyle w:val="Текстовый блок"/>
        <w:spacing w:line="240" w:lineRule="atLeast"/>
      </w:pPr>
      <w:r>
        <w:rPr>
          <w:rtl w:val="0"/>
          <w:lang w:val="en-US"/>
        </w:rPr>
        <w:t>Equation</w:t>
      </w:r>
      <w:r>
        <w:rPr>
          <w:rtl w:val="0"/>
          <w:lang w:val="en-US"/>
        </w:rPr>
        <w:t> </w:t>
      </w:r>
      <w:r>
        <w:rPr>
          <w:rtl w:val="0"/>
          <w:lang w:val="en-US"/>
        </w:rPr>
        <w:t xml:space="preserve">(13.2) is an additional gravitational physical anchor [38], obtained by varying a specified gravitational action together with the matter action. Maxwell metric variation supplies its matter source, but does not derive the gravitational action or </w:t>
      </w:r>
      <m:oMath>
        <m:r>
          <m:t>G</m:t>
        </m:r>
      </m:oMath>
      <w:r>
        <w:rPr>
          <w:rtl w:val="0"/>
          <w:lang w:val="en-US"/>
        </w:rPr>
        <w:t>. In a semiclassical treatment the source requires a renormalised expectation value, not an unspecified zero-point sum.</w:t>
      </w:r>
      <w:bookmarkEnd w:id="46"/>
    </w:p>
    <w:p>
      <w:pPr>
        <w:pStyle w:val="Заголовок 3"/>
        <w:spacing w:line="240" w:lineRule="atLeast"/>
      </w:pPr>
      <w:bookmarkStart w:name="compositeinvariantmass" w:id="47"/>
      <w:r>
        <w:rPr>
          <w:rtl w:val="0"/>
          <w:lang w:val="fr-FR"/>
        </w:rPr>
        <w:t>13.2. Composite invariant mass</w:t>
      </w:r>
    </w:p>
    <w:p>
      <w:pPr>
        <w:pStyle w:val="Текстовый блок"/>
        <w:spacing w:line="240" w:lineRule="atLeast"/>
      </w:pPr>
      <w:r>
        <w:rPr>
          <w:rtl w:val="0"/>
          <w:lang w:val="en-US"/>
        </w:rPr>
        <w:t>For an isolated system in special relativity with well-defined total four-momentum,</w:t>
      </w:r>
    </w:p>
    <w:tbl>
      <w:tblPr>
        <w:tblW w:w="9522"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666"/>
        <w:gridCol w:w="8190"/>
        <w:gridCol w:w="666"/>
      </w:tblGrid>
      <w:tr>
        <w:tblPrEx>
          <w:shd w:val="clear" w:color="auto" w:fill="ced7e7"/>
        </w:tblPrEx>
        <w:trPr>
          <w:trHeight w:val="415" w:hRule="atLeast"/>
        </w:trPr>
        <w:tc>
          <w:tcPr>
            <w:tcW w:type="dxa" w:w="666"/>
            <w:tcBorders>
              <w:top w:val="nil"/>
              <w:left w:val="nil"/>
              <w:bottom w:val="nil"/>
              <w:right w:val="nil"/>
            </w:tcBorders>
            <w:shd w:val="clear" w:color="auto" w:fill="auto"/>
            <w:tcMar>
              <w:top w:type="dxa" w:w="80"/>
              <w:left w:type="dxa" w:w="80"/>
              <w:bottom w:type="dxa" w:w="80"/>
              <w:right w:type="dxa" w:w="80"/>
            </w:tcMar>
            <w:vAlign w:val="top"/>
          </w:tcPr>
          <w:p/>
        </w:tc>
        <w:tc>
          <w:tcPr>
            <w:tcW w:type="dxa" w:w="8190"/>
            <w:tcBorders>
              <w:top w:val="nil"/>
              <w:left w:val="nil"/>
              <w:bottom w:val="nil"/>
              <w:right w:val="nil"/>
            </w:tcBorders>
            <w:shd w:val="clear" w:color="auto" w:fill="auto"/>
            <w:tcMar>
              <w:top w:type="dxa" w:w="80"/>
              <w:left w:type="dxa" w:w="80"/>
              <w:bottom w:type="dxa" w:w="80"/>
              <w:right w:type="dxa" w:w="80"/>
            </w:tcMar>
            <w:vAlign w:val="top"/>
          </w:tcPr>
          <w:p>
            <w:pPr>
              <w:pStyle w:val="Текстовый блок"/>
              <w:spacing w:after="40" w:line="240" w:lineRule="auto"/>
              <w:jc w:val="center"/>
            </w:pPr>
            <m:oMathPara>
              <m:oMathParaPr>
                <m:jc m:val="center"/>
              </m:oMathParaPr>
              <m:oMath>
                <m:sSup>
                  <m:e>
                    <m:r>
                      <m:t>M</m:t>
                    </m:r>
                  </m:e>
                  <m:sup>
                    <m:r>
                      <m:t>2</m:t>
                    </m:r>
                  </m:sup>
                </m:sSup>
                <m:sSup>
                  <m:e>
                    <m:r>
                      <m:t>c</m:t>
                    </m:r>
                  </m:e>
                  <m:sup>
                    <m:r>
                      <m:t>4</m:t>
                    </m:r>
                  </m:sup>
                </m:sSup>
                <m:r>
                  <m:t>=</m:t>
                </m:r>
                <m:sSubSup>
                  <m:e>
                    <m:r>
                      <m:t>E</m:t>
                    </m:r>
                  </m:e>
                  <m:sub>
                    <m:r>
                      <m:rPr>
                        <m:sty m:val="p"/>
                      </m:rPr>
                      <m:t>tot</m:t>
                    </m:r>
                  </m:sub>
                  <m:sup>
                    <m:r>
                      <m:t>2</m:t>
                    </m:r>
                  </m:sup>
                </m:sSubSup>
                <m:r>
                  <m:t>−</m:t>
                </m:r>
                <m:sSup>
                  <m:e>
                    <m:r>
                      <m:t>c</m:t>
                    </m:r>
                  </m:e>
                  <m:sup>
                    <m:r>
                      <m:t>2</m:t>
                    </m:r>
                  </m:sup>
                </m:sSup>
                <m:sSup>
                  <m:e>
                    <m:d>
                      <m:dPr>
                        <m:begChr m:val="|"/>
                        <m:endChr m:val="|"/>
                      </m:dPr>
                      <m:e>
                        <m:sSub>
                          <m:e>
                            <m:r>
                              <m:rPr>
                                <m:sty m:val="b"/>
                              </m:rPr>
                              <m:t>P</m:t>
                            </m:r>
                          </m:e>
                          <m:sub>
                            <m:r>
                              <m:rPr>
                                <m:sty m:val="p"/>
                              </m:rPr>
                              <m:t>tot</m:t>
                            </m:r>
                          </m:sub>
                        </m:sSub>
                      </m:e>
                    </m:d>
                  </m:e>
                  <m:sup>
                    <m:r>
                      <m:t>2</m:t>
                    </m:r>
                  </m:sup>
                </m:sSup>
                <m:r>
                  <m:t>.</m:t>
                </m:r>
              </m:oMath>
            </m:oMathPara>
          </w:p>
        </w:tc>
        <w:tc>
          <w:tcPr>
            <w:tcW w:type="dxa" w:w="666"/>
            <w:tcBorders>
              <w:top w:val="nil"/>
              <w:left w:val="nil"/>
              <w:bottom w:val="nil"/>
              <w:right w:val="nil"/>
            </w:tcBorders>
            <w:shd w:val="clear" w:color="auto" w:fill="auto"/>
            <w:tcMar>
              <w:top w:type="dxa" w:w="80"/>
              <w:left w:type="dxa" w:w="80"/>
              <w:bottom w:type="dxa" w:w="80"/>
              <w:right w:type="dxa" w:w="80"/>
            </w:tcMar>
            <w:vAlign w:val="top"/>
          </w:tcPr>
          <w:p>
            <w:pPr>
              <w:pStyle w:val="Normal.0"/>
              <w:spacing w:after="40" w:line="240" w:lineRule="auto"/>
              <w:jc w:val="right"/>
            </w:pPr>
            <w:r>
              <w:rPr>
                <w:sz w:val="18"/>
                <w:szCs w:val="18"/>
                <w:rtl w:val="0"/>
                <w:lang w:val="en-US"/>
              </w:rPr>
              <w:t>(13.3)</w:t>
            </w:r>
          </w:p>
        </w:tc>
      </w:tr>
    </w:tbl>
    <w:p>
      <w:pPr>
        <w:pStyle w:val="Текстовый блок"/>
        <w:widowControl w:val="0"/>
        <w:spacing w:line="240" w:lineRule="atLeast"/>
        <w:jc w:val="center"/>
      </w:pPr>
    </w:p>
    <w:p>
      <w:pPr>
        <w:pStyle w:val="Текстовый блок"/>
        <w:spacing w:line="240" w:lineRule="atLeast"/>
      </w:pPr>
      <w:r>
        <w:rPr>
          <w:rtl w:val="0"/>
          <w:lang w:val="en-US"/>
        </w:rPr>
        <w:t xml:space="preserve">For two photons of sharp momenta, energies </w:t>
      </w:r>
      <m:oMath>
        <m:sSub>
          <m:e>
            <m:r>
              <m:t>E</m:t>
            </m:r>
          </m:e>
          <m:sub>
            <m:r>
              <m:t>1</m:t>
            </m:r>
          </m:sub>
        </m:sSub>
        <m:r>
          <m:t>,</m:t>
        </m:r>
        <m:sSub>
          <m:e>
            <m:r>
              <m:t>E</m:t>
            </m:r>
          </m:e>
          <m:sub>
            <m:r>
              <m:t>2</m:t>
            </m:r>
          </m:sub>
        </m:sSub>
      </m:oMath>
      <w:r>
        <w:rPr>
          <w:rtl w:val="0"/>
          <w:lang w:val="en-US"/>
        </w:rPr>
        <w:t xml:space="preserve"> and angle </w:t>
      </w:r>
      <m:oMath>
        <m:r>
          <m:t>ϑ</m:t>
        </m:r>
      </m:oMath>
      <w:r>
        <w:rPr>
          <w:rtl w:val="0"/>
          <w:lang w:val="en-US"/>
        </w:rPr>
        <w:t xml:space="preserve"> between their directions, add their four-momenta to obtain</w:t>
      </w:r>
    </w:p>
    <w:tbl>
      <w:tblPr>
        <w:tblW w:w="9522"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666"/>
        <w:gridCol w:w="8190"/>
        <w:gridCol w:w="666"/>
      </w:tblGrid>
      <w:tr>
        <w:tblPrEx>
          <w:shd w:val="clear" w:color="auto" w:fill="ced7e7"/>
        </w:tblPrEx>
        <w:trPr>
          <w:trHeight w:val="412" w:hRule="atLeast"/>
        </w:trPr>
        <w:tc>
          <w:tcPr>
            <w:tcW w:type="dxa" w:w="666"/>
            <w:tcBorders>
              <w:top w:val="nil"/>
              <w:left w:val="nil"/>
              <w:bottom w:val="nil"/>
              <w:right w:val="nil"/>
            </w:tcBorders>
            <w:shd w:val="clear" w:color="auto" w:fill="auto"/>
            <w:tcMar>
              <w:top w:type="dxa" w:w="80"/>
              <w:left w:type="dxa" w:w="80"/>
              <w:bottom w:type="dxa" w:w="80"/>
              <w:right w:type="dxa" w:w="80"/>
            </w:tcMar>
            <w:vAlign w:val="top"/>
          </w:tcPr>
          <w:p/>
        </w:tc>
        <w:tc>
          <w:tcPr>
            <w:tcW w:type="dxa" w:w="8190"/>
            <w:tcBorders>
              <w:top w:val="nil"/>
              <w:left w:val="nil"/>
              <w:bottom w:val="nil"/>
              <w:right w:val="nil"/>
            </w:tcBorders>
            <w:shd w:val="clear" w:color="auto" w:fill="auto"/>
            <w:tcMar>
              <w:top w:type="dxa" w:w="80"/>
              <w:left w:type="dxa" w:w="80"/>
              <w:bottom w:type="dxa" w:w="80"/>
              <w:right w:type="dxa" w:w="80"/>
            </w:tcMar>
            <w:vAlign w:val="top"/>
          </w:tcPr>
          <w:p>
            <w:pPr>
              <w:pStyle w:val="Текстовый блок"/>
              <w:spacing w:after="40" w:line="240" w:lineRule="auto"/>
              <w:jc w:val="center"/>
            </w:pPr>
            <m:oMathPara>
              <m:oMathParaPr>
                <m:jc m:val="center"/>
              </m:oMathParaPr>
              <m:oMath>
                <m:sSup>
                  <m:e>
                    <m:r>
                      <m:t>M</m:t>
                    </m:r>
                  </m:e>
                  <m:sup>
                    <m:r>
                      <m:t>2</m:t>
                    </m:r>
                  </m:sup>
                </m:sSup>
                <m:sSup>
                  <m:e>
                    <m:r>
                      <m:t>c</m:t>
                    </m:r>
                  </m:e>
                  <m:sup>
                    <m:r>
                      <m:t>4</m:t>
                    </m:r>
                  </m:sup>
                </m:sSup>
                <m:r>
                  <m:t>=2</m:t>
                </m:r>
                <m:sSub>
                  <m:e>
                    <m:r>
                      <m:t>E</m:t>
                    </m:r>
                  </m:e>
                  <m:sub>
                    <m:r>
                      <m:t>1</m:t>
                    </m:r>
                  </m:sub>
                </m:sSub>
                <m:sSub>
                  <m:e>
                    <m:r>
                      <m:t>E</m:t>
                    </m:r>
                  </m:e>
                  <m:sub>
                    <m:r>
                      <m:t>2</m:t>
                    </m:r>
                  </m:sub>
                </m:sSub>
                <m:d>
                  <m:e>
                    <m:r>
                      <m:t>1−</m:t>
                    </m:r>
                    <m:r>
                      <m:rPr>
                        <m:sty m:val="p"/>
                      </m:rPr>
                      <m:t>cos</m:t>
                    </m:r>
                    <m:r>
                      <m:t>ϑ</m:t>
                    </m:r>
                  </m:e>
                </m:d>
                <m:r>
                  <m:t>.</m:t>
                </m:r>
              </m:oMath>
            </m:oMathPara>
          </w:p>
        </w:tc>
        <w:tc>
          <w:tcPr>
            <w:tcW w:type="dxa" w:w="666"/>
            <w:tcBorders>
              <w:top w:val="nil"/>
              <w:left w:val="nil"/>
              <w:bottom w:val="nil"/>
              <w:right w:val="nil"/>
            </w:tcBorders>
            <w:shd w:val="clear" w:color="auto" w:fill="auto"/>
            <w:tcMar>
              <w:top w:type="dxa" w:w="80"/>
              <w:left w:type="dxa" w:w="80"/>
              <w:bottom w:type="dxa" w:w="80"/>
              <w:right w:type="dxa" w:w="80"/>
            </w:tcMar>
            <w:vAlign w:val="top"/>
          </w:tcPr>
          <w:p>
            <w:pPr>
              <w:pStyle w:val="Normal.0"/>
              <w:spacing w:after="40" w:line="240" w:lineRule="auto"/>
              <w:jc w:val="right"/>
            </w:pPr>
            <w:r>
              <w:rPr>
                <w:sz w:val="18"/>
                <w:szCs w:val="18"/>
                <w:rtl w:val="0"/>
                <w:lang w:val="en-US"/>
              </w:rPr>
              <w:t>(13.4)</w:t>
            </w:r>
          </w:p>
        </w:tc>
      </w:tr>
    </w:tbl>
    <w:p>
      <w:pPr>
        <w:pStyle w:val="Текстовый блок"/>
        <w:widowControl w:val="0"/>
        <w:spacing w:line="240" w:lineRule="atLeast"/>
        <w:jc w:val="center"/>
      </w:pPr>
    </w:p>
    <w:p>
      <w:pPr>
        <w:pStyle w:val="Текстовый блок"/>
        <w:spacing w:line="240" w:lineRule="atLeast"/>
      </w:pPr>
      <w:r>
        <w:rPr>
          <w:rtl w:val="0"/>
          <w:lang w:val="en-US"/>
        </w:rPr>
        <w:t xml:space="preserve">Parallel momenta give </w:t>
      </w:r>
      <m:oMath>
        <m:r>
          <m:t>M=0</m:t>
        </m:r>
      </m:oMath>
      <w:r>
        <w:rPr>
          <w:rtl w:val="0"/>
          <w:lang w:val="en-US"/>
        </w:rPr>
        <w:t xml:space="preserve">; equal counter-propagating photons of energy </w:t>
      </w:r>
      <m:oMath>
        <m:r>
          <m:t>E</m:t>
        </m:r>
      </m:oMath>
      <w:r>
        <w:rPr>
          <w:rtl w:val="0"/>
          <w:lang w:val="en-US"/>
        </w:rPr>
        <w:t xml:space="preserve"> give </w:t>
      </w:r>
      <m:oMath>
        <m:r>
          <m:t>M=2E/</m:t>
        </m:r>
        <m:sSup>
          <m:e>
            <m:r>
              <m:t>c</m:t>
            </m:r>
          </m:e>
          <m:sup>
            <m:r>
              <m:t>2</m:t>
            </m:r>
          </m:sup>
        </m:sSup>
      </m:oMath>
      <w:r>
        <w:rPr>
          <w:rtl w:val="0"/>
          <w:lang w:val="en-US"/>
        </w:rPr>
        <w:t>. Each constituent remains massless. For wavepackets, one must specify the total momentum distribution instead of silently assigning a sharp invariant mass to every quantum state.</w:t>
      </w:r>
    </w:p>
    <w:p>
      <w:pPr>
        <w:pStyle w:val="Текстовый блок"/>
        <w:spacing w:line="240" w:lineRule="atLeast"/>
      </w:pPr>
      <w:r>
        <w:rPr>
          <w:rtl w:val="0"/>
          <w:lang w:val="en-US"/>
        </w:rPr>
        <w:t xml:space="preserve">For a reflecting cavity, the field alone exchanges momentum with the walls. A </w:t>
      </w:r>
      <w:r>
        <w:rPr>
          <w:i w:val="1"/>
          <w:iCs w:val="1"/>
          <w:rtl w:val="0"/>
          <w:lang w:val="en-US"/>
        </w:rPr>
        <w:t>closed</w:t>
      </w:r>
      <w:r>
        <w:rPr>
          <w:rtl w:val="0"/>
          <w:lang w:val="en-US"/>
        </w:rPr>
        <w:t xml:space="preserve"> cavity system includes wall energy, wall stress and any supporting components. In its rest frame</w:t>
      </w:r>
    </w:p>
    <w:tbl>
      <w:tblPr>
        <w:tblW w:w="9522"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666"/>
        <w:gridCol w:w="8190"/>
        <w:gridCol w:w="666"/>
      </w:tblGrid>
      <w:tr>
        <w:tblPrEx>
          <w:shd w:val="clear" w:color="auto" w:fill="ced7e7"/>
        </w:tblPrEx>
        <w:trPr>
          <w:trHeight w:val="412" w:hRule="atLeast"/>
        </w:trPr>
        <w:tc>
          <w:tcPr>
            <w:tcW w:type="dxa" w:w="666"/>
            <w:tcBorders>
              <w:top w:val="nil"/>
              <w:left w:val="nil"/>
              <w:bottom w:val="nil"/>
              <w:right w:val="nil"/>
            </w:tcBorders>
            <w:shd w:val="clear" w:color="auto" w:fill="auto"/>
            <w:tcMar>
              <w:top w:type="dxa" w:w="80"/>
              <w:left w:type="dxa" w:w="80"/>
              <w:bottom w:type="dxa" w:w="80"/>
              <w:right w:type="dxa" w:w="80"/>
            </w:tcMar>
            <w:vAlign w:val="top"/>
          </w:tcPr>
          <w:p/>
        </w:tc>
        <w:tc>
          <w:tcPr>
            <w:tcW w:type="dxa" w:w="8190"/>
            <w:tcBorders>
              <w:top w:val="nil"/>
              <w:left w:val="nil"/>
              <w:bottom w:val="nil"/>
              <w:right w:val="nil"/>
            </w:tcBorders>
            <w:shd w:val="clear" w:color="auto" w:fill="auto"/>
            <w:tcMar>
              <w:top w:type="dxa" w:w="80"/>
              <w:left w:type="dxa" w:w="80"/>
              <w:bottom w:type="dxa" w:w="80"/>
              <w:right w:type="dxa" w:w="80"/>
            </w:tcMar>
            <w:vAlign w:val="top"/>
          </w:tcPr>
          <w:p>
            <w:pPr>
              <w:pStyle w:val="Текстовый блок"/>
              <w:spacing w:after="40" w:line="240" w:lineRule="auto"/>
              <w:jc w:val="center"/>
            </w:pPr>
            <m:oMathPara>
              <m:oMathParaPr>
                <m:jc m:val="center"/>
              </m:oMathParaPr>
              <m:oMath>
                <m:sSub>
                  <m:e>
                    <m:r>
                      <m:t>M</m:t>
                    </m:r>
                  </m:e>
                  <m:sub>
                    <m:r>
                      <m:rPr>
                        <m:sty m:val="p"/>
                      </m:rPr>
                      <m:t>closed</m:t>
                    </m:r>
                  </m:sub>
                </m:sSub>
                <m:r>
                  <m:t>=</m:t>
                </m:r>
                <m:sSub>
                  <m:e>
                    <m:r>
                      <m:t>E</m:t>
                    </m:r>
                  </m:e>
                  <m:sub>
                    <m:r>
                      <m:rPr>
                        <m:sty m:val="p"/>
                      </m:rPr>
                      <m:t>closed</m:t>
                    </m:r>
                  </m:sub>
                </m:sSub>
                <m:r>
                  <m:t>/</m:t>
                </m:r>
                <m:sSup>
                  <m:e>
                    <m:r>
                      <m:t>c</m:t>
                    </m:r>
                  </m:e>
                  <m:sup>
                    <m:r>
                      <m:t>2</m:t>
                    </m:r>
                  </m:sup>
                </m:sSup>
                <m:r>
                  <m:t>.</m:t>
                </m:r>
              </m:oMath>
            </m:oMathPara>
          </w:p>
        </w:tc>
        <w:tc>
          <w:tcPr>
            <w:tcW w:type="dxa" w:w="666"/>
            <w:tcBorders>
              <w:top w:val="nil"/>
              <w:left w:val="nil"/>
              <w:bottom w:val="nil"/>
              <w:right w:val="nil"/>
            </w:tcBorders>
            <w:shd w:val="clear" w:color="auto" w:fill="auto"/>
            <w:tcMar>
              <w:top w:type="dxa" w:w="80"/>
              <w:left w:type="dxa" w:w="80"/>
              <w:bottom w:type="dxa" w:w="80"/>
              <w:right w:type="dxa" w:w="80"/>
            </w:tcMar>
            <w:vAlign w:val="top"/>
          </w:tcPr>
          <w:p>
            <w:pPr>
              <w:pStyle w:val="Normal.0"/>
              <w:spacing w:after="40" w:line="240" w:lineRule="auto"/>
              <w:jc w:val="right"/>
            </w:pPr>
            <w:r>
              <w:rPr>
                <w:sz w:val="18"/>
                <w:szCs w:val="18"/>
                <w:rtl w:val="0"/>
                <w:lang w:val="en-US"/>
              </w:rPr>
              <w:t>(13.5)</w:t>
            </w:r>
          </w:p>
        </w:tc>
      </w:tr>
    </w:tbl>
    <w:p>
      <w:pPr>
        <w:pStyle w:val="Текстовый блок"/>
        <w:widowControl w:val="0"/>
        <w:spacing w:line="240" w:lineRule="atLeast"/>
        <w:jc w:val="center"/>
      </w:pPr>
    </w:p>
    <w:p>
      <w:pPr>
        <w:pStyle w:val="Текстовый блок"/>
        <w:spacing w:line="240" w:lineRule="atLeast"/>
      </w:pPr>
      <w:r>
        <w:rPr>
          <w:rtl w:val="0"/>
          <w:lang w:val="en-US"/>
        </w:rPr>
        <w:t xml:space="preserve">Adding retained energy </w:t>
      </w:r>
      <m:oMath>
        <m:r>
          <m:t>ΔE</m:t>
        </m:r>
      </m:oMath>
      <w:r>
        <w:rPr>
          <w:rtl w:val="0"/>
          <w:lang w:val="en-US"/>
        </w:rPr>
        <w:t xml:space="preserve"> increases this rest energy by </w:t>
      </w:r>
      <m:oMath>
        <m:r>
          <m:t>ΔE</m:t>
        </m:r>
      </m:oMath>
      <w:r>
        <w:rPr>
          <w:rtl w:val="0"/>
          <w:lang w:val="en-US"/>
        </w:rPr>
        <w:t xml:space="preserve">, when that is the complete energy change of the closed system. Wall deformation or other energy changes must be included in </w:t>
      </w:r>
      <m:oMath>
        <m:r>
          <m:t>ΔE</m:t>
        </m:r>
      </m:oMath>
      <w:r>
        <w:rPr>
          <w:rtl w:val="0"/>
        </w:rPr>
        <w:t>.</w:t>
      </w:r>
    </w:p>
    <w:p>
      <w:pPr>
        <w:pStyle w:val="Текстовый блок"/>
        <w:spacing w:line="240" w:lineRule="atLeast"/>
      </w:pPr>
      <w:r>
        <w:rPr>
          <w:rtl w:val="0"/>
          <w:lang w:val="en-US"/>
        </w:rPr>
        <w:t>The role of stress can be displayed without a gravitational argument. For a stationary, spatially localised closed tensor in Minkowski space, conservation and vanishing surface terms imply the Laue identity</w:t>
      </w:r>
    </w:p>
    <w:tbl>
      <w:tblPr>
        <w:tblW w:w="9522"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666"/>
        <w:gridCol w:w="8190"/>
        <w:gridCol w:w="666"/>
      </w:tblGrid>
      <w:tr>
        <w:tblPrEx>
          <w:shd w:val="clear" w:color="auto" w:fill="ced7e7"/>
        </w:tblPrEx>
        <w:trPr>
          <w:trHeight w:val="527" w:hRule="atLeast"/>
        </w:trPr>
        <w:tc>
          <w:tcPr>
            <w:tcW w:type="dxa" w:w="666"/>
            <w:tcBorders>
              <w:top w:val="nil"/>
              <w:left w:val="nil"/>
              <w:bottom w:val="nil"/>
              <w:right w:val="nil"/>
            </w:tcBorders>
            <w:shd w:val="clear" w:color="auto" w:fill="auto"/>
            <w:tcMar>
              <w:top w:type="dxa" w:w="80"/>
              <w:left w:type="dxa" w:w="80"/>
              <w:bottom w:type="dxa" w:w="80"/>
              <w:right w:type="dxa" w:w="80"/>
            </w:tcMar>
            <w:vAlign w:val="top"/>
          </w:tcPr>
          <w:p/>
        </w:tc>
        <w:tc>
          <w:tcPr>
            <w:tcW w:type="dxa" w:w="8190"/>
            <w:tcBorders>
              <w:top w:val="nil"/>
              <w:left w:val="nil"/>
              <w:bottom w:val="nil"/>
              <w:right w:val="nil"/>
            </w:tcBorders>
            <w:shd w:val="clear" w:color="auto" w:fill="auto"/>
            <w:tcMar>
              <w:top w:type="dxa" w:w="80"/>
              <w:left w:type="dxa" w:w="80"/>
              <w:bottom w:type="dxa" w:w="80"/>
              <w:right w:type="dxa" w:w="80"/>
            </w:tcMar>
            <w:vAlign w:val="top"/>
          </w:tcPr>
          <w:p>
            <w:pPr>
              <w:pStyle w:val="Текстовый блок"/>
              <w:spacing w:after="40" w:line="240" w:lineRule="auto"/>
              <w:jc w:val="center"/>
            </w:pPr>
            <m:oMathPara>
              <m:oMathParaPr>
                <m:jc m:val="center"/>
              </m:oMathParaPr>
              <m:oMath>
                <m:r>
                  <m:t>∫</m:t>
                </m:r>
                <m:sSubSup>
                  <m:e>
                    <m:r>
                      <m:t>T</m:t>
                    </m:r>
                  </m:e>
                  <m:sub>
                    <m:r>
                      <m:rPr>
                        <m:sty m:val="p"/>
                      </m:rPr>
                      <m:t>total</m:t>
                    </m:r>
                  </m:sub>
                  <m:sup>
                    <m:r>
                      <m:t>ij</m:t>
                    </m:r>
                  </m:sup>
                </m:sSubSup>
                <m:sSup>
                  <m:e>
                    <m:r>
                      <m:rPr>
                        <m:sty m:val="p"/>
                      </m:rPr>
                      <m:t>d</m:t>
                    </m:r>
                  </m:e>
                  <m:sup>
                    <m:r>
                      <m:t>3</m:t>
                    </m:r>
                  </m:sup>
                </m:sSup>
                <m:r>
                  <m:t>x=∫</m:t>
                </m:r>
                <m:sSub>
                  <m:e>
                    <m:r>
                      <m:t>∂</m:t>
                    </m:r>
                  </m:e>
                  <m:sub>
                    <m:r>
                      <m:t>k</m:t>
                    </m:r>
                  </m:sub>
                </m:sSub>
                <m:d>
                  <m:e>
                    <m:sSup>
                      <m:e>
                        <m:r>
                          <m:t>x</m:t>
                        </m:r>
                      </m:e>
                      <m:sup>
                        <m:r>
                          <m:t>i</m:t>
                        </m:r>
                      </m:sup>
                    </m:sSup>
                    <m:sSubSup>
                      <m:e>
                        <m:r>
                          <m:t>T</m:t>
                        </m:r>
                      </m:e>
                      <m:sub>
                        <m:r>
                          <m:rPr>
                            <m:sty m:val="p"/>
                          </m:rPr>
                          <m:t>total</m:t>
                        </m:r>
                      </m:sub>
                      <m:sup>
                        <m:r>
                          <m:t>kj</m:t>
                        </m:r>
                      </m:sup>
                    </m:sSubSup>
                  </m:e>
                </m:d>
                <m:sSup>
                  <m:e>
                    <m:r>
                      <m:rPr>
                        <m:sty m:val="p"/>
                      </m:rPr>
                      <m:t>d</m:t>
                    </m:r>
                  </m:e>
                  <m:sup>
                    <m:r>
                      <m:t>3</m:t>
                    </m:r>
                  </m:sup>
                </m:sSup>
                <m:r>
                  <m:t>x=0.</m:t>
                </m:r>
              </m:oMath>
            </m:oMathPara>
          </w:p>
        </w:tc>
        <w:tc>
          <w:tcPr>
            <w:tcW w:type="dxa" w:w="666"/>
            <w:tcBorders>
              <w:top w:val="nil"/>
              <w:left w:val="nil"/>
              <w:bottom w:val="nil"/>
              <w:right w:val="nil"/>
            </w:tcBorders>
            <w:shd w:val="clear" w:color="auto" w:fill="auto"/>
            <w:tcMar>
              <w:top w:type="dxa" w:w="80"/>
              <w:left w:type="dxa" w:w="80"/>
              <w:bottom w:type="dxa" w:w="80"/>
              <w:right w:type="dxa" w:w="80"/>
            </w:tcMar>
            <w:vAlign w:val="top"/>
          </w:tcPr>
          <w:p>
            <w:pPr>
              <w:pStyle w:val="Normal.0"/>
              <w:spacing w:after="40" w:line="240" w:lineRule="auto"/>
              <w:jc w:val="right"/>
            </w:pPr>
            <w:r>
              <w:rPr>
                <w:sz w:val="18"/>
                <w:szCs w:val="18"/>
                <w:rtl w:val="0"/>
                <w:lang w:val="en-US"/>
              </w:rPr>
              <w:t>(13.6)</w:t>
            </w:r>
          </w:p>
        </w:tc>
      </w:tr>
    </w:tbl>
    <w:p>
      <w:pPr>
        <w:pStyle w:val="Текстовый блок"/>
        <w:widowControl w:val="0"/>
        <w:spacing w:line="240" w:lineRule="atLeast"/>
        <w:jc w:val="center"/>
      </w:pPr>
    </w:p>
    <w:p>
      <w:pPr>
        <w:pStyle w:val="Текстовый блок"/>
        <w:spacing w:line="240" w:lineRule="atLeast"/>
      </w:pPr>
      <w:r>
        <w:rPr>
          <w:rtl w:val="0"/>
          <w:lang w:val="en-US"/>
        </w:rPr>
        <w:t xml:space="preserve">The positive integrated radiation pressure is balanced by material stress. Omitting the walls can therefore spoil the transformation properties of integrated subsystem quantities [45]. With a conserved closed tensor, </w:t>
      </w:r>
      <m:oMath>
        <m:sSup>
          <m:e>
            <m:r>
              <m:t>P</m:t>
            </m:r>
          </m:e>
          <m:sup>
            <m:r>
              <m:t>μ</m:t>
            </m:r>
          </m:sup>
        </m:sSup>
        <m:r>
          <m:t>=</m:t>
        </m:r>
        <m:sSup>
          <m:e>
            <m:r>
              <m:t>c</m:t>
            </m:r>
          </m:e>
          <m:sup>
            <m:r>
              <m:t>−1</m:t>
            </m:r>
          </m:sup>
        </m:sSup>
        <m:r>
          <m:t>∫</m:t>
        </m:r>
        <m:sSup>
          <m:e>
            <m:r>
              <m:t>T</m:t>
            </m:r>
          </m:e>
          <m:sup>
            <m:r>
              <m:t>0μ</m:t>
            </m:r>
          </m:sup>
        </m:sSup>
        <m:sSup>
          <m:e>
            <m:r>
              <m:rPr>
                <m:sty m:val="p"/>
              </m:rPr>
              <m:t>d</m:t>
            </m:r>
          </m:e>
          <m:sup>
            <m:r>
              <m:t>3</m:t>
            </m:r>
          </m:sup>
        </m:sSup>
        <m:r>
          <m:t>x</m:t>
        </m:r>
      </m:oMath>
      <w:r>
        <w:rPr>
          <w:rtl w:val="0"/>
          <w:lang w:val="en-US"/>
        </w:rPr>
        <w:t xml:space="preserve"> is the relevant total four-vector under the usual isolation hypotheses. Radiation energy, composite inertia and gravitational sourcing are connected through these structures; no conversion of an individual photon</w:t>
      </w:r>
      <w:r>
        <w:rPr>
          <w:rtl w:val="0"/>
          <w:lang w:val="en-US"/>
        </w:rPr>
        <w:t>’</w:t>
      </w:r>
      <w:r>
        <w:rPr>
          <w:rtl w:val="0"/>
          <w:lang w:val="en-US"/>
        </w:rPr>
        <w:t>s rest mass is involved. Global total energy in a general curved spacetime is a separate issue.</w:t>
      </w:r>
      <w:bookmarkEnd w:id="47"/>
    </w:p>
    <w:p>
      <w:pPr>
        <w:pStyle w:val="Заголовок 2"/>
        <w:spacing w:line="240" w:lineRule="atLeast"/>
      </w:pPr>
      <w:bookmarkStart w:name="Xd19984246cf91c266fdee4f72c77871b0d47c7b" w:id="48"/>
      <w:r>
        <w:rPr>
          <w:rtl w:val="0"/>
          <w:lang w:val="en-US"/>
        </w:rPr>
        <w:t xml:space="preserve">14. Lorentzian calibration and the meaning of </w:t>
      </w:r>
      <m:oMath>
        <m:r>
          <m:t>E=m</m:t>
        </m:r>
        <m:sSup>
          <m:e>
            <m:r>
              <m:t>c</m:t>
            </m:r>
          </m:e>
          <m:sup>
            <m:r>
              <m:t>2</m:t>
            </m:r>
          </m:sup>
        </m:sSup>
      </m:oMath>
    </w:p>
    <w:p>
      <w:pPr>
        <w:pStyle w:val="Текстовый блок"/>
        <w:spacing w:line="240" w:lineRule="atLeast"/>
      </w:pPr>
      <w:r>
        <w:rPr>
          <w:rtl w:val="0"/>
          <w:lang w:val="en-US"/>
        </w:rPr>
        <w:t>The invariant one-particle mass relation is</w:t>
      </w:r>
    </w:p>
    <w:tbl>
      <w:tblPr>
        <w:tblW w:w="9522"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666"/>
        <w:gridCol w:w="8190"/>
        <w:gridCol w:w="666"/>
      </w:tblGrid>
      <w:tr>
        <w:tblPrEx>
          <w:shd w:val="clear" w:color="auto" w:fill="ced7e7"/>
        </w:tblPrEx>
        <w:trPr>
          <w:trHeight w:val="412" w:hRule="atLeast"/>
        </w:trPr>
        <w:tc>
          <w:tcPr>
            <w:tcW w:type="dxa" w:w="666"/>
            <w:tcBorders>
              <w:top w:val="nil"/>
              <w:left w:val="nil"/>
              <w:bottom w:val="nil"/>
              <w:right w:val="nil"/>
            </w:tcBorders>
            <w:shd w:val="clear" w:color="auto" w:fill="auto"/>
            <w:tcMar>
              <w:top w:type="dxa" w:w="80"/>
              <w:left w:type="dxa" w:w="80"/>
              <w:bottom w:type="dxa" w:w="80"/>
              <w:right w:type="dxa" w:w="80"/>
            </w:tcMar>
            <w:vAlign w:val="top"/>
          </w:tcPr>
          <w:p/>
        </w:tc>
        <w:tc>
          <w:tcPr>
            <w:tcW w:type="dxa" w:w="8190"/>
            <w:tcBorders>
              <w:top w:val="nil"/>
              <w:left w:val="nil"/>
              <w:bottom w:val="nil"/>
              <w:right w:val="nil"/>
            </w:tcBorders>
            <w:shd w:val="clear" w:color="auto" w:fill="auto"/>
            <w:tcMar>
              <w:top w:type="dxa" w:w="80"/>
              <w:left w:type="dxa" w:w="80"/>
              <w:bottom w:type="dxa" w:w="80"/>
              <w:right w:type="dxa" w:w="80"/>
            </w:tcMar>
            <w:vAlign w:val="top"/>
          </w:tcPr>
          <w:p>
            <w:pPr>
              <w:pStyle w:val="Текстовый блок"/>
              <w:spacing w:after="40" w:line="240" w:lineRule="auto"/>
              <w:jc w:val="center"/>
            </w:pPr>
            <m:oMathPara>
              <m:oMathParaPr>
                <m:jc m:val="center"/>
              </m:oMathParaPr>
              <m:oMath>
                <m:sSup>
                  <m:e>
                    <m:r>
                      <m:t>E</m:t>
                    </m:r>
                  </m:e>
                  <m:sup>
                    <m:r>
                      <m:t>2</m:t>
                    </m:r>
                  </m:sup>
                </m:sSup>
                <m:r>
                  <m:t>=</m:t>
                </m:r>
                <m:sSup>
                  <m:e>
                    <m:r>
                      <m:t>c</m:t>
                    </m:r>
                  </m:e>
                  <m:sup>
                    <m:r>
                      <m:t>2</m:t>
                    </m:r>
                  </m:sup>
                </m:sSup>
                <m:sSup>
                  <m:e>
                    <m:d>
                      <m:dPr>
                        <m:begChr m:val="|"/>
                        <m:endChr m:val="|"/>
                      </m:dPr>
                      <m:e>
                        <m:r>
                          <m:rPr>
                            <m:sty m:val="b"/>
                          </m:rPr>
                          <m:t>p</m:t>
                        </m:r>
                      </m:e>
                    </m:d>
                  </m:e>
                  <m:sup>
                    <m:r>
                      <m:t>2</m:t>
                    </m:r>
                  </m:sup>
                </m:sSup>
                <m:r>
                  <m:t>+</m:t>
                </m:r>
                <m:sSup>
                  <m:e>
                    <m:r>
                      <m:t>m</m:t>
                    </m:r>
                  </m:e>
                  <m:sup>
                    <m:r>
                      <m:t>2</m:t>
                    </m:r>
                  </m:sup>
                </m:sSup>
                <m:sSup>
                  <m:e>
                    <m:r>
                      <m:t>c</m:t>
                    </m:r>
                  </m:e>
                  <m:sup>
                    <m:r>
                      <m:t>4</m:t>
                    </m:r>
                  </m:sup>
                </m:sSup>
                <m:r>
                  <m:t>.</m:t>
                </m:r>
              </m:oMath>
            </m:oMathPara>
          </w:p>
        </w:tc>
        <w:tc>
          <w:tcPr>
            <w:tcW w:type="dxa" w:w="666"/>
            <w:tcBorders>
              <w:top w:val="nil"/>
              <w:left w:val="nil"/>
              <w:bottom w:val="nil"/>
              <w:right w:val="nil"/>
            </w:tcBorders>
            <w:shd w:val="clear" w:color="auto" w:fill="auto"/>
            <w:tcMar>
              <w:top w:type="dxa" w:w="80"/>
              <w:left w:type="dxa" w:w="80"/>
              <w:bottom w:type="dxa" w:w="80"/>
              <w:right w:type="dxa" w:w="80"/>
            </w:tcMar>
            <w:vAlign w:val="top"/>
          </w:tcPr>
          <w:p>
            <w:pPr>
              <w:pStyle w:val="Normal.0"/>
              <w:spacing w:after="40" w:line="240" w:lineRule="auto"/>
              <w:jc w:val="right"/>
            </w:pPr>
            <w:r>
              <w:rPr>
                <w:sz w:val="18"/>
                <w:szCs w:val="18"/>
                <w:rtl w:val="0"/>
                <w:lang w:val="en-US"/>
              </w:rPr>
              <w:t>(14.1)</w:t>
            </w:r>
          </w:p>
        </w:tc>
      </w:tr>
    </w:tbl>
    <w:p>
      <w:pPr>
        <w:pStyle w:val="Текстовый блок"/>
        <w:widowControl w:val="0"/>
        <w:spacing w:line="240" w:lineRule="atLeast"/>
        <w:jc w:val="center"/>
      </w:pPr>
    </w:p>
    <w:p>
      <w:pPr>
        <w:pStyle w:val="Текстовый блок"/>
        <w:spacing w:line="240" w:lineRule="atLeast"/>
      </w:pPr>
      <w:r>
        <w:rPr>
          <w:rtl w:val="0"/>
          <w:lang w:val="en-US"/>
        </w:rPr>
        <w:t xml:space="preserve">It comes from the Lorentzian norm of </w:t>
      </w:r>
      <m:oMath>
        <m:sSup>
          <m:e>
            <m:r>
              <m:t>p</m:t>
            </m:r>
          </m:e>
          <m:sup>
            <m:r>
              <m:t>μ</m:t>
            </m:r>
          </m:sup>
        </m:sSup>
        <m:r>
          <m:t>=</m:t>
        </m:r>
        <m:d>
          <m:e>
            <m:r>
              <m:t>E/c,</m:t>
            </m:r>
            <m:r>
              <m:rPr>
                <m:sty m:val="b"/>
              </m:rPr>
              <m:t>p</m:t>
            </m:r>
          </m:e>
        </m:d>
      </m:oMath>
      <w:r>
        <w:rPr>
          <w:rtl w:val="0"/>
          <w:lang w:val="en-US"/>
        </w:rPr>
        <w:t xml:space="preserve">, with </w:t>
      </w:r>
      <m:oMath>
        <m:sSup>
          <m:e>
            <m:r>
              <m:t>p</m:t>
            </m:r>
          </m:e>
          <m:sup>
            <m:r>
              <m:t>μ</m:t>
            </m:r>
          </m:sup>
        </m:sSup>
        <m:sSub>
          <m:e>
            <m:r>
              <m:t>p</m:t>
            </m:r>
          </m:e>
          <m:sub>
            <m:r>
              <m:t>μ</m:t>
            </m:r>
          </m:sub>
        </m:sSub>
        <m:r>
          <m:t>=−</m:t>
        </m:r>
        <m:sSup>
          <m:e>
            <m:r>
              <m:t>m</m:t>
            </m:r>
          </m:e>
          <m:sup>
            <m:r>
              <m:t>2</m:t>
            </m:r>
          </m:sup>
        </m:sSup>
        <m:sSup>
          <m:e>
            <m:r>
              <m:t>c</m:t>
            </m:r>
          </m:e>
          <m:sup>
            <m:r>
              <m:t>2</m:t>
            </m:r>
          </m:sup>
        </m:sSup>
      </m:oMath>
      <w:r>
        <w:rPr>
          <w:rtl w:val="0"/>
          <w:lang w:val="en-US"/>
        </w:rPr>
        <w:t xml:space="preserve">. For the positive-energy rest state, </w:t>
      </w:r>
      <m:oMath>
        <m:r>
          <m:rPr>
            <m:sty m:val="b"/>
          </m:rPr>
          <m:t>p</m:t>
        </m:r>
        <m:r>
          <m:t>=0</m:t>
        </m:r>
      </m:oMath>
      <w:r>
        <w:rPr>
          <w:rtl w:val="0"/>
          <w:lang w:val="en-US"/>
        </w:rPr>
        <w:t xml:space="preserve"> gives </w:t>
      </w:r>
      <m:oMath>
        <m:r>
          <m:t>E=m</m:t>
        </m:r>
        <m:sSup>
          <m:e>
            <m:r>
              <m:t>c</m:t>
            </m:r>
          </m:e>
          <m:sup>
            <m:r>
              <m:t>2</m:t>
            </m:r>
          </m:sup>
        </m:sSup>
      </m:oMath>
      <w:r>
        <w:rPr>
          <w:rtl w:val="0"/>
          <w:lang w:val="en-US"/>
        </w:rPr>
        <w:t xml:space="preserve">. For </w:t>
      </w:r>
      <m:oMath>
        <m:r>
          <m:t>m=0</m:t>
        </m:r>
      </m:oMath>
      <w:r>
        <w:rPr>
          <w:rtl w:val="0"/>
          <w:lang w:val="en-US"/>
        </w:rPr>
        <w:t xml:space="preserve">, it gives </w:t>
      </w:r>
      <m:oMath>
        <m:r>
          <m:t>E=c</m:t>
        </m:r>
        <m:d>
          <m:dPr>
            <m:begChr m:val="|"/>
            <m:endChr m:val="|"/>
          </m:dPr>
          <m:e>
            <m:r>
              <m:rPr>
                <m:sty m:val="b"/>
              </m:rPr>
              <m:t>p</m:t>
            </m:r>
          </m:e>
        </m:d>
      </m:oMath>
      <w:r>
        <w:rPr>
          <w:rtl w:val="0"/>
          <w:lang w:val="en-US"/>
        </w:rPr>
        <w:t xml:space="preserve">. The factors of </w:t>
      </w:r>
      <m:oMath>
        <m:r>
          <m:t>c</m:t>
        </m:r>
      </m:oMath>
      <w:r>
        <w:rPr>
          <w:rtl w:val="0"/>
          <w:lang w:val="en-US"/>
        </w:rPr>
        <w:t xml:space="preserve"> relate temporal and spatial components and restore compatible units; their powers are fixed by the tensor and dimensional structure of these formulas.</w:t>
      </w:r>
    </w:p>
    <w:p>
      <w:pPr>
        <w:pStyle w:val="Текстовый блок"/>
        <w:keepLines w:val="1"/>
        <w:spacing w:before="60" w:line="240" w:lineRule="atLeast"/>
      </w:pPr>
      <w:r>
        <w:rPr>
          <w:b w:val="1"/>
          <w:bCs w:val="1"/>
          <w:rtl w:val="0"/>
          <w:lang w:val="en-US"/>
        </w:rPr>
        <w:t>No-go statement 14.1 (A square does not supply probability).</w:t>
      </w:r>
      <w:r>
        <w:rPr>
          <w:rtl w:val="0"/>
          <w:lang w:val="en-US"/>
        </w:rPr>
        <w:t xml:space="preserve"> The occurrence of </w:t>
      </w:r>
      <m:oMath>
        <m:sSup>
          <m:e>
            <m:r>
              <m:t>c</m:t>
            </m:r>
          </m:e>
          <m:sup>
            <m:r>
              <m:t>2</m:t>
            </m:r>
          </m:sup>
        </m:sSup>
      </m:oMath>
      <w:r>
        <w:rPr>
          <w:rtl w:val="0"/>
          <w:lang w:val="en-US"/>
        </w:rPr>
        <w:t xml:space="preserve"> in </w:t>
      </w:r>
      <m:oMath>
        <m:r>
          <m:t>E=m</m:t>
        </m:r>
        <m:sSup>
          <m:e>
            <m:r>
              <m:t>c</m:t>
            </m:r>
          </m:e>
          <m:sup>
            <m:r>
              <m:t>2</m:t>
            </m:r>
          </m:sup>
        </m:sSup>
      </m:oMath>
      <w:r>
        <w:rPr>
          <w:rtl w:val="0"/>
          <w:lang w:val="en-US"/>
        </w:rPr>
        <w:t xml:space="preserve"> does not imply a probability modulus square or a Born rule.</w:t>
      </w:r>
    </w:p>
    <w:p>
      <w:pPr>
        <w:pStyle w:val="Текстовый блок"/>
        <w:spacing w:line="240" w:lineRule="atLeast"/>
      </w:pPr>
      <w:r>
        <w:rPr>
          <w:rtl w:val="0"/>
          <w:lang w:val="en-US"/>
        </w:rPr>
        <w:t xml:space="preserve">The mass-shell norm is an indefinite Lorentzian bilinear form; a quantum probability uses a positive Hilbert-space inner product and a state with a specified measurement rule. Neither a Hilbert space nor a probability measure follows from (14.1). In SI </w:t>
      </w:r>
      <m:oMath>
        <m:sSup>
          <m:e>
            <m:r>
              <m:t>c</m:t>
            </m:r>
          </m:e>
          <m:sup>
            <m:r>
              <m:t>2</m:t>
            </m:r>
          </m:sup>
        </m:sSup>
      </m:oMath>
      <w:r>
        <w:rPr>
          <w:rtl w:val="0"/>
          <w:lang w:val="en-US"/>
        </w:rPr>
        <w:t xml:space="preserve"> is dimensional; its numerical value changes with units while probabilities do not. In </w:t>
      </w:r>
      <m:oMath>
        <m:r>
          <m:t>c=1</m:t>
        </m:r>
      </m:oMath>
      <w:r>
        <w:rPr>
          <w:rtl w:val="0"/>
          <w:lang w:val="en-US"/>
        </w:rPr>
        <w:t xml:space="preserve"> units the relation becomes </w:t>
      </w:r>
      <m:oMath>
        <m:sSup>
          <m:e>
            <m:r>
              <m:t>E</m:t>
            </m:r>
          </m:e>
          <m:sup>
            <m:r>
              <m:t>2</m:t>
            </m:r>
          </m:sup>
        </m:sSup>
        <m:r>
          <m:t>=</m:t>
        </m:r>
        <m:sSup>
          <m:e>
            <m:d>
              <m:dPr>
                <m:begChr m:val="|"/>
                <m:endChr m:val="|"/>
              </m:dPr>
              <m:e>
                <m:r>
                  <m:rPr>
                    <m:sty m:val="b"/>
                  </m:rPr>
                  <m:t>p</m:t>
                </m:r>
              </m:e>
            </m:d>
          </m:e>
          <m:sup>
            <m:r>
              <m:t>2</m:t>
            </m:r>
          </m:sup>
        </m:sSup>
        <m:r>
          <m:t>+</m:t>
        </m:r>
        <m:sSup>
          <m:e>
            <m:r>
              <m:t>m</m:t>
            </m:r>
          </m:e>
          <m:sup>
            <m:r>
              <m:t>2</m:t>
            </m:r>
          </m:sup>
        </m:sSup>
      </m:oMath>
      <w:r>
        <w:rPr>
          <w:rtl w:val="0"/>
          <w:lang w:val="en-US"/>
        </w:rPr>
        <w:t xml:space="preserve">, with </w:t>
      </w:r>
      <m:oMath>
        <m:r>
          <m:t>E=m</m:t>
        </m:r>
      </m:oMath>
      <w:r>
        <w:rPr>
          <w:rtl w:val="0"/>
          <w:lang w:val="en-US"/>
        </w:rPr>
        <w:t xml:space="preserve"> at rest, and the probability postulates remain independent. Any deeper norm-theoretic analogy would require an additional construction.</w:t>
      </w:r>
      <w:bookmarkEnd w:id="48"/>
    </w:p>
    <w:p>
      <w:pPr>
        <w:pStyle w:val="Заголовок 2"/>
        <w:spacing w:line="240" w:lineRule="atLeast"/>
      </w:pPr>
      <w:bookmarkStart w:name="Xec8f1c3dee879ad8f45a3045925d1c108faed09" w:id="49"/>
      <w:r>
        <w:rPr>
          <w:rtl w:val="0"/>
          <w:lang w:val="en-US"/>
        </w:rPr>
        <w:t>15. Frequency, wavelength and the quantum line</w:t>
      </w:r>
    </w:p>
    <w:p>
      <w:pPr>
        <w:pStyle w:val="Текстовый блок"/>
        <w:spacing w:line="240" w:lineRule="atLeast"/>
      </w:pPr>
      <w:r>
        <w:rPr>
          <w:rtl w:val="0"/>
          <w:lang w:val="en-US"/>
        </w:rPr>
        <w:t xml:space="preserve">For a local future-directed phase covector </w:t>
      </w:r>
      <m:oMath>
        <m:r>
          <m:t>κ</m:t>
        </m:r>
      </m:oMath>
      <w:r>
        <w:rPr>
          <w:rtl w:val="0"/>
          <w:lang w:val="en-US"/>
        </w:rPr>
        <w:t xml:space="preserve">, an observer measures </w:t>
      </w:r>
      <m:oMath>
        <m:r>
          <m:t>ω=−c</m:t>
        </m:r>
        <m:sSup>
          <m:e>
            <m:r>
              <m:t>U</m:t>
            </m:r>
          </m:e>
          <m:sup>
            <m:r>
              <m:t>μ</m:t>
            </m:r>
          </m:sup>
        </m:sSup>
        <m:sSub>
          <m:e>
            <m:r>
              <m:t>κ</m:t>
            </m:r>
          </m:e>
          <m:sub>
            <m:r>
              <m:t>μ</m:t>
            </m:r>
          </m:sub>
        </m:sSub>
      </m:oMath>
      <w:r>
        <w:rPr>
          <w:rtl w:val="0"/>
          <w:lang w:val="en-US"/>
        </w:rPr>
        <w:t xml:space="preserve"> when </w:t>
      </w:r>
      <m:oMath>
        <m:sSup>
          <m:e>
            <m:r>
              <m:t>U</m:t>
            </m:r>
          </m:e>
          <m:sup>
            <m:r>
              <m:t>2</m:t>
            </m:r>
          </m:sup>
        </m:sSup>
        <m:r>
          <m:t>=−1</m:t>
        </m:r>
      </m:oMath>
      <w:r>
        <w:rPr>
          <w:rtl w:val="0"/>
          <w:lang w:val="en-US"/>
        </w:rPr>
        <w:t xml:space="preserve"> and coordinates use </w:t>
      </w:r>
      <m:oMath>
        <m:sSup>
          <m:e>
            <m:r>
              <m:t>x</m:t>
            </m:r>
          </m:e>
          <m:sup>
            <m:r>
              <m:t>0</m:t>
            </m:r>
          </m:sup>
        </m:sSup>
        <m:r>
          <m:t>=ct</m:t>
        </m:r>
      </m:oMath>
      <w:r>
        <w:rPr>
          <w:rtl w:val="0"/>
          <w:lang w:val="en-US"/>
        </w:rPr>
        <w:t xml:space="preserve">. The spatial projection is the physical wavevector </w:t>
      </w:r>
      <m:oMath>
        <m:r>
          <m:rPr>
            <m:sty m:val="b"/>
          </m:rPr>
          <m:t>k</m:t>
        </m:r>
      </m:oMath>
      <w:r>
        <w:rPr>
          <w:rtl w:val="0"/>
          <w:lang w:val="en-US"/>
        </w:rPr>
        <w:t xml:space="preserve"> in that observer</w:t>
      </w:r>
      <w:r>
        <w:rPr>
          <w:rtl w:val="0"/>
          <w:lang w:val="en-US"/>
        </w:rPr>
        <w:t>’</w:t>
      </w:r>
      <w:r>
        <w:rPr>
          <w:rtl w:val="0"/>
          <w:lang w:val="en-US"/>
        </w:rPr>
        <w:t>s frame. The null condition is</w:t>
      </w:r>
    </w:p>
    <w:tbl>
      <w:tblPr>
        <w:tblW w:w="9522"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666"/>
        <w:gridCol w:w="8190"/>
        <w:gridCol w:w="666"/>
      </w:tblGrid>
      <w:tr>
        <w:tblPrEx>
          <w:shd w:val="clear" w:color="auto" w:fill="ced7e7"/>
        </w:tblPrEx>
        <w:trPr>
          <w:trHeight w:val="412" w:hRule="atLeast"/>
        </w:trPr>
        <w:tc>
          <w:tcPr>
            <w:tcW w:type="dxa" w:w="666"/>
            <w:tcBorders>
              <w:top w:val="nil"/>
              <w:left w:val="nil"/>
              <w:bottom w:val="nil"/>
              <w:right w:val="nil"/>
            </w:tcBorders>
            <w:shd w:val="clear" w:color="auto" w:fill="auto"/>
            <w:tcMar>
              <w:top w:type="dxa" w:w="80"/>
              <w:left w:type="dxa" w:w="80"/>
              <w:bottom w:type="dxa" w:w="80"/>
              <w:right w:type="dxa" w:w="80"/>
            </w:tcMar>
            <w:vAlign w:val="top"/>
          </w:tcPr>
          <w:p/>
        </w:tc>
        <w:tc>
          <w:tcPr>
            <w:tcW w:type="dxa" w:w="8190"/>
            <w:tcBorders>
              <w:top w:val="nil"/>
              <w:left w:val="nil"/>
              <w:bottom w:val="nil"/>
              <w:right w:val="nil"/>
            </w:tcBorders>
            <w:shd w:val="clear" w:color="auto" w:fill="auto"/>
            <w:tcMar>
              <w:top w:type="dxa" w:w="80"/>
              <w:left w:type="dxa" w:w="80"/>
              <w:bottom w:type="dxa" w:w="80"/>
              <w:right w:type="dxa" w:w="80"/>
            </w:tcMar>
            <w:vAlign w:val="top"/>
          </w:tcPr>
          <w:p>
            <w:pPr>
              <w:pStyle w:val="Текстовый блок"/>
              <w:spacing w:after="40" w:line="240" w:lineRule="auto"/>
              <w:jc w:val="center"/>
            </w:pPr>
            <m:oMathPara>
              <m:oMathParaPr>
                <m:jc m:val="center"/>
              </m:oMathParaPr>
              <m:oMath>
                <m:r>
                  <m:t>ω=c</m:t>
                </m:r>
                <m:d>
                  <m:dPr>
                    <m:begChr m:val="|"/>
                    <m:endChr m:val="|"/>
                  </m:dPr>
                  <m:e>
                    <m:r>
                      <m:rPr>
                        <m:sty m:val="b"/>
                      </m:rPr>
                      <m:t>k</m:t>
                    </m:r>
                  </m:e>
                </m:d>
                <m:r>
                  <m:t>,f=ω/</m:t>
                </m:r>
                <m:d>
                  <m:e>
                    <m:r>
                      <m:t>2π</m:t>
                    </m:r>
                  </m:e>
                </m:d>
                <m:r>
                  <m:t>,λ=2π/</m:t>
                </m:r>
                <m:d>
                  <m:dPr>
                    <m:begChr m:val="|"/>
                    <m:endChr m:val="|"/>
                  </m:dPr>
                  <m:e>
                    <m:r>
                      <m:rPr>
                        <m:sty m:val="b"/>
                      </m:rPr>
                      <m:t>k</m:t>
                    </m:r>
                  </m:e>
                </m:d>
                <m:r>
                  <m:t>,fλ=c.</m:t>
                </m:r>
              </m:oMath>
            </m:oMathPara>
          </w:p>
        </w:tc>
        <w:tc>
          <w:tcPr>
            <w:tcW w:type="dxa" w:w="666"/>
            <w:tcBorders>
              <w:top w:val="nil"/>
              <w:left w:val="nil"/>
              <w:bottom w:val="nil"/>
              <w:right w:val="nil"/>
            </w:tcBorders>
            <w:shd w:val="clear" w:color="auto" w:fill="auto"/>
            <w:tcMar>
              <w:top w:type="dxa" w:w="80"/>
              <w:left w:type="dxa" w:w="80"/>
              <w:bottom w:type="dxa" w:w="80"/>
              <w:right w:type="dxa" w:w="80"/>
            </w:tcMar>
            <w:vAlign w:val="top"/>
          </w:tcPr>
          <w:p>
            <w:pPr>
              <w:pStyle w:val="Normal.0"/>
              <w:spacing w:after="40" w:line="240" w:lineRule="auto"/>
              <w:jc w:val="right"/>
            </w:pPr>
            <w:r>
              <w:rPr>
                <w:sz w:val="18"/>
                <w:szCs w:val="18"/>
                <w:rtl w:val="0"/>
                <w:lang w:val="en-US"/>
              </w:rPr>
              <w:t>(15.1)</w:t>
            </w:r>
          </w:p>
        </w:tc>
      </w:tr>
    </w:tbl>
    <w:p>
      <w:pPr>
        <w:pStyle w:val="Текстовый блок"/>
        <w:widowControl w:val="0"/>
        <w:spacing w:line="240" w:lineRule="atLeast"/>
        <w:jc w:val="center"/>
      </w:pPr>
    </w:p>
    <w:p>
      <w:pPr>
        <w:pStyle w:val="Текстовый блок"/>
        <w:spacing w:line="240" w:lineRule="atLeast"/>
      </w:pPr>
      <w:r>
        <w:rPr>
          <w:rtl w:val="0"/>
          <w:lang w:val="en-US"/>
        </w:rPr>
        <w:t>These are local vacuum relations. Global frequency conservation requires a suitable stationary symmetry; Doppler shifts and gravitational redshift compare different observer measurements. In a dispersive medium, phase, group and front velocities require separate treatment.</w:t>
      </w:r>
    </w:p>
    <w:p>
      <w:pPr>
        <w:pStyle w:val="Текстовый блок"/>
        <w:keepLines w:val="1"/>
        <w:spacing w:before="60" w:line="240" w:lineRule="atLeast"/>
      </w:pPr>
      <w:r>
        <w:rPr>
          <w:b w:val="1"/>
          <w:bCs w:val="1"/>
          <w:rtl w:val="0"/>
          <w:lang w:val="en-US"/>
        </w:rPr>
        <w:t>Physical Anchor 15.1 (Quantised Maxwell sector).</w:t>
      </w:r>
      <w:r>
        <w:rPr>
          <w:rtl w:val="0"/>
          <w:lang w:val="en-US"/>
        </w:rPr>
        <w:t xml:space="preserve"> In Minkowski vacuum, quantise the two physical transverse modes with the canonical symplectic normalisation fixed by the action. In the usual photon Fock representation the normal-ordered translation generators are</w:t>
      </w:r>
    </w:p>
    <w:p>
      <w:pPr>
        <w:pStyle w:val="Текстовый блок"/>
        <w:spacing w:line="240" w:lineRule="atLeast"/>
        <w:jc w:val="center"/>
      </w:pPr>
      <m:oMathPara>
        <m:oMathParaPr>
          <m:jc m:val="center"/>
        </m:oMathParaPr>
        <m:oMath>
          <m:r>
            <m:t>H=</m:t>
          </m:r>
          <m:nary>
            <m:naryPr>
              <m:chr m:val="∑"/>
              <m:limLoc m:val="undOvr"/>
              <m:grow m:val="0"/>
              <m:subHide m:val="off"/>
              <m:supHide m:val="on"/>
            </m:naryPr>
            <m:sub>
              <m:r>
                <m:t>s=±1</m:t>
              </m:r>
            </m:sub>
            <m:sup/>
            <m:e>
              <m:r>
                <m:t>∫</m:t>
              </m:r>
            </m:e>
          </m:nary>
          <m:sSup>
            <m:e>
              <m:r>
                <m:rPr>
                  <m:sty m:val="p"/>
                </m:rPr>
                <m:t>d</m:t>
              </m:r>
            </m:e>
            <m:sup>
              <m:r>
                <m:t>3</m:t>
              </m:r>
            </m:sup>
          </m:sSup>
          <m:r>
            <m:t>k</m:t>
          </m:r>
          <m:r>
            <m:rPr>
              <m:sty m:val="p"/>
            </m:rPr>
            <m:t>ℏ</m:t>
          </m:r>
          <m:r>
            <m:t>c</m:t>
          </m:r>
          <m:d>
            <m:dPr>
              <m:begChr m:val="|"/>
              <m:endChr m:val="|"/>
            </m:dPr>
            <m:e>
              <m:r>
                <m:rPr>
                  <m:sty m:val="b"/>
                </m:rPr>
                <m:t>k</m:t>
              </m:r>
            </m:e>
          </m:d>
          <m:r>
            <m:t/>
          </m:r>
          <m:sSubSup>
            <m:e>
              <m:r>
                <m:t>a</m:t>
              </m:r>
            </m:e>
            <m:sub>
              <m:r>
                <m:t>s</m:t>
              </m:r>
            </m:sub>
            <m:sup>
              <m:r>
                <m:t>†</m:t>
              </m:r>
            </m:sup>
          </m:sSubSup>
          <m:d>
            <m:e>
              <m:r>
                <m:rPr>
                  <m:sty m:val="b"/>
                </m:rPr>
                <m:t>k</m:t>
              </m:r>
            </m:e>
          </m:d>
          <m:sSub>
            <m:e>
              <m:r>
                <m:t>a</m:t>
              </m:r>
            </m:e>
            <m:sub>
              <m:r>
                <m:t>s</m:t>
              </m:r>
            </m:sub>
          </m:sSub>
          <m:d>
            <m:e>
              <m:r>
                <m:rPr>
                  <m:sty m:val="b"/>
                </m:rPr>
                <m:t>k</m:t>
              </m:r>
            </m:e>
          </m:d>
          <m:r>
            <m:t>,</m:t>
          </m:r>
        </m:oMath>
      </m:oMathPara>
    </w:p>
    <w:tbl>
      <w:tblPr>
        <w:tblW w:w="9522"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666"/>
        <w:gridCol w:w="8190"/>
        <w:gridCol w:w="666"/>
      </w:tblGrid>
      <w:tr>
        <w:tblPrEx>
          <w:shd w:val="clear" w:color="auto" w:fill="ced7e7"/>
        </w:tblPrEx>
        <w:trPr>
          <w:trHeight w:val="604" w:hRule="atLeast"/>
        </w:trPr>
        <w:tc>
          <w:tcPr>
            <w:tcW w:type="dxa" w:w="666"/>
            <w:tcBorders>
              <w:top w:val="nil"/>
              <w:left w:val="nil"/>
              <w:bottom w:val="nil"/>
              <w:right w:val="nil"/>
            </w:tcBorders>
            <w:shd w:val="clear" w:color="auto" w:fill="auto"/>
            <w:tcMar>
              <w:top w:type="dxa" w:w="80"/>
              <w:left w:type="dxa" w:w="80"/>
              <w:bottom w:type="dxa" w:w="80"/>
              <w:right w:type="dxa" w:w="80"/>
            </w:tcMar>
            <w:vAlign w:val="top"/>
          </w:tcPr>
          <w:p/>
        </w:tc>
        <w:tc>
          <w:tcPr>
            <w:tcW w:type="dxa" w:w="8190"/>
            <w:tcBorders>
              <w:top w:val="nil"/>
              <w:left w:val="nil"/>
              <w:bottom w:val="nil"/>
              <w:right w:val="nil"/>
            </w:tcBorders>
            <w:shd w:val="clear" w:color="auto" w:fill="auto"/>
            <w:tcMar>
              <w:top w:type="dxa" w:w="80"/>
              <w:left w:type="dxa" w:w="80"/>
              <w:bottom w:type="dxa" w:w="80"/>
              <w:right w:type="dxa" w:w="80"/>
            </w:tcMar>
            <w:vAlign w:val="top"/>
          </w:tcPr>
          <w:p>
            <w:pPr>
              <w:pStyle w:val="Текстовый блок"/>
              <w:spacing w:after="40" w:line="240" w:lineRule="auto"/>
              <w:jc w:val="center"/>
            </w:pPr>
            <m:oMathPara>
              <m:oMathParaPr>
                <m:jc m:val="center"/>
              </m:oMathParaPr>
              <m:oMath>
                <m:r>
                  <m:rPr>
                    <m:sty m:val="b"/>
                  </m:rPr>
                  <m:t>P</m:t>
                </m:r>
                <m:r>
                  <m:t>=</m:t>
                </m:r>
                <m:nary>
                  <m:naryPr>
                    <m:chr m:val="∑"/>
                    <m:limLoc m:val="undOvr"/>
                    <m:grow m:val="0"/>
                    <m:subHide m:val="off"/>
                    <m:supHide m:val="on"/>
                  </m:naryPr>
                  <m:sub>
                    <m:r>
                      <m:t>s=±1</m:t>
                    </m:r>
                  </m:sub>
                  <m:sup/>
                  <m:e>
                    <m:r>
                      <m:t>∫</m:t>
                    </m:r>
                  </m:e>
                </m:nary>
                <m:sSup>
                  <m:e>
                    <m:r>
                      <m:rPr>
                        <m:sty m:val="p"/>
                      </m:rPr>
                      <m:t>d</m:t>
                    </m:r>
                  </m:e>
                  <m:sup>
                    <m:r>
                      <m:t>3</m:t>
                    </m:r>
                  </m:sup>
                </m:sSup>
                <m:r>
                  <m:t>k</m:t>
                </m:r>
                <m:r>
                  <m:rPr>
                    <m:sty m:val="p"/>
                  </m:rPr>
                  <m:t>ℏ</m:t>
                </m:r>
                <m:r>
                  <m:rPr>
                    <m:sty m:val="b"/>
                  </m:rPr>
                  <m:t>k</m:t>
                </m:r>
                <m:r>
                  <m:t/>
                </m:r>
                <m:sSubSup>
                  <m:e>
                    <m:r>
                      <m:t>a</m:t>
                    </m:r>
                  </m:e>
                  <m:sub>
                    <m:r>
                      <m:t>s</m:t>
                    </m:r>
                  </m:sub>
                  <m:sup>
                    <m:r>
                      <m:t>†</m:t>
                    </m:r>
                  </m:sup>
                </m:sSubSup>
                <m:d>
                  <m:e>
                    <m:r>
                      <m:rPr>
                        <m:sty m:val="b"/>
                      </m:rPr>
                      <m:t>k</m:t>
                    </m:r>
                  </m:e>
                </m:d>
                <m:sSub>
                  <m:e>
                    <m:r>
                      <m:t>a</m:t>
                    </m:r>
                  </m:e>
                  <m:sub>
                    <m:r>
                      <m:t>s</m:t>
                    </m:r>
                  </m:sub>
                </m:sSub>
                <m:d>
                  <m:e>
                    <m:r>
                      <m:rPr>
                        <m:sty m:val="b"/>
                      </m:rPr>
                      <m:t>k</m:t>
                    </m:r>
                  </m:e>
                </m:d>
                <m:r>
                  <m:t>,</m:t>
                </m:r>
              </m:oMath>
            </m:oMathPara>
          </w:p>
        </w:tc>
        <w:tc>
          <w:tcPr>
            <w:tcW w:type="dxa" w:w="666"/>
            <w:tcBorders>
              <w:top w:val="nil"/>
              <w:left w:val="nil"/>
              <w:bottom w:val="nil"/>
              <w:right w:val="nil"/>
            </w:tcBorders>
            <w:shd w:val="clear" w:color="auto" w:fill="auto"/>
            <w:tcMar>
              <w:top w:type="dxa" w:w="80"/>
              <w:left w:type="dxa" w:w="80"/>
              <w:bottom w:type="dxa" w:w="80"/>
              <w:right w:type="dxa" w:w="80"/>
            </w:tcMar>
            <w:vAlign w:val="top"/>
          </w:tcPr>
          <w:p>
            <w:pPr>
              <w:pStyle w:val="Normal.0"/>
              <w:spacing w:after="40" w:line="240" w:lineRule="auto"/>
              <w:jc w:val="right"/>
            </w:pPr>
            <w:r>
              <w:rPr>
                <w:sz w:val="18"/>
                <w:szCs w:val="18"/>
                <w:rtl w:val="0"/>
                <w:lang w:val="en-US"/>
              </w:rPr>
              <w:t>(15.2)</w:t>
            </w:r>
          </w:p>
        </w:tc>
      </w:tr>
    </w:tbl>
    <w:p>
      <w:pPr>
        <w:pStyle w:val="Текстовый блок"/>
        <w:widowControl w:val="0"/>
        <w:spacing w:line="240" w:lineRule="atLeast"/>
        <w:jc w:val="center"/>
      </w:pPr>
    </w:p>
    <w:p>
      <w:pPr>
        <w:pStyle w:val="Текстовый блок"/>
        <w:spacing w:line="240" w:lineRule="atLeast"/>
      </w:pPr>
      <w:r>
        <w:rPr>
          <w:rtl w:val="0"/>
          <w:lang w:val="en-US"/>
        </w:rPr>
        <w:t xml:space="preserve">with </w:t>
      </w:r>
      <m:oMath>
        <m:d>
          <m:dPr>
            <m:begChr m:val="["/>
            <m:endChr m:val="]"/>
          </m:dPr>
          <m:e>
            <m:sSub>
              <m:e>
                <m:r>
                  <m:t>a</m:t>
                </m:r>
              </m:e>
              <m:sub>
                <m:r>
                  <m:t>s</m:t>
                </m:r>
              </m:sub>
            </m:sSub>
            <m:d>
              <m:e>
                <m:r>
                  <m:rPr>
                    <m:sty m:val="b"/>
                  </m:rPr>
                  <m:t>k</m:t>
                </m:r>
              </m:e>
            </m:d>
            <m:r>
              <m:t>,</m:t>
            </m:r>
            <m:sSubSup>
              <m:e>
                <m:r>
                  <m:t>a</m:t>
                </m:r>
              </m:e>
              <m:sub>
                <m:r>
                  <m:t>s′</m:t>
                </m:r>
              </m:sub>
              <m:sup>
                <m:r>
                  <m:t>†</m:t>
                </m:r>
              </m:sup>
            </m:sSubSup>
            <m:d>
              <m:e>
                <m:r>
                  <m:rPr>
                    <m:sty m:val="b"/>
                  </m:rPr>
                  <m:t>k</m:t>
                </m:r>
                <m:r>
                  <m:t>′</m:t>
                </m:r>
              </m:e>
            </m:d>
          </m:e>
        </m:d>
        <m:r>
          <m:t>=</m:t>
        </m:r>
        <m:sSub>
          <m:e>
            <m:r>
              <m:t>δ</m:t>
            </m:r>
          </m:e>
          <m:sub>
            <m:r>
              <m:t>ss′</m:t>
            </m:r>
          </m:sub>
        </m:sSub>
        <m:sSup>
          <m:e>
            <m:r>
              <m:t>δ</m:t>
            </m:r>
          </m:e>
          <m:sup>
            <m:r>
              <m:t>3</m:t>
            </m:r>
          </m:sup>
        </m:sSup>
        <m:d>
          <m:e>
            <m:r>
              <m:rPr>
                <m:sty m:val="b"/>
              </m:rPr>
              <m:t>k</m:t>
            </m:r>
            <m:r>
              <m:t>−</m:t>
            </m:r>
            <m:r>
              <m:rPr>
                <m:sty m:val="b"/>
              </m:rPr>
              <m:t>k</m:t>
            </m:r>
            <m:r>
              <m:t>′</m:t>
            </m:r>
          </m:e>
        </m:d>
      </m:oMath>
      <w:r>
        <w:rPr>
          <w:rtl w:val="0"/>
        </w:rPr>
        <w:t>.</w:t>
      </w:r>
    </w:p>
    <w:p>
      <w:pPr>
        <w:pStyle w:val="Текстовый блок"/>
        <w:spacing w:line="240" w:lineRule="atLeast"/>
      </w:pPr>
      <w:r>
        <w:rPr>
          <w:rtl w:val="0"/>
          <w:lang w:val="en-US"/>
        </w:rPr>
        <w:t xml:space="preserve">The definitions of the translation generators, equivalently their action on </w:t>
      </w:r>
      <m:oMath>
        <m:sSup>
          <m:e>
            <m:r>
              <m:t>e</m:t>
            </m:r>
          </m:e>
          <m:sup>
            <m:r>
              <m:t>−iωt+i</m:t>
            </m:r>
            <m:r>
              <m:rPr>
                <m:sty m:val="b"/>
              </m:rPr>
              <m:t>k</m:t>
            </m:r>
            <m:r>
              <m:t>⋅</m:t>
            </m:r>
            <m:r>
              <m:rPr>
                <m:sty m:val="b"/>
              </m:rPr>
              <m:t>x</m:t>
            </m:r>
          </m:sup>
        </m:sSup>
      </m:oMath>
      <w:r>
        <w:rPr>
          <w:rtl w:val="0"/>
          <w:lang w:val="en-US"/>
        </w:rPr>
        <w:t>, give</w:t>
      </w:r>
    </w:p>
    <w:tbl>
      <w:tblPr>
        <w:tblW w:w="9522"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666"/>
        <w:gridCol w:w="8190"/>
        <w:gridCol w:w="666"/>
      </w:tblGrid>
      <w:tr>
        <w:tblPrEx>
          <w:shd w:val="clear" w:color="auto" w:fill="ced7e7"/>
        </w:tblPrEx>
        <w:trPr>
          <w:trHeight w:val="412" w:hRule="atLeast"/>
        </w:trPr>
        <w:tc>
          <w:tcPr>
            <w:tcW w:type="dxa" w:w="666"/>
            <w:tcBorders>
              <w:top w:val="nil"/>
              <w:left w:val="nil"/>
              <w:bottom w:val="nil"/>
              <w:right w:val="nil"/>
            </w:tcBorders>
            <w:shd w:val="clear" w:color="auto" w:fill="auto"/>
            <w:tcMar>
              <w:top w:type="dxa" w:w="80"/>
              <w:left w:type="dxa" w:w="80"/>
              <w:bottom w:type="dxa" w:w="80"/>
              <w:right w:type="dxa" w:w="80"/>
            </w:tcMar>
            <w:vAlign w:val="top"/>
          </w:tcPr>
          <w:p/>
        </w:tc>
        <w:tc>
          <w:tcPr>
            <w:tcW w:type="dxa" w:w="8190"/>
            <w:tcBorders>
              <w:top w:val="nil"/>
              <w:left w:val="nil"/>
              <w:bottom w:val="nil"/>
              <w:right w:val="nil"/>
            </w:tcBorders>
            <w:shd w:val="clear" w:color="auto" w:fill="auto"/>
            <w:tcMar>
              <w:top w:type="dxa" w:w="80"/>
              <w:left w:type="dxa" w:w="80"/>
              <w:bottom w:type="dxa" w:w="80"/>
              <w:right w:type="dxa" w:w="80"/>
            </w:tcMar>
            <w:vAlign w:val="top"/>
          </w:tcPr>
          <w:p>
            <w:pPr>
              <w:pStyle w:val="Текстовый блок"/>
              <w:spacing w:after="40" w:line="240" w:lineRule="auto"/>
              <w:jc w:val="center"/>
            </w:pPr>
            <m:oMathPara>
              <m:oMathParaPr>
                <m:jc m:val="center"/>
              </m:oMathParaPr>
              <m:oMath>
                <m:r>
                  <m:t>E=</m:t>
                </m:r>
                <m:r>
                  <m:rPr>
                    <m:sty m:val="p"/>
                  </m:rPr>
                  <m:t>ℏ</m:t>
                </m:r>
                <m:r>
                  <m:t>ω,</m:t>
                </m:r>
                <m:r>
                  <m:rPr>
                    <m:sty m:val="b"/>
                  </m:rPr>
                  <m:t>p</m:t>
                </m:r>
                <m:r>
                  <m:t>=</m:t>
                </m:r>
                <m:r>
                  <m:rPr>
                    <m:sty m:val="p"/>
                  </m:rPr>
                  <m:t>ℏ</m:t>
                </m:r>
                <m:r>
                  <m:rPr>
                    <m:sty m:val="b"/>
                  </m:rPr>
                  <m:t>k</m:t>
                </m:r>
                <m:r>
                  <m:t>,E=c</m:t>
                </m:r>
                <m:d>
                  <m:dPr>
                    <m:begChr m:val="|"/>
                    <m:endChr m:val="|"/>
                  </m:dPr>
                  <m:e>
                    <m:r>
                      <m:rPr>
                        <m:sty m:val="b"/>
                      </m:rPr>
                      <m:t>p</m:t>
                    </m:r>
                  </m:e>
                </m:d>
                <m:r>
                  <m:t>.</m:t>
                </m:r>
              </m:oMath>
            </m:oMathPara>
          </w:p>
        </w:tc>
        <w:tc>
          <w:tcPr>
            <w:tcW w:type="dxa" w:w="666"/>
            <w:tcBorders>
              <w:top w:val="nil"/>
              <w:left w:val="nil"/>
              <w:bottom w:val="nil"/>
              <w:right w:val="nil"/>
            </w:tcBorders>
            <w:shd w:val="clear" w:color="auto" w:fill="auto"/>
            <w:tcMar>
              <w:top w:type="dxa" w:w="80"/>
              <w:left w:type="dxa" w:w="80"/>
              <w:bottom w:type="dxa" w:w="80"/>
              <w:right w:type="dxa" w:w="80"/>
            </w:tcMar>
            <w:vAlign w:val="top"/>
          </w:tcPr>
          <w:p>
            <w:pPr>
              <w:pStyle w:val="Normal.0"/>
              <w:spacing w:after="40" w:line="240" w:lineRule="auto"/>
              <w:jc w:val="right"/>
            </w:pPr>
            <w:r>
              <w:rPr>
                <w:sz w:val="18"/>
                <w:szCs w:val="18"/>
                <w:rtl w:val="0"/>
                <w:lang w:val="en-US"/>
              </w:rPr>
              <w:t>(15.3)</w:t>
            </w:r>
          </w:p>
        </w:tc>
      </w:tr>
    </w:tbl>
    <w:p>
      <w:pPr>
        <w:pStyle w:val="Текстовый блок"/>
        <w:widowControl w:val="0"/>
        <w:spacing w:line="240" w:lineRule="atLeast"/>
        <w:jc w:val="center"/>
      </w:pPr>
    </w:p>
    <w:p>
      <w:pPr>
        <w:pStyle w:val="Текстовый блок"/>
        <w:spacing w:line="240" w:lineRule="atLeast"/>
      </w:pPr>
      <w:r>
        <w:rPr>
          <w:rtl w:val="0"/>
          <w:lang w:val="en-US"/>
        </w:rPr>
        <w:t xml:space="preserve">The last relation follows from the first two together with the independent massless dispersion. Quantisation provides </w:t>
      </w:r>
      <m:oMath>
        <m:r>
          <m:rPr>
            <m:sty m:val="p"/>
          </m:rPr>
          <m:t>ℏ</m:t>
        </m:r>
      </m:oMath>
      <w:r>
        <w:rPr>
          <w:rtl w:val="0"/>
          <w:lang w:val="en-US"/>
        </w:rPr>
        <w:t xml:space="preserve"> and the operator interpretation; the classical cone alone provides neither. </w:t>
      </w:r>
    </w:p>
    <w:p>
      <w:pPr>
        <w:pStyle w:val="Текстовый блок"/>
        <w:spacing w:line="240" w:lineRule="atLeast"/>
      </w:pPr>
      <w:r>
        <w:rPr>
          <w:rtl w:val="0"/>
          <w:lang w:val="en-US"/>
        </w:rPr>
        <w:t>Conversely the existence of unitary translations alone does not force the Maxwell dispersion or helicity content. Representation theory constrains the allowed massless particle sectors after Poincare symmetry is assumed [46, 47].</w:t>
      </w:r>
    </w:p>
    <w:p>
      <w:pPr>
        <w:pStyle w:val="Текстовый блок"/>
        <w:spacing w:line="240" w:lineRule="atLeast"/>
      </w:pPr>
      <w:r>
        <w:rPr>
          <w:rtl w:val="0"/>
          <w:lang w:val="en-US"/>
        </w:rPr>
        <w:t xml:space="preserve">On the physical Fock space </w:t>
      </w:r>
      <m:oMath>
        <m:r>
          <m:t>H</m:t>
        </m:r>
      </m:oMath>
      <w:r>
        <w:rPr>
          <w:rtl w:val="0"/>
          <w:lang w:val="en-US"/>
        </w:rPr>
        <w:t xml:space="preserve"> is self-adjoint and nonnegative and hence generates a strongly continuous unitary group. The same free Maxwell theory has a local field-strength algebra, massless dispersion and stress</w:t>
      </w:r>
      <w:r>
        <w:rPr>
          <w:rtl w:val="0"/>
          <w:lang w:val="en-US"/>
        </w:rPr>
        <w:t>–</w:t>
      </w:r>
      <w:r>
        <w:rPr>
          <w:rtl w:val="0"/>
          <w:lang w:val="en-US"/>
        </w:rPr>
        <w:t>energy observables after the appropriate operator definition. This is simultaneous compatibility within one constructed continuum theory. A generic curved, nonstationary spacetime need not admit the same preferred particles or a single Fock representation with unitary time evolution.</w:t>
      </w:r>
    </w:p>
    <w:p>
      <w:pPr>
        <w:pStyle w:val="Текстовый блок"/>
        <w:spacing w:line="240" w:lineRule="atLeast"/>
      </w:pPr>
      <w:r>
        <w:rPr>
          <w:rtl w:val="0"/>
          <w:lang w:val="en-US"/>
        </w:rPr>
        <w:t>The finite scalar-chain result of [36] supplies a different control: finite unitary dynamics can have analytic tails and a microcausal continuum limit. Its lattice dispersion is not exactly linear at finite spacing. It does not supply the Maxwell gauge constraint, transverse states or helicity. No scalar-to-photon inference is made here.</w:t>
      </w:r>
      <w:bookmarkEnd w:id="49"/>
    </w:p>
    <w:p>
      <w:pPr>
        <w:pStyle w:val="Заголовок 2"/>
        <w:spacing w:line="240" w:lineRule="atLeast"/>
      </w:pPr>
      <w:bookmarkStart w:name="X16b9902a8556e8e582e2dc4daa7d3e199047c0f" w:id="50"/>
      <w:r>
        <w:rPr>
          <w:rtl w:val="0"/>
          <w:lang w:val="en-US"/>
        </w:rPr>
        <w:t>16. Polarisation and helicity delimit closure</w:t>
      </w:r>
    </w:p>
    <w:p>
      <w:pPr>
        <w:pStyle w:val="Текстовый блок"/>
        <w:spacing w:line="240" w:lineRule="atLeast"/>
      </w:pPr>
      <w:r>
        <w:rPr>
          <w:rtl w:val="0"/>
          <w:lang w:val="en-US"/>
        </w:rPr>
        <w:t>The null cone determines allowed wave covectors. It does not determine the dimension or transformation law of the fibre over each covector. For Maxwell theory the gauge quotient of Section</w:t>
      </w:r>
      <w:r>
        <w:rPr>
          <w:rtl w:val="0"/>
          <w:lang w:val="en-US"/>
        </w:rPr>
        <w:t> </w:t>
      </w:r>
      <w:r>
        <w:rPr>
          <w:rtl w:val="0"/>
          <w:lang w:val="en-US"/>
        </w:rPr>
        <w:t xml:space="preserve">9 provides two transverse amplitudes. For positive-energy massless finite-helicity Poincare representations the little group is locally </w:t>
      </w:r>
      <m:oMath>
        <m:r>
          <m:t>ISO</m:t>
        </m:r>
        <m:d>
          <m:e>
            <m:r>
              <m:t>2</m:t>
            </m:r>
          </m:e>
        </m:d>
      </m:oMath>
      <w:r>
        <w:rPr>
          <w:rtl w:val="0"/>
          <w:lang w:val="en-US"/>
        </w:rPr>
        <w:t xml:space="preserve">, with its translation part acting trivially on the physical helicity representation; Maxwell theory carries helicities </w:t>
      </w:r>
      <m:oMath>
        <m:r>
          <m:t>+1</m:t>
        </m:r>
      </m:oMath>
      <w:r>
        <w:rPr>
          <w:rtl w:val="0"/>
          <w:lang w:val="en-US"/>
        </w:rPr>
        <w:t xml:space="preserve"> and </w:t>
      </w:r>
      <m:oMath>
        <m:r>
          <m:t>−1</m:t>
        </m:r>
      </m:oMath>
      <w:r>
        <w:rPr>
          <w:rtl w:val="0"/>
          <w:lang w:val="en-US"/>
        </w:rPr>
        <w:t xml:space="preserve"> [46]. That restriction is an additional representation choice: the general massless representation problem is broader than the photon sector.</w:t>
      </w:r>
    </w:p>
    <w:p>
      <w:pPr>
        <w:pStyle w:val="Текстовый блок"/>
        <w:spacing w:line="240" w:lineRule="atLeast"/>
      </w:pPr>
      <w:r>
        <w:rPr>
          <w:rtl w:val="0"/>
          <w:lang w:val="en-US"/>
        </w:rPr>
        <w:t>The geometry supplies the null directions and screen bundle; the action and constraints select the physical amplitudes; representation theory specifies their helicities; state preparation chooses their occupation, relative phase and statistical mixture. Geometric optics transports the polarisation class along a ray, with connection data and the transport equation in (10.2). At higher orders, wavelength-dependent polarisation effects may require corrections to the leading ray picture [41].</w:t>
      </w:r>
    </w:p>
    <w:p>
      <w:pPr>
        <w:pStyle w:val="Текстовый блок"/>
        <w:keepLines w:val="1"/>
        <w:spacing w:before="60" w:line="240" w:lineRule="atLeast"/>
      </w:pPr>
      <w:r>
        <w:rPr>
          <w:b w:val="1"/>
          <w:bCs w:val="1"/>
          <w:rtl w:val="0"/>
          <w:lang w:val="en-US"/>
        </w:rPr>
        <w:t>No-go statement 16.1 (The stress tensor does not recover polarisation).</w:t>
      </w:r>
      <w:r>
        <w:rPr>
          <w:rtl w:val="0"/>
          <w:lang w:val="en-US"/>
        </w:rPr>
        <w:t xml:space="preserve"> Neither a common null cone nor a specified leading null stress tensor uniquely determines the polarisation state.</w:t>
      </w:r>
    </w:p>
    <w:p>
      <w:pPr>
        <w:pStyle w:val="Текстовый блок"/>
        <w:spacing w:line="240" w:lineRule="atLeast"/>
      </w:pPr>
      <w:r>
        <w:rPr>
          <w:rtl w:val="0"/>
          <w:lang w:val="en-US"/>
        </w:rPr>
        <w:t>For a fixed direction and energy density, orthogonal linear polarisations give the same tensor (10.4); circular polarisations of opposite helicity also have the same leading averaged tensor. A massless scalar on the same Minkowski cone has no photon helicity. Polarimetry and helicity-sensitive interactions therefore test information not contained in the energy</w:t>
      </w:r>
      <w:r>
        <w:rPr>
          <w:rtl w:val="0"/>
          <w:lang w:val="en-US"/>
        </w:rPr>
        <w:t>–</w:t>
      </w:r>
      <w:r>
        <w:rPr>
          <w:rtl w:val="0"/>
          <w:lang w:val="en-US"/>
        </w:rPr>
        <w:t>momentum closure alone.</w:t>
      </w:r>
      <w:bookmarkEnd w:id="50"/>
    </w:p>
    <w:p>
      <w:pPr>
        <w:pStyle w:val="Заголовок 2"/>
        <w:spacing w:line="240" w:lineRule="atLeast"/>
      </w:pPr>
      <w:bookmarkStart w:name="Xb3cce80da02a0624fca904b6f5059a53eed0cef" w:id="51"/>
      <w:r>
        <w:rPr>
          <w:rtl w:val="0"/>
          <w:lang w:val="en-US"/>
        </w:rPr>
        <w:t>17. Vacuum correlations, commutators and null structure</w:t>
      </w:r>
      <w:bookmarkEnd w:id="51"/>
    </w:p>
    <w:p>
      <w:pPr>
        <w:pStyle w:val="Заголовок 3"/>
        <w:spacing w:line="240" w:lineRule="atLeast"/>
      </w:pPr>
      <w:bookmarkStart w:name="causalresponsewithoutphotondetection" w:id="52"/>
      <w:r>
        <w:rPr>
          <w:rtl w:val="0"/>
          <w:lang w:val="en-US"/>
        </w:rPr>
        <w:t>17.1. Causal response without photon detection</w:t>
      </w:r>
    </w:p>
    <w:p>
      <w:pPr>
        <w:pStyle w:val="Текстовый блок"/>
        <w:spacing w:line="240" w:lineRule="atLeast"/>
      </w:pPr>
      <w:r>
        <w:rPr>
          <w:rtl w:val="0"/>
          <w:lang w:val="en-US"/>
        </w:rPr>
        <w:t xml:space="preserve">For a real scalar control field with </w:t>
      </w:r>
      <m:oMath>
        <m:r>
          <m:t>P=</m:t>
        </m:r>
        <m:sSub>
          <m:e>
            <m:r>
              <m:t>□</m:t>
            </m:r>
          </m:e>
          <m:sub>
            <m:r>
              <m:t>g</m:t>
            </m:r>
          </m:sub>
        </m:sSub>
        <m:r>
          <m:t>−</m:t>
        </m:r>
        <m:sSup>
          <m:e>
            <m:r>
              <m:t>m</m:t>
            </m:r>
          </m:e>
          <m:sup>
            <m:r>
              <m:t>2</m:t>
            </m:r>
          </m:sup>
        </m:sSup>
      </m:oMath>
      <w:r>
        <w:rPr>
          <w:rtl w:val="0"/>
          <w:lang w:val="en-US"/>
        </w:rPr>
        <w:t xml:space="preserve"> in the </w:t>
      </w:r>
      <m:oMath>
        <m:d>
          <m:e>
            <m:r>
              <m:t>−,+,+,+</m:t>
            </m:r>
          </m:e>
        </m:d>
      </m:oMath>
      <w:r>
        <w:rPr>
          <w:rtl w:val="0"/>
          <w:lang w:val="en-US"/>
        </w:rPr>
        <w:t xml:space="preserve"> convention, set </w:t>
      </w:r>
      <m:oMath>
        <m:r>
          <m:t>E=</m:t>
        </m:r>
        <m:sSub>
          <m:e>
            <m:r>
              <m:t>G</m:t>
            </m:r>
          </m:e>
          <m:sub>
            <m:r>
              <m:rPr>
                <m:sty m:val="p"/>
              </m:rPr>
              <m:t>ret</m:t>
            </m:r>
          </m:sub>
        </m:sSub>
        <m:r>
          <m:t>−</m:t>
        </m:r>
        <m:sSub>
          <m:e>
            <m:r>
              <m:t>G</m:t>
            </m:r>
          </m:e>
          <m:sub>
            <m:r>
              <m:rPr>
                <m:sty m:val="p"/>
              </m:rPr>
              <m:t>adv</m:t>
            </m:r>
          </m:sub>
        </m:sSub>
      </m:oMath>
      <w:r>
        <w:rPr>
          <w:rtl w:val="0"/>
          <w:lang w:val="en-US"/>
        </w:rPr>
        <w:t>. The free field algebra obeys</w:t>
      </w:r>
    </w:p>
    <w:tbl>
      <w:tblPr>
        <w:tblW w:w="9522"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666"/>
        <w:gridCol w:w="8190"/>
        <w:gridCol w:w="666"/>
      </w:tblGrid>
      <w:tr>
        <w:tblPrEx>
          <w:shd w:val="clear" w:color="auto" w:fill="ced7e7"/>
        </w:tblPrEx>
        <w:trPr>
          <w:trHeight w:val="412" w:hRule="atLeast"/>
        </w:trPr>
        <w:tc>
          <w:tcPr>
            <w:tcW w:type="dxa" w:w="666"/>
            <w:tcBorders>
              <w:top w:val="nil"/>
              <w:left w:val="nil"/>
              <w:bottom w:val="nil"/>
              <w:right w:val="nil"/>
            </w:tcBorders>
            <w:shd w:val="clear" w:color="auto" w:fill="auto"/>
            <w:tcMar>
              <w:top w:type="dxa" w:w="80"/>
              <w:left w:type="dxa" w:w="80"/>
              <w:bottom w:type="dxa" w:w="80"/>
              <w:right w:type="dxa" w:w="80"/>
            </w:tcMar>
            <w:vAlign w:val="top"/>
          </w:tcPr>
          <w:p/>
        </w:tc>
        <w:tc>
          <w:tcPr>
            <w:tcW w:type="dxa" w:w="8190"/>
            <w:tcBorders>
              <w:top w:val="nil"/>
              <w:left w:val="nil"/>
              <w:bottom w:val="nil"/>
              <w:right w:val="nil"/>
            </w:tcBorders>
            <w:shd w:val="clear" w:color="auto" w:fill="auto"/>
            <w:tcMar>
              <w:top w:type="dxa" w:w="80"/>
              <w:left w:type="dxa" w:w="80"/>
              <w:bottom w:type="dxa" w:w="80"/>
              <w:right w:type="dxa" w:w="80"/>
            </w:tcMar>
            <w:vAlign w:val="top"/>
          </w:tcPr>
          <w:p>
            <w:pPr>
              <w:pStyle w:val="Текстовый блок"/>
              <w:spacing w:after="40" w:line="240" w:lineRule="auto"/>
              <w:jc w:val="center"/>
            </w:pPr>
            <m:oMathPara>
              <m:oMathParaPr>
                <m:jc m:val="center"/>
              </m:oMathParaPr>
              <m:oMath>
                <m:r>
                  <m:t>=i</m:t>
                </m:r>
                <m:r>
                  <m:rPr>
                    <m:sty m:val="p"/>
                  </m:rPr>
                  <m:t>ℏ</m:t>
                </m:r>
                <m:r>
                  <m:t>E</m:t>
                </m:r>
                <m:d>
                  <m:e>
                    <m:r>
                      <m:t>f,h</m:t>
                    </m:r>
                  </m:e>
                </m:d>
                <m:r>
                  <m:t>I.</m:t>
                </m:r>
              </m:oMath>
            </m:oMathPara>
          </w:p>
        </w:tc>
        <w:tc>
          <w:tcPr>
            <w:tcW w:type="dxa" w:w="666"/>
            <w:tcBorders>
              <w:top w:val="nil"/>
              <w:left w:val="nil"/>
              <w:bottom w:val="nil"/>
              <w:right w:val="nil"/>
            </w:tcBorders>
            <w:shd w:val="clear" w:color="auto" w:fill="auto"/>
            <w:tcMar>
              <w:top w:type="dxa" w:w="80"/>
              <w:left w:type="dxa" w:w="80"/>
              <w:bottom w:type="dxa" w:w="80"/>
              <w:right w:type="dxa" w:w="80"/>
            </w:tcMar>
            <w:vAlign w:val="top"/>
          </w:tcPr>
          <w:p>
            <w:pPr>
              <w:pStyle w:val="Normal.0"/>
              <w:spacing w:after="40" w:line="240" w:lineRule="auto"/>
              <w:jc w:val="right"/>
            </w:pPr>
            <w:r>
              <w:rPr>
                <w:sz w:val="18"/>
                <w:szCs w:val="18"/>
                <w:rtl w:val="0"/>
                <w:lang w:val="en-US"/>
              </w:rPr>
              <w:t>(17.1)</w:t>
            </w:r>
          </w:p>
        </w:tc>
      </w:tr>
    </w:tbl>
    <w:p>
      <w:pPr>
        <w:pStyle w:val="Текстовый блок"/>
        <w:widowControl w:val="0"/>
        <w:spacing w:line="240" w:lineRule="atLeast"/>
        <w:jc w:val="center"/>
      </w:pPr>
    </w:p>
    <w:p>
      <w:pPr>
        <w:pStyle w:val="Текстовый блок"/>
        <w:spacing w:line="240" w:lineRule="atLeast"/>
      </w:pPr>
      <w:r>
        <w:rPr>
          <w:rtl w:val="0"/>
          <w:lang w:val="en-US"/>
        </w:rPr>
        <w:t xml:space="preserve">For this sign of </w:t>
      </w:r>
      <m:oMath>
        <m:r>
          <m:t>P</m:t>
        </m:r>
      </m:oMath>
      <w:r>
        <w:rPr>
          <w:rtl w:val="0"/>
        </w:rPr>
        <w:t xml:space="preserve">, </w:t>
      </w:r>
      <m:oMath>
        <m:r>
          <m:t>E</m:t>
        </m:r>
      </m:oMath>
      <w:r>
        <w:rPr>
          <w:rtl w:val="0"/>
          <w:lang w:val="en-US"/>
        </w:rPr>
        <w:t xml:space="preserve"> is minus the sine response of </w:t>
      </w:r>
      <m:oMath>
        <m:sSubSup>
          <m:e>
            <m:r>
              <m:t>∂</m:t>
            </m:r>
          </m:e>
          <m:sub>
            <m:r>
              <m:t>t</m:t>
            </m:r>
          </m:sub>
          <m:sup>
            <m:r>
              <m:t>2</m:t>
            </m:r>
          </m:sup>
        </m:sSubSup>
        <m:r>
          <m:t>+K</m:t>
        </m:r>
      </m:oMath>
      <w:r>
        <w:rPr>
          <w:rtl w:val="0"/>
          <w:lang w:val="en-US"/>
        </w:rPr>
        <w:t xml:space="preserve"> in a static splitting, consistently with [36]. Green operators have causal support on a globally hyperbolic spacetime [30]. The sign convention does not affect support. For Maxwell theory one uses gauge-invariant field strengths or the physical test-function quotient, not arbitrary gauge-potential components as independent observables.</w:t>
      </w:r>
    </w:p>
    <w:p>
      <w:pPr>
        <w:pStyle w:val="Текстовый блок"/>
        <w:spacing w:line="240" w:lineRule="atLeast"/>
      </w:pPr>
      <w:r>
        <w:rPr>
          <w:rtl w:val="0"/>
          <w:lang w:val="en-US"/>
        </w:rPr>
        <w:t xml:space="preserve">For a state </w:t>
      </w:r>
      <m:oMath>
        <m:r>
          <m:t>ω</m:t>
        </m:r>
      </m:oMath>
      <w:r>
        <w:rPr>
          <w:rtl w:val="0"/>
          <w:lang w:val="en-US"/>
        </w:rPr>
        <w:t xml:space="preserve">, the two-point function </w:t>
      </w:r>
      <m:oMath>
        <m:sSub>
          <m:e>
            <m:r>
              <m:t>W</m:t>
            </m:r>
          </m:e>
          <m:sub>
            <m:r>
              <m:t>ω</m:t>
            </m:r>
          </m:sub>
        </m:sSub>
        <m:d>
          <m:e>
            <m:r>
              <m:t>f,h</m:t>
            </m:r>
          </m:e>
        </m:d>
        <m:r>
          <m:t>=ω</m:t>
        </m:r>
        <m:d>
          <m:e>
            <m:r>
              <m:t>ϕ</m:t>
            </m:r>
            <m:d>
              <m:e>
                <m:r>
                  <m:t>f</m:t>
                </m:r>
              </m:e>
            </m:d>
            <m:r>
              <m:t>ϕ</m:t>
            </m:r>
            <m:d>
              <m:e>
                <m:r>
                  <m:t>h</m:t>
                </m:r>
              </m:e>
            </m:d>
          </m:e>
        </m:d>
      </m:oMath>
      <w:r>
        <w:rPr>
          <w:rtl w:val="0"/>
          <w:lang w:val="en-US"/>
        </w:rPr>
        <w:t xml:space="preserve"> has the fixed antisymmetric part </w:t>
      </w:r>
      <m:oMath>
        <m:sSub>
          <m:e>
            <m:r>
              <m:t>W</m:t>
            </m:r>
          </m:e>
          <m:sub>
            <m:r>
              <m:t>ω</m:t>
            </m:r>
          </m:sub>
        </m:sSub>
        <m:d>
          <m:e>
            <m:r>
              <m:t>f,h</m:t>
            </m:r>
          </m:e>
        </m:d>
        <m:r>
          <m:t>−</m:t>
        </m:r>
        <m:sSub>
          <m:e>
            <m:r>
              <m:t>W</m:t>
            </m:r>
          </m:e>
          <m:sub>
            <m:r>
              <m:t>ω</m:t>
            </m:r>
          </m:sub>
        </m:sSub>
        <m:d>
          <m:e>
            <m:r>
              <m:t>h,f</m:t>
            </m:r>
          </m:e>
        </m:d>
        <m:r>
          <m:t>=i</m:t>
        </m:r>
        <m:r>
          <m:rPr>
            <m:sty m:val="p"/>
          </m:rPr>
          <m:t>ℏ</m:t>
        </m:r>
        <m:r>
          <m:t>E</m:t>
        </m:r>
        <m:d>
          <m:e>
            <m:r>
              <m:t>f,h</m:t>
            </m:r>
          </m:e>
        </m:d>
      </m:oMath>
      <w:r>
        <w:rPr>
          <w:rtl w:val="0"/>
          <w:lang w:val="en-US"/>
        </w:rPr>
        <w:t xml:space="preserve"> but a state-dependent symmetric part. In four-dimensional Minkowski space the massless scalar vacuum, in </w:t>
      </w:r>
      <m:oMath>
        <m:r>
          <m:t>c=1</m:t>
        </m:r>
      </m:oMath>
      <w:r>
        <w:rPr>
          <w:rtl w:val="0"/>
          <w:lang w:val="en-US"/>
        </w:rPr>
        <w:t xml:space="preserve"> units and canonical normalisation, has</w:t>
      </w:r>
    </w:p>
    <w:tbl>
      <w:tblPr>
        <w:tblW w:w="9522"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666"/>
        <w:gridCol w:w="8190"/>
        <w:gridCol w:w="666"/>
      </w:tblGrid>
      <w:tr>
        <w:tblPrEx>
          <w:shd w:val="clear" w:color="auto" w:fill="ced7e7"/>
        </w:tblPrEx>
        <w:trPr>
          <w:trHeight w:val="786" w:hRule="atLeast"/>
        </w:trPr>
        <w:tc>
          <w:tcPr>
            <w:tcW w:type="dxa" w:w="666"/>
            <w:tcBorders>
              <w:top w:val="nil"/>
              <w:left w:val="nil"/>
              <w:bottom w:val="nil"/>
              <w:right w:val="nil"/>
            </w:tcBorders>
            <w:shd w:val="clear" w:color="auto" w:fill="auto"/>
            <w:tcMar>
              <w:top w:type="dxa" w:w="80"/>
              <w:left w:type="dxa" w:w="80"/>
              <w:bottom w:type="dxa" w:w="80"/>
              <w:right w:type="dxa" w:w="80"/>
            </w:tcMar>
            <w:vAlign w:val="top"/>
          </w:tcPr>
          <w:p/>
        </w:tc>
        <w:tc>
          <w:tcPr>
            <w:tcW w:type="dxa" w:w="8190"/>
            <w:tcBorders>
              <w:top w:val="nil"/>
              <w:left w:val="nil"/>
              <w:bottom w:val="nil"/>
              <w:right w:val="nil"/>
            </w:tcBorders>
            <w:shd w:val="clear" w:color="auto" w:fill="auto"/>
            <w:tcMar>
              <w:top w:type="dxa" w:w="80"/>
              <w:left w:type="dxa" w:w="80"/>
              <w:bottom w:type="dxa" w:w="80"/>
              <w:right w:type="dxa" w:w="80"/>
            </w:tcMar>
            <w:vAlign w:val="top"/>
          </w:tcPr>
          <w:p>
            <w:pPr>
              <w:pStyle w:val="Текстовый блок"/>
              <w:spacing w:after="40" w:line="240" w:lineRule="auto"/>
              <w:jc w:val="center"/>
            </w:pPr>
            <m:oMathPara>
              <m:oMathParaPr>
                <m:jc m:val="center"/>
              </m:oMathParaPr>
              <m:oMath>
                <m:sSub>
                  <m:e>
                    <m:r>
                      <m:t>W</m:t>
                    </m:r>
                  </m:e>
                  <m:sub>
                    <m:r>
                      <m:t>0</m:t>
                    </m:r>
                  </m:sub>
                </m:sSub>
                <m:d>
                  <m:e>
                    <m:r>
                      <m:t>x,y</m:t>
                    </m:r>
                  </m:e>
                </m:d>
                <m:r>
                  <m:t>=</m:t>
                </m:r>
                <m:f>
                  <m:fPr>
                    <m:type m:val="bar"/>
                  </m:fPr>
                  <m:num>
                    <m:r>
                      <m:rPr>
                        <m:sty m:val="p"/>
                      </m:rPr>
                      <m:t>ℏ</m:t>
                    </m:r>
                  </m:num>
                  <m:den>
                    <m:r>
                      <m:t>4</m:t>
                    </m:r>
                    <m:sSup>
                      <m:e>
                        <m:r>
                          <m:t>π</m:t>
                        </m:r>
                      </m:e>
                      <m:sup>
                        <m:r>
                          <m:t>2</m:t>
                        </m:r>
                      </m:sup>
                    </m:sSup>
                  </m:den>
                </m:f>
                <m:f>
                  <m:fPr>
                    <m:type m:val="bar"/>
                  </m:fPr>
                  <m:num>
                    <m:r>
                      <m:t>1</m:t>
                    </m:r>
                  </m:num>
                  <m:den>
                    <m:sSup>
                      <m:e>
                        <m:d>
                          <m:dPr>
                            <m:begChr m:val="|"/>
                            <m:endChr m:val="|"/>
                          </m:dPr>
                          <m:e>
                            <m:r>
                              <m:rPr>
                                <m:sty m:val="b"/>
                              </m:rPr>
                              <m:t>x</m:t>
                            </m:r>
                            <m:r>
                              <m:t>−</m:t>
                            </m:r>
                            <m:r>
                              <m:rPr>
                                <m:sty m:val="b"/>
                              </m:rPr>
                              <m:t>y</m:t>
                            </m:r>
                          </m:e>
                        </m:d>
                      </m:e>
                      <m:sup>
                        <m:r>
                          <m:t>2</m:t>
                        </m:r>
                      </m:sup>
                    </m:sSup>
                    <m:r>
                      <m:t>−</m:t>
                    </m:r>
                    <m:sSup>
                      <m:e>
                        <m:d>
                          <m:e>
                            <m:sSub>
                              <m:e>
                                <m:r>
                                  <m:t>t</m:t>
                                </m:r>
                              </m:e>
                              <m:sub>
                                <m:r>
                                  <m:t>x</m:t>
                                </m:r>
                              </m:sub>
                            </m:sSub>
                            <m:r>
                              <m:t>−</m:t>
                            </m:r>
                            <m:sSub>
                              <m:e>
                                <m:r>
                                  <m:t>t</m:t>
                                </m:r>
                              </m:e>
                              <m:sub>
                                <m:r>
                                  <m:t>y</m:t>
                                </m:r>
                              </m:sub>
                            </m:sSub>
                            <m:r>
                              <m:t>−i0</m:t>
                            </m:r>
                          </m:e>
                        </m:d>
                      </m:e>
                      <m:sup>
                        <m:r>
                          <m:t>2</m:t>
                        </m:r>
                      </m:sup>
                    </m:sSup>
                  </m:den>
                </m:f>
                <m:r>
                  <m:t>.</m:t>
                </m:r>
              </m:oMath>
            </m:oMathPara>
          </w:p>
        </w:tc>
        <w:tc>
          <w:tcPr>
            <w:tcW w:type="dxa" w:w="666"/>
            <w:tcBorders>
              <w:top w:val="nil"/>
              <w:left w:val="nil"/>
              <w:bottom w:val="nil"/>
              <w:right w:val="nil"/>
            </w:tcBorders>
            <w:shd w:val="clear" w:color="auto" w:fill="auto"/>
            <w:tcMar>
              <w:top w:type="dxa" w:w="80"/>
              <w:left w:type="dxa" w:w="80"/>
              <w:bottom w:type="dxa" w:w="80"/>
              <w:right w:type="dxa" w:w="80"/>
            </w:tcMar>
            <w:vAlign w:val="top"/>
          </w:tcPr>
          <w:p>
            <w:pPr>
              <w:pStyle w:val="Normal.0"/>
              <w:spacing w:after="40" w:line="240" w:lineRule="auto"/>
              <w:jc w:val="right"/>
            </w:pPr>
            <w:r>
              <w:rPr>
                <w:sz w:val="18"/>
                <w:szCs w:val="18"/>
                <w:rtl w:val="0"/>
                <w:lang w:val="en-US"/>
              </w:rPr>
              <w:t>(17.2)</w:t>
            </w:r>
          </w:p>
        </w:tc>
      </w:tr>
    </w:tbl>
    <w:p>
      <w:pPr>
        <w:pStyle w:val="Текстовый блок"/>
        <w:widowControl w:val="0"/>
        <w:spacing w:line="240" w:lineRule="atLeast"/>
        <w:jc w:val="center"/>
      </w:pPr>
    </w:p>
    <w:p>
      <w:pPr>
        <w:pStyle w:val="Текстовый блок"/>
        <w:spacing w:line="240" w:lineRule="atLeast"/>
      </w:pPr>
      <w:r>
        <w:rPr>
          <w:rtl w:val="0"/>
          <w:lang w:val="en-US"/>
        </w:rPr>
        <w:t>It is nonzero at spacelike separation even though the commutator there vanishes. Correlation and signalling are different mathematical questions [31, 47].</w:t>
      </w:r>
    </w:p>
    <w:p>
      <w:pPr>
        <w:pStyle w:val="Текстовый блок"/>
        <w:spacing w:line="240" w:lineRule="atLeast"/>
      </w:pPr>
      <w:r>
        <w:rPr>
          <w:rtl w:val="0"/>
          <w:lang w:val="en-US"/>
        </w:rPr>
        <w:t xml:space="preserve">For example, let a nonselective local operation have operators </w:t>
      </w:r>
      <m:oMath>
        <m:sSub>
          <m:e>
            <m:r>
              <m:t>K</m:t>
            </m:r>
          </m:e>
          <m:sub>
            <m:r>
              <m:t>a</m:t>
            </m:r>
          </m:sub>
        </m:sSub>
      </m:oMath>
      <w:r>
        <w:rPr>
          <w:rtl w:val="0"/>
          <w:lang w:val="en-US"/>
        </w:rPr>
        <w:t xml:space="preserve"> in a region spacelike to a bounded readout </w:t>
      </w:r>
      <m:oMath>
        <m:r>
          <m:t>B</m:t>
        </m:r>
      </m:oMath>
      <w:r>
        <w:rPr>
          <w:rtl w:val="0"/>
          <w:lang w:val="en-US"/>
        </w:rPr>
        <w:t xml:space="preserve">, with </w:t>
      </w:r>
      <m:oMath>
        <m:nary>
          <m:naryPr>
            <m:chr m:val="∑"/>
            <m:limLoc m:val="undOvr"/>
            <m:grow m:val="0"/>
            <m:subHide m:val="off"/>
            <m:supHide m:val="on"/>
          </m:naryPr>
          <m:sub>
            <m:r>
              <m:t>a</m:t>
            </m:r>
          </m:sub>
          <m:sup/>
          <m:e>
            <m:sSubSup>
              <m:e>
                <m:r>
                  <m:t>K</m:t>
                </m:r>
              </m:e>
              <m:sub>
                <m:r>
                  <m:t>a</m:t>
                </m:r>
              </m:sub>
              <m:sup>
                <m:r>
                  <m:rPr>
                    <m:sty m:val="p"/>
                  </m:rPr>
                  <m:t>*</m:t>
                </m:r>
              </m:sup>
            </m:sSubSup>
          </m:e>
        </m:nary>
        <m:sSub>
          <m:e>
            <m:r>
              <m:t>K</m:t>
            </m:r>
          </m:e>
          <m:sub>
            <m:r>
              <m:t>a</m:t>
            </m:r>
          </m:sub>
        </m:sSub>
        <m:r>
          <m:t>=I</m:t>
        </m:r>
      </m:oMath>
      <w:r>
        <w:rPr>
          <w:rtl w:val="0"/>
          <w:lang w:val="en-US"/>
        </w:rPr>
        <w:t>. Local commutativity gives</w:t>
      </w:r>
    </w:p>
    <w:tbl>
      <w:tblPr>
        <w:tblW w:w="9522"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666"/>
        <w:gridCol w:w="8190"/>
        <w:gridCol w:w="666"/>
      </w:tblGrid>
      <w:tr>
        <w:tblPrEx>
          <w:shd w:val="clear" w:color="auto" w:fill="ced7e7"/>
        </w:tblPrEx>
        <w:trPr>
          <w:trHeight w:val="704" w:hRule="atLeast"/>
        </w:trPr>
        <w:tc>
          <w:tcPr>
            <w:tcW w:type="dxa" w:w="666"/>
            <w:tcBorders>
              <w:top w:val="nil"/>
              <w:left w:val="nil"/>
              <w:bottom w:val="nil"/>
              <w:right w:val="nil"/>
            </w:tcBorders>
            <w:shd w:val="clear" w:color="auto" w:fill="auto"/>
            <w:tcMar>
              <w:top w:type="dxa" w:w="80"/>
              <w:left w:type="dxa" w:w="80"/>
              <w:bottom w:type="dxa" w:w="80"/>
              <w:right w:type="dxa" w:w="80"/>
            </w:tcMar>
            <w:vAlign w:val="top"/>
          </w:tcPr>
          <w:p/>
        </w:tc>
        <w:tc>
          <w:tcPr>
            <w:tcW w:type="dxa" w:w="8190"/>
            <w:tcBorders>
              <w:top w:val="nil"/>
              <w:left w:val="nil"/>
              <w:bottom w:val="nil"/>
              <w:right w:val="nil"/>
            </w:tcBorders>
            <w:shd w:val="clear" w:color="auto" w:fill="auto"/>
            <w:tcMar>
              <w:top w:type="dxa" w:w="80"/>
              <w:left w:type="dxa" w:w="80"/>
              <w:bottom w:type="dxa" w:w="80"/>
              <w:right w:type="dxa" w:w="80"/>
            </w:tcMar>
            <w:vAlign w:val="top"/>
          </w:tcPr>
          <w:p>
            <w:pPr>
              <w:pStyle w:val="Текстовый блок"/>
              <w:spacing w:after="40" w:line="240" w:lineRule="auto"/>
              <w:jc w:val="center"/>
            </w:pPr>
            <m:oMathPara>
              <m:oMathParaPr>
                <m:jc m:val="center"/>
              </m:oMathParaPr>
              <m:oMath>
                <m:r>
                  <m:t>ω′</m:t>
                </m:r>
                <m:d>
                  <m:e>
                    <m:r>
                      <m:t>B</m:t>
                    </m:r>
                  </m:e>
                </m:d>
                <m:r>
                  <m:t>=</m:t>
                </m:r>
                <m:nary>
                  <m:naryPr>
                    <m:chr m:val="∑"/>
                    <m:limLoc m:val="undOvr"/>
                    <m:grow m:val="0"/>
                    <m:subHide m:val="off"/>
                    <m:supHide m:val="on"/>
                  </m:naryPr>
                  <m:sub>
                    <m:r>
                      <m:t>a</m:t>
                    </m:r>
                  </m:sub>
                  <m:sup/>
                  <m:e>
                    <m:r>
                      <m:t>ω</m:t>
                    </m:r>
                  </m:e>
                </m:nary>
                <m:d>
                  <m:e>
                    <m:sSubSup>
                      <m:e>
                        <m:r>
                          <m:t>K</m:t>
                        </m:r>
                      </m:e>
                      <m:sub>
                        <m:r>
                          <m:t>a</m:t>
                        </m:r>
                      </m:sub>
                      <m:sup>
                        <m:r>
                          <m:rPr>
                            <m:sty m:val="p"/>
                          </m:rPr>
                          <m:t>*</m:t>
                        </m:r>
                      </m:sup>
                    </m:sSubSup>
                    <m:r>
                      <m:t>B</m:t>
                    </m:r>
                    <m:sSub>
                      <m:e>
                        <m:r>
                          <m:t>K</m:t>
                        </m:r>
                      </m:e>
                      <m:sub>
                        <m:r>
                          <m:t>a</m:t>
                        </m:r>
                      </m:sub>
                    </m:sSub>
                  </m:e>
                </m:d>
                <m:r>
                  <m:t>=ω</m:t>
                </m:r>
                <m:d>
                  <m:e>
                    <m:r>
                      <m:t>B</m:t>
                    </m:r>
                    <m:nary>
                      <m:naryPr>
                        <m:chr m:val="∑"/>
                        <m:limLoc m:val="undOvr"/>
                        <m:grow m:val="0"/>
                        <m:subHide m:val="off"/>
                        <m:supHide m:val="on"/>
                      </m:naryPr>
                      <m:sub>
                        <m:r>
                          <m:t>a</m:t>
                        </m:r>
                      </m:sub>
                      <m:sup/>
                      <m:e>
                        <m:sSubSup>
                          <m:e>
                            <m:r>
                              <m:t>K</m:t>
                            </m:r>
                          </m:e>
                          <m:sub>
                            <m:r>
                              <m:t>a</m:t>
                            </m:r>
                          </m:sub>
                          <m:sup>
                            <m:r>
                              <m:rPr>
                                <m:sty m:val="p"/>
                              </m:rPr>
                              <m:t>*</m:t>
                            </m:r>
                          </m:sup>
                        </m:sSubSup>
                      </m:e>
                    </m:nary>
                    <m:sSub>
                      <m:e>
                        <m:r>
                          <m:t>K</m:t>
                        </m:r>
                      </m:e>
                      <m:sub>
                        <m:r>
                          <m:t>a</m:t>
                        </m:r>
                      </m:sub>
                    </m:sSub>
                  </m:e>
                </m:d>
                <m:r>
                  <m:t>=ω</m:t>
                </m:r>
                <m:d>
                  <m:e>
                    <m:r>
                      <m:t>B</m:t>
                    </m:r>
                  </m:e>
                </m:d>
                <m:r>
                  <m:t>.</m:t>
                </m:r>
              </m:oMath>
            </m:oMathPara>
          </w:p>
        </w:tc>
        <w:tc>
          <w:tcPr>
            <w:tcW w:type="dxa" w:w="666"/>
            <w:tcBorders>
              <w:top w:val="nil"/>
              <w:left w:val="nil"/>
              <w:bottom w:val="nil"/>
              <w:right w:val="nil"/>
            </w:tcBorders>
            <w:shd w:val="clear" w:color="auto" w:fill="auto"/>
            <w:tcMar>
              <w:top w:type="dxa" w:w="80"/>
              <w:left w:type="dxa" w:w="80"/>
              <w:bottom w:type="dxa" w:w="80"/>
              <w:right w:type="dxa" w:w="80"/>
            </w:tcMar>
            <w:vAlign w:val="top"/>
          </w:tcPr>
          <w:p>
            <w:pPr>
              <w:pStyle w:val="Normal.0"/>
              <w:spacing w:after="40" w:line="240" w:lineRule="auto"/>
              <w:jc w:val="right"/>
            </w:pPr>
            <w:r>
              <w:rPr>
                <w:sz w:val="18"/>
                <w:szCs w:val="18"/>
                <w:rtl w:val="0"/>
                <w:lang w:val="en-US"/>
              </w:rPr>
              <w:t>(17.3)</w:t>
            </w:r>
          </w:p>
        </w:tc>
      </w:tr>
    </w:tbl>
    <w:p>
      <w:pPr>
        <w:pStyle w:val="Текстовый блок"/>
        <w:widowControl w:val="0"/>
        <w:spacing w:line="240" w:lineRule="atLeast"/>
        <w:jc w:val="center"/>
      </w:pPr>
    </w:p>
    <w:p>
      <w:pPr>
        <w:pStyle w:val="Текстовый блок"/>
        <w:spacing w:line="240" w:lineRule="atLeast"/>
      </w:pPr>
      <w:r>
        <w:rPr>
          <w:rtl w:val="0"/>
          <w:lang w:val="en-US"/>
        </w:rPr>
        <w:t>Conditional postselection can change conditional statistics, but knowledge of the selected outcome requires communication. Retarded linear response is likewise controlled by a commutator, not by the symmetric correlation. Thus a detector with no counts has not demonstrated the absence of a causal algebra or of possible response.</w:t>
      </w:r>
      <w:bookmarkEnd w:id="52"/>
    </w:p>
    <w:p>
      <w:pPr>
        <w:pStyle w:val="Заголовок 3"/>
        <w:spacing w:line="240" w:lineRule="atLeast"/>
      </w:pPr>
      <w:bookmarkStart w:name="Xe4537f50539258b3dc65a75ebcaff332ab7e599" w:id="53"/>
      <w:r>
        <w:rPr>
          <w:rtl w:val="0"/>
          <w:lang w:val="en-US"/>
        </w:rPr>
        <w:t>17.2. Singularities as conditional geometric data</w:t>
      </w:r>
    </w:p>
    <w:p>
      <w:pPr>
        <w:pStyle w:val="Текстовый блок"/>
        <w:spacing w:line="240" w:lineRule="atLeast"/>
      </w:pPr>
      <w:r>
        <w:rPr>
          <w:rtl w:val="0"/>
          <w:lang w:val="en-US"/>
        </w:rPr>
        <w:t>For a Hadamard scalar state on a specified globally hyperbolic spacetime, the microlocal characterisation is</w:t>
      </w:r>
    </w:p>
    <w:tbl>
      <w:tblPr>
        <w:tblW w:w="9522"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666"/>
        <w:gridCol w:w="8190"/>
        <w:gridCol w:w="666"/>
      </w:tblGrid>
      <w:tr>
        <w:tblPrEx>
          <w:shd w:val="clear" w:color="auto" w:fill="ced7e7"/>
        </w:tblPrEx>
        <w:trPr>
          <w:trHeight w:val="412" w:hRule="atLeast"/>
        </w:trPr>
        <w:tc>
          <w:tcPr>
            <w:tcW w:type="dxa" w:w="666"/>
            <w:tcBorders>
              <w:top w:val="nil"/>
              <w:left w:val="nil"/>
              <w:bottom w:val="nil"/>
              <w:right w:val="nil"/>
            </w:tcBorders>
            <w:shd w:val="clear" w:color="auto" w:fill="auto"/>
            <w:tcMar>
              <w:top w:type="dxa" w:w="80"/>
              <w:left w:type="dxa" w:w="80"/>
              <w:bottom w:type="dxa" w:w="80"/>
              <w:right w:type="dxa" w:w="80"/>
            </w:tcMar>
            <w:vAlign w:val="top"/>
          </w:tcPr>
          <w:p/>
        </w:tc>
        <w:tc>
          <w:tcPr>
            <w:tcW w:type="dxa" w:w="8190"/>
            <w:tcBorders>
              <w:top w:val="nil"/>
              <w:left w:val="nil"/>
              <w:bottom w:val="nil"/>
              <w:right w:val="nil"/>
            </w:tcBorders>
            <w:shd w:val="clear" w:color="auto" w:fill="auto"/>
            <w:tcMar>
              <w:top w:type="dxa" w:w="80"/>
              <w:left w:type="dxa" w:w="80"/>
              <w:bottom w:type="dxa" w:w="80"/>
              <w:right w:type="dxa" w:w="80"/>
            </w:tcMar>
            <w:vAlign w:val="top"/>
          </w:tcPr>
          <w:p>
            <w:pPr>
              <w:pStyle w:val="Текстовый блок"/>
              <w:spacing w:after="40" w:line="240" w:lineRule="auto"/>
              <w:jc w:val="center"/>
            </w:pPr>
            <m:oMathPara>
              <m:oMathParaPr>
                <m:jc m:val="center"/>
              </m:oMathParaPr>
              <m:oMath>
                <m:r>
                  <m:rPr>
                    <m:sty m:val="p"/>
                  </m:rPr>
                  <m:t>WF</m:t>
                </m:r>
                <m:d>
                  <m:e>
                    <m:sSub>
                      <m:e>
                        <m:r>
                          <m:t>W</m:t>
                        </m:r>
                      </m:e>
                      <m:sub>
                        <m:r>
                          <m:t>ω</m:t>
                        </m:r>
                      </m:sub>
                    </m:sSub>
                  </m:e>
                </m:d>
                <m:r>
                  <m:t>={</m:t>
                </m:r>
                <m:d>
                  <m:e>
                    <m:r>
                      <m:t>x,k;y,−k′</m:t>
                    </m:r>
                  </m:e>
                </m:d>
                <m:r>
                  <m:t>:</m:t>
                </m:r>
                <m:d>
                  <m:e>
                    <m:r>
                      <m:t>x,k</m:t>
                    </m:r>
                  </m:e>
                </m:d>
                <m:r>
                  <m:t>∼</m:t>
                </m:r>
                <m:d>
                  <m:e>
                    <m:r>
                      <m:t>y,k′</m:t>
                    </m:r>
                  </m:e>
                </m:d>
                <m:r>
                  <m:t>,k</m:t>
                </m:r>
                <m:r>
                  <m:rPr>
                    <m:nor/>
                  </m:rPr>
                  <m:t>future null</m:t>
                </m:r>
                <m:r>
                  <m:t>}.</m:t>
                </m:r>
              </m:oMath>
            </m:oMathPara>
          </w:p>
        </w:tc>
        <w:tc>
          <w:tcPr>
            <w:tcW w:type="dxa" w:w="666"/>
            <w:tcBorders>
              <w:top w:val="nil"/>
              <w:left w:val="nil"/>
              <w:bottom w:val="nil"/>
              <w:right w:val="nil"/>
            </w:tcBorders>
            <w:shd w:val="clear" w:color="auto" w:fill="auto"/>
            <w:tcMar>
              <w:top w:type="dxa" w:w="80"/>
              <w:left w:type="dxa" w:w="80"/>
              <w:bottom w:type="dxa" w:w="80"/>
              <w:right w:type="dxa" w:w="80"/>
            </w:tcMar>
            <w:vAlign w:val="top"/>
          </w:tcPr>
          <w:p>
            <w:pPr>
              <w:pStyle w:val="Normal.0"/>
              <w:spacing w:after="40" w:line="240" w:lineRule="auto"/>
              <w:jc w:val="right"/>
            </w:pPr>
            <w:r>
              <w:rPr>
                <w:sz w:val="18"/>
                <w:szCs w:val="18"/>
                <w:rtl w:val="0"/>
                <w:lang w:val="en-US"/>
              </w:rPr>
              <w:t>(17.4)</w:t>
            </w:r>
          </w:p>
        </w:tc>
      </w:tr>
    </w:tbl>
    <w:p>
      <w:pPr>
        <w:pStyle w:val="Текстовый блок"/>
        <w:widowControl w:val="0"/>
        <w:spacing w:line="240" w:lineRule="atLeast"/>
        <w:jc w:val="center"/>
      </w:pPr>
    </w:p>
    <w:p>
      <w:pPr>
        <w:pStyle w:val="Текстовый блок"/>
        <w:spacing w:line="240" w:lineRule="atLeast"/>
      </w:pPr>
      <w:r>
        <w:rPr>
          <w:rtl w:val="0"/>
          <w:lang w:val="en-US"/>
        </w:rPr>
        <w:t xml:space="preserve">The relation </w:t>
      </w:r>
      <m:oMath>
        <m:r>
          <m:t>∼</m:t>
        </m:r>
      </m:oMath>
      <w:r>
        <w:rPr>
          <w:rtl w:val="0"/>
          <w:lang w:val="en-US"/>
        </w:rPr>
        <w:t xml:space="preserve"> denotes transport along a null geodesic, including the coincident null directions; </w:t>
      </w:r>
      <w:r>
        <w:rPr>
          <w:rtl w:val="0"/>
          <w:lang w:val="en-US"/>
        </w:rPr>
        <w:t>“</w:t>
      </w:r>
      <w:r>
        <w:rPr>
          <w:rtl w:val="0"/>
          <w:lang w:val="en-US"/>
        </w:rPr>
        <w:t>future</w:t>
      </w:r>
      <w:r>
        <w:rPr>
          <w:rtl w:val="0"/>
          <w:lang w:val="en-US"/>
        </w:rPr>
        <w:t>”</w:t>
      </w:r>
      <w:r>
        <w:rPr>
          <w:rtl w:val="0"/>
          <w:lang w:val="en-US"/>
        </w:rPr>
        <w:t xml:space="preserve"> refers to the metric-dual vector in the already chosen orientation. Radzikowski established the equivalence with the Hadamard condition for the scalar setting [48]. Propagation of singularities follows the Hamilton flow of the principal symbol under its real-principal-type hypotheses [49]. Vector-valued Hadamard constructions require the corresponding bundle and field assumptions [50]; Maxwell observables also require the gauge treatment just stated.</w:t>
      </w:r>
    </w:p>
    <w:p>
      <w:pPr>
        <w:pStyle w:val="Текстовый блок"/>
        <w:spacing w:line="240" w:lineRule="atLeast"/>
      </w:pPr>
      <w:r>
        <w:rPr>
          <w:rtl w:val="0"/>
          <w:lang w:val="en-US"/>
        </w:rPr>
        <w:t>Equation</w:t>
      </w:r>
      <w:r>
        <w:rPr>
          <w:rtl w:val="0"/>
          <w:lang w:val="en-US"/>
        </w:rPr>
        <w:t> </w:t>
      </w:r>
      <w:r>
        <w:rPr>
          <w:rtl w:val="0"/>
          <w:lang w:val="en-US"/>
        </w:rPr>
        <w:t>(17.4) identifies the same null directions as the effective wave operator. It is meaningful conditional encoding of conformal null geometry, not a derivation from an unspecified vacuum: the operator, smooth structure and time orientation have already entered the construction. Smooth state-dependent changes in a Hadamard two-point function do not change this wavefront set, but can change renormalised stress</w:t>
      </w:r>
      <w:r>
        <w:rPr>
          <w:rtl w:val="0"/>
          <w:lang w:val="en-US"/>
        </w:rPr>
        <w:t>–</w:t>
      </w:r>
      <w:r>
        <w:rPr>
          <w:rtl w:val="0"/>
          <w:lang w:val="en-US"/>
        </w:rPr>
        <w:t>energy. In curved spacetimes, or for massive fields, a causal commutator can have interior tails; its singular directions and its entire support should not be conflated. Exact light-cone-only support in a special flat massless example is not a general Huygens principle.</w:t>
      </w:r>
      <w:bookmarkEnd w:id="53"/>
    </w:p>
    <w:p>
      <w:pPr>
        <w:pStyle w:val="Заголовок 2"/>
        <w:spacing w:line="240" w:lineRule="atLeast"/>
      </w:pPr>
      <w:bookmarkStart w:name="X3d0d061825727b458a6db531e14d1ba9ef71e2b" w:id="54"/>
      <w:r>
        <w:rPr>
          <w:rtl w:val="0"/>
          <w:lang w:val="en-US"/>
        </w:rPr>
        <w:t>18. Reconstruction of quadratic and quantum observables</w:t>
      </w:r>
    </w:p>
    <w:p>
      <w:pPr>
        <w:pStyle w:val="Текстовый блок"/>
        <w:spacing w:line="240" w:lineRule="atLeast"/>
      </w:pPr>
      <w:r>
        <w:rPr>
          <w:rtl w:val="0"/>
          <w:lang w:val="en-US"/>
        </w:rPr>
        <w:t>The earlier response theorem does not automatically control quadratic observables or their boundary traces. We now state sufficient additional conditions without assuming equality of the stresses to be proved.</w:t>
      </w:r>
      <w:bookmarkEnd w:id="54"/>
    </w:p>
    <w:p>
      <w:pPr>
        <w:pStyle w:val="Заголовок 3"/>
        <w:spacing w:line="240" w:lineRule="atLeast"/>
      </w:pPr>
      <w:bookmarkStart w:name="aquantitativeclassicalcriterion" w:id="55"/>
      <w:r>
        <w:rPr>
          <w:rtl w:val="0"/>
          <w:lang w:val="it-IT"/>
        </w:rPr>
        <w:t>18.1. A quantitative classical criterion</w:t>
      </w:r>
    </w:p>
    <w:p>
      <w:pPr>
        <w:pStyle w:val="Текстовый блок"/>
        <w:spacing w:line="240" w:lineRule="atLeast"/>
      </w:pPr>
      <w:r>
        <w:rPr>
          <w:rtl w:val="0"/>
          <w:lang w:val="en-US"/>
        </w:rPr>
        <w:t xml:space="preserve">Identify two effective descriptions by a common smooth diffeomorphism, the induced tensor pullback, physical measure and observer frame. After this identification, work on a compact region </w:t>
      </w:r>
      <m:oMath>
        <m:r>
          <m:t>K</m:t>
        </m:r>
      </m:oMath>
      <w:r>
        <w:rPr>
          <w:rtl w:val="0"/>
          <w:lang w:val="en-US"/>
        </w:rPr>
        <w:t xml:space="preserve"> with a fixed smooth Lorentzian metric. Use any fixed positive auxiliary tensor norm to define </w:t>
      </w:r>
      <m:oMath>
        <m:sSup>
          <m:e>
            <m:r>
              <m:t>L</m:t>
            </m:r>
          </m:e>
          <m:sup>
            <m:r>
              <m:t>2</m:t>
            </m:r>
          </m:sup>
        </m:sSup>
        <m:d>
          <m:e>
            <m:r>
              <m:t>K</m:t>
            </m:r>
          </m:e>
        </m:d>
      </m:oMath>
      <w:r>
        <w:rPr>
          <w:rtl w:val="0"/>
        </w:rPr>
        <w:t xml:space="preserve">; on </w:t>
      </w:r>
      <m:oMath>
        <m:r>
          <m:t>K</m:t>
        </m:r>
      </m:oMath>
      <w:r>
        <w:rPr>
          <w:rtl w:val="0"/>
          <w:lang w:val="en-US"/>
        </w:rPr>
        <w:t xml:space="preserve"> the resulting norms are equivalent.</w:t>
      </w:r>
    </w:p>
    <w:p>
      <w:pPr>
        <w:pStyle w:val="Текстовый блок"/>
        <w:keepLines w:val="1"/>
        <w:spacing w:before="60" w:line="240" w:lineRule="atLeast"/>
      </w:pPr>
      <w:r>
        <w:rPr>
          <w:b w:val="1"/>
          <w:bCs w:val="1"/>
          <w:rtl w:val="0"/>
          <w:lang w:val="en-US"/>
        </w:rPr>
        <w:t>Proposition 18.1 (Stress convergence from calibrated field convergence).</w:t>
      </w:r>
    </w:p>
    <w:p>
      <w:pPr>
        <w:pStyle w:val="Текстовый блок"/>
        <w:spacing w:line="240" w:lineRule="atLeast"/>
      </w:pPr>
      <w:r>
        <w:rPr>
          <w:rtl w:val="0"/>
          <w:lang w:val="en-US"/>
        </w:rPr>
        <w:t xml:space="preserve">Let </w:t>
      </w:r>
      <m:oMath>
        <m:sSub>
          <m:e>
            <m:r>
              <m:t>F</m:t>
            </m:r>
          </m:e>
          <m:sub>
            <m:r>
              <m:t>n</m:t>
            </m:r>
          </m:sub>
        </m:sSub>
      </m:oMath>
      <w:r>
        <w:rPr>
          <w:rtl w:val="0"/>
          <w:lang w:val="en-US"/>
        </w:rPr>
        <w:t xml:space="preserve"> and </w:t>
      </w:r>
      <m:oMath>
        <m:sSub>
          <m:e>
            <m:r>
              <m:t>G</m:t>
            </m:r>
          </m:e>
          <m:sub>
            <m:r>
              <m:t>n</m:t>
            </m:r>
          </m:sub>
        </m:sSub>
      </m:oMath>
      <w:r>
        <w:rPr>
          <w:rtl w:val="0"/>
          <w:lang w:val="en-US"/>
        </w:rPr>
        <w:t xml:space="preserve"> be reconstructed real two-forms with </w:t>
      </w:r>
      <m:oMath>
        <m:sSub>
          <m:e>
            <m:r>
              <m:t>G</m:t>
            </m:r>
          </m:e>
          <m:sub>
            <m:r>
              <m:t>n</m:t>
            </m:r>
          </m:sub>
        </m:sSub>
        <m:r>
          <m:t>=</m:t>
        </m:r>
        <m:sSub>
          <m:e>
            <m:r>
              <m:t>s</m:t>
            </m:r>
          </m:e>
          <m:sub>
            <m:r>
              <m:t>n</m:t>
            </m:r>
          </m:sub>
        </m:sSub>
        <m:sSub>
          <m:e>
            <m:r>
              <m:t>F</m:t>
            </m:r>
          </m:e>
          <m:sub>
            <m:r>
              <m:t>n</m:t>
            </m:r>
          </m:sub>
        </m:sSub>
        <m:r>
          <m:t>+</m:t>
        </m:r>
        <m:sSub>
          <m:e>
            <m:r>
              <m:t>r</m:t>
            </m:r>
          </m:e>
          <m:sub>
            <m:r>
              <m:t>n</m:t>
            </m:r>
          </m:sub>
        </m:sSub>
      </m:oMath>
      <w:r>
        <w:rPr>
          <w:rtl w:val="0"/>
          <w:lang w:val="en-US"/>
        </w:rPr>
        <w:t xml:space="preserve">, where the real constants satisfy </w:t>
      </w:r>
      <m:oMath>
        <m:r>
          <m:t>0&lt;</m:t>
        </m:r>
        <m:sSub>
          <m:e>
            <m:r>
              <m:t>s</m:t>
            </m:r>
          </m:e>
          <m:sub>
            <m:r>
              <m:t>−</m:t>
            </m:r>
          </m:sub>
        </m:sSub>
        <m:r>
          <m:t>≤</m:t>
        </m:r>
        <m:d>
          <m:dPr>
            <m:begChr m:val="|"/>
            <m:endChr m:val="|"/>
          </m:dPr>
          <m:e>
            <m:sSub>
              <m:e>
                <m:r>
                  <m:t>s</m:t>
                </m:r>
              </m:e>
              <m:sub>
                <m:r>
                  <m:t>n</m:t>
                </m:r>
              </m:sub>
            </m:sSub>
          </m:e>
        </m:d>
        <m:r>
          <m:t>≤</m:t>
        </m:r>
        <m:sSub>
          <m:e>
            <m:r>
              <m:t>s</m:t>
            </m:r>
          </m:e>
          <m:sub>
            <m:r>
              <m:t>+</m:t>
            </m:r>
          </m:sub>
        </m:sSub>
        <m:r>
          <m:t>&lt;</m:t>
        </m:r>
        <m:r>
          <m:rPr>
            <m:sty m:val="p"/>
          </m:rPr>
          <m:t>∞</m:t>
        </m:r>
      </m:oMath>
      <w:r>
        <w:rPr>
          <w:rtl w:val="0"/>
          <w:lang w:val="en-US"/>
        </w:rPr>
        <w:t>. Suppose</w:t>
      </w:r>
    </w:p>
    <w:tbl>
      <w:tblPr>
        <w:tblW w:w="9522"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666"/>
        <w:gridCol w:w="8190"/>
        <w:gridCol w:w="666"/>
      </w:tblGrid>
      <w:tr>
        <w:tblPrEx>
          <w:shd w:val="clear" w:color="auto" w:fill="ced7e7"/>
        </w:tblPrEx>
        <w:trPr>
          <w:trHeight w:val="437" w:hRule="atLeast"/>
        </w:trPr>
        <w:tc>
          <w:tcPr>
            <w:tcW w:type="dxa" w:w="666"/>
            <w:tcBorders>
              <w:top w:val="nil"/>
              <w:left w:val="nil"/>
              <w:bottom w:val="nil"/>
              <w:right w:val="nil"/>
            </w:tcBorders>
            <w:shd w:val="clear" w:color="auto" w:fill="auto"/>
            <w:tcMar>
              <w:top w:type="dxa" w:w="80"/>
              <w:left w:type="dxa" w:w="80"/>
              <w:bottom w:type="dxa" w:w="80"/>
              <w:right w:type="dxa" w:w="80"/>
            </w:tcMar>
            <w:vAlign w:val="top"/>
          </w:tcPr>
          <w:p/>
        </w:tc>
        <w:tc>
          <w:tcPr>
            <w:tcW w:type="dxa" w:w="8190"/>
            <w:tcBorders>
              <w:top w:val="nil"/>
              <w:left w:val="nil"/>
              <w:bottom w:val="nil"/>
              <w:right w:val="nil"/>
            </w:tcBorders>
            <w:shd w:val="clear" w:color="auto" w:fill="auto"/>
            <w:tcMar>
              <w:top w:type="dxa" w:w="80"/>
              <w:left w:type="dxa" w:w="80"/>
              <w:bottom w:type="dxa" w:w="80"/>
              <w:right w:type="dxa" w:w="80"/>
            </w:tcMar>
            <w:vAlign w:val="top"/>
          </w:tcPr>
          <w:p>
            <w:pPr>
              <w:pStyle w:val="Текстовый блок"/>
              <w:spacing w:after="40" w:line="240" w:lineRule="auto"/>
              <w:jc w:val="center"/>
            </w:pPr>
            <m:oMathPara>
              <m:oMathParaPr>
                <m:jc m:val="center"/>
              </m:oMathParaPr>
              <m:oMath>
                <m:limLow>
                  <m:e>
                    <m:r>
                      <m:rPr>
                        <m:sty m:val="p"/>
                      </m:rPr>
                      <m:t>sup</m:t>
                    </m:r>
                  </m:e>
                  <m:lim>
                    <m:r>
                      <m:t>n</m:t>
                    </m:r>
                  </m:lim>
                </m:limLow>
                <m:sSub>
                  <m:e>
                    <m:d>
                      <m:dPr>
                        <m:begChr m:val="∥"/>
                        <m:endChr m:val="∥"/>
                      </m:dPr>
                      <m:e>
                        <m:sSub>
                          <m:e>
                            <m:r>
                              <m:t>F</m:t>
                            </m:r>
                          </m:e>
                          <m:sub>
                            <m:r>
                              <m:t>n</m:t>
                            </m:r>
                          </m:sub>
                        </m:sSub>
                      </m:e>
                    </m:d>
                  </m:e>
                  <m:sub>
                    <m:sSup>
                      <m:e>
                        <m:r>
                          <m:t>L</m:t>
                        </m:r>
                      </m:e>
                      <m:sup>
                        <m:r>
                          <m:t>2</m:t>
                        </m:r>
                      </m:sup>
                    </m:sSup>
                    <m:d>
                      <m:e>
                        <m:r>
                          <m:t>K</m:t>
                        </m:r>
                      </m:e>
                    </m:d>
                  </m:sub>
                </m:sSub>
                <m:r>
                  <m:t>&lt;</m:t>
                </m:r>
                <m:r>
                  <m:rPr>
                    <m:sty m:val="p"/>
                  </m:rPr>
                  <m:t>∞</m:t>
                </m:r>
                <m:r>
                  <m:t>,</m:t>
                </m:r>
                <m:sSub>
                  <m:e>
                    <m:d>
                      <m:dPr>
                        <m:begChr m:val="∥"/>
                        <m:endChr m:val="∥"/>
                      </m:dPr>
                      <m:e>
                        <m:sSub>
                          <m:e>
                            <m:r>
                              <m:t>r</m:t>
                            </m:r>
                          </m:e>
                          <m:sub>
                            <m:r>
                              <m:t>n</m:t>
                            </m:r>
                          </m:sub>
                        </m:sSub>
                      </m:e>
                    </m:d>
                  </m:e>
                  <m:sub>
                    <m:sSup>
                      <m:e>
                        <m:r>
                          <m:t>L</m:t>
                        </m:r>
                      </m:e>
                      <m:sup>
                        <m:r>
                          <m:t>2</m:t>
                        </m:r>
                      </m:sup>
                    </m:sSup>
                    <m:d>
                      <m:e>
                        <m:r>
                          <m:t>K</m:t>
                        </m:r>
                      </m:e>
                    </m:d>
                  </m:sub>
                </m:sSub>
                <m:r>
                  <m:t>→0,</m:t>
                </m:r>
                <m:sSubSup>
                  <m:e>
                    <m:r>
                      <m:t>γ</m:t>
                    </m:r>
                  </m:e>
                  <m:sub>
                    <m:r>
                      <m:t>n</m:t>
                    </m:r>
                  </m:sub>
                  <m:sup>
                    <m:d>
                      <m:e>
                        <m:r>
                          <m:t>2</m:t>
                        </m:r>
                      </m:e>
                    </m:d>
                  </m:sup>
                </m:sSubSup>
                <m:sSubSup>
                  <m:e>
                    <m:r>
                      <m:t>s</m:t>
                    </m:r>
                  </m:e>
                  <m:sub>
                    <m:r>
                      <m:t>n</m:t>
                    </m:r>
                  </m:sub>
                  <m:sup>
                    <m:r>
                      <m:t>2</m:t>
                    </m:r>
                  </m:sup>
                </m:sSubSup>
                <m:r>
                  <m:t>−</m:t>
                </m:r>
                <m:sSubSup>
                  <m:e>
                    <m:r>
                      <m:t>γ</m:t>
                    </m:r>
                  </m:e>
                  <m:sub>
                    <m:r>
                      <m:t>n</m:t>
                    </m:r>
                  </m:sub>
                  <m:sup>
                    <m:d>
                      <m:e>
                        <m:r>
                          <m:t>1</m:t>
                        </m:r>
                      </m:e>
                    </m:d>
                  </m:sup>
                </m:sSubSup>
                <m:r>
                  <m:t>→0,</m:t>
                </m:r>
              </m:oMath>
            </m:oMathPara>
          </w:p>
        </w:tc>
        <w:tc>
          <w:tcPr>
            <w:tcW w:type="dxa" w:w="666"/>
            <w:tcBorders>
              <w:top w:val="nil"/>
              <w:left w:val="nil"/>
              <w:bottom w:val="nil"/>
              <w:right w:val="nil"/>
            </w:tcBorders>
            <w:shd w:val="clear" w:color="auto" w:fill="auto"/>
            <w:tcMar>
              <w:top w:type="dxa" w:w="80"/>
              <w:left w:type="dxa" w:w="80"/>
              <w:bottom w:type="dxa" w:w="80"/>
              <w:right w:type="dxa" w:w="80"/>
            </w:tcMar>
            <w:vAlign w:val="top"/>
          </w:tcPr>
          <w:p>
            <w:pPr>
              <w:pStyle w:val="Normal.0"/>
              <w:spacing w:after="40" w:line="240" w:lineRule="auto"/>
              <w:jc w:val="right"/>
            </w:pPr>
            <w:r>
              <w:rPr>
                <w:sz w:val="18"/>
                <w:szCs w:val="18"/>
                <w:rtl w:val="0"/>
                <w:lang w:val="en-US"/>
              </w:rPr>
              <w:t>(18.1)</w:t>
            </w:r>
          </w:p>
        </w:tc>
      </w:tr>
    </w:tbl>
    <w:p>
      <w:pPr>
        <w:pStyle w:val="Текстовый блок"/>
        <w:widowControl w:val="0"/>
        <w:spacing w:line="240" w:lineRule="atLeast"/>
        <w:jc w:val="center"/>
      </w:pPr>
    </w:p>
    <w:p>
      <w:pPr>
        <w:pStyle w:val="Текстовый блок"/>
        <w:spacing w:line="240" w:lineRule="atLeast"/>
      </w:pPr>
      <w:r>
        <w:rPr>
          <w:rtl w:val="0"/>
          <w:lang w:val="en-US"/>
        </w:rPr>
        <w:t>with both positive action normalisations uniformly bounded. Then the corresponding Maxwell stresses satisfy</w:t>
      </w:r>
    </w:p>
    <w:p>
      <w:pPr>
        <w:pStyle w:val="Текстовый блок"/>
        <w:spacing w:line="240" w:lineRule="atLeast"/>
        <w:jc w:val="center"/>
      </w:pPr>
      <m:oMathPara>
        <m:oMathParaPr>
          <m:jc m:val="center"/>
        </m:oMathParaPr>
        <m:oMath>
          <m:r>
            <m:t/>
          </m:r>
          <m:sSub>
            <m:e>
              <m:d>
                <m:dPr>
                  <m:begChr m:val="∥"/>
                  <m:endChr m:val="∥"/>
                </m:dPr>
                <m:e>
                  <m:sSub>
                    <m:e>
                      <m:r>
                        <m:t>T</m:t>
                      </m:r>
                    </m:e>
                    <m:sub>
                      <m:sSubSup>
                        <m:e>
                          <m:r>
                            <m:t>γ</m:t>
                          </m:r>
                        </m:e>
                        <m:sub>
                          <m:r>
                            <m:t>n</m:t>
                          </m:r>
                        </m:sub>
                        <m:sup>
                          <m:d>
                            <m:e>
                              <m:r>
                                <m:t>2</m:t>
                              </m:r>
                            </m:e>
                          </m:d>
                        </m:sup>
                      </m:sSubSup>
                    </m:sub>
                  </m:sSub>
                  <m:d>
                    <m:dPr>
                      <m:begChr m:val="["/>
                      <m:endChr m:val="]"/>
                    </m:dPr>
                    <m:e>
                      <m:sSub>
                        <m:e>
                          <m:r>
                            <m:t>G</m:t>
                          </m:r>
                        </m:e>
                        <m:sub>
                          <m:r>
                            <m:t>n</m:t>
                          </m:r>
                        </m:sub>
                      </m:sSub>
                    </m:e>
                  </m:d>
                  <m:r>
                    <m:t>−</m:t>
                  </m:r>
                  <m:sSub>
                    <m:e>
                      <m:r>
                        <m:t>T</m:t>
                      </m:r>
                    </m:e>
                    <m:sub>
                      <m:sSubSup>
                        <m:e>
                          <m:r>
                            <m:t>γ</m:t>
                          </m:r>
                        </m:e>
                        <m:sub>
                          <m:r>
                            <m:t>n</m:t>
                          </m:r>
                        </m:sub>
                        <m:sup>
                          <m:d>
                            <m:e>
                              <m:r>
                                <m:t>1</m:t>
                              </m:r>
                            </m:e>
                          </m:d>
                        </m:sup>
                      </m:sSubSup>
                    </m:sub>
                  </m:sSub>
                  <m:d>
                    <m:dPr>
                      <m:begChr m:val="["/>
                      <m:endChr m:val="]"/>
                    </m:dPr>
                    <m:e>
                      <m:sSub>
                        <m:e>
                          <m:r>
                            <m:t>F</m:t>
                          </m:r>
                        </m:e>
                        <m:sub>
                          <m:r>
                            <m:t>n</m:t>
                          </m:r>
                        </m:sub>
                      </m:sSub>
                    </m:e>
                  </m:d>
                </m:e>
              </m:d>
            </m:e>
            <m:sub>
              <m:sSup>
                <m:e>
                  <m:r>
                    <m:t>L</m:t>
                  </m:r>
                </m:e>
                <m:sup>
                  <m:r>
                    <m:t>1</m:t>
                  </m:r>
                </m:sup>
              </m:sSup>
              <m:d>
                <m:e>
                  <m:r>
                    <m:t>K</m:t>
                  </m:r>
                </m:e>
              </m:d>
            </m:sub>
          </m:sSub>
        </m:oMath>
      </m:oMathPara>
    </w:p>
    <w:tbl>
      <w:tblPr>
        <w:tblW w:w="9522"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666"/>
        <w:gridCol w:w="8190"/>
        <w:gridCol w:w="666"/>
      </w:tblGrid>
      <w:tr>
        <w:tblPrEx>
          <w:shd w:val="clear" w:color="auto" w:fill="ced7e7"/>
        </w:tblPrEx>
        <w:trPr>
          <w:trHeight w:val="434" w:hRule="atLeast"/>
        </w:trPr>
        <w:tc>
          <w:tcPr>
            <w:tcW w:type="dxa" w:w="666"/>
            <w:tcBorders>
              <w:top w:val="nil"/>
              <w:left w:val="nil"/>
              <w:bottom w:val="nil"/>
              <w:right w:val="nil"/>
            </w:tcBorders>
            <w:shd w:val="clear" w:color="auto" w:fill="auto"/>
            <w:tcMar>
              <w:top w:type="dxa" w:w="80"/>
              <w:left w:type="dxa" w:w="80"/>
              <w:bottom w:type="dxa" w:w="80"/>
              <w:right w:type="dxa" w:w="80"/>
            </w:tcMar>
            <w:vAlign w:val="top"/>
          </w:tcPr>
          <w:p/>
        </w:tc>
        <w:tc>
          <w:tcPr>
            <w:tcW w:type="dxa" w:w="8190"/>
            <w:tcBorders>
              <w:top w:val="nil"/>
              <w:left w:val="nil"/>
              <w:bottom w:val="nil"/>
              <w:right w:val="nil"/>
            </w:tcBorders>
            <w:shd w:val="clear" w:color="auto" w:fill="auto"/>
            <w:tcMar>
              <w:top w:type="dxa" w:w="80"/>
              <w:left w:type="dxa" w:w="80"/>
              <w:bottom w:type="dxa" w:w="80"/>
              <w:right w:type="dxa" w:w="80"/>
            </w:tcMar>
            <w:vAlign w:val="top"/>
          </w:tcPr>
          <w:p>
            <w:pPr>
              <w:pStyle w:val="Текстовый блок"/>
              <w:spacing w:after="40" w:line="240" w:lineRule="auto"/>
              <w:jc w:val="center"/>
            </w:pPr>
            <m:oMathPara>
              <m:oMathParaPr>
                <m:jc m:val="center"/>
              </m:oMathParaPr>
              <m:oMath>
                <m:r>
                  <m:t>≤</m:t>
                </m:r>
                <m:sSub>
                  <m:e>
                    <m:r>
                      <m:t>C</m:t>
                    </m:r>
                  </m:e>
                  <m:sub>
                    <m:r>
                      <m:t>K</m:t>
                    </m:r>
                  </m:sub>
                </m:sSub>
                <m:d>
                  <m:dPr>
                    <m:begChr m:val="["/>
                    <m:endChr m:val="]"/>
                  </m:dPr>
                  <m:e>
                    <m:d>
                      <m:dPr>
                        <m:begChr m:val="|"/>
                        <m:endChr m:val="|"/>
                      </m:dPr>
                      <m:e>
                        <m:sSubSup>
                          <m:e>
                            <m:r>
                              <m:t>γ</m:t>
                            </m:r>
                          </m:e>
                          <m:sub>
                            <m:r>
                              <m:t>n</m:t>
                            </m:r>
                          </m:sub>
                          <m:sup>
                            <m:d>
                              <m:e>
                                <m:r>
                                  <m:t>2</m:t>
                                </m:r>
                              </m:e>
                            </m:d>
                          </m:sup>
                        </m:sSubSup>
                        <m:sSubSup>
                          <m:e>
                            <m:r>
                              <m:t>s</m:t>
                            </m:r>
                          </m:e>
                          <m:sub>
                            <m:r>
                              <m:t>n</m:t>
                            </m:r>
                          </m:sub>
                          <m:sup>
                            <m:r>
                              <m:t>2</m:t>
                            </m:r>
                          </m:sup>
                        </m:sSubSup>
                        <m:r>
                          <m:t>−</m:t>
                        </m:r>
                        <m:sSubSup>
                          <m:e>
                            <m:r>
                              <m:t>γ</m:t>
                            </m:r>
                          </m:e>
                          <m:sub>
                            <m:r>
                              <m:t>n</m:t>
                            </m:r>
                          </m:sub>
                          <m:sup>
                            <m:d>
                              <m:e>
                                <m:r>
                                  <m:t>1</m:t>
                                </m:r>
                              </m:e>
                            </m:d>
                          </m:sup>
                        </m:sSubSup>
                      </m:e>
                    </m:d>
                    <m:sSubSup>
                      <m:e>
                        <m:d>
                          <m:dPr>
                            <m:begChr m:val="∥"/>
                            <m:endChr m:val="∥"/>
                          </m:dPr>
                          <m:e>
                            <m:sSub>
                              <m:e>
                                <m:r>
                                  <m:t>F</m:t>
                                </m:r>
                              </m:e>
                              <m:sub>
                                <m:r>
                                  <m:t>n</m:t>
                                </m:r>
                              </m:sub>
                            </m:sSub>
                          </m:e>
                        </m:d>
                      </m:e>
                      <m:sub>
                        <m:sSup>
                          <m:e>
                            <m:r>
                              <m:t>L</m:t>
                            </m:r>
                          </m:e>
                          <m:sup>
                            <m:r>
                              <m:t>2</m:t>
                            </m:r>
                          </m:sup>
                        </m:sSup>
                        <m:d>
                          <m:e>
                            <m:r>
                              <m:t>K</m:t>
                            </m:r>
                          </m:e>
                        </m:d>
                      </m:sub>
                      <m:sup>
                        <m:r>
                          <m:t>2</m:t>
                        </m:r>
                      </m:sup>
                    </m:sSubSup>
                    <m:r>
                      <m:t>+</m:t>
                    </m:r>
                    <m:sSub>
                      <m:e>
                        <m:d>
                          <m:dPr>
                            <m:begChr m:val="∥"/>
                            <m:endChr m:val="∥"/>
                          </m:dPr>
                          <m:e>
                            <m:sSub>
                              <m:e>
                                <m:r>
                                  <m:t>r</m:t>
                                </m:r>
                              </m:e>
                              <m:sub>
                                <m:r>
                                  <m:t>n</m:t>
                                </m:r>
                              </m:sub>
                            </m:sSub>
                          </m:e>
                        </m:d>
                      </m:e>
                      <m:sub>
                        <m:sSup>
                          <m:e>
                            <m:r>
                              <m:t>L</m:t>
                            </m:r>
                          </m:e>
                          <m:sup>
                            <m:r>
                              <m:t>2</m:t>
                            </m:r>
                          </m:sup>
                        </m:sSup>
                        <m:d>
                          <m:e>
                            <m:r>
                              <m:t>K</m:t>
                            </m:r>
                          </m:e>
                        </m:d>
                      </m:sub>
                    </m:sSub>
                    <m:r>
                      <m:t>(</m:t>
                    </m:r>
                    <m:sSub>
                      <m:e>
                        <m:d>
                          <m:dPr>
                            <m:begChr m:val="∥"/>
                            <m:endChr m:val="∥"/>
                          </m:dPr>
                          <m:e>
                            <m:sSub>
                              <m:e>
                                <m:r>
                                  <m:t>F</m:t>
                                </m:r>
                              </m:e>
                              <m:sub>
                                <m:r>
                                  <m:t>n</m:t>
                                </m:r>
                              </m:sub>
                            </m:sSub>
                          </m:e>
                        </m:d>
                      </m:e>
                      <m:sub>
                        <m:sSup>
                          <m:e>
                            <m:r>
                              <m:t>L</m:t>
                            </m:r>
                          </m:e>
                          <m:sup>
                            <m:r>
                              <m:t>2</m:t>
                            </m:r>
                          </m:sup>
                        </m:sSup>
                        <m:d>
                          <m:e>
                            <m:r>
                              <m:t>K</m:t>
                            </m:r>
                          </m:e>
                        </m:d>
                      </m:sub>
                    </m:sSub>
                    <m:r>
                      <m:t>+</m:t>
                    </m:r>
                    <m:sSub>
                      <m:e>
                        <m:d>
                          <m:dPr>
                            <m:begChr m:val="∥"/>
                            <m:endChr m:val="∥"/>
                          </m:dPr>
                          <m:e>
                            <m:sSub>
                              <m:e>
                                <m:r>
                                  <m:t>r</m:t>
                                </m:r>
                              </m:e>
                              <m:sub>
                                <m:r>
                                  <m:t>n</m:t>
                                </m:r>
                              </m:sub>
                            </m:sSub>
                          </m:e>
                        </m:d>
                      </m:e>
                      <m:sub>
                        <m:sSup>
                          <m:e>
                            <m:r>
                              <m:t>L</m:t>
                            </m:r>
                          </m:e>
                          <m:sup>
                            <m:r>
                              <m:t>2</m:t>
                            </m:r>
                          </m:sup>
                        </m:sSup>
                        <m:d>
                          <m:e>
                            <m:r>
                              <m:t>K</m:t>
                            </m:r>
                          </m:e>
                        </m:d>
                      </m:sub>
                    </m:sSub>
                    <m:r>
                      <m:t>)</m:t>
                    </m:r>
                  </m:e>
                </m:d>
                <m:r>
                  <m:t>→0.</m:t>
                </m:r>
              </m:oMath>
            </m:oMathPara>
          </w:p>
        </w:tc>
        <w:tc>
          <w:tcPr>
            <w:tcW w:type="dxa" w:w="666"/>
            <w:tcBorders>
              <w:top w:val="nil"/>
              <w:left w:val="nil"/>
              <w:bottom w:val="nil"/>
              <w:right w:val="nil"/>
            </w:tcBorders>
            <w:shd w:val="clear" w:color="auto" w:fill="auto"/>
            <w:tcMar>
              <w:top w:type="dxa" w:w="80"/>
              <w:left w:type="dxa" w:w="80"/>
              <w:bottom w:type="dxa" w:w="80"/>
              <w:right w:type="dxa" w:w="80"/>
            </w:tcMar>
            <w:vAlign w:val="top"/>
          </w:tcPr>
          <w:p>
            <w:pPr>
              <w:pStyle w:val="Normal.0"/>
              <w:spacing w:after="40" w:line="240" w:lineRule="auto"/>
              <w:jc w:val="right"/>
            </w:pPr>
            <w:r>
              <w:rPr>
                <w:sz w:val="18"/>
                <w:szCs w:val="18"/>
                <w:rtl w:val="0"/>
                <w:lang w:val="en-US"/>
              </w:rPr>
              <w:t>(18.2)</w:t>
            </w:r>
          </w:p>
        </w:tc>
      </w:tr>
    </w:tbl>
    <w:p>
      <w:pPr>
        <w:pStyle w:val="Текстовый блок"/>
        <w:widowControl w:val="0"/>
        <w:spacing w:line="240" w:lineRule="atLeast"/>
        <w:jc w:val="center"/>
      </w:pPr>
    </w:p>
    <w:p>
      <w:pPr>
        <w:pStyle w:val="Текстовый блок"/>
        <w:spacing w:line="240" w:lineRule="atLeast"/>
      </w:pPr>
      <w:r>
        <w:rPr>
          <w:rtl w:val="0"/>
          <w:lang w:val="en-US"/>
        </w:rPr>
        <w:t>Uniform convergence of identified metric coefficients, inverses and measure densities, with uniform nondegeneracy, permits the same conclusion with a further term tending to zero.</w:t>
      </w:r>
    </w:p>
    <w:p>
      <w:pPr>
        <w:pStyle w:val="Текстовый блок"/>
        <w:spacing w:before="20" w:line="240" w:lineRule="atLeast"/>
      </w:pPr>
      <w:r>
        <w:rPr>
          <w:i w:val="1"/>
          <w:iCs w:val="1"/>
          <w:rtl w:val="0"/>
          <w:lang w:val="en-US"/>
        </w:rPr>
        <w:t>Proof.</w:t>
      </w:r>
      <w:r>
        <w:rPr>
          <w:rtl w:val="0"/>
          <w:lang w:val="en-US"/>
        </w:rPr>
        <w:t xml:space="preserve"> For fixed metric the stress is a continuous quadratic map of the six components of a two-form. Denote its associated bilinear map by </w:t>
      </w:r>
      <m:oMath>
        <m:sSub>
          <m:e>
            <m:r>
              <m:t>B</m:t>
            </m:r>
          </m:e>
          <m:sub>
            <m:r>
              <m:t>g</m:t>
            </m:r>
          </m:sub>
        </m:sSub>
      </m:oMath>
      <w:r>
        <w:rPr>
          <w:rtl w:val="0"/>
          <w:lang w:val="en-US"/>
        </w:rPr>
        <w:t xml:space="preserve">. Expanding </w:t>
      </w:r>
      <m:oMath>
        <m:sSub>
          <m:e>
            <m:r>
              <m:t>G</m:t>
            </m:r>
          </m:e>
          <m:sub>
            <m:r>
              <m:t>n</m:t>
            </m:r>
          </m:sub>
        </m:sSub>
        <m:r>
          <m:t>=</m:t>
        </m:r>
        <m:sSub>
          <m:e>
            <m:r>
              <m:t>s</m:t>
            </m:r>
          </m:e>
          <m:sub>
            <m:r>
              <m:t>n</m:t>
            </m:r>
          </m:sub>
        </m:sSub>
        <m:sSub>
          <m:e>
            <m:r>
              <m:t>F</m:t>
            </m:r>
          </m:e>
          <m:sub>
            <m:r>
              <m:t>n</m:t>
            </m:r>
          </m:sub>
        </m:sSub>
        <m:r>
          <m:t>+</m:t>
        </m:r>
        <m:sSub>
          <m:e>
            <m:r>
              <m:t>r</m:t>
            </m:r>
          </m:e>
          <m:sub>
            <m:r>
              <m:t>n</m:t>
            </m:r>
          </m:sub>
        </m:sSub>
      </m:oMath>
      <w:r>
        <w:rPr>
          <w:rtl w:val="0"/>
          <w:lang w:val="en-US"/>
        </w:rPr>
        <w:t xml:space="preserve"> separates the difference into </w:t>
      </w:r>
      <m:oMath>
        <m:d>
          <m:e>
            <m:sSubSup>
              <m:e>
                <m:r>
                  <m:t>γ</m:t>
                </m:r>
              </m:e>
              <m:sub>
                <m:r>
                  <m:t>n</m:t>
                </m:r>
              </m:sub>
              <m:sup>
                <m:d>
                  <m:e>
                    <m:r>
                      <m:t>2</m:t>
                    </m:r>
                  </m:e>
                </m:d>
              </m:sup>
            </m:sSubSup>
            <m:sSubSup>
              <m:e>
                <m:r>
                  <m:t>s</m:t>
                </m:r>
              </m:e>
              <m:sub>
                <m:r>
                  <m:t>n</m:t>
                </m:r>
              </m:sub>
              <m:sup>
                <m:r>
                  <m:t>2</m:t>
                </m:r>
              </m:sup>
            </m:sSubSup>
            <m:r>
              <m:t>−</m:t>
            </m:r>
            <m:sSubSup>
              <m:e>
                <m:r>
                  <m:t>γ</m:t>
                </m:r>
              </m:e>
              <m:sub>
                <m:r>
                  <m:t>n</m:t>
                </m:r>
              </m:sub>
              <m:sup>
                <m:d>
                  <m:e>
                    <m:r>
                      <m:t>1</m:t>
                    </m:r>
                  </m:e>
                </m:d>
              </m:sup>
            </m:sSubSup>
          </m:e>
        </m:d>
        <m:sSub>
          <m:e>
            <m:r>
              <m:t>B</m:t>
            </m:r>
          </m:e>
          <m:sub>
            <m:r>
              <m:t>g</m:t>
            </m:r>
          </m:sub>
        </m:sSub>
        <m:d>
          <m:e>
            <m:sSub>
              <m:e>
                <m:r>
                  <m:t>F</m:t>
                </m:r>
              </m:e>
              <m:sub>
                <m:r>
                  <m:t>n</m:t>
                </m:r>
              </m:sub>
            </m:sSub>
            <m:r>
              <m:t>,</m:t>
            </m:r>
            <m:sSub>
              <m:e>
                <m:r>
                  <m:t>F</m:t>
                </m:r>
              </m:e>
              <m:sub>
                <m:r>
                  <m:t>n</m:t>
                </m:r>
              </m:sub>
            </m:sSub>
          </m:e>
        </m:d>
      </m:oMath>
      <w:r>
        <w:rPr>
          <w:rtl w:val="0"/>
          <w:lang w:val="en-US"/>
        </w:rPr>
        <w:t xml:space="preserve">, the cross term </w:t>
      </w:r>
      <m:oMath>
        <m:r>
          <m:t>2</m:t>
        </m:r>
        <m:sSubSup>
          <m:e>
            <m:r>
              <m:t>γ</m:t>
            </m:r>
          </m:e>
          <m:sub>
            <m:r>
              <m:t>n</m:t>
            </m:r>
          </m:sub>
          <m:sup>
            <m:d>
              <m:e>
                <m:r>
                  <m:t>2</m:t>
                </m:r>
              </m:e>
            </m:d>
          </m:sup>
        </m:sSubSup>
        <m:sSub>
          <m:e>
            <m:r>
              <m:t>s</m:t>
            </m:r>
          </m:e>
          <m:sub>
            <m:r>
              <m:t>n</m:t>
            </m:r>
          </m:sub>
        </m:sSub>
        <m:sSub>
          <m:e>
            <m:r>
              <m:t>B</m:t>
            </m:r>
          </m:e>
          <m:sub>
            <m:r>
              <m:t>g</m:t>
            </m:r>
          </m:sub>
        </m:sSub>
        <m:d>
          <m:e>
            <m:sSub>
              <m:e>
                <m:r>
                  <m:t>F</m:t>
                </m:r>
              </m:e>
              <m:sub>
                <m:r>
                  <m:t>n</m:t>
                </m:r>
              </m:sub>
            </m:sSub>
            <m:r>
              <m:t>,</m:t>
            </m:r>
            <m:sSub>
              <m:e>
                <m:r>
                  <m:t>r</m:t>
                </m:r>
              </m:e>
              <m:sub>
                <m:r>
                  <m:t>n</m:t>
                </m:r>
              </m:sub>
            </m:sSub>
          </m:e>
        </m:d>
      </m:oMath>
      <w:r>
        <w:rPr>
          <w:rtl w:val="0"/>
          <w:lang w:val="en-US"/>
        </w:rPr>
        <w:t xml:space="preserve">, and </w:t>
      </w:r>
      <m:oMath>
        <m:sSubSup>
          <m:e>
            <m:r>
              <m:t>γ</m:t>
            </m:r>
          </m:e>
          <m:sub>
            <m:r>
              <m:t>n</m:t>
            </m:r>
          </m:sub>
          <m:sup>
            <m:d>
              <m:e>
                <m:r>
                  <m:t>2</m:t>
                </m:r>
              </m:e>
            </m:d>
          </m:sup>
        </m:sSubSup>
        <m:sSub>
          <m:e>
            <m:r>
              <m:t>B</m:t>
            </m:r>
          </m:e>
          <m:sub>
            <m:r>
              <m:t>g</m:t>
            </m:r>
          </m:sub>
        </m:sSub>
        <m:d>
          <m:e>
            <m:sSub>
              <m:e>
                <m:r>
                  <m:t>r</m:t>
                </m:r>
              </m:e>
              <m:sub>
                <m:r>
                  <m:t>n</m:t>
                </m:r>
              </m:sub>
            </m:sSub>
            <m:r>
              <m:t>,</m:t>
            </m:r>
            <m:sSub>
              <m:e>
                <m:r>
                  <m:t>r</m:t>
                </m:r>
              </m:e>
              <m:sub>
                <m:r>
                  <m:t>n</m:t>
                </m:r>
              </m:sub>
            </m:sSub>
          </m:e>
        </m:d>
      </m:oMath>
      <w:r>
        <w:rPr>
          <w:rtl w:val="0"/>
          <w:lang w:val="en-US"/>
        </w:rPr>
        <w:t xml:space="preserve">. On a compact region </w:t>
      </w:r>
      <m:oMath>
        <m:d>
          <m:dPr>
            <m:begChr m:val="|"/>
            <m:endChr m:val="|"/>
          </m:dPr>
          <m:e>
            <m:sSub>
              <m:e>
                <m:r>
                  <m:t>B</m:t>
                </m:r>
              </m:e>
              <m:sub>
                <m:r>
                  <m:t>g</m:t>
                </m:r>
              </m:sub>
            </m:sSub>
            <m:d>
              <m:e>
                <m:r>
                  <m:t>F,G</m:t>
                </m:r>
              </m:e>
            </m:d>
          </m:e>
        </m:d>
        <m:r>
          <m:t>≤</m:t>
        </m:r>
        <m:sSub>
          <m:e>
            <m:r>
              <m:t>C</m:t>
            </m:r>
          </m:e>
          <m:sub>
            <m:r>
              <m:t>K</m:t>
            </m:r>
          </m:sub>
        </m:sSub>
        <m:d>
          <m:dPr>
            <m:begChr m:val="|"/>
            <m:endChr m:val="|"/>
          </m:dPr>
          <m:e>
            <m:r>
              <m:t>F</m:t>
            </m:r>
          </m:e>
        </m:d>
        <m:d>
          <m:dPr>
            <m:begChr m:val="|"/>
            <m:endChr m:val="|"/>
          </m:dPr>
          <m:e>
            <m:r>
              <m:t>G</m:t>
            </m:r>
          </m:e>
        </m:d>
      </m:oMath>
      <w:r>
        <w:rPr>
          <w:rtl w:val="0"/>
          <w:lang w:val="en-US"/>
        </w:rPr>
        <w:t>. Integration and Cauchy</w:t>
      </w:r>
      <w:r>
        <w:rPr>
          <w:rtl w:val="0"/>
          <w:lang w:val="en-US"/>
        </w:rPr>
        <w:t>–</w:t>
      </w:r>
      <w:r>
        <w:rPr>
          <w:rtl w:val="0"/>
          <w:lang w:val="en-US"/>
        </w:rPr>
        <w:t>Schwarz give (18.2). Uniform changes of the coefficients of this bilinear map add their supremum difference times the bounded squared field norms; measure changes are treated in the same way.</w:t>
      </w:r>
      <w:r>
        <w:rPr>
          <w:rtl w:val="0"/>
          <w:lang w:val="en-US"/>
        </w:rPr>
        <w:t> □</w:t>
      </w:r>
    </w:p>
    <w:p>
      <w:pPr>
        <w:pStyle w:val="Текстовый блок"/>
        <w:spacing w:line="240" w:lineRule="atLeast"/>
      </w:pPr>
      <w:r>
        <w:rPr>
          <w:rtl w:val="0"/>
          <w:lang w:val="en-US"/>
        </w:rPr>
        <w:t xml:space="preserve">The constants </w:t>
      </w:r>
      <m:oMath>
        <m:sSub>
          <m:e>
            <m:r>
              <m:t>s</m:t>
            </m:r>
          </m:e>
          <m:sub>
            <m:r>
              <m:t>n</m:t>
            </m:r>
          </m:sub>
        </m:sSub>
      </m:oMath>
      <w:r>
        <w:rPr>
          <w:rtl w:val="0"/>
          <w:lang w:val="en-US"/>
        </w:rPr>
        <w:t xml:space="preserve"> describe a common field readout change and the normalisation condition matches the action, not the desired stress itself. With fixed normalisation, </w:t>
      </w:r>
      <m:oMath>
        <m:sSub>
          <m:e>
            <m:r>
              <m:t>s</m:t>
            </m:r>
          </m:e>
          <m:sub>
            <m:r>
              <m:t>n</m:t>
            </m:r>
          </m:sub>
        </m:sSub>
        <m:r>
          <m:t>=1</m:t>
        </m:r>
      </m:oMath>
      <w:r>
        <w:rPr>
          <w:rtl w:val="0"/>
          <w:lang w:val="en-US"/>
        </w:rPr>
        <w:t xml:space="preserve"> is the simplest case. Gauge-fixed potentials converging strongly in </w:t>
      </w:r>
      <m:oMath>
        <m:sSup>
          <m:e>
            <m:r>
              <m:t>H</m:t>
            </m:r>
          </m:e>
          <m:sup>
            <m:r>
              <m:t>1</m:t>
            </m:r>
          </m:sup>
        </m:sSup>
      </m:oMath>
      <w:r>
        <w:rPr>
          <w:rtl w:val="0"/>
          <w:lang w:val="en-US"/>
        </w:rPr>
        <w:t xml:space="preserve"> on a spacetime region give the needed strong convergence of </w:t>
      </w:r>
      <m:oMath>
        <m:r>
          <m:t>F=</m:t>
        </m:r>
        <m:r>
          <m:rPr>
            <m:sty m:val="p"/>
          </m:rPr>
          <m:t>d</m:t>
        </m:r>
        <m:r>
          <m:t>A</m:t>
        </m:r>
      </m:oMath>
      <w:r>
        <w:rPr>
          <w:rtl w:val="0"/>
          <w:lang w:val="en-US"/>
        </w:rPr>
        <w:t xml:space="preserve">. For uniform-in-time spatial stress convergence one can instead impose uniform </w:t>
      </w:r>
      <m:oMath>
        <m:sSup>
          <m:e>
            <m:r>
              <m:t>L</m:t>
            </m:r>
          </m:e>
          <m:sup>
            <m:r>
              <m:t>2</m:t>
            </m:r>
          </m:sup>
        </m:sSup>
      </m:oMath>
      <w:r>
        <w:rPr>
          <w:rtl w:val="0"/>
          <w:lang w:val="en-US"/>
        </w:rPr>
        <w:t xml:space="preserve"> convergence of </w:t>
      </w:r>
      <m:oMath>
        <m:r>
          <m:rPr>
            <m:sty m:val="b"/>
          </m:rPr>
          <m:t>E</m:t>
        </m:r>
      </m:oMath>
      <w:r>
        <w:rPr>
          <w:rtl w:val="0"/>
          <w:lang w:val="en-US"/>
        </w:rPr>
        <w:t xml:space="preserve"> and </w:t>
      </w:r>
      <m:oMath>
        <m:r>
          <m:rPr>
            <m:sty m:val="b"/>
          </m:rPr>
          <m:t>B</m:t>
        </m:r>
      </m:oMath>
      <w:r>
        <w:rPr>
          <w:rtl w:val="0"/>
          <w:lang w:val="en-US"/>
        </w:rPr>
        <w:t xml:space="preserve"> on the time slices.</w:t>
      </w:r>
    </w:p>
    <w:p>
      <w:pPr>
        <w:pStyle w:val="Текстовый блок"/>
        <w:keepLines w:val="1"/>
        <w:spacing w:before="60" w:line="240" w:lineRule="atLeast"/>
      </w:pPr>
      <w:r>
        <w:rPr>
          <w:b w:val="1"/>
          <w:bCs w:val="1"/>
          <w:rtl w:val="0"/>
          <w:lang w:val="en-US"/>
        </w:rPr>
        <w:t>Corollary 18.2 (Fluxes and ratios).</w:t>
      </w:r>
      <w:r>
        <w:rPr>
          <w:rtl w:val="0"/>
          <w:lang w:val="de-DE"/>
        </w:rPr>
        <w:t xml:space="preserve"> Under Proposition</w:t>
      </w:r>
      <w:r>
        <w:rPr>
          <w:rtl w:val="0"/>
          <w:lang w:val="en-US"/>
        </w:rPr>
        <w:t> </w:t>
      </w:r>
      <w:r>
        <w:rPr>
          <w:rtl w:val="0"/>
          <w:lang w:val="en-US"/>
        </w:rPr>
        <w:t xml:space="preserve">18.1, bounded volume-smeared stress and flux readouts converge. Ratios of such readouts converge when the limiting denominator is bounded away from zero. For surface traction and beam pressure the same conclusion holds if the traces of the reconstructed fields on the measurement world surface satisfy the analogous </w:t>
      </w:r>
      <m:oMath>
        <m:sSup>
          <m:e>
            <m:r>
              <m:t>L</m:t>
            </m:r>
          </m:e>
          <m:sup>
            <m:r>
              <m:t>2</m:t>
            </m:r>
          </m:sup>
        </m:sSup>
      </m:oMath>
      <w:r>
        <w:rPr>
          <w:rtl w:val="0"/>
          <w:lang w:val="en-US"/>
        </w:rPr>
        <w:t xml:space="preserve"> conditions and the boundary scattering and readout maps agree.</w:t>
      </w:r>
    </w:p>
    <w:p>
      <w:pPr>
        <w:pStyle w:val="Текстовый блок"/>
        <w:spacing w:line="240" w:lineRule="atLeast"/>
      </w:pPr>
      <w:r>
        <w:rPr>
          <w:rtl w:val="0"/>
          <w:lang w:val="en-US"/>
        </w:rPr>
        <w:t>The volume estimate alone does not provide a trace theorem. A trace condition, such as a suitable stronger Sobolev bound and trace convergence, must be proved from a model of the fields and boundary; it is not supplied by cone equality. Noninvertible coarse-graining that removes sectors or boundary observables is likewise outside this equivalence statement.</w:t>
      </w:r>
      <w:bookmarkEnd w:id="55"/>
    </w:p>
    <w:p>
      <w:pPr>
        <w:pStyle w:val="Заголовок 3"/>
        <w:spacing w:line="240" w:lineRule="atLeast"/>
      </w:pPr>
      <w:bookmarkStart w:name="X8e6de2efde0b53800eff2184aa717b235f7bf3e" w:id="56"/>
      <w:r>
        <w:rPr>
          <w:rtl w:val="0"/>
          <w:lang w:val="en-US"/>
        </w:rPr>
        <w:t>18.2. An exact counterexample to weaker control</w:t>
      </w:r>
    </w:p>
    <w:p>
      <w:pPr>
        <w:pStyle w:val="Текстовый блок"/>
        <w:keepLines w:val="1"/>
        <w:spacing w:before="60" w:line="240" w:lineRule="atLeast"/>
      </w:pPr>
      <w:r>
        <w:rPr>
          <w:b w:val="1"/>
          <w:bCs w:val="1"/>
          <w:rtl w:val="0"/>
          <w:lang w:val="en-US"/>
        </w:rPr>
        <w:t>Proposition 18.3 (Strong potentials can hide finite radiation stress).</w:t>
      </w:r>
    </w:p>
    <w:p>
      <w:pPr>
        <w:pStyle w:val="Текстовый блок"/>
        <w:spacing w:line="240" w:lineRule="atLeast"/>
      </w:pPr>
      <w:r>
        <w:rPr>
          <w:rtl w:val="0"/>
          <w:lang w:val="en-US"/>
        </w:rPr>
        <w:t xml:space="preserve">In flat </w:t>
      </w:r>
      <m:oMath>
        <m:r>
          <m:t>c=γ=1</m:t>
        </m:r>
      </m:oMath>
      <w:r>
        <w:rPr>
          <w:rtl w:val="0"/>
          <w:lang w:val="en-US"/>
        </w:rPr>
        <w:t xml:space="preserve"> Maxwell theory, the source-free potentials</w:t>
      </w:r>
    </w:p>
    <w:tbl>
      <w:tblPr>
        <w:tblW w:w="9522"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666"/>
        <w:gridCol w:w="8190"/>
        <w:gridCol w:w="666"/>
      </w:tblGrid>
      <w:tr>
        <w:tblPrEx>
          <w:shd w:val="clear" w:color="auto" w:fill="ced7e7"/>
        </w:tblPrEx>
        <w:trPr>
          <w:trHeight w:val="500" w:hRule="atLeast"/>
        </w:trPr>
        <w:tc>
          <w:tcPr>
            <w:tcW w:type="dxa" w:w="666"/>
            <w:tcBorders>
              <w:top w:val="nil"/>
              <w:left w:val="nil"/>
              <w:bottom w:val="nil"/>
              <w:right w:val="nil"/>
            </w:tcBorders>
            <w:shd w:val="clear" w:color="auto" w:fill="auto"/>
            <w:tcMar>
              <w:top w:type="dxa" w:w="80"/>
              <w:left w:type="dxa" w:w="80"/>
              <w:bottom w:type="dxa" w:w="80"/>
              <w:right w:type="dxa" w:w="80"/>
            </w:tcMar>
            <w:vAlign w:val="top"/>
          </w:tcPr>
          <w:p/>
        </w:tc>
        <w:tc>
          <w:tcPr>
            <w:tcW w:type="dxa" w:w="8190"/>
            <w:tcBorders>
              <w:top w:val="nil"/>
              <w:left w:val="nil"/>
              <w:bottom w:val="nil"/>
              <w:right w:val="nil"/>
            </w:tcBorders>
            <w:shd w:val="clear" w:color="auto" w:fill="auto"/>
            <w:tcMar>
              <w:top w:type="dxa" w:w="80"/>
              <w:left w:type="dxa" w:w="80"/>
              <w:bottom w:type="dxa" w:w="80"/>
              <w:right w:type="dxa" w:w="80"/>
            </w:tcMar>
            <w:vAlign w:val="top"/>
          </w:tcPr>
          <w:p>
            <w:pPr>
              <w:pStyle w:val="Текстовый блок"/>
              <w:spacing w:after="40" w:line="240" w:lineRule="auto"/>
              <w:jc w:val="center"/>
            </w:pPr>
            <m:oMathPara>
              <m:oMathParaPr>
                <m:jc m:val="center"/>
              </m:oMathParaPr>
              <m:oMath>
                <m:sSubSup>
                  <m:e>
                    <m:r>
                      <m:t>A</m:t>
                    </m:r>
                  </m:e>
                  <m:sub>
                    <m:r>
                      <m:t>y</m:t>
                    </m:r>
                  </m:sub>
                  <m:sup>
                    <m:d>
                      <m:e>
                        <m:r>
                          <m:t>n</m:t>
                        </m:r>
                      </m:e>
                    </m:d>
                  </m:sup>
                </m:sSubSup>
                <m:r>
                  <m:t>=</m:t>
                </m:r>
                <m:f>
                  <m:fPr>
                    <m:type m:val="bar"/>
                  </m:fPr>
                  <m:num>
                    <m:r>
                      <m:rPr>
                        <m:sty m:val="p"/>
                      </m:rPr>
                      <m:t>sin</m:t>
                    </m:r>
                    <m:r>
                      <m:t>n</m:t>
                    </m:r>
                    <m:d>
                      <m:e>
                        <m:r>
                          <m:t>z−t</m:t>
                        </m:r>
                      </m:e>
                    </m:d>
                  </m:num>
                  <m:den>
                    <m:r>
                      <m:t>n</m:t>
                    </m:r>
                  </m:den>
                </m:f>
                <m:r>
                  <m:t>,</m:t>
                </m:r>
                <m:sSubSup>
                  <m:e>
                    <m:r>
                      <m:t>A</m:t>
                    </m:r>
                  </m:e>
                  <m:sub>
                    <m:r>
                      <m:t>0</m:t>
                    </m:r>
                  </m:sub>
                  <m:sup>
                    <m:d>
                      <m:e>
                        <m:r>
                          <m:t>n</m:t>
                        </m:r>
                      </m:e>
                    </m:d>
                  </m:sup>
                </m:sSubSup>
                <m:r>
                  <m:t>=</m:t>
                </m:r>
                <m:sSubSup>
                  <m:e>
                    <m:r>
                      <m:t>A</m:t>
                    </m:r>
                  </m:e>
                  <m:sub>
                    <m:r>
                      <m:t>x</m:t>
                    </m:r>
                  </m:sub>
                  <m:sup>
                    <m:d>
                      <m:e>
                        <m:r>
                          <m:t>n</m:t>
                        </m:r>
                      </m:e>
                    </m:d>
                  </m:sup>
                </m:sSubSup>
                <m:r>
                  <m:t>=</m:t>
                </m:r>
                <m:sSubSup>
                  <m:e>
                    <m:r>
                      <m:t>A</m:t>
                    </m:r>
                  </m:e>
                  <m:sub>
                    <m:r>
                      <m:t>z</m:t>
                    </m:r>
                  </m:sub>
                  <m:sup>
                    <m:d>
                      <m:e>
                        <m:r>
                          <m:t>n</m:t>
                        </m:r>
                      </m:e>
                    </m:d>
                  </m:sup>
                </m:sSubSup>
                <m:r>
                  <m:t>=0</m:t>
                </m:r>
              </m:oMath>
            </m:oMathPara>
          </w:p>
        </w:tc>
        <w:tc>
          <w:tcPr>
            <w:tcW w:type="dxa" w:w="666"/>
            <w:tcBorders>
              <w:top w:val="nil"/>
              <w:left w:val="nil"/>
              <w:bottom w:val="nil"/>
              <w:right w:val="nil"/>
            </w:tcBorders>
            <w:shd w:val="clear" w:color="auto" w:fill="auto"/>
            <w:tcMar>
              <w:top w:type="dxa" w:w="80"/>
              <w:left w:type="dxa" w:w="80"/>
              <w:bottom w:type="dxa" w:w="80"/>
              <w:right w:type="dxa" w:w="80"/>
            </w:tcMar>
            <w:vAlign w:val="top"/>
          </w:tcPr>
          <w:p>
            <w:pPr>
              <w:pStyle w:val="Normal.0"/>
              <w:spacing w:after="40" w:line="240" w:lineRule="auto"/>
              <w:jc w:val="right"/>
            </w:pPr>
            <w:r>
              <w:rPr>
                <w:sz w:val="18"/>
                <w:szCs w:val="18"/>
                <w:rtl w:val="0"/>
                <w:lang w:val="en-US"/>
              </w:rPr>
              <w:t>(18.3)</w:t>
            </w:r>
          </w:p>
        </w:tc>
      </w:tr>
    </w:tbl>
    <w:p>
      <w:pPr>
        <w:pStyle w:val="Текстовый блок"/>
        <w:widowControl w:val="0"/>
        <w:spacing w:line="240" w:lineRule="atLeast"/>
        <w:jc w:val="center"/>
      </w:pPr>
    </w:p>
    <w:p>
      <w:pPr>
        <w:pStyle w:val="Текстовый блок"/>
        <w:spacing w:line="240" w:lineRule="atLeast"/>
      </w:pPr>
      <w:r>
        <w:rPr>
          <w:rtl w:val="0"/>
          <w:lang w:val="en-US"/>
        </w:rPr>
        <w:t>converge locally uniformly to zero, while their stresses do not converge to the stress of that limiting potential.</w:t>
      </w:r>
    </w:p>
    <w:p>
      <w:pPr>
        <w:pStyle w:val="Текстовый блок"/>
        <w:spacing w:before="20" w:line="240" w:lineRule="atLeast"/>
      </w:pPr>
      <w:r>
        <w:rPr>
          <w:i w:val="1"/>
          <w:iCs w:val="1"/>
          <w:rtl w:val="0"/>
          <w:lang w:val="en-US"/>
        </w:rPr>
        <w:t>Proof.</w:t>
      </w:r>
      <w:r>
        <w:rPr>
          <w:rtl w:val="0"/>
          <w:lang w:val="en-US"/>
        </w:rPr>
        <w:t xml:space="preserve"> The Lorenz condition and wave equation hold exactly. The fields are </w:t>
      </w:r>
      <m:oMath>
        <m:sSubSup>
          <m:e>
            <m:r>
              <m:t>E</m:t>
            </m:r>
          </m:e>
          <m:sub>
            <m:r>
              <m:t>y</m:t>
            </m:r>
          </m:sub>
          <m:sup>
            <m:d>
              <m:e>
                <m:r>
                  <m:t>n</m:t>
                </m:r>
              </m:e>
            </m:d>
          </m:sup>
        </m:sSubSup>
        <m:r>
          <m:t>=</m:t>
        </m:r>
        <m:r>
          <m:rPr>
            <m:sty m:val="p"/>
          </m:rPr>
          <m:t>cos</m:t>
        </m:r>
        <m:r>
          <m:t>n</m:t>
        </m:r>
        <m:d>
          <m:e>
            <m:r>
              <m:t>z−t</m:t>
            </m:r>
          </m:e>
        </m:d>
      </m:oMath>
      <w:r>
        <w:rPr>
          <w:rtl w:val="0"/>
          <w:lang w:val="en-US"/>
        </w:rPr>
        <w:t xml:space="preserve"> and </w:t>
      </w:r>
      <m:oMath>
        <m:sSubSup>
          <m:e>
            <m:r>
              <m:t>B</m:t>
            </m:r>
          </m:e>
          <m:sub>
            <m:r>
              <m:t>x</m:t>
            </m:r>
          </m:sub>
          <m:sup>
            <m:d>
              <m:e>
                <m:r>
                  <m:t>n</m:t>
                </m:r>
              </m:e>
            </m:d>
          </m:sup>
        </m:sSubSup>
        <m:r>
          <m:t>=−</m:t>
        </m:r>
        <m:r>
          <m:rPr>
            <m:sty m:val="p"/>
          </m:rPr>
          <m:t>cos</m:t>
        </m:r>
        <m:r>
          <m:t>n</m:t>
        </m:r>
        <m:d>
          <m:e>
            <m:r>
              <m:t>z−t</m:t>
            </m:r>
          </m:e>
        </m:d>
      </m:oMath>
      <w:r>
        <w:rPr>
          <w:rtl w:val="0"/>
          <w:lang w:val="en-US"/>
        </w:rPr>
        <w:t>. They converge weakly locally to zero, but</w:t>
      </w:r>
    </w:p>
    <w:tbl>
      <w:tblPr>
        <w:tblW w:w="9522"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666"/>
        <w:gridCol w:w="8190"/>
        <w:gridCol w:w="666"/>
      </w:tblGrid>
      <w:tr>
        <w:tblPrEx>
          <w:shd w:val="clear" w:color="auto" w:fill="ced7e7"/>
        </w:tblPrEx>
        <w:trPr>
          <w:trHeight w:val="412" w:hRule="atLeast"/>
        </w:trPr>
        <w:tc>
          <w:tcPr>
            <w:tcW w:type="dxa" w:w="666"/>
            <w:tcBorders>
              <w:top w:val="nil"/>
              <w:left w:val="nil"/>
              <w:bottom w:val="nil"/>
              <w:right w:val="nil"/>
            </w:tcBorders>
            <w:shd w:val="clear" w:color="auto" w:fill="auto"/>
            <w:tcMar>
              <w:top w:type="dxa" w:w="80"/>
              <w:left w:type="dxa" w:w="80"/>
              <w:bottom w:type="dxa" w:w="80"/>
              <w:right w:type="dxa" w:w="80"/>
            </w:tcMar>
            <w:vAlign w:val="top"/>
          </w:tcPr>
          <w:p/>
        </w:tc>
        <w:tc>
          <w:tcPr>
            <w:tcW w:type="dxa" w:w="8190"/>
            <w:tcBorders>
              <w:top w:val="nil"/>
              <w:left w:val="nil"/>
              <w:bottom w:val="nil"/>
              <w:right w:val="nil"/>
            </w:tcBorders>
            <w:shd w:val="clear" w:color="auto" w:fill="auto"/>
            <w:tcMar>
              <w:top w:type="dxa" w:w="80"/>
              <w:left w:type="dxa" w:w="80"/>
              <w:bottom w:type="dxa" w:w="80"/>
              <w:right w:type="dxa" w:w="80"/>
            </w:tcMar>
            <w:vAlign w:val="top"/>
          </w:tcPr>
          <w:p>
            <w:pPr>
              <w:pStyle w:val="Текстовый блок"/>
              <w:spacing w:after="40" w:line="240" w:lineRule="auto"/>
              <w:jc w:val="center"/>
            </w:pPr>
            <m:oMathPara>
              <m:oMathParaPr>
                <m:jc m:val="center"/>
              </m:oMathParaPr>
              <m:oMath>
                <m:sSubSup>
                  <m:e>
                    <m:r>
                      <m:t>T</m:t>
                    </m:r>
                  </m:e>
                  <m:sub>
                    <m:r>
                      <m:t>n</m:t>
                    </m:r>
                  </m:sub>
                  <m:sup>
                    <m:r>
                      <m:t>μν</m:t>
                    </m:r>
                  </m:sup>
                </m:sSubSup>
                <m:r>
                  <m:t>=</m:t>
                </m:r>
                <m:sSup>
                  <m:e>
                    <m:r>
                      <m:rPr>
                        <m:sty m:val="p"/>
                      </m:rPr>
                      <m:t>cos</m:t>
                    </m:r>
                  </m:e>
                  <m:sup>
                    <m:r>
                      <m:t>2</m:t>
                    </m:r>
                  </m:sup>
                </m:sSup>
                <m:r>
                  <m:t>n</m:t>
                </m:r>
                <m:d>
                  <m:e>
                    <m:r>
                      <m:t>z−t</m:t>
                    </m:r>
                  </m:e>
                </m:d>
                <m:r>
                  <m:t/>
                </m:r>
                <m:sSup>
                  <m:e>
                    <m:r>
                      <m:rPr>
                        <m:sty m:val="p"/>
                      </m:rPr>
                      <m:t>ℓ</m:t>
                    </m:r>
                  </m:e>
                  <m:sup>
                    <m:r>
                      <m:t>μ</m:t>
                    </m:r>
                  </m:sup>
                </m:sSup>
                <m:sSup>
                  <m:e>
                    <m:r>
                      <m:rPr>
                        <m:sty m:val="p"/>
                      </m:rPr>
                      <m:t>ℓ</m:t>
                    </m:r>
                  </m:e>
                  <m:sup>
                    <m:r>
                      <m:t>ν</m:t>
                    </m:r>
                  </m:sup>
                </m:sSup>
                <m:r>
                  <m:t>⇀</m:t>
                </m:r>
                <m:f>
                  <m:fPr>
                    <m:type m:val="lin"/>
                  </m:fPr>
                  <m:num>
                    <m:r>
                      <m:t>1</m:t>
                    </m:r>
                  </m:num>
                  <m:den>
                    <m:r>
                      <m:t>2</m:t>
                    </m:r>
                  </m:den>
                </m:f>
                <m:sSup>
                  <m:e>
                    <m:r>
                      <m:rPr>
                        <m:sty m:val="p"/>
                      </m:rPr>
                      <m:t>ℓ</m:t>
                    </m:r>
                  </m:e>
                  <m:sup>
                    <m:r>
                      <m:t>μ</m:t>
                    </m:r>
                  </m:sup>
                </m:sSup>
                <m:sSup>
                  <m:e>
                    <m:r>
                      <m:rPr>
                        <m:sty m:val="p"/>
                      </m:rPr>
                      <m:t>ℓ</m:t>
                    </m:r>
                  </m:e>
                  <m:sup>
                    <m:r>
                      <m:t>ν</m:t>
                    </m:r>
                  </m:sup>
                </m:sSup>
                <m:r>
                  <m:t>,</m:t>
                </m:r>
                <m:r>
                  <m:rPr>
                    <m:sty m:val="p"/>
                  </m:rPr>
                  <m:t>ℓ</m:t>
                </m:r>
                <m:r>
                  <m:t>=</m:t>
                </m:r>
                <m:d>
                  <m:e>
                    <m:r>
                      <m:t>1,0,0,1</m:t>
                    </m:r>
                  </m:e>
                </m:d>
                <m:r>
                  <m:t>.</m:t>
                </m:r>
              </m:oMath>
            </m:oMathPara>
          </w:p>
        </w:tc>
        <w:tc>
          <w:tcPr>
            <w:tcW w:type="dxa" w:w="666"/>
            <w:tcBorders>
              <w:top w:val="nil"/>
              <w:left w:val="nil"/>
              <w:bottom w:val="nil"/>
              <w:right w:val="nil"/>
            </w:tcBorders>
            <w:shd w:val="clear" w:color="auto" w:fill="auto"/>
            <w:tcMar>
              <w:top w:type="dxa" w:w="80"/>
              <w:left w:type="dxa" w:w="80"/>
              <w:bottom w:type="dxa" w:w="80"/>
              <w:right w:type="dxa" w:w="80"/>
            </w:tcMar>
            <w:vAlign w:val="top"/>
          </w:tcPr>
          <w:p>
            <w:pPr>
              <w:pStyle w:val="Normal.0"/>
              <w:spacing w:after="40" w:line="240" w:lineRule="auto"/>
              <w:jc w:val="right"/>
            </w:pPr>
            <w:r>
              <w:rPr>
                <w:sz w:val="18"/>
                <w:szCs w:val="18"/>
                <w:rtl w:val="0"/>
                <w:lang w:val="en-US"/>
              </w:rPr>
              <w:t>(18.4)</w:t>
            </w:r>
          </w:p>
        </w:tc>
      </w:tr>
    </w:tbl>
    <w:p>
      <w:pPr>
        <w:pStyle w:val="Текстовый блок"/>
        <w:widowControl w:val="0"/>
        <w:spacing w:before="20" w:line="240" w:lineRule="atLeast"/>
        <w:jc w:val="center"/>
      </w:pPr>
    </w:p>
    <w:p>
      <w:pPr>
        <w:pStyle w:val="Текстовый блок"/>
        <w:spacing w:line="240" w:lineRule="atLeast"/>
      </w:pPr>
      <w:r>
        <w:rPr>
          <w:rtl w:val="0"/>
          <w:lang w:val="en-US"/>
        </w:rPr>
        <w:t xml:space="preserve">The oscillatory cosine term in </w:t>
      </w:r>
      <m:oMath>
        <m:sSup>
          <m:e>
            <m:r>
              <m:rPr>
                <m:sty m:val="p"/>
              </m:rPr>
              <m:t>cos</m:t>
            </m:r>
          </m:e>
          <m:sup>
            <m:r>
              <m:t>2</m:t>
            </m:r>
          </m:sup>
        </m:sSup>
        <m:r>
          <m:t>=</m:t>
        </m:r>
        <m:d>
          <m:e>
            <m:r>
              <m:t>1+</m:t>
            </m:r>
            <m:r>
              <m:rPr>
                <m:sty m:val="p"/>
              </m:rPr>
              <m:t>cos</m:t>
            </m:r>
            <m:r>
              <m:t>2n</m:t>
            </m:r>
            <m:d>
              <m:e>
                <m:r>
                  <m:t>z−t</m:t>
                </m:r>
              </m:e>
            </m:d>
          </m:e>
        </m:d>
        <m:r>
          <m:t>/2</m:t>
        </m:r>
      </m:oMath>
      <w:r>
        <w:rPr>
          <w:rtl w:val="0"/>
          <w:lang w:val="en-US"/>
        </w:rPr>
        <w:t xml:space="preserve"> vanishes against smooth compact tests. The limit is nonzero, while </w:t>
      </w:r>
      <m:oMath>
        <m:r>
          <m:t>T</m:t>
        </m:r>
        <m:d>
          <m:dPr>
            <m:begChr m:val="["/>
            <m:endChr m:val="]"/>
          </m:dPr>
          <m:e>
            <m:r>
              <m:t>0</m:t>
            </m:r>
          </m:e>
        </m:d>
        <m:r>
          <m:t>=0</m:t>
        </m:r>
      </m:oMath>
      <w:r>
        <w:rPr>
          <w:rtl w:val="0"/>
        </w:rPr>
        <w:t>.</w:t>
      </w:r>
      <w:r>
        <w:rPr>
          <w:rtl w:val="0"/>
          <w:lang w:val="en-US"/>
        </w:rPr>
        <w:t> □</w:t>
      </w:r>
    </w:p>
    <w:p>
      <w:pPr>
        <w:pStyle w:val="Текстовый блок"/>
        <w:spacing w:line="240" w:lineRule="atLeast"/>
      </w:pPr>
      <w:r>
        <w:rPr>
          <w:rtl w:val="0"/>
          <w:lang w:val="en-US"/>
        </w:rPr>
        <w:t>All these fields use the same Maxwell operator, cone and normalisation. The failure is missing strong derivative/energy control, not a change of units. It is compatible with the fixed-input strong response results of [36]. The sequence carries a quadratic high-frequency defect that a weak field reconstruction loses. Consequently response convergence alone cannot be promoted to stress convergence for arbitrary moving input sequences.</w:t>
      </w:r>
    </w:p>
    <w:p>
      <w:pPr>
        <w:pStyle w:val="Текстовый блок"/>
        <w:spacing w:line="240" w:lineRule="atLeast"/>
      </w:pPr>
      <w:r>
        <w:rPr>
          <w:rtl w:val="0"/>
          <w:lang w:val="en-US"/>
        </w:rPr>
        <w:t xml:space="preserve">There is an additional scale obstruction. In four dimensions </w:t>
      </w:r>
      <m:oMath>
        <m:sSub>
          <m:e>
            <m:r>
              <m:t>S</m:t>
            </m:r>
          </m:e>
          <m:sub>
            <m:r>
              <m:t>γ</m:t>
            </m:r>
          </m:sub>
        </m:sSub>
        <m:d>
          <m:dPr>
            <m:begChr m:val="["/>
            <m:endChr m:val="]"/>
          </m:dPr>
          <m:e>
            <m:r>
              <m:t>A,</m:t>
            </m:r>
            <m:sSup>
              <m:e>
                <m:r>
                  <m:t>Ω</m:t>
                </m:r>
              </m:e>
              <m:sup>
                <m:r>
                  <m:t>2</m:t>
                </m:r>
              </m:sup>
            </m:sSup>
            <m:r>
              <m:t>g</m:t>
            </m:r>
          </m:e>
        </m:d>
        <m:r>
          <m:t>=</m:t>
        </m:r>
        <m:sSub>
          <m:e>
            <m:r>
              <m:t>S</m:t>
            </m:r>
          </m:e>
          <m:sub>
            <m:r>
              <m:t>γ</m:t>
            </m:r>
          </m:sub>
        </m:sSub>
        <m:d>
          <m:dPr>
            <m:begChr m:val="["/>
            <m:endChr m:val="]"/>
          </m:dPr>
          <m:e>
            <m:r>
              <m:t>A,g</m:t>
            </m:r>
          </m:e>
        </m:d>
      </m:oMath>
      <w:r>
        <w:rPr>
          <w:rtl w:val="0"/>
          <w:lang w:val="en-US"/>
        </w:rPr>
        <w:t xml:space="preserve"> for fixed two-form </w:t>
      </w:r>
      <m:oMath>
        <m:r>
          <m:t>F</m:t>
        </m:r>
      </m:oMath>
      <w:r>
        <w:rPr>
          <w:rtl w:val="0"/>
          <w:lang w:val="en-US"/>
        </w:rPr>
        <w:t xml:space="preserve">, but </w:t>
      </w:r>
      <m:oMath>
        <m:r>
          <m:t>T</m:t>
        </m:r>
        <m:sSub>
          <m:e>
            <m:r>
              <m:t>′</m:t>
            </m:r>
          </m:e>
          <m:sub>
            <m:r>
              <m:t>μν</m:t>
            </m:r>
          </m:sub>
        </m:sSub>
        <m:r>
          <m:t>=</m:t>
        </m:r>
        <m:sSup>
          <m:e>
            <m:r>
              <m:t>Ω</m:t>
            </m:r>
          </m:e>
          <m:sup>
            <m:r>
              <m:t>−2</m:t>
            </m:r>
          </m:sup>
        </m:sSup>
        <m:sSub>
          <m:e>
            <m:r>
              <m:t>T</m:t>
            </m:r>
          </m:e>
          <m:sub>
            <m:r>
              <m:t>μν</m:t>
            </m:r>
          </m:sub>
        </m:sSub>
      </m:oMath>
      <w:r>
        <w:rPr>
          <w:rtl w:val="0"/>
          <w:lang w:val="en-US"/>
        </w:rPr>
        <w:t xml:space="preserve"> and observer energy density </w:t>
      </w:r>
      <m:oMath>
        <m:r>
          <m:t>u′=</m:t>
        </m:r>
        <m:sSup>
          <m:e>
            <m:r>
              <m:t>Ω</m:t>
            </m:r>
          </m:e>
          <m:sup>
            <m:r>
              <m:t>−4</m:t>
            </m:r>
          </m:sup>
        </m:sSup>
        <m:r>
          <m:t>u</m:t>
        </m:r>
      </m:oMath>
      <w:r>
        <w:rPr>
          <w:rtl w:val="0"/>
          <w:lang w:val="en-US"/>
        </w:rPr>
        <w:t>. The cone does not distinguish these representatives. Dimensionless null flux ratios may survive, whereas absolute energy density and pressure require the metric representative and observable calibration. A positive common speed calibration alone is insufficient.</w:t>
      </w:r>
      <w:bookmarkEnd w:id="56"/>
    </w:p>
    <w:p>
      <w:pPr>
        <w:pStyle w:val="Заголовок 3"/>
        <w:spacing w:line="240" w:lineRule="atLeast"/>
      </w:pPr>
      <w:bookmarkStart w:name="Xf6cc1fb14485d7fb124babc73b5bd164de6411d" w:id="57"/>
      <w:r>
        <w:rPr>
          <w:rtl w:val="0"/>
          <w:lang w:val="en-US"/>
        </w:rPr>
        <w:t>18.3. Quantum transport needs an algebra and state</w:t>
      </w:r>
    </w:p>
    <w:p>
      <w:pPr>
        <w:pStyle w:val="Текстовый блок"/>
        <w:spacing w:line="240" w:lineRule="atLeast"/>
      </w:pPr>
      <w:r>
        <w:rPr>
          <w:rtl w:val="0"/>
          <w:lang w:val="en-US"/>
        </w:rPr>
        <w:t xml:space="preserve">For exact field rescalings </w:t>
      </w:r>
      <m:oMath>
        <m:sSub>
          <m:e>
            <m:r>
              <m:t>A</m:t>
            </m:r>
          </m:e>
          <m:sub>
            <m:r>
              <m:t>2</m:t>
            </m:r>
          </m:sub>
        </m:sSub>
        <m:r>
          <m:t>=s</m:t>
        </m:r>
        <m:sSub>
          <m:e>
            <m:r>
              <m:t>A</m:t>
            </m:r>
          </m:e>
          <m:sub>
            <m:r>
              <m:t>1</m:t>
            </m:r>
          </m:sub>
        </m:sSub>
      </m:oMath>
      <w:r>
        <w:rPr>
          <w:rtl w:val="0"/>
          <w:lang w:val="en-US"/>
        </w:rPr>
        <w:t xml:space="preserve"> and </w:t>
      </w:r>
      <m:oMath>
        <m:sSub>
          <m:e>
            <m:r>
              <m:t>γ</m:t>
            </m:r>
          </m:e>
          <m:sub>
            <m:r>
              <m:t>2</m:t>
            </m:r>
          </m:sub>
        </m:sSub>
        <m:sSup>
          <m:e>
            <m:r>
              <m:t>s</m:t>
            </m:r>
          </m:e>
          <m:sup>
            <m:r>
              <m:t>2</m:t>
            </m:r>
          </m:sup>
        </m:sSup>
        <m:r>
          <m:t>=</m:t>
        </m:r>
        <m:sSub>
          <m:e>
            <m:r>
              <m:t>γ</m:t>
            </m:r>
          </m:e>
          <m:sub>
            <m:r>
              <m:t>1</m:t>
            </m:r>
          </m:sub>
        </m:sSub>
      </m:oMath>
      <w:r>
        <w:rPr>
          <w:rtl w:val="0"/>
          <w:lang w:val="en-US"/>
        </w:rPr>
        <w:t xml:space="preserve">, the classical Maxwell symplectic form is preserved after the same local geometric identification: it is bilinear in </w:t>
      </w:r>
      <m:oMath>
        <m:r>
          <m:t>A,F</m:t>
        </m:r>
      </m:oMath>
      <w:r>
        <w:rPr>
          <w:rtl w:val="0"/>
          <w:lang w:val="en-US"/>
        </w:rPr>
        <w:t xml:space="preserve"> and proportional to </w:t>
      </w:r>
      <m:oMath>
        <m:r>
          <m:t>γ</m:t>
        </m:r>
      </m:oMath>
      <w:r>
        <w:rPr>
          <w:rtl w:val="0"/>
          <w:lang w:val="en-US"/>
        </w:rPr>
        <w:t xml:space="preserve">. Therefore the induced map preserves Weyl relations at the same </w:t>
      </w:r>
      <m:oMath>
        <m:r>
          <m:rPr>
            <m:sty m:val="p"/>
          </m:rPr>
          <m:t>ℏ</m:t>
        </m:r>
      </m:oMath>
      <w:r>
        <w:rPr>
          <w:rtl w:val="0"/>
          <w:lang w:val="en-US"/>
        </w:rPr>
        <w:t>. If it also respects localisation, it preserves commutator support; if the states are identified, their correlation functions of corresponding smeared observables agree. A state-preserving algebra isomorphism is unitarily implemented between its cyclic GNS representations. This does not assert unitary equivalence for arbitrary unmatched QFT states [47].</w:t>
      </w:r>
    </w:p>
    <w:p>
      <w:pPr>
        <w:pStyle w:val="Текстовый блок"/>
        <w:spacing w:line="240" w:lineRule="atLeast"/>
      </w:pPr>
      <w:r>
        <w:rPr>
          <w:rtl w:val="0"/>
          <w:lang w:val="en-US"/>
        </w:rPr>
        <w:t>Distributional convergence of two-point functions alone still does not justify taking coincident derivatives in a renormalised stress tensor. Here is a separate sufficient condition in a fixed scalar control theory.</w:t>
      </w:r>
    </w:p>
    <w:p>
      <w:pPr>
        <w:pStyle w:val="Текстовый блок"/>
        <w:keepLines w:val="1"/>
        <w:spacing w:before="60" w:line="240" w:lineRule="atLeast"/>
      </w:pPr>
      <w:r>
        <w:rPr>
          <w:b w:val="1"/>
          <w:bCs w:val="1"/>
          <w:rtl w:val="0"/>
          <w:lang w:val="en-US"/>
        </w:rPr>
        <w:t>Proposition 18.4 (Conditional quantum stress convergence).</w:t>
      </w:r>
      <w:r>
        <w:rPr>
          <w:rtl w:val="0"/>
          <w:lang w:val="en-US"/>
        </w:rPr>
        <w:t xml:space="preserve"> Fix a smooth metric, a common Hadamard subtraction </w:t>
      </w:r>
      <m:oMath>
        <m:sSub>
          <m:e>
            <m:r>
              <m:t>H</m:t>
            </m:r>
          </m:e>
          <m:sub>
            <m:r>
              <m:rPr>
                <m:sty m:val="p"/>
              </m:rPr>
              <m:t>sing</m:t>
            </m:r>
          </m:sub>
        </m:sSub>
      </m:oMath>
      <w:r>
        <w:rPr>
          <w:rtl w:val="0"/>
          <w:lang w:val="en-US"/>
        </w:rPr>
        <w:t xml:space="preserve"> and a common local renormalisation prescription. Let Hadamard two-point functions be </w:t>
      </w:r>
      <m:oMath>
        <m:sSub>
          <m:e>
            <m:r>
              <m:t>W</m:t>
            </m:r>
          </m:e>
          <m:sub>
            <m:r>
              <m:t>n</m:t>
            </m:r>
          </m:sub>
        </m:sSub>
        <m:r>
          <m:t>=</m:t>
        </m:r>
        <m:sSub>
          <m:e>
            <m:r>
              <m:t>H</m:t>
            </m:r>
          </m:e>
          <m:sub>
            <m:r>
              <m:rPr>
                <m:sty m:val="p"/>
              </m:rPr>
              <m:t>sing</m:t>
            </m:r>
          </m:sub>
        </m:sSub>
        <m:r>
          <m:t>+</m:t>
        </m:r>
        <m:sSub>
          <m:e>
            <m:r>
              <m:t>w</m:t>
            </m:r>
          </m:e>
          <m:sub>
            <m:r>
              <m:t>n</m:t>
            </m:r>
          </m:sub>
        </m:sSub>
      </m:oMath>
      <w:r>
        <w:rPr>
          <w:rtl w:val="0"/>
          <w:lang w:val="en-US"/>
        </w:rPr>
        <w:t xml:space="preserve"> near the diagonal, where their smooth remainders converge in </w:t>
      </w:r>
      <m:oMath>
        <m:sSup>
          <m:e>
            <m:r>
              <m:t>C</m:t>
            </m:r>
          </m:e>
          <m:sup>
            <m:r>
              <m:t>2</m:t>
            </m:r>
          </m:sup>
        </m:sSup>
      </m:oMath>
      <w:r>
        <w:rPr>
          <w:rtl w:val="0"/>
          <w:lang w:val="en-US"/>
        </w:rPr>
        <w:t xml:space="preserve"> on compact neighbourhoods of the diagonal. Then their point-split renormalised stress expectations converge locally uniformly.</w:t>
      </w:r>
    </w:p>
    <w:p>
      <w:pPr>
        <w:pStyle w:val="Текстовый блок"/>
        <w:spacing w:before="20" w:line="240" w:lineRule="atLeast"/>
      </w:pPr>
      <w:r>
        <w:rPr>
          <w:i w:val="1"/>
          <w:iCs w:val="1"/>
          <w:rtl w:val="0"/>
          <w:lang w:val="en-US"/>
        </w:rPr>
        <w:t>Proof.</w:t>
      </w:r>
      <w:r>
        <w:rPr>
          <w:rtl w:val="0"/>
          <w:lang w:val="en-US"/>
        </w:rPr>
        <w:t xml:space="preserve"> The fixed prescription has the form</w:t>
      </w:r>
    </w:p>
    <w:tbl>
      <w:tblPr>
        <w:tblW w:w="9522"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666"/>
        <w:gridCol w:w="8190"/>
        <w:gridCol w:w="666"/>
      </w:tblGrid>
      <w:tr>
        <w:tblPrEx>
          <w:shd w:val="clear" w:color="auto" w:fill="ced7e7"/>
        </w:tblPrEx>
        <w:trPr>
          <w:trHeight w:val="607" w:hRule="atLeast"/>
        </w:trPr>
        <w:tc>
          <w:tcPr>
            <w:tcW w:type="dxa" w:w="666"/>
            <w:tcBorders>
              <w:top w:val="nil"/>
              <w:left w:val="nil"/>
              <w:bottom w:val="nil"/>
              <w:right w:val="nil"/>
            </w:tcBorders>
            <w:shd w:val="clear" w:color="auto" w:fill="auto"/>
            <w:tcMar>
              <w:top w:type="dxa" w:w="80"/>
              <w:left w:type="dxa" w:w="80"/>
              <w:bottom w:type="dxa" w:w="80"/>
              <w:right w:type="dxa" w:w="80"/>
            </w:tcMar>
            <w:vAlign w:val="top"/>
          </w:tcPr>
          <w:p/>
        </w:tc>
        <w:tc>
          <w:tcPr>
            <w:tcW w:type="dxa" w:w="8190"/>
            <w:tcBorders>
              <w:top w:val="nil"/>
              <w:left w:val="nil"/>
              <w:bottom w:val="nil"/>
              <w:right w:val="nil"/>
            </w:tcBorders>
            <w:shd w:val="clear" w:color="auto" w:fill="auto"/>
            <w:tcMar>
              <w:top w:type="dxa" w:w="80"/>
              <w:left w:type="dxa" w:w="80"/>
              <w:bottom w:type="dxa" w:w="80"/>
              <w:right w:type="dxa" w:w="80"/>
            </w:tcMar>
            <w:vAlign w:val="top"/>
          </w:tcPr>
          <w:p>
            <w:pPr>
              <w:pStyle w:val="Текстовый блок"/>
              <w:spacing w:after="40" w:line="240" w:lineRule="auto"/>
              <w:jc w:val="center"/>
            </w:pPr>
            <m:oMathPara>
              <m:oMathParaPr>
                <m:jc m:val="center"/>
              </m:oMathParaPr>
              <m:oMath>
                <m:r>
                  <m:t>⟨</m:t>
                </m:r>
                <m:sSub>
                  <m:e>
                    <m:r>
                      <m:t>T</m:t>
                    </m:r>
                  </m:e>
                  <m:sub>
                    <m:r>
                      <m:t>μν</m:t>
                    </m:r>
                  </m:sub>
                </m:sSub>
                <m:d>
                  <m:e>
                    <m:r>
                      <m:t>x</m:t>
                    </m:r>
                  </m:e>
                </m:d>
                <m:sSub>
                  <m:e>
                    <m:r>
                      <m:t>⟩</m:t>
                    </m:r>
                  </m:e>
                  <m:sub>
                    <m:r>
                      <m:t>n</m:t>
                    </m:r>
                  </m:sub>
                </m:sSub>
                <m:r>
                  <m:t>=</m:t>
                </m:r>
                <m:sSub>
                  <m:e>
                    <m:d>
                      <m:dPr>
                        <m:begChr m:val=""/>
                        <m:endChr m:val="|"/>
                      </m:dPr>
                      <m:e>
                        <m:sSub>
                          <m:e>
                            <m:r>
                              <m:rPr>
                                <m:scr m:val="script"/>
                              </m:rPr>
                              <m:t>D</m:t>
                            </m:r>
                          </m:e>
                          <m:sub>
                            <m:r>
                              <m:t>μν</m:t>
                            </m:r>
                          </m:sub>
                        </m:sSub>
                        <m:d>
                          <m:e>
                            <m:r>
                              <m:t>x,y</m:t>
                            </m:r>
                          </m:e>
                        </m:d>
                        <m:sSub>
                          <m:e>
                            <m:r>
                              <m:t>w</m:t>
                            </m:r>
                          </m:e>
                          <m:sub>
                            <m:r>
                              <m:t>n</m:t>
                            </m:r>
                          </m:sub>
                        </m:sSub>
                        <m:d>
                          <m:e>
                            <m:r>
                              <m:t>x,y</m:t>
                            </m:r>
                          </m:e>
                        </m:d>
                      </m:e>
                    </m:d>
                  </m:e>
                  <m:sub>
                    <m:r>
                      <m:t>y=x</m:t>
                    </m:r>
                  </m:sub>
                </m:sSub>
                <m:r>
                  <m:t>+</m:t>
                </m:r>
                <m:sSub>
                  <m:e>
                    <m:r>
                      <m:t>C</m:t>
                    </m:r>
                  </m:e>
                  <m:sub>
                    <m:r>
                      <m:t>μν</m:t>
                    </m:r>
                  </m:sub>
                </m:sSub>
                <m:d>
                  <m:e>
                    <m:r>
                      <m:t>g</m:t>
                    </m:r>
                  </m:e>
                </m:d>
                <m:r>
                  <m:t>,</m:t>
                </m:r>
              </m:oMath>
            </m:oMathPara>
          </w:p>
        </w:tc>
        <w:tc>
          <w:tcPr>
            <w:tcW w:type="dxa" w:w="666"/>
            <w:tcBorders>
              <w:top w:val="nil"/>
              <w:left w:val="nil"/>
              <w:bottom w:val="nil"/>
              <w:right w:val="nil"/>
            </w:tcBorders>
            <w:shd w:val="clear" w:color="auto" w:fill="auto"/>
            <w:tcMar>
              <w:top w:type="dxa" w:w="80"/>
              <w:left w:type="dxa" w:w="80"/>
              <w:bottom w:type="dxa" w:w="80"/>
              <w:right w:type="dxa" w:w="80"/>
            </w:tcMar>
            <w:vAlign w:val="top"/>
          </w:tcPr>
          <w:p>
            <w:pPr>
              <w:pStyle w:val="Normal.0"/>
              <w:spacing w:after="40" w:line="240" w:lineRule="auto"/>
              <w:jc w:val="right"/>
            </w:pPr>
            <w:r>
              <w:rPr>
                <w:sz w:val="18"/>
                <w:szCs w:val="18"/>
                <w:rtl w:val="0"/>
                <w:lang w:val="en-US"/>
              </w:rPr>
              <w:t>(18.5)</w:t>
            </w:r>
          </w:p>
        </w:tc>
      </w:tr>
    </w:tbl>
    <w:p>
      <w:pPr>
        <w:pStyle w:val="Текстовый блок"/>
        <w:widowControl w:val="0"/>
        <w:spacing w:before="20" w:line="240" w:lineRule="atLeast"/>
        <w:jc w:val="center"/>
      </w:pPr>
    </w:p>
    <w:p>
      <w:pPr>
        <w:pStyle w:val="Текстовый блок"/>
        <w:spacing w:line="240" w:lineRule="atLeast"/>
      </w:pPr>
      <w:r>
        <w:rPr>
          <w:rtl w:val="0"/>
          <w:lang w:val="en-US"/>
        </w:rPr>
        <w:t xml:space="preserve">with </w:t>
      </w:r>
      <m:oMath>
        <m:r>
          <m:rPr>
            <m:scr m:val="script"/>
          </m:rPr>
          <m:t>D</m:t>
        </m:r>
      </m:oMath>
      <w:r>
        <w:rPr>
          <w:rtl w:val="0"/>
          <w:lang w:val="en-US"/>
        </w:rPr>
        <w:t xml:space="preserve"> a bidifferential operator of total order at most two and fixed smooth coefficients. </w:t>
      </w:r>
      <m:oMath>
        <m:sSup>
          <m:e>
            <m:r>
              <m:t>C</m:t>
            </m:r>
          </m:e>
          <m:sup>
            <m:r>
              <m:t>2</m:t>
            </m:r>
          </m:sup>
        </m:sSup>
      </m:oMath>
      <w:r>
        <w:rPr>
          <w:rtl w:val="0"/>
          <w:lang w:val="en-US"/>
        </w:rPr>
        <w:t xml:space="preserve"> convergence makes its diagonal evaluation converge uniformly on compact sets. The common local term </w:t>
      </w:r>
      <m:oMath>
        <m:sSub>
          <m:e>
            <m:r>
              <m:t>C</m:t>
            </m:r>
          </m:e>
          <m:sub>
            <m:r>
              <m:t>μν</m:t>
            </m:r>
          </m:sub>
        </m:sSub>
        <m:d>
          <m:e>
            <m:r>
              <m:t>g</m:t>
            </m:r>
          </m:e>
        </m:d>
      </m:oMath>
      <w:r>
        <w:rPr>
          <w:rtl w:val="0"/>
          <w:lang w:val="en-US"/>
        </w:rPr>
        <w:t xml:space="preserve"> cancels in differences.</w:t>
      </w:r>
      <w:r>
        <w:rPr>
          <w:rtl w:val="0"/>
          <w:lang w:val="en-US"/>
        </w:rPr>
        <w:t> □</w:t>
      </w:r>
    </w:p>
    <w:p>
      <w:pPr>
        <w:pStyle w:val="Текстовый блок"/>
        <w:spacing w:line="240" w:lineRule="atLeast"/>
      </w:pPr>
      <w:r>
        <w:rPr>
          <w:rtl w:val="0"/>
          <w:lang w:val="en-US"/>
        </w:rPr>
        <w:t>This elementary continuity statement is conditional on the existence of the common Hadamard and renormalisation construction [31]. Maxwell versions need the corresponding physical vector/field-strength construction and control of its subtractions; these are not inferred from the scalar chain theorem. Equality of wavefront sets alone permits different smooth remainders and hence different quantum stress.</w:t>
      </w:r>
      <w:bookmarkEnd w:id="57"/>
    </w:p>
    <w:p>
      <w:pPr>
        <w:pStyle w:val="Заголовок 2"/>
        <w:spacing w:line="240" w:lineRule="atLeast"/>
      </w:pPr>
      <w:bookmarkStart w:name="X50973c32093595a586da36c06d7f264211aad5d" w:id="58"/>
      <w:r>
        <w:rPr>
          <w:rtl w:val="0"/>
          <w:lang w:val="en-US"/>
        </w:rPr>
        <w:t>19. Functional consistency and operational calibration</w:t>
      </w:r>
      <w:bookmarkEnd w:id="58"/>
    </w:p>
    <w:p>
      <w:pPr>
        <w:pStyle w:val="Заголовок 3"/>
        <w:spacing w:line="240" w:lineRule="atLeast"/>
      </w:pPr>
      <w:bookmarkStart w:name="whatc1simplifies" w:id="59"/>
      <w:r>
        <w:rPr>
          <w:rtl w:val="0"/>
          <w:lang w:val="en-US"/>
        </w:rPr>
        <w:t xml:space="preserve">19.1. What </w:t>
      </w:r>
      <m:oMath>
        <m:r>
          <m:t>c=1</m:t>
        </m:r>
      </m:oMath>
      <w:r>
        <w:rPr>
          <w:rtl w:val="0"/>
          <w:lang w:val="en-US"/>
        </w:rPr>
        <w:t xml:space="preserve"> simplifies</w:t>
      </w:r>
    </w:p>
    <w:p>
      <w:pPr>
        <w:pStyle w:val="Текстовый блок"/>
        <w:spacing w:line="240" w:lineRule="atLeast"/>
      </w:pPr>
      <w:r>
        <w:rPr>
          <w:rtl w:val="0"/>
          <w:lang w:val="en-US"/>
        </w:rPr>
        <w:t>After a common null calibration, an observer</w:t>
      </w:r>
      <w:r>
        <w:rPr>
          <w:rtl w:val="0"/>
          <w:lang w:val="en-US"/>
        </w:rPr>
        <w:t>’</w:t>
      </w:r>
      <w:r>
        <w:rPr>
          <w:rtl w:val="0"/>
          <w:lang w:val="en-US"/>
        </w:rPr>
        <w:t xml:space="preserve">s spatial and temporal increments along a null displacement satisfy </w:t>
      </w:r>
      <m:oMath>
        <m:r>
          <m:rPr>
            <m:sty m:val="p"/>
          </m:rPr>
          <m:t>dℓ</m:t>
        </m:r>
        <m:r>
          <m:t>=</m:t>
        </m:r>
        <m:r>
          <m:rPr>
            <m:sty m:val="p"/>
          </m:rPr>
          <m:t>d</m:t>
        </m:r>
        <m:sSub>
          <m:e>
            <m:r>
              <m:t>t</m:t>
            </m:r>
          </m:e>
          <m:sub>
            <m:r>
              <m:t>O</m:t>
            </m:r>
          </m:sub>
        </m:sSub>
      </m:oMath>
      <w:r>
        <w:rPr>
          <w:rtl w:val="0"/>
          <w:lang w:val="en-US"/>
        </w:rPr>
        <w:t xml:space="preserve">. Here </w:t>
      </w:r>
      <m:oMath>
        <m:sSub>
          <m:e>
            <m:r>
              <m:t>t</m:t>
            </m:r>
          </m:e>
          <m:sub>
            <m:r>
              <m:t>O</m:t>
            </m:r>
          </m:sub>
        </m:sSub>
      </m:oMath>
      <w:r>
        <w:rPr>
          <w:rtl w:val="0"/>
          <w:lang w:val="en-US"/>
        </w:rPr>
        <w:t xml:space="preserve"> is the observer-splitting time increment, not the proper time of the null curve. The same representation gives</w:t>
      </w:r>
    </w:p>
    <w:tbl>
      <w:tblPr>
        <w:tblW w:w="9522"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666"/>
        <w:gridCol w:w="8190"/>
        <w:gridCol w:w="666"/>
      </w:tblGrid>
      <w:tr>
        <w:tblPrEx>
          <w:shd w:val="clear" w:color="auto" w:fill="ced7e7"/>
        </w:tblPrEx>
        <w:trPr>
          <w:trHeight w:val="412" w:hRule="atLeast"/>
        </w:trPr>
        <w:tc>
          <w:tcPr>
            <w:tcW w:type="dxa" w:w="666"/>
            <w:tcBorders>
              <w:top w:val="nil"/>
              <w:left w:val="nil"/>
              <w:bottom w:val="nil"/>
              <w:right w:val="nil"/>
            </w:tcBorders>
            <w:shd w:val="clear" w:color="auto" w:fill="auto"/>
            <w:tcMar>
              <w:top w:type="dxa" w:w="80"/>
              <w:left w:type="dxa" w:w="80"/>
              <w:bottom w:type="dxa" w:w="80"/>
              <w:right w:type="dxa" w:w="80"/>
            </w:tcMar>
            <w:vAlign w:val="top"/>
          </w:tcPr>
          <w:p/>
        </w:tc>
        <w:tc>
          <w:tcPr>
            <w:tcW w:type="dxa" w:w="8190"/>
            <w:tcBorders>
              <w:top w:val="nil"/>
              <w:left w:val="nil"/>
              <w:bottom w:val="nil"/>
              <w:right w:val="nil"/>
            </w:tcBorders>
            <w:shd w:val="clear" w:color="auto" w:fill="auto"/>
            <w:tcMar>
              <w:top w:type="dxa" w:w="80"/>
              <w:left w:type="dxa" w:w="80"/>
              <w:bottom w:type="dxa" w:w="80"/>
              <w:right w:type="dxa" w:w="80"/>
            </w:tcMar>
            <w:vAlign w:val="top"/>
          </w:tcPr>
          <w:p>
            <w:pPr>
              <w:pStyle w:val="Текстовый блок"/>
              <w:spacing w:after="40" w:line="240" w:lineRule="auto"/>
              <w:jc w:val="center"/>
            </w:pPr>
            <m:oMathPara>
              <m:oMathParaPr>
                <m:jc m:val="center"/>
              </m:oMathParaPr>
              <m:oMath>
                <m:r>
                  <m:t>E=</m:t>
                </m:r>
                <m:d>
                  <m:dPr>
                    <m:begChr m:val="|"/>
                    <m:endChr m:val="|"/>
                  </m:dPr>
                  <m:e>
                    <m:r>
                      <m:rPr>
                        <m:sty m:val="b"/>
                      </m:rPr>
                      <m:t>p</m:t>
                    </m:r>
                  </m:e>
                </m:d>
                <m:r>
                  <m:t>,ω=</m:t>
                </m:r>
                <m:d>
                  <m:dPr>
                    <m:begChr m:val="|"/>
                    <m:endChr m:val="|"/>
                  </m:dPr>
                  <m:e>
                    <m:r>
                      <m:rPr>
                        <m:sty m:val="b"/>
                      </m:rPr>
                      <m:t>k</m:t>
                    </m:r>
                  </m:e>
                </m:d>
                <m:r>
                  <m:t>,I=u=</m:t>
                </m:r>
                <m:sSub>
                  <m:e>
                    <m:r>
                      <m:t>Π</m:t>
                    </m:r>
                  </m:e>
                  <m:sub>
                    <m:r>
                      <m:t>nn</m:t>
                    </m:r>
                  </m:sub>
                </m:sSub>
                <m:r>
                  <m:t/>
                </m:r>
                <m:r>
                  <m:rPr>
                    <m:nor/>
                  </m:rPr>
                  <m:t>in the single null sector</m:t>
                </m:r>
                <m:r>
                  <m:t>,</m:t>
                </m:r>
                <m:sSub>
                  <m:e>
                    <m:r>
                      <m:t>E</m:t>
                    </m:r>
                  </m:e>
                  <m:sub>
                    <m:r>
                      <m:rPr>
                        <m:sty m:val="p"/>
                      </m:rPr>
                      <m:t>rest</m:t>
                    </m:r>
                  </m:sub>
                </m:sSub>
                <m:r>
                  <m:t>=m.</m:t>
                </m:r>
              </m:oMath>
            </m:oMathPara>
          </w:p>
        </w:tc>
        <w:tc>
          <w:tcPr>
            <w:tcW w:type="dxa" w:w="666"/>
            <w:tcBorders>
              <w:top w:val="nil"/>
              <w:left w:val="nil"/>
              <w:bottom w:val="nil"/>
              <w:right w:val="nil"/>
            </w:tcBorders>
            <w:shd w:val="clear" w:color="auto" w:fill="auto"/>
            <w:tcMar>
              <w:top w:type="dxa" w:w="80"/>
              <w:left w:type="dxa" w:w="80"/>
              <w:bottom w:type="dxa" w:w="80"/>
              <w:right w:type="dxa" w:w="80"/>
            </w:tcMar>
            <w:vAlign w:val="top"/>
          </w:tcPr>
          <w:p>
            <w:pPr>
              <w:pStyle w:val="Normal.0"/>
              <w:spacing w:after="40" w:line="240" w:lineRule="auto"/>
              <w:jc w:val="right"/>
            </w:pPr>
            <w:r>
              <w:rPr>
                <w:sz w:val="18"/>
                <w:szCs w:val="18"/>
                <w:rtl w:val="0"/>
                <w:lang w:val="en-US"/>
              </w:rPr>
              <w:t>(19.1)</w:t>
            </w:r>
          </w:p>
        </w:tc>
      </w:tr>
    </w:tbl>
    <w:p>
      <w:pPr>
        <w:pStyle w:val="Текстовый блок"/>
        <w:widowControl w:val="0"/>
        <w:spacing w:line="240" w:lineRule="atLeast"/>
        <w:jc w:val="center"/>
      </w:pPr>
    </w:p>
    <w:p>
      <w:pPr>
        <w:pStyle w:val="Текстовый блок"/>
        <w:spacing w:line="240" w:lineRule="atLeast"/>
      </w:pPr>
      <w:r>
        <w:rPr>
          <w:rtl w:val="0"/>
          <w:lang w:val="en-US"/>
        </w:rPr>
        <w:t xml:space="preserve">Setting </w:t>
      </w:r>
      <m:oMath>
        <m:r>
          <m:t>c=1</m:t>
        </m:r>
      </m:oMath>
      <w:r>
        <w:rPr>
          <w:rtl w:val="0"/>
          <w:lang w:val="en-US"/>
        </w:rPr>
        <w:t xml:space="preserve"> is enough for </w:t>
      </w:r>
      <m:oMath>
        <m:r>
          <m:t>ω=</m:t>
        </m:r>
        <m:d>
          <m:dPr>
            <m:begChr m:val="|"/>
            <m:endChr m:val="|"/>
          </m:dPr>
          <m:e>
            <m:r>
              <m:rPr>
                <m:sty m:val="b"/>
              </m:rPr>
              <m:t>k</m:t>
            </m:r>
          </m:e>
        </m:d>
      </m:oMath>
      <w:r>
        <w:rPr>
          <w:rtl w:val="0"/>
          <w:lang w:val="en-US"/>
        </w:rPr>
        <w:t xml:space="preserve">; setting </w:t>
      </w:r>
      <m:oMath>
        <m:r>
          <m:rPr>
            <m:sty m:val="p"/>
          </m:rPr>
          <m:t>ℏ</m:t>
        </m:r>
        <m:r>
          <m:t>=1</m:t>
        </m:r>
      </m:oMath>
      <w:r>
        <w:rPr>
          <w:rtl w:val="0"/>
          <w:lang w:val="en-US"/>
        </w:rPr>
        <w:t xml:space="preserve"> is needed additionally for </w:t>
      </w:r>
      <m:oMath>
        <m:r>
          <m:t>E=ω</m:t>
        </m:r>
      </m:oMath>
      <w:r>
        <w:rPr>
          <w:rtl w:val="0"/>
          <w:lang w:val="en-US"/>
        </w:rPr>
        <w:t xml:space="preserve"> and </w:t>
      </w:r>
      <m:oMath>
        <m:r>
          <m:rPr>
            <m:sty m:val="b"/>
          </m:rPr>
          <m:t>p</m:t>
        </m:r>
        <m:r>
          <m:t>=</m:t>
        </m:r>
        <m:r>
          <m:rPr>
            <m:sty m:val="b"/>
          </m:rPr>
          <m:t>k</m:t>
        </m:r>
      </m:oMath>
      <w:r>
        <w:rPr>
          <w:rtl w:val="0"/>
          <w:lang w:val="en-US"/>
        </w:rPr>
        <w:t>. The classical dispersion does not require a quantum unit convention. The natural-unit equality of represented flux components does not assert that differently dimensioned SI numbers can be equated without conversion.</w:t>
      </w:r>
    </w:p>
    <w:p>
      <w:pPr>
        <w:pStyle w:val="Текстовый блок"/>
        <w:spacing w:line="240" w:lineRule="atLeast"/>
      </w:pPr>
      <w:r>
        <w:rPr>
          <w:rtl w:val="0"/>
          <w:lang w:val="en-US"/>
        </w:rPr>
        <w:t>The conventional statement is that a given common cone may be represented by unit speed. The substantive statements are that the same calibration works for all retained physical sectors and that independent readouts obey the functional relations with one set of action and detector parameters. Maxwell closure tests the latter inside one electromagnetic sector. It does not establish universality with other matter or gravity sectors.</w:t>
      </w:r>
      <w:bookmarkEnd w:id="59"/>
    </w:p>
    <w:p>
      <w:pPr>
        <w:pStyle w:val="Заголовок 3"/>
        <w:spacing w:line="240" w:lineRule="atLeast"/>
      </w:pPr>
      <w:bookmarkStart w:name="X5ecf1549cdd7fbcfed22dafee57cb41a29242c4" w:id="60"/>
      <w:r>
        <w:rPr>
          <w:rtl w:val="0"/>
          <w:lang w:val="en-US"/>
        </w:rPr>
        <w:t>19.2. A loop with independently identifiable inputs</w:t>
      </w:r>
    </w:p>
    <w:p>
      <w:pPr>
        <w:pStyle w:val="Текстовый блок"/>
        <w:spacing w:line="240" w:lineRule="atLeast"/>
      </w:pPr>
      <w:r>
        <w:rPr>
          <w:rtl w:val="0"/>
          <w:lang w:val="en-US"/>
        </w:rPr>
        <w:t xml:space="preserve">Frequency standards compare phase accumulation with a clock; interferometry compares phase with reconstructed displacement; time of flight compares controlled emission and detection; cavity resonances combine propagation with boundary phase conditions; recoil and pressure compare optical energy with mechanical momentum transfer. An ideal one-dimensional round-trip resonator has </w:t>
      </w:r>
      <m:oMath>
        <m:sSub>
          <m:e>
            <m:r>
              <m:t>f</m:t>
            </m:r>
          </m:e>
          <m:sub>
            <m:r>
              <m:t>m</m:t>
            </m:r>
          </m:sub>
        </m:sSub>
        <m:r>
          <m:t>=mc/</m:t>
        </m:r>
        <m:d>
          <m:e>
            <m:r>
              <m:t>2L</m:t>
            </m:r>
          </m:e>
        </m:d>
      </m:oMath>
      <w:r>
        <w:rPr>
          <w:rtl w:val="0"/>
          <w:lang w:val="en-US"/>
        </w:rPr>
        <w:t xml:space="preserve"> when reflection phases have the assumed values. General cavities require their full mode and boundary problem.</w:t>
      </w:r>
    </w:p>
    <w:p>
      <w:pPr>
        <w:pStyle w:val="Текстовый блок"/>
        <w:keepLines w:val="1"/>
        <w:spacing w:before="60" w:line="240" w:lineRule="atLeast"/>
      </w:pPr>
      <w:r>
        <w:rPr>
          <w:b w:val="1"/>
          <w:bCs w:val="1"/>
          <w:rtl w:val="0"/>
          <w:lang w:val="en-US"/>
        </w:rPr>
        <w:t>Corollary 19.1 (Narrowband photon pressure loop).</w:t>
      </w:r>
      <w:r>
        <w:rPr>
          <w:rtl w:val="0"/>
          <w:lang w:val="en-US"/>
        </w:rPr>
        <w:t xml:space="preserve"> For a stationary boundary at normal incidence, assume the null dispersion, canonical quantum translation relations, incident photon rate </w:t>
      </w:r>
      <m:oMath>
        <m:limUpp>
          <m:e>
            <m:r>
              <m:t>N</m:t>
            </m:r>
          </m:e>
          <m:lim>
            <m:r>
              <m:rPr>
                <m:sty m:val="p"/>
              </m:rPr>
              <m:t>˙</m:t>
            </m:r>
          </m:lim>
        </m:limUpp>
      </m:oMath>
      <w:r>
        <w:rPr>
          <w:rtl w:val="0"/>
          <w:lang w:val="en-US"/>
        </w:rPr>
        <w:t xml:space="preserve"> over area </w:t>
      </w:r>
      <m:oMath>
        <m:r>
          <m:rPr>
            <m:scr m:val="script"/>
          </m:rPr>
          <m:t>A</m:t>
        </m:r>
      </m:oMath>
      <w:r>
        <w:rPr>
          <w:rtl w:val="0"/>
          <w:lang w:val="en-US"/>
        </w:rPr>
        <w:t xml:space="preserve">, and characterised fractions with </w:t>
      </w:r>
      <m:oMath>
        <m:r>
          <m:t>b=α+2r&gt;0</m:t>
        </m:r>
      </m:oMath>
      <w:r>
        <w:rPr>
          <w:rtl w:val="0"/>
          <w:lang w:val="en-US"/>
        </w:rPr>
        <w:t>. Then</w:t>
      </w:r>
    </w:p>
    <w:tbl>
      <w:tblPr>
        <w:tblW w:w="9522"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666"/>
        <w:gridCol w:w="8190"/>
        <w:gridCol w:w="666"/>
      </w:tblGrid>
      <w:tr>
        <w:tblPrEx>
          <w:shd w:val="clear" w:color="auto" w:fill="ced7e7"/>
        </w:tblPrEx>
        <w:trPr>
          <w:trHeight w:val="599" w:hRule="atLeast"/>
        </w:trPr>
        <w:tc>
          <w:tcPr>
            <w:tcW w:type="dxa" w:w="666"/>
            <w:tcBorders>
              <w:top w:val="nil"/>
              <w:left w:val="nil"/>
              <w:bottom w:val="nil"/>
              <w:right w:val="nil"/>
            </w:tcBorders>
            <w:shd w:val="clear" w:color="auto" w:fill="auto"/>
            <w:tcMar>
              <w:top w:type="dxa" w:w="80"/>
              <w:left w:type="dxa" w:w="80"/>
              <w:bottom w:type="dxa" w:w="80"/>
              <w:right w:type="dxa" w:w="80"/>
            </w:tcMar>
            <w:vAlign w:val="top"/>
          </w:tcPr>
          <w:p/>
        </w:tc>
        <w:tc>
          <w:tcPr>
            <w:tcW w:type="dxa" w:w="8190"/>
            <w:tcBorders>
              <w:top w:val="nil"/>
              <w:left w:val="nil"/>
              <w:bottom w:val="nil"/>
              <w:right w:val="nil"/>
            </w:tcBorders>
            <w:shd w:val="clear" w:color="auto" w:fill="auto"/>
            <w:tcMar>
              <w:top w:type="dxa" w:w="80"/>
              <w:left w:type="dxa" w:w="80"/>
              <w:bottom w:type="dxa" w:w="80"/>
              <w:right w:type="dxa" w:w="80"/>
            </w:tcMar>
            <w:vAlign w:val="top"/>
          </w:tcPr>
          <w:p>
            <w:pPr>
              <w:pStyle w:val="Текстовый блок"/>
              <w:spacing w:after="40" w:line="240" w:lineRule="auto"/>
              <w:jc w:val="center"/>
            </w:pPr>
            <m:oMathPara>
              <m:oMathParaPr>
                <m:jc m:val="center"/>
              </m:oMathParaPr>
              <m:oMath>
                <m:r>
                  <m:t>I=</m:t>
                </m:r>
                <m:f>
                  <m:fPr>
                    <m:type m:val="bar"/>
                  </m:fPr>
                  <m:num>
                    <m:limUpp>
                      <m:e>
                        <m:r>
                          <m:t>N</m:t>
                        </m:r>
                      </m:e>
                      <m:lim>
                        <m:r>
                          <m:rPr>
                            <m:sty m:val="p"/>
                          </m:rPr>
                          <m:t>˙</m:t>
                        </m:r>
                      </m:lim>
                    </m:limUpp>
                    <m:r>
                      <m:rPr>
                        <m:sty m:val="p"/>
                      </m:rPr>
                      <m:t>ℏ</m:t>
                    </m:r>
                    <m:r>
                      <m:t>ω</m:t>
                    </m:r>
                  </m:num>
                  <m:den>
                    <m:r>
                      <m:rPr>
                        <m:scr m:val="script"/>
                      </m:rPr>
                      <m:t>A</m:t>
                    </m:r>
                  </m:den>
                </m:f>
                <m:r>
                  <m:t>,F=b</m:t>
                </m:r>
                <m:limUpp>
                  <m:e>
                    <m:r>
                      <m:t>N</m:t>
                    </m:r>
                  </m:e>
                  <m:lim>
                    <m:r>
                      <m:rPr>
                        <m:sty m:val="p"/>
                      </m:rPr>
                      <m:t>˙</m:t>
                    </m:r>
                  </m:lim>
                </m:limUpp>
                <m:r>
                  <m:rPr>
                    <m:sty m:val="p"/>
                  </m:rPr>
                  <m:t>ℏ</m:t>
                </m:r>
                <m:d>
                  <m:dPr>
                    <m:begChr m:val="|"/>
                    <m:endChr m:val="|"/>
                  </m:dPr>
                  <m:e>
                    <m:r>
                      <m:rPr>
                        <m:sty m:val="b"/>
                      </m:rPr>
                      <m:t>k</m:t>
                    </m:r>
                  </m:e>
                </m:d>
                <m:r>
                  <m:t>,</m:t>
                </m:r>
                <m:f>
                  <m:fPr>
                    <m:type m:val="bar"/>
                  </m:fPr>
                  <m:num>
                    <m:r>
                      <m:t>cF</m:t>
                    </m:r>
                  </m:num>
                  <m:den>
                    <m:r>
                      <m:t>bI</m:t>
                    </m:r>
                    <m:r>
                      <m:rPr>
                        <m:scr m:val="script"/>
                      </m:rPr>
                      <m:t>A</m:t>
                    </m:r>
                  </m:den>
                </m:f>
                <m:r>
                  <m:t>=</m:t>
                </m:r>
                <m:f>
                  <m:fPr>
                    <m:type m:val="bar"/>
                  </m:fPr>
                  <m:num>
                    <m:r>
                      <m:t>c</m:t>
                    </m:r>
                    <m:d>
                      <m:dPr>
                        <m:begChr m:val="|"/>
                        <m:endChr m:val="|"/>
                      </m:dPr>
                      <m:e>
                        <m:r>
                          <m:rPr>
                            <m:sty m:val="b"/>
                          </m:rPr>
                          <m:t>k</m:t>
                        </m:r>
                      </m:e>
                    </m:d>
                  </m:num>
                  <m:den>
                    <m:r>
                      <m:t>ω</m:t>
                    </m:r>
                  </m:den>
                </m:f>
                <m:r>
                  <m:t>=1.</m:t>
                </m:r>
              </m:oMath>
            </m:oMathPara>
          </w:p>
        </w:tc>
        <w:tc>
          <w:tcPr>
            <w:tcW w:type="dxa" w:w="666"/>
            <w:tcBorders>
              <w:top w:val="nil"/>
              <w:left w:val="nil"/>
              <w:bottom w:val="nil"/>
              <w:right w:val="nil"/>
            </w:tcBorders>
            <w:shd w:val="clear" w:color="auto" w:fill="auto"/>
            <w:tcMar>
              <w:top w:type="dxa" w:w="80"/>
              <w:left w:type="dxa" w:w="80"/>
              <w:bottom w:type="dxa" w:w="80"/>
              <w:right w:type="dxa" w:w="80"/>
            </w:tcMar>
            <w:vAlign w:val="top"/>
          </w:tcPr>
          <w:p>
            <w:pPr>
              <w:pStyle w:val="Normal.0"/>
              <w:spacing w:after="40" w:line="240" w:lineRule="auto"/>
              <w:jc w:val="right"/>
            </w:pPr>
            <w:r>
              <w:rPr>
                <w:sz w:val="18"/>
                <w:szCs w:val="18"/>
                <w:rtl w:val="0"/>
                <w:lang w:val="en-US"/>
              </w:rPr>
              <w:t>(19.2)</w:t>
            </w:r>
          </w:p>
        </w:tc>
      </w:tr>
    </w:tbl>
    <w:p>
      <w:pPr>
        <w:pStyle w:val="Текстовый блок"/>
        <w:keepLines w:val="1"/>
        <w:widowControl w:val="0"/>
        <w:spacing w:before="60" w:line="240" w:lineRule="atLeast"/>
        <w:jc w:val="center"/>
      </w:pPr>
    </w:p>
    <w:p>
      <w:pPr>
        <w:pStyle w:val="Текстовый блок"/>
        <w:spacing w:before="20" w:line="240" w:lineRule="atLeast"/>
      </w:pPr>
      <w:r>
        <w:rPr>
          <w:i w:val="1"/>
          <w:iCs w:val="1"/>
          <w:rtl w:val="0"/>
          <w:lang w:val="en-US"/>
        </w:rPr>
        <w:t>Proof.</w:t>
      </w:r>
      <w:r>
        <w:rPr>
          <w:rtl w:val="0"/>
          <w:lang w:val="en-US"/>
        </w:rPr>
        <w:t xml:space="preserve"> The first expression counts incident energy per area and time. The second counts momentum transfer, with a reflected photon contributing twice its incident momentum. Division cancels </w:t>
      </w:r>
      <m:oMath>
        <m:limUpp>
          <m:e>
            <m:r>
              <m:t>N</m:t>
            </m:r>
          </m:e>
          <m:lim>
            <m:r>
              <m:rPr>
                <m:sty m:val="p"/>
              </m:rPr>
              <m:t>˙</m:t>
            </m:r>
          </m:lim>
        </m:limUpp>
      </m:oMath>
      <w:r>
        <w:rPr>
          <w:rtl w:val="0"/>
          <w:lang w:val="en-US"/>
        </w:rPr>
        <w:t xml:space="preserve"> and </w:t>
      </w:r>
      <m:oMath>
        <m:r>
          <m:rPr>
            <m:sty m:val="p"/>
          </m:rPr>
          <m:t>ℏ</m:t>
        </m:r>
      </m:oMath>
      <w:r>
        <w:rPr>
          <w:rtl w:val="0"/>
          <w:lang w:val="en-US"/>
        </w:rPr>
        <w:t>, and (15.1) supplies the last equality.</w:t>
      </w:r>
      <w:r>
        <w:rPr>
          <w:rtl w:val="0"/>
          <w:lang w:val="en-US"/>
        </w:rPr>
        <w:t> □</w:t>
      </w:r>
    </w:p>
    <w:p>
      <w:pPr>
        <w:pStyle w:val="Текстовый блок"/>
        <w:spacing w:line="240" w:lineRule="atLeast"/>
      </w:pPr>
      <w:r>
        <w:rPr>
          <w:rtl w:val="0"/>
          <w:lang w:val="en-US"/>
        </w:rPr>
        <w:t>This cancellation shows both strength and limitation: the pressure-to-power ratio tests null energy</w:t>
      </w:r>
      <w:r>
        <w:rPr>
          <w:rtl w:val="0"/>
          <w:lang w:val="en-US"/>
        </w:rPr>
        <w:t>–</w:t>
      </w:r>
      <w:r>
        <w:rPr>
          <w:rtl w:val="0"/>
          <w:lang w:val="en-US"/>
        </w:rPr>
        <w:t xml:space="preserve">momentum closure, but does not independently determine </w:t>
      </w:r>
      <m:oMath>
        <m:r>
          <m:rPr>
            <m:sty m:val="p"/>
          </m:rPr>
          <m:t>ℏ</m:t>
        </m:r>
      </m:oMath>
      <w:r>
        <w:rPr>
          <w:rtl w:val="0"/>
          <w:lang w:val="en-US"/>
        </w:rPr>
        <w:t xml:space="preserve"> or photon number statistics. A coherent state and a number-state preparation can agree in mean energy and pressure while having different fluctuations.</w:t>
      </w:r>
    </w:p>
    <w:p>
      <w:pPr>
        <w:pStyle w:val="Текстовый блок"/>
        <w:spacing w:line="240" w:lineRule="atLeast"/>
      </w:pPr>
      <w:r>
        <w:rPr>
          <w:rtl w:val="0"/>
          <w:lang w:val="en-US"/>
        </w:rPr>
        <w:t>Useful mutually comparable speeds are</w:t>
      </w:r>
    </w:p>
    <w:tbl>
      <w:tblPr>
        <w:tblW w:w="9522"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666"/>
        <w:gridCol w:w="8190"/>
        <w:gridCol w:w="666"/>
      </w:tblGrid>
      <w:tr>
        <w:tblPrEx>
          <w:shd w:val="clear" w:color="auto" w:fill="ced7e7"/>
        </w:tblPrEx>
        <w:trPr>
          <w:trHeight w:val="547" w:hRule="atLeast"/>
        </w:trPr>
        <w:tc>
          <w:tcPr>
            <w:tcW w:type="dxa" w:w="666"/>
            <w:tcBorders>
              <w:top w:val="nil"/>
              <w:left w:val="nil"/>
              <w:bottom w:val="nil"/>
              <w:right w:val="nil"/>
            </w:tcBorders>
            <w:shd w:val="clear" w:color="auto" w:fill="auto"/>
            <w:tcMar>
              <w:top w:type="dxa" w:w="80"/>
              <w:left w:type="dxa" w:w="80"/>
              <w:bottom w:type="dxa" w:w="80"/>
              <w:right w:type="dxa" w:w="80"/>
            </w:tcMar>
            <w:vAlign w:val="top"/>
          </w:tcPr>
          <w:p/>
        </w:tc>
        <w:tc>
          <w:tcPr>
            <w:tcW w:type="dxa" w:w="8190"/>
            <w:tcBorders>
              <w:top w:val="nil"/>
              <w:left w:val="nil"/>
              <w:bottom w:val="nil"/>
              <w:right w:val="nil"/>
            </w:tcBorders>
            <w:shd w:val="clear" w:color="auto" w:fill="auto"/>
            <w:tcMar>
              <w:top w:type="dxa" w:w="80"/>
              <w:left w:type="dxa" w:w="80"/>
              <w:bottom w:type="dxa" w:w="80"/>
              <w:right w:type="dxa" w:w="80"/>
            </w:tcMar>
            <w:vAlign w:val="top"/>
          </w:tcPr>
          <w:p>
            <w:pPr>
              <w:pStyle w:val="Текстовый блок"/>
              <w:spacing w:after="40" w:line="240" w:lineRule="auto"/>
              <w:jc w:val="center"/>
            </w:pPr>
            <m:oMathPara>
              <m:oMathParaPr>
                <m:jc m:val="center"/>
              </m:oMathParaPr>
              <m:oMath>
                <m:sSub>
                  <m:e>
                    <m:r>
                      <m:t>c</m:t>
                    </m:r>
                  </m:e>
                  <m:sub>
                    <m:r>
                      <m:rPr>
                        <m:sty m:val="p"/>
                      </m:rPr>
                      <m:t>phase</m:t>
                    </m:r>
                  </m:sub>
                </m:sSub>
                <m:r>
                  <m:t>=fλ,</m:t>
                </m:r>
                <m:sSub>
                  <m:e>
                    <m:r>
                      <m:t>c</m:t>
                    </m:r>
                  </m:e>
                  <m:sub>
                    <m:r>
                      <m:rPr>
                        <m:sty m:val="p"/>
                      </m:rPr>
                      <m:t>TOF</m:t>
                    </m:r>
                  </m:sub>
                </m:sSub>
                <m:r>
                  <m:t>=L/Δt,</m:t>
                </m:r>
                <m:sSub>
                  <m:e>
                    <m:r>
                      <m:t>c</m:t>
                    </m:r>
                  </m:e>
                  <m:sub>
                    <m:r>
                      <m:rPr>
                        <m:sty m:val="p"/>
                      </m:rPr>
                      <m:t>pressure</m:t>
                    </m:r>
                  </m:sub>
                </m:sSub>
                <m:r>
                  <m:t>=</m:t>
                </m:r>
                <m:f>
                  <m:fPr>
                    <m:type m:val="bar"/>
                  </m:fPr>
                  <m:num>
                    <m:r>
                      <m:t>bI</m:t>
                    </m:r>
                  </m:num>
                  <m:den>
                    <m:sSub>
                      <m:e>
                        <m:r>
                          <m:t>P</m:t>
                        </m:r>
                      </m:e>
                      <m:sub>
                        <m:r>
                          <m:t>⊥</m:t>
                        </m:r>
                      </m:sub>
                    </m:sSub>
                  </m:den>
                </m:f>
              </m:oMath>
            </m:oMathPara>
          </w:p>
        </w:tc>
        <w:tc>
          <w:tcPr>
            <w:tcW w:type="dxa" w:w="666"/>
            <w:tcBorders>
              <w:top w:val="nil"/>
              <w:left w:val="nil"/>
              <w:bottom w:val="nil"/>
              <w:right w:val="nil"/>
            </w:tcBorders>
            <w:shd w:val="clear" w:color="auto" w:fill="auto"/>
            <w:tcMar>
              <w:top w:type="dxa" w:w="80"/>
              <w:left w:type="dxa" w:w="80"/>
              <w:bottom w:type="dxa" w:w="80"/>
              <w:right w:type="dxa" w:w="80"/>
            </w:tcMar>
            <w:vAlign w:val="top"/>
          </w:tcPr>
          <w:p>
            <w:pPr>
              <w:pStyle w:val="Normal.0"/>
              <w:spacing w:after="40" w:line="240" w:lineRule="auto"/>
              <w:jc w:val="right"/>
            </w:pPr>
            <w:r>
              <w:rPr>
                <w:sz w:val="18"/>
                <w:szCs w:val="18"/>
                <w:rtl w:val="0"/>
                <w:lang w:val="en-US"/>
              </w:rPr>
              <w:t>(19.3)</w:t>
            </w:r>
          </w:p>
        </w:tc>
      </w:tr>
    </w:tbl>
    <w:p>
      <w:pPr>
        <w:pStyle w:val="Текстовый блок"/>
        <w:widowControl w:val="0"/>
        <w:spacing w:line="240" w:lineRule="atLeast"/>
        <w:jc w:val="center"/>
      </w:pPr>
    </w:p>
    <w:p>
      <w:pPr>
        <w:pStyle w:val="Текстовый блок"/>
        <w:spacing w:line="240" w:lineRule="atLeast"/>
      </w:pPr>
      <w:r>
        <w:rPr>
          <w:rtl w:val="0"/>
          <w:lang w:val="en-US"/>
        </w:rPr>
        <w:t xml:space="preserve">with the appropriate angular factor in </w:t>
      </w:r>
      <m:oMath>
        <m:r>
          <m:t>b</m:t>
        </m:r>
      </m:oMath>
      <w:r>
        <w:rPr>
          <w:rtl w:val="0"/>
          <w:lang w:val="en-US"/>
        </w:rPr>
        <w:t xml:space="preserve">. Their dimensionless ratios, rather than an isolated dimensional numerical value, are closure tests. If </w:t>
      </w:r>
      <m:oMath>
        <m:r>
          <m:t>L</m:t>
        </m:r>
      </m:oMath>
      <w:r>
        <w:rPr>
          <w:rtl w:val="0"/>
          <w:lang w:val="en-US"/>
        </w:rPr>
        <w:t xml:space="preserve"> is assigned from the same time-of-flight reading using an assumed </w:t>
      </w:r>
      <m:oMath>
        <m:r>
          <m:t>c</m:t>
        </m:r>
      </m:oMath>
      <w:r>
        <w:rPr>
          <w:rtl w:val="0"/>
          <w:lang w:val="en-US"/>
        </w:rPr>
        <w:t>, that particular comparison is an identity. If force is calibrated from the same pressure law, that comparison is also an identity. Independent realisation of the relevant standards and control of boundary response are what make the loop operationally informative. This extends the clocks and rods distinction of [28, 36]; it does not put metres and seconds into the neutral microscopic carrier.</w:t>
      </w:r>
      <w:bookmarkEnd w:id="60"/>
    </w:p>
    <w:p>
      <w:pPr>
        <w:pStyle w:val="Заголовок 3"/>
        <w:spacing w:line="240" w:lineRule="atLeast"/>
      </w:pPr>
      <w:bookmarkStart w:name="dependencytables" w:id="61"/>
      <w:r>
        <w:rPr>
          <w:rtl w:val="0"/>
          <w:lang w:val="en-US"/>
        </w:rPr>
        <w:t>19.3. Dependency tables</w:t>
      </w:r>
    </w:p>
    <w:p>
      <w:pPr>
        <w:pStyle w:val="Текстовый блок"/>
        <w:spacing w:line="240" w:lineRule="atLeast"/>
      </w:pPr>
      <w:r>
        <w:rPr>
          <w:rtl w:val="0"/>
          <w:lang w:val="en-US"/>
        </w:rPr>
        <w:t>The following two linked tables constitute the functional consistency graph. An edge means that a mathematical operation produces a specified observable once its extra inputs are supplied. In particular the core branches are field variation followed by gauge reduction, metric variation followed by observer projection, and symmetry analysis followed by charge or quantum-generator construction. Boundary momentum balance joins the second and third branches to a force readout.</w:t>
      </w:r>
    </w:p>
    <w:p>
      <w:pPr>
        <w:pStyle w:val="Текстовый блок"/>
        <w:spacing w:line="240" w:lineRule="atLeast"/>
      </w:pPr>
      <w:r>
        <w:rPr>
          <w:rtl w:val="0"/>
          <w:lang w:val="en-US"/>
        </w:rPr>
        <w:t xml:space="preserve">Use these reconstruction labels: </w:t>
      </w:r>
      <m:oMath>
        <m:sSub>
          <m:e>
            <m:r>
              <m:t>R</m:t>
            </m:r>
          </m:e>
          <m:sub>
            <m:r>
              <m:t>1</m:t>
            </m:r>
          </m:sub>
        </m:sSub>
      </m:oMath>
      <w:r>
        <w:rPr>
          <w:rtl w:val="0"/>
          <w:lang w:val="en-US"/>
        </w:rPr>
        <w:t xml:space="preserve"> is the preceding local operator/response identification; </w:t>
      </w:r>
      <m:oMath>
        <m:sSub>
          <m:e>
            <m:r>
              <m:t>R</m:t>
            </m:r>
          </m:e>
          <m:sub>
            <m:r>
              <m:t>2</m:t>
            </m:r>
          </m:sub>
        </m:sSub>
      </m:oMath>
      <w:r>
        <w:rPr>
          <w:rtl w:val="0"/>
          <w:lang w:val="en-US"/>
        </w:rPr>
        <w:t xml:space="preserve"> adds the spatial spectral and clock/phase standards; </w:t>
      </w:r>
      <m:oMath>
        <m:sSub>
          <m:e>
            <m:r>
              <m:t>R</m:t>
            </m:r>
          </m:e>
          <m:sub>
            <m:r>
              <m:t>3</m:t>
            </m:r>
          </m:sub>
        </m:sSub>
      </m:oMath>
      <w:r>
        <w:rPr>
          <w:rtl w:val="0"/>
          <w:lang w:val="en-US"/>
        </w:rPr>
        <w:t xml:space="preserve"> adds action normalisation, physical metric, measure and strong field-energy control; </w:t>
      </w:r>
      <m:oMath>
        <m:sSub>
          <m:e>
            <m:r>
              <m:t>R</m:t>
            </m:r>
          </m:e>
          <m:sub>
            <m:r>
              <m:t>4</m:t>
            </m:r>
          </m:sub>
        </m:sSub>
      </m:oMath>
      <w:r>
        <w:rPr>
          <w:rtl w:val="0"/>
          <w:lang w:val="en-US"/>
        </w:rPr>
        <w:t xml:space="preserve"> adds surface traces, scattering data and force/power readouts; </w:t>
      </w:r>
      <m:oMath>
        <m:sSub>
          <m:e>
            <m:r>
              <m:t>R</m:t>
            </m:r>
          </m:e>
          <m:sub>
            <m:r>
              <m:t>5</m:t>
            </m:r>
          </m:sub>
        </m:sSub>
      </m:oMath>
      <w:r>
        <w:rPr>
          <w:rtl w:val="0"/>
          <w:lang w:val="en-US"/>
        </w:rPr>
        <w:t xml:space="preserve"> adds a local physical algebra, symplectic normalisation and identified state; </w:t>
      </w:r>
      <m:oMath>
        <m:sSub>
          <m:e>
            <m:r>
              <m:t>R</m:t>
            </m:r>
          </m:e>
          <m:sub>
            <m:r>
              <m:t>6</m:t>
            </m:r>
          </m:sub>
        </m:sSub>
      </m:oMath>
      <w:r>
        <w:rPr>
          <w:rtl w:val="0"/>
          <w:lang w:val="en-US"/>
        </w:rPr>
        <w:t xml:space="preserve"> adds the Hadamard remainder and renormalisation control needed for quantum stress. These are named extra requirements, not automatic consequences of </w:t>
      </w:r>
      <m:oMath>
        <m:sSub>
          <m:e>
            <m:r>
              <m:t>R</m:t>
            </m:r>
          </m:e>
          <m:sub>
            <m:r>
              <m:t>1</m:t>
            </m:r>
          </m:sub>
        </m:sSub>
      </m:oMath>
      <w:r>
        <w:rPr>
          <w:rtl w:val="0"/>
          <w:lang w:val="en-US"/>
        </w:rPr>
        <w:t>. They are not a definition that presupposes cone or stress equality.</w:t>
      </w:r>
    </w:p>
    <w:p>
      <w:pPr>
        <w:pStyle w:val="Текстовый блок"/>
        <w:spacing w:line="240" w:lineRule="atLeast"/>
      </w:pPr>
    </w:p>
    <w:p>
      <w:pPr>
        <w:pStyle w:val="Текстовый блок"/>
        <w:spacing w:line="240" w:lineRule="atLeast"/>
      </w:pPr>
    </w:p>
    <w:p>
      <w:pPr>
        <w:pStyle w:val="Текстовый блок"/>
        <w:spacing w:line="240" w:lineRule="atLeast"/>
      </w:pPr>
    </w:p>
    <w:p>
      <w:pPr>
        <w:pStyle w:val="Текстовый блок"/>
        <w:spacing w:line="240" w:lineRule="atLeast"/>
      </w:pPr>
    </w:p>
    <w:p>
      <w:pPr>
        <w:pStyle w:val="Текстовый блок"/>
        <w:spacing w:line="240" w:lineRule="atLeast"/>
      </w:pPr>
    </w:p>
    <w:p>
      <w:pPr>
        <w:pStyle w:val="Текстовый блок"/>
        <w:spacing w:line="240" w:lineRule="atLeast"/>
      </w:pPr>
    </w:p>
    <w:p>
      <w:pPr>
        <w:pStyle w:val="Текстовый блок"/>
        <w:spacing w:line="240" w:lineRule="atLeast"/>
      </w:pPr>
    </w:p>
    <w:p>
      <w:pPr>
        <w:pStyle w:val="Текстовый блок"/>
        <w:spacing w:line="240" w:lineRule="atLeast"/>
      </w:pPr>
    </w:p>
    <w:p>
      <w:pPr>
        <w:pStyle w:val="Текстовый блок"/>
        <w:spacing w:line="240" w:lineRule="atLeast"/>
      </w:pPr>
    </w:p>
    <w:p>
      <w:pPr>
        <w:pStyle w:val="Текстовый блок"/>
        <w:spacing w:line="240" w:lineRule="atLeast"/>
      </w:pPr>
    </w:p>
    <w:p>
      <w:pPr>
        <w:pStyle w:val="Текстовый блок"/>
        <w:spacing w:line="240" w:lineRule="atLeast"/>
      </w:pPr>
    </w:p>
    <w:p>
      <w:pPr>
        <w:pStyle w:val="Текстовый блок"/>
        <w:spacing w:line="240" w:lineRule="atLeast"/>
      </w:pPr>
    </w:p>
    <w:p>
      <w:pPr>
        <w:pStyle w:val="Текстовый блок"/>
        <w:spacing w:line="240" w:lineRule="atLeast"/>
      </w:pPr>
    </w:p>
    <w:p>
      <w:pPr>
        <w:pStyle w:val="Текстовый блок"/>
        <w:spacing w:line="240" w:lineRule="atLeast"/>
      </w:pPr>
    </w:p>
    <w:p>
      <w:pPr>
        <w:pStyle w:val="Текстовый блок"/>
        <w:spacing w:line="240" w:lineRule="atLeast"/>
      </w:pPr>
    </w:p>
    <w:tbl>
      <w:tblPr>
        <w:tblW w:w="7920"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980"/>
        <w:gridCol w:w="1980"/>
        <w:gridCol w:w="1980"/>
        <w:gridCol w:w="1980"/>
      </w:tblGrid>
      <w:tr>
        <w:tblPrEx>
          <w:shd w:val="clear" w:color="auto" w:fill="ced7e7"/>
        </w:tblPrEx>
        <w:trPr>
          <w:trHeight w:val="462" w:hRule="atLeast"/>
        </w:trPr>
        <w:tc>
          <w:tcPr>
            <w:tcW w:type="dxa" w:w="1980"/>
            <w:tcBorders>
              <w:top w:val="single" w:color="777777" w:sz="8" w:space="0" w:shadow="0" w:frame="0"/>
              <w:left w:val="nil"/>
              <w:bottom w:val="single" w:color="777777" w:sz="6" w:space="0" w:shadow="0" w:frame="0"/>
              <w:right w:val="nil"/>
            </w:tcBorders>
            <w:shd w:val="clear" w:color="auto" w:fill="auto"/>
            <w:tcMar>
              <w:top w:type="dxa" w:w="80"/>
              <w:left w:type="dxa" w:w="80"/>
              <w:bottom w:type="dxa" w:w="80"/>
              <w:right w:type="dxa" w:w="80"/>
            </w:tcMar>
            <w:vAlign w:val="top"/>
          </w:tcPr>
          <w:p>
            <w:pPr>
              <w:pStyle w:val="Compact"/>
              <w:spacing w:after="40" w:line="240" w:lineRule="auto"/>
            </w:pPr>
            <w:r>
              <w:rPr>
                <w:rFonts w:ascii="Times New Roman" w:hAnsi="Times New Roman"/>
                <w:b w:val="1"/>
                <w:bCs w:val="1"/>
                <w:sz w:val="18"/>
                <w:szCs w:val="18"/>
                <w:rtl w:val="0"/>
                <w:lang w:val="en-US"/>
              </w:rPr>
              <w:t>ID / observable</w:t>
            </w:r>
          </w:p>
        </w:tc>
        <w:tc>
          <w:tcPr>
            <w:tcW w:type="dxa" w:w="1980"/>
            <w:tcBorders>
              <w:top w:val="single" w:color="777777" w:sz="8" w:space="0" w:shadow="0" w:frame="0"/>
              <w:left w:val="nil"/>
              <w:bottom w:val="single" w:color="777777" w:sz="6" w:space="0" w:shadow="0" w:frame="0"/>
              <w:right w:val="nil"/>
            </w:tcBorders>
            <w:shd w:val="clear" w:color="auto" w:fill="auto"/>
            <w:tcMar>
              <w:top w:type="dxa" w:w="80"/>
              <w:left w:type="dxa" w:w="80"/>
              <w:bottom w:type="dxa" w:w="80"/>
              <w:right w:type="dxa" w:w="80"/>
            </w:tcMar>
            <w:vAlign w:val="top"/>
          </w:tcPr>
          <w:p>
            <w:pPr>
              <w:pStyle w:val="Compact"/>
              <w:spacing w:after="40" w:line="240" w:lineRule="auto"/>
            </w:pPr>
            <w:r>
              <w:rPr>
                <w:rFonts w:ascii="Times New Roman" w:hAnsi="Times New Roman"/>
                <w:b w:val="1"/>
                <w:bCs w:val="1"/>
                <w:sz w:val="18"/>
                <w:szCs w:val="18"/>
                <w:rtl w:val="0"/>
                <w:lang w:val="en-US"/>
              </w:rPr>
              <w:t>Mathematical origin</w:t>
            </w:r>
          </w:p>
        </w:tc>
        <w:tc>
          <w:tcPr>
            <w:tcW w:type="dxa" w:w="1980"/>
            <w:tcBorders>
              <w:top w:val="single" w:color="777777" w:sz="8" w:space="0" w:shadow="0" w:frame="0"/>
              <w:left w:val="nil"/>
              <w:bottom w:val="single" w:color="777777" w:sz="6" w:space="0" w:shadow="0" w:frame="0"/>
              <w:right w:val="nil"/>
            </w:tcBorders>
            <w:shd w:val="clear" w:color="auto" w:fill="auto"/>
            <w:tcMar>
              <w:top w:type="dxa" w:w="80"/>
              <w:left w:type="dxa" w:w="80"/>
              <w:bottom w:type="dxa" w:w="80"/>
              <w:right w:type="dxa" w:w="80"/>
            </w:tcMar>
            <w:vAlign w:val="top"/>
          </w:tcPr>
          <w:p>
            <w:pPr>
              <w:pStyle w:val="Compact"/>
              <w:spacing w:after="40" w:line="240" w:lineRule="auto"/>
            </w:pPr>
            <w:r>
              <w:rPr>
                <w:rFonts w:ascii="Times New Roman" w:hAnsi="Times New Roman"/>
                <w:b w:val="1"/>
                <w:bCs w:val="1"/>
                <w:sz w:val="18"/>
                <w:szCs w:val="18"/>
                <w:rtl w:val="0"/>
                <w:lang w:val="en-US"/>
              </w:rPr>
              <w:t>Additional assumptions</w:t>
            </w:r>
          </w:p>
        </w:tc>
        <w:tc>
          <w:tcPr>
            <w:tcW w:type="dxa" w:w="1980"/>
            <w:tcBorders>
              <w:top w:val="single" w:color="777777" w:sz="8" w:space="0" w:shadow="0" w:frame="0"/>
              <w:left w:val="nil"/>
              <w:bottom w:val="single" w:color="777777" w:sz="6" w:space="0" w:shadow="0" w:frame="0"/>
              <w:right w:val="nil"/>
            </w:tcBorders>
            <w:shd w:val="clear" w:color="auto" w:fill="auto"/>
            <w:tcMar>
              <w:top w:type="dxa" w:w="80"/>
              <w:left w:type="dxa" w:w="80"/>
              <w:bottom w:type="dxa" w:w="80"/>
              <w:right w:type="dxa" w:w="80"/>
            </w:tcMar>
            <w:vAlign w:val="top"/>
          </w:tcPr>
          <w:p>
            <w:pPr>
              <w:pStyle w:val="Compact"/>
              <w:spacing w:after="40" w:line="240" w:lineRule="auto"/>
            </w:pPr>
            <w:r>
              <w:rPr>
                <w:rFonts w:ascii="Times New Roman" w:hAnsi="Times New Roman"/>
                <w:b w:val="1"/>
                <w:bCs w:val="1"/>
                <w:sz w:val="18"/>
                <w:szCs w:val="18"/>
                <w:rtl w:val="0"/>
                <w:lang w:val="en-US"/>
              </w:rPr>
              <w:t xml:space="preserve">Cone and </w:t>
            </w:r>
            <m:oMath>
              <m:r>
                <m:t>c</m:t>
              </m:r>
            </m:oMath>
            <w:r>
              <w:rPr>
                <w:rFonts w:ascii="Times New Roman" w:hAnsi="Times New Roman"/>
                <w:b w:val="1"/>
                <w:bCs w:val="1"/>
                <w:sz w:val="18"/>
                <w:szCs w:val="18"/>
                <w:rtl w:val="0"/>
                <w:lang w:val="en-US"/>
              </w:rPr>
              <w:t xml:space="preserve"> dependence</w:t>
            </w:r>
          </w:p>
        </w:tc>
      </w:tr>
      <w:tr>
        <w:tblPrEx>
          <w:shd w:val="clear" w:color="auto" w:fill="ced7e7"/>
        </w:tblPrEx>
        <w:trPr>
          <w:trHeight w:val="810" w:hRule="atLeast"/>
        </w:trPr>
        <w:tc>
          <w:tcPr>
            <w:tcW w:type="dxa" w:w="1980"/>
            <w:tcBorders>
              <w:top w:val="single" w:color="777777" w:sz="6" w:space="0" w:shadow="0" w:frame="0"/>
              <w:left w:val="nil"/>
              <w:bottom w:val="nil"/>
              <w:right w:val="nil"/>
            </w:tcBorders>
            <w:shd w:val="clear" w:color="auto" w:fill="auto"/>
            <w:tcMar>
              <w:top w:type="dxa" w:w="80"/>
              <w:left w:type="dxa" w:w="80"/>
              <w:bottom w:type="dxa" w:w="80"/>
              <w:right w:type="dxa" w:w="80"/>
            </w:tcMar>
            <w:vAlign w:val="top"/>
          </w:tcPr>
          <w:p>
            <w:pPr>
              <w:pStyle w:val="Compact"/>
              <w:spacing w:after="40" w:line="240" w:lineRule="auto"/>
            </w:pPr>
            <w:r>
              <w:rPr>
                <w:rFonts w:ascii="Times New Roman" w:hAnsi="Times New Roman"/>
                <w:sz w:val="18"/>
                <w:szCs w:val="18"/>
                <w:rtl w:val="0"/>
                <w:lang w:val="en-US"/>
              </w:rPr>
              <w:t>P: propagation</w:t>
            </w:r>
          </w:p>
        </w:tc>
        <w:tc>
          <w:tcPr>
            <w:tcW w:type="dxa" w:w="1980"/>
            <w:tcBorders>
              <w:top w:val="single" w:color="777777" w:sz="6" w:space="0" w:shadow="0" w:frame="0"/>
              <w:left w:val="nil"/>
              <w:bottom w:val="nil"/>
              <w:right w:val="nil"/>
            </w:tcBorders>
            <w:shd w:val="clear" w:color="auto" w:fill="auto"/>
            <w:tcMar>
              <w:top w:type="dxa" w:w="80"/>
              <w:left w:type="dxa" w:w="80"/>
              <w:bottom w:type="dxa" w:w="80"/>
              <w:right w:type="dxa" w:w="80"/>
            </w:tcMar>
            <w:vAlign w:val="top"/>
          </w:tcPr>
          <w:p>
            <w:pPr>
              <w:pStyle w:val="Compact"/>
              <w:spacing w:after="40" w:line="240" w:lineRule="auto"/>
            </w:pPr>
            <w:r>
              <w:rPr>
                <w:rFonts w:ascii="Times New Roman" w:hAnsi="Times New Roman"/>
                <w:sz w:val="18"/>
                <w:szCs w:val="18"/>
                <w:rtl w:val="0"/>
                <w:lang w:val="en-US"/>
              </w:rPr>
              <w:t xml:space="preserve">Principal part of </w:t>
            </w:r>
            <m:oMath>
              <m:sSub>
                <m:e>
                  <m:r>
                    <m:t>δ</m:t>
                  </m:r>
                </m:e>
                <m:sub>
                  <m:r>
                    <m:t>A</m:t>
                  </m:r>
                </m:sub>
              </m:sSub>
              <m:r>
                <m:t>S=0</m:t>
              </m:r>
            </m:oMath>
            <w:r>
              <w:rPr>
                <w:rFonts w:ascii="Times New Roman" w:hAnsi="Times New Roman"/>
                <w:sz w:val="18"/>
                <w:szCs w:val="18"/>
                <w:rtl w:val="0"/>
                <w:lang w:val="en-US"/>
              </w:rPr>
              <w:t>, after physical reduction.</w:t>
            </w:r>
          </w:p>
        </w:tc>
        <w:tc>
          <w:tcPr>
            <w:tcW w:type="dxa" w:w="1980"/>
            <w:tcBorders>
              <w:top w:val="single" w:color="777777" w:sz="6" w:space="0" w:shadow="0" w:frame="0"/>
              <w:left w:val="nil"/>
              <w:bottom w:val="nil"/>
              <w:right w:val="nil"/>
            </w:tcBorders>
            <w:shd w:val="clear" w:color="auto" w:fill="auto"/>
            <w:tcMar>
              <w:top w:type="dxa" w:w="80"/>
              <w:left w:type="dxa" w:w="80"/>
              <w:bottom w:type="dxa" w:w="80"/>
              <w:right w:type="dxa" w:w="80"/>
            </w:tcMar>
            <w:vAlign w:val="top"/>
          </w:tcPr>
          <w:p>
            <w:pPr>
              <w:pStyle w:val="Compact"/>
              <w:spacing w:after="40" w:line="240" w:lineRule="auto"/>
            </w:pPr>
            <w:r>
              <w:rPr>
                <w:rFonts w:ascii="Times New Roman" w:hAnsi="Times New Roman"/>
                <w:sz w:val="18"/>
                <w:szCs w:val="18"/>
                <w:rtl w:val="0"/>
                <w:lang w:val="en-US"/>
              </w:rPr>
              <w:t>Hyperbolic Maxwell sector, gauge quotient, specified background.</w:t>
            </w:r>
          </w:p>
        </w:tc>
        <w:tc>
          <w:tcPr>
            <w:tcW w:type="dxa" w:w="1980"/>
            <w:tcBorders>
              <w:top w:val="single" w:color="777777" w:sz="6" w:space="0" w:shadow="0" w:frame="0"/>
              <w:left w:val="nil"/>
              <w:bottom w:val="nil"/>
              <w:right w:val="nil"/>
            </w:tcBorders>
            <w:shd w:val="clear" w:color="auto" w:fill="auto"/>
            <w:tcMar>
              <w:top w:type="dxa" w:w="80"/>
              <w:left w:type="dxa" w:w="80"/>
              <w:bottom w:type="dxa" w:w="80"/>
              <w:right w:type="dxa" w:w="80"/>
            </w:tcMar>
            <w:vAlign w:val="top"/>
          </w:tcPr>
          <w:p>
            <w:pPr>
              <w:pStyle w:val="Compact"/>
              <w:spacing w:after="40" w:line="240" w:lineRule="auto"/>
            </w:pPr>
            <w:r>
              <w:rPr>
                <w:rFonts w:ascii="Times New Roman" w:hAnsi="Times New Roman"/>
                <w:sz w:val="18"/>
                <w:szCs w:val="18"/>
                <w:rtl w:val="0"/>
                <w:lang w:val="en-US"/>
              </w:rPr>
              <w:t>Null cone fixes local characteristic speed; orientation and scale remain separate.</w:t>
            </w:r>
          </w:p>
        </w:tc>
      </w:tr>
      <w:tr>
        <w:tblPrEx>
          <w:shd w:val="clear" w:color="auto" w:fill="ced7e7"/>
        </w:tblPrEx>
        <w:trPr>
          <w:trHeight w:val="977" w:hRule="atLeast"/>
        </w:trPr>
        <w:tc>
          <w:tcPr>
            <w:tcW w:type="dxa" w:w="1980"/>
            <w:tcBorders>
              <w:top w:val="nil"/>
              <w:left w:val="nil"/>
              <w:bottom w:val="nil"/>
              <w:right w:val="nil"/>
            </w:tcBorders>
            <w:shd w:val="clear" w:color="auto" w:fill="auto"/>
            <w:tcMar>
              <w:top w:type="dxa" w:w="80"/>
              <w:left w:type="dxa" w:w="80"/>
              <w:bottom w:type="dxa" w:w="80"/>
              <w:right w:type="dxa" w:w="80"/>
            </w:tcMar>
            <w:vAlign w:val="top"/>
          </w:tcPr>
          <w:p>
            <w:pPr>
              <w:pStyle w:val="Compact"/>
              <w:spacing w:after="40" w:line="240" w:lineRule="auto"/>
            </w:pPr>
            <w:r>
              <w:rPr>
                <w:rFonts w:ascii="Times New Roman" w:hAnsi="Times New Roman"/>
                <w:sz w:val="18"/>
                <w:szCs w:val="18"/>
                <w:rtl w:val="0"/>
                <w:lang w:val="en-US"/>
              </w:rPr>
              <w:t>F: frequency</w:t>
            </w:r>
          </w:p>
        </w:tc>
        <w:tc>
          <w:tcPr>
            <w:tcW w:type="dxa" w:w="1980"/>
            <w:tcBorders>
              <w:top w:val="nil"/>
              <w:left w:val="nil"/>
              <w:bottom w:val="nil"/>
              <w:right w:val="nil"/>
            </w:tcBorders>
            <w:shd w:val="clear" w:color="auto" w:fill="auto"/>
            <w:tcMar>
              <w:top w:type="dxa" w:w="80"/>
              <w:left w:type="dxa" w:w="80"/>
              <w:bottom w:type="dxa" w:w="80"/>
              <w:right w:type="dxa" w:w="80"/>
            </w:tcMar>
            <w:vAlign w:val="top"/>
          </w:tcPr>
          <w:p>
            <w:pPr>
              <w:pStyle w:val="Compact"/>
              <w:spacing w:after="40" w:line="240" w:lineRule="auto"/>
            </w:pPr>
            <w:r>
              <w:rPr>
                <w:rFonts w:ascii="Times New Roman" w:hAnsi="Times New Roman"/>
                <w:sz w:val="18"/>
                <w:szCs w:val="18"/>
                <w:rtl w:val="0"/>
                <w:lang w:val="en-US"/>
              </w:rPr>
              <w:t>Phase derivative contracted with observer time direction.</w:t>
            </w:r>
          </w:p>
        </w:tc>
        <w:tc>
          <w:tcPr>
            <w:tcW w:type="dxa" w:w="1980"/>
            <w:tcBorders>
              <w:top w:val="nil"/>
              <w:left w:val="nil"/>
              <w:bottom w:val="nil"/>
              <w:right w:val="nil"/>
            </w:tcBorders>
            <w:shd w:val="clear" w:color="auto" w:fill="auto"/>
            <w:tcMar>
              <w:top w:type="dxa" w:w="80"/>
              <w:left w:type="dxa" w:w="80"/>
              <w:bottom w:type="dxa" w:w="80"/>
              <w:right w:type="dxa" w:w="80"/>
            </w:tcMar>
            <w:vAlign w:val="top"/>
          </w:tcPr>
          <w:p>
            <w:pPr>
              <w:pStyle w:val="Compact"/>
              <w:spacing w:after="40" w:line="240" w:lineRule="auto"/>
            </w:pPr>
            <w:r>
              <w:rPr>
                <w:rFonts w:ascii="Times New Roman" w:hAnsi="Times New Roman"/>
                <w:sz w:val="18"/>
                <w:szCs w:val="18"/>
                <w:rtl w:val="0"/>
                <w:lang w:val="en-US"/>
              </w:rPr>
              <w:t>Clock, phase-bearing state or classical solution, observer.</w:t>
            </w:r>
          </w:p>
        </w:tc>
        <w:tc>
          <w:tcPr>
            <w:tcW w:type="dxa" w:w="1980"/>
            <w:tcBorders>
              <w:top w:val="nil"/>
              <w:left w:val="nil"/>
              <w:bottom w:val="nil"/>
              <w:right w:val="nil"/>
            </w:tcBorders>
            <w:shd w:val="clear" w:color="auto" w:fill="auto"/>
            <w:tcMar>
              <w:top w:type="dxa" w:w="80"/>
              <w:left w:type="dxa" w:w="80"/>
              <w:bottom w:type="dxa" w:w="80"/>
              <w:right w:type="dxa" w:w="80"/>
            </w:tcMar>
            <w:vAlign w:val="top"/>
          </w:tcPr>
          <w:p>
            <w:pPr>
              <w:pStyle w:val="Compact"/>
              <w:spacing w:after="40" w:line="240" w:lineRule="auto"/>
            </w:pPr>
            <m:oMath>
              <m:r>
                <m:t>ω=c</m:t>
              </m:r>
              <m:d>
                <m:dPr>
                  <m:begChr m:val="|"/>
                  <m:endChr m:val="|"/>
                </m:dPr>
                <m:e>
                  <m:r>
                    <m:rPr>
                      <m:sty m:val="b"/>
                    </m:rPr>
                    <m:t>k</m:t>
                  </m:r>
                </m:e>
              </m:d>
            </m:oMath>
            <w:r>
              <w:rPr>
                <w:rFonts w:ascii="Times New Roman" w:hAnsi="Times New Roman"/>
                <w:sz w:val="18"/>
                <w:szCs w:val="18"/>
                <w:rtl w:val="0"/>
                <w:lang w:val="en-US"/>
              </w:rPr>
              <w:t xml:space="preserve"> in the nondispersive vacuum sector; cone does not choose </w:t>
            </w:r>
            <m:oMath>
              <m:r>
                <m:t>ω</m:t>
              </m:r>
            </m:oMath>
            <w:r>
              <w:rPr>
                <w:rFonts w:ascii="Times New Roman" w:hAnsi="Times New Roman"/>
                <w:sz w:val="18"/>
                <w:szCs w:val="18"/>
                <w:rtl w:val="0"/>
                <w:lang w:val="en-US"/>
              </w:rPr>
              <w:t>.</w:t>
            </w:r>
          </w:p>
        </w:tc>
      </w:tr>
      <w:tr>
        <w:tblPrEx>
          <w:shd w:val="clear" w:color="auto" w:fill="ced7e7"/>
        </w:tblPrEx>
        <w:trPr>
          <w:trHeight w:val="667" w:hRule="atLeast"/>
        </w:trPr>
        <w:tc>
          <w:tcPr>
            <w:tcW w:type="dxa" w:w="1980"/>
            <w:tcBorders>
              <w:top w:val="nil"/>
              <w:left w:val="nil"/>
              <w:bottom w:val="nil"/>
              <w:right w:val="nil"/>
            </w:tcBorders>
            <w:shd w:val="clear" w:color="auto" w:fill="auto"/>
            <w:tcMar>
              <w:top w:type="dxa" w:w="80"/>
              <w:left w:type="dxa" w:w="80"/>
              <w:bottom w:type="dxa" w:w="80"/>
              <w:right w:type="dxa" w:w="80"/>
            </w:tcMar>
            <w:vAlign w:val="top"/>
          </w:tcPr>
          <w:p>
            <w:pPr>
              <w:pStyle w:val="Compact"/>
              <w:spacing w:after="40" w:line="240" w:lineRule="auto"/>
            </w:pPr>
            <w:r>
              <w:rPr>
                <w:rFonts w:ascii="Times New Roman" w:hAnsi="Times New Roman"/>
                <w:sz w:val="18"/>
                <w:szCs w:val="18"/>
                <w:rtl w:val="0"/>
                <w:lang w:val="en-US"/>
              </w:rPr>
              <w:t>W: wavelength</w:t>
            </w:r>
          </w:p>
        </w:tc>
        <w:tc>
          <w:tcPr>
            <w:tcW w:type="dxa" w:w="1980"/>
            <w:tcBorders>
              <w:top w:val="nil"/>
              <w:left w:val="nil"/>
              <w:bottom w:val="nil"/>
              <w:right w:val="nil"/>
            </w:tcBorders>
            <w:shd w:val="clear" w:color="auto" w:fill="auto"/>
            <w:tcMar>
              <w:top w:type="dxa" w:w="80"/>
              <w:left w:type="dxa" w:w="80"/>
              <w:bottom w:type="dxa" w:w="80"/>
              <w:right w:type="dxa" w:w="80"/>
            </w:tcMar>
            <w:vAlign w:val="top"/>
          </w:tcPr>
          <w:p>
            <w:pPr>
              <w:pStyle w:val="Compact"/>
              <w:spacing w:after="40" w:line="240" w:lineRule="auto"/>
            </w:pPr>
            <w:r>
              <w:rPr>
                <w:rFonts w:ascii="Times New Roman" w:hAnsi="Times New Roman"/>
                <w:sz w:val="18"/>
                <w:szCs w:val="18"/>
                <w:rtl w:val="0"/>
                <w:lang w:val="en-US"/>
              </w:rPr>
              <w:t>Spatial phase gradient and physical spatial measure.</w:t>
            </w:r>
          </w:p>
        </w:tc>
        <w:tc>
          <w:tcPr>
            <w:tcW w:type="dxa" w:w="1980"/>
            <w:tcBorders>
              <w:top w:val="nil"/>
              <w:left w:val="nil"/>
              <w:bottom w:val="nil"/>
              <w:right w:val="nil"/>
            </w:tcBorders>
            <w:shd w:val="clear" w:color="auto" w:fill="auto"/>
            <w:tcMar>
              <w:top w:type="dxa" w:w="80"/>
              <w:left w:type="dxa" w:w="80"/>
              <w:bottom w:type="dxa" w:w="80"/>
              <w:right w:type="dxa" w:w="80"/>
            </w:tcMar>
            <w:vAlign w:val="top"/>
          </w:tcPr>
          <w:p>
            <w:pPr>
              <w:pStyle w:val="Compact"/>
              <w:spacing w:after="40" w:line="240" w:lineRule="auto"/>
            </w:pPr>
            <w:r>
              <w:rPr>
                <w:rFonts w:ascii="Times New Roman" w:hAnsi="Times New Roman"/>
                <w:sz w:val="18"/>
                <w:szCs w:val="18"/>
                <w:rtl w:val="0"/>
                <w:lang w:val="en-US"/>
              </w:rPr>
              <w:t>Locally resolved phase, rods or interferometric readout.</w:t>
            </w:r>
          </w:p>
        </w:tc>
        <w:tc>
          <w:tcPr>
            <w:tcW w:type="dxa" w:w="1980"/>
            <w:tcBorders>
              <w:top w:val="nil"/>
              <w:left w:val="nil"/>
              <w:bottom w:val="nil"/>
              <w:right w:val="nil"/>
            </w:tcBorders>
            <w:shd w:val="clear" w:color="auto" w:fill="auto"/>
            <w:tcMar>
              <w:top w:type="dxa" w:w="80"/>
              <w:left w:type="dxa" w:w="80"/>
              <w:bottom w:type="dxa" w:w="80"/>
              <w:right w:type="dxa" w:w="80"/>
            </w:tcMar>
            <w:vAlign w:val="top"/>
          </w:tcPr>
          <w:p>
            <w:pPr>
              <w:pStyle w:val="Compact"/>
              <w:spacing w:after="40" w:line="240" w:lineRule="auto"/>
            </w:pPr>
            <m:oMath>
              <m:r>
                <m:t>fλ=c</m:t>
              </m:r>
            </m:oMath>
            <w:r>
              <w:rPr>
                <w:rFonts w:ascii="Times New Roman" w:hAnsi="Times New Roman"/>
                <w:sz w:val="18"/>
                <w:szCs w:val="18"/>
                <w:rtl w:val="0"/>
                <w:lang w:val="en-US"/>
              </w:rPr>
              <w:t xml:space="preserve"> locally; cone alone does not set a wavelength.</w:t>
            </w:r>
          </w:p>
        </w:tc>
      </w:tr>
      <w:tr>
        <w:tblPrEx>
          <w:shd w:val="clear" w:color="auto" w:fill="ced7e7"/>
        </w:tblPrEx>
        <w:trPr>
          <w:trHeight w:val="941" w:hRule="atLeast"/>
        </w:trPr>
        <w:tc>
          <w:tcPr>
            <w:tcW w:type="dxa" w:w="1980"/>
            <w:tcBorders>
              <w:top w:val="nil"/>
              <w:left w:val="nil"/>
              <w:bottom w:val="nil"/>
              <w:right w:val="nil"/>
            </w:tcBorders>
            <w:shd w:val="clear" w:color="auto" w:fill="auto"/>
            <w:tcMar>
              <w:top w:type="dxa" w:w="80"/>
              <w:left w:type="dxa" w:w="80"/>
              <w:bottom w:type="dxa" w:w="80"/>
              <w:right w:type="dxa" w:w="80"/>
            </w:tcMar>
            <w:vAlign w:val="top"/>
          </w:tcPr>
          <w:p>
            <w:pPr>
              <w:pStyle w:val="Compact"/>
              <w:spacing w:after="40" w:line="240" w:lineRule="auto"/>
            </w:pPr>
            <w:r>
              <w:rPr>
                <w:rFonts w:ascii="Times New Roman" w:hAnsi="Times New Roman"/>
                <w:sz w:val="18"/>
                <w:szCs w:val="18"/>
                <w:rtl w:val="0"/>
                <w:lang w:val="en-US"/>
              </w:rPr>
              <w:t>E: energy</w:t>
            </w:r>
          </w:p>
        </w:tc>
        <w:tc>
          <w:tcPr>
            <w:tcW w:type="dxa" w:w="1980"/>
            <w:tcBorders>
              <w:top w:val="nil"/>
              <w:left w:val="nil"/>
              <w:bottom w:val="nil"/>
              <w:right w:val="nil"/>
            </w:tcBorders>
            <w:shd w:val="clear" w:color="auto" w:fill="auto"/>
            <w:tcMar>
              <w:top w:type="dxa" w:w="80"/>
              <w:left w:type="dxa" w:w="80"/>
              <w:bottom w:type="dxa" w:w="80"/>
              <w:right w:type="dxa" w:w="80"/>
            </w:tcMar>
            <w:vAlign w:val="top"/>
          </w:tcPr>
          <w:p>
            <w:pPr>
              <w:pStyle w:val="Compact"/>
              <w:spacing w:after="40" w:line="240" w:lineRule="auto"/>
            </w:pPr>
            <w:r>
              <w:rPr>
                <w:rFonts w:ascii="Times New Roman" w:hAnsi="Times New Roman"/>
                <w:sz w:val="18"/>
                <w:szCs w:val="18"/>
                <w:rtl w:val="0"/>
                <w:lang w:val="en-US"/>
              </w:rPr>
              <w:t>Time-translation generator or stress projection; quantum mode energy.</w:t>
            </w:r>
          </w:p>
        </w:tc>
        <w:tc>
          <w:tcPr>
            <w:tcW w:type="dxa" w:w="1980"/>
            <w:tcBorders>
              <w:top w:val="nil"/>
              <w:left w:val="nil"/>
              <w:bottom w:val="nil"/>
              <w:right w:val="nil"/>
            </w:tcBorders>
            <w:shd w:val="clear" w:color="auto" w:fill="auto"/>
            <w:tcMar>
              <w:top w:type="dxa" w:w="80"/>
              <w:left w:type="dxa" w:w="80"/>
              <w:bottom w:type="dxa" w:w="80"/>
              <w:right w:type="dxa" w:w="80"/>
            </w:tcMar>
            <w:vAlign w:val="top"/>
          </w:tcPr>
          <w:p>
            <w:pPr>
              <w:pStyle w:val="Compact"/>
              <w:spacing w:after="40" w:line="240" w:lineRule="auto"/>
            </w:pPr>
            <w:r>
              <w:rPr>
                <w:rFonts w:ascii="Times New Roman" w:hAnsi="Times New Roman"/>
                <w:sz w:val="18"/>
                <w:szCs w:val="18"/>
                <w:rtl w:val="0"/>
                <w:lang w:val="en-US"/>
              </w:rPr>
              <w:t xml:space="preserve">Action normalisation; symmetry for global energy; quantisation for </w:t>
            </w:r>
            <m:oMath>
              <m:r>
                <m:rPr>
                  <m:sty m:val="p"/>
                </m:rPr>
                <m:t>ℏ</m:t>
              </m:r>
              <m:r>
                <m:t>ω</m:t>
              </m:r>
            </m:oMath>
            <w:r>
              <w:rPr>
                <w:rFonts w:ascii="Times New Roman" w:hAnsi="Times New Roman"/>
                <w:sz w:val="18"/>
                <w:szCs w:val="18"/>
                <w:rtl w:val="0"/>
                <w:lang w:val="en-US"/>
              </w:rPr>
              <w:t>.</w:t>
            </w:r>
          </w:p>
        </w:tc>
        <w:tc>
          <w:tcPr>
            <w:tcW w:type="dxa" w:w="1980"/>
            <w:tcBorders>
              <w:top w:val="nil"/>
              <w:left w:val="nil"/>
              <w:bottom w:val="nil"/>
              <w:right w:val="nil"/>
            </w:tcBorders>
            <w:shd w:val="clear" w:color="auto" w:fill="auto"/>
            <w:tcMar>
              <w:top w:type="dxa" w:w="80"/>
              <w:left w:type="dxa" w:w="80"/>
              <w:bottom w:type="dxa" w:w="80"/>
              <w:right w:type="dxa" w:w="80"/>
            </w:tcMar>
            <w:vAlign w:val="top"/>
          </w:tcPr>
          <w:p>
            <w:pPr>
              <w:pStyle w:val="Compact"/>
              <w:spacing w:after="40" w:line="240" w:lineRule="auto"/>
            </w:pPr>
            <w:r>
              <w:rPr>
                <w:rFonts w:ascii="Times New Roman" w:hAnsi="Times New Roman"/>
                <w:sz w:val="18"/>
                <w:szCs w:val="18"/>
                <w:rtl w:val="0"/>
                <w:lang w:val="en-US"/>
              </w:rPr>
              <w:t xml:space="preserve">Null modes satisfy </w:t>
            </w:r>
            <m:oMath>
              <m:r>
                <m:t>E=c</m:t>
              </m:r>
              <m:d>
                <m:dPr>
                  <m:begChr m:val="|"/>
                  <m:endChr m:val="|"/>
                </m:dPr>
                <m:e>
                  <m:r>
                    <m:rPr>
                      <m:sty m:val="b"/>
                    </m:rPr>
                    <m:t>p</m:t>
                  </m:r>
                </m:e>
              </m:d>
            </m:oMath>
            <w:r>
              <w:rPr>
                <w:rFonts w:ascii="Times New Roman" w:hAnsi="Times New Roman"/>
                <w:sz w:val="18"/>
                <w:szCs w:val="18"/>
                <w:rtl w:val="0"/>
                <w:lang w:val="en-US"/>
              </w:rPr>
              <w:t>; amplitude and occupation remain free.</w:t>
            </w:r>
          </w:p>
        </w:tc>
      </w:tr>
      <w:tr>
        <w:tblPrEx>
          <w:shd w:val="clear" w:color="auto" w:fill="ced7e7"/>
        </w:tblPrEx>
        <w:trPr>
          <w:trHeight w:val="941" w:hRule="atLeast"/>
        </w:trPr>
        <w:tc>
          <w:tcPr>
            <w:tcW w:type="dxa" w:w="1980"/>
            <w:tcBorders>
              <w:top w:val="nil"/>
              <w:left w:val="nil"/>
              <w:bottom w:val="nil"/>
              <w:right w:val="nil"/>
            </w:tcBorders>
            <w:shd w:val="clear" w:color="auto" w:fill="auto"/>
            <w:tcMar>
              <w:top w:type="dxa" w:w="80"/>
              <w:left w:type="dxa" w:w="80"/>
              <w:bottom w:type="dxa" w:w="80"/>
              <w:right w:type="dxa" w:w="80"/>
            </w:tcMar>
            <w:vAlign w:val="top"/>
          </w:tcPr>
          <w:p>
            <w:pPr>
              <w:pStyle w:val="Compact"/>
              <w:spacing w:after="40" w:line="240" w:lineRule="auto"/>
            </w:pPr>
            <w:r>
              <w:rPr>
                <w:rFonts w:ascii="Times New Roman" w:hAnsi="Times New Roman"/>
                <w:sz w:val="18"/>
                <w:szCs w:val="18"/>
                <w:rtl w:val="0"/>
                <w:lang w:val="en-US"/>
              </w:rPr>
              <w:t>M: momentum</w:t>
            </w:r>
          </w:p>
        </w:tc>
        <w:tc>
          <w:tcPr>
            <w:tcW w:type="dxa" w:w="1980"/>
            <w:tcBorders>
              <w:top w:val="nil"/>
              <w:left w:val="nil"/>
              <w:bottom w:val="nil"/>
              <w:right w:val="nil"/>
            </w:tcBorders>
            <w:shd w:val="clear" w:color="auto" w:fill="auto"/>
            <w:tcMar>
              <w:top w:type="dxa" w:w="80"/>
              <w:left w:type="dxa" w:w="80"/>
              <w:bottom w:type="dxa" w:w="80"/>
              <w:right w:type="dxa" w:w="80"/>
            </w:tcMar>
            <w:vAlign w:val="top"/>
          </w:tcPr>
          <w:p>
            <w:pPr>
              <w:pStyle w:val="Compact"/>
              <w:spacing w:after="40" w:line="240" w:lineRule="auto"/>
            </w:pPr>
            <w:r>
              <w:rPr>
                <w:rFonts w:ascii="Times New Roman" w:hAnsi="Times New Roman"/>
                <w:sz w:val="18"/>
                <w:szCs w:val="18"/>
                <w:rtl w:val="0"/>
                <w:lang w:val="en-US"/>
              </w:rPr>
              <w:t>Spatial translation generator or integrated momentum density.</w:t>
            </w:r>
          </w:p>
        </w:tc>
        <w:tc>
          <w:tcPr>
            <w:tcW w:type="dxa" w:w="1980"/>
            <w:tcBorders>
              <w:top w:val="nil"/>
              <w:left w:val="nil"/>
              <w:bottom w:val="nil"/>
              <w:right w:val="nil"/>
            </w:tcBorders>
            <w:shd w:val="clear" w:color="auto" w:fill="auto"/>
            <w:tcMar>
              <w:top w:type="dxa" w:w="80"/>
              <w:left w:type="dxa" w:w="80"/>
              <w:bottom w:type="dxa" w:w="80"/>
              <w:right w:type="dxa" w:w="80"/>
            </w:tcMar>
            <w:vAlign w:val="top"/>
          </w:tcPr>
          <w:p>
            <w:pPr>
              <w:pStyle w:val="Compact"/>
              <w:spacing w:after="40" w:line="240" w:lineRule="auto"/>
            </w:pPr>
            <w:r>
              <w:rPr>
                <w:rFonts w:ascii="Times New Roman" w:hAnsi="Times New Roman"/>
                <w:sz w:val="18"/>
                <w:szCs w:val="18"/>
                <w:rtl w:val="0"/>
                <w:lang w:val="en-US"/>
              </w:rPr>
              <w:t xml:space="preserve">Translation symmetry or local frame; quantisation for </w:t>
            </w:r>
            <m:oMath>
              <m:r>
                <m:rPr>
                  <m:sty m:val="p"/>
                </m:rPr>
                <m:t>ℏ</m:t>
              </m:r>
              <m:r>
                <m:rPr>
                  <m:sty m:val="b"/>
                </m:rPr>
                <m:t>k</m:t>
              </m:r>
            </m:oMath>
            <w:r>
              <w:rPr>
                <w:rFonts w:ascii="Times New Roman" w:hAnsi="Times New Roman"/>
                <w:sz w:val="18"/>
                <w:szCs w:val="18"/>
                <w:rtl w:val="0"/>
                <w:lang w:val="en-US"/>
              </w:rPr>
              <w:t>.</w:t>
            </w:r>
          </w:p>
        </w:tc>
        <w:tc>
          <w:tcPr>
            <w:tcW w:type="dxa" w:w="1980"/>
            <w:tcBorders>
              <w:top w:val="nil"/>
              <w:left w:val="nil"/>
              <w:bottom w:val="nil"/>
              <w:right w:val="nil"/>
            </w:tcBorders>
            <w:shd w:val="clear" w:color="auto" w:fill="auto"/>
            <w:tcMar>
              <w:top w:type="dxa" w:w="80"/>
              <w:left w:type="dxa" w:w="80"/>
              <w:bottom w:type="dxa" w:w="80"/>
              <w:right w:type="dxa" w:w="80"/>
            </w:tcMar>
            <w:vAlign w:val="top"/>
          </w:tcPr>
          <w:p>
            <w:pPr>
              <w:pStyle w:val="Compact"/>
              <w:spacing w:after="40" w:line="240" w:lineRule="auto"/>
            </w:pPr>
            <w:r>
              <w:rPr>
                <w:rFonts w:ascii="Times New Roman" w:hAnsi="Times New Roman"/>
                <w:sz w:val="18"/>
                <w:szCs w:val="18"/>
                <w:rtl w:val="0"/>
                <w:lang w:val="en-US"/>
              </w:rPr>
              <w:t xml:space="preserve">Null direction aligns momentum; </w:t>
            </w:r>
            <m:oMath>
              <m:d>
                <m:dPr>
                  <m:begChr m:val="|"/>
                  <m:endChr m:val="|"/>
                </m:dPr>
                <m:e>
                  <m:r>
                    <m:rPr>
                      <m:sty m:val="b"/>
                    </m:rPr>
                    <m:t>p</m:t>
                  </m:r>
                </m:e>
              </m:d>
              <m:r>
                <m:t>=E/c</m:t>
              </m:r>
            </m:oMath>
            <w:r>
              <w:rPr>
                <w:rFonts w:ascii="Times New Roman" w:hAnsi="Times New Roman"/>
                <w:sz w:val="18"/>
                <w:szCs w:val="18"/>
                <w:rtl w:val="0"/>
                <w:lang w:val="en-US"/>
              </w:rPr>
              <w:t xml:space="preserve"> is sector dependent.</w:t>
            </w:r>
          </w:p>
        </w:tc>
      </w:tr>
      <w:tr>
        <w:tblPrEx>
          <w:shd w:val="clear" w:color="auto" w:fill="ced7e7"/>
        </w:tblPrEx>
        <w:trPr>
          <w:trHeight w:val="733" w:hRule="atLeast"/>
        </w:trPr>
        <w:tc>
          <w:tcPr>
            <w:tcW w:type="dxa" w:w="1980"/>
            <w:tcBorders>
              <w:top w:val="nil"/>
              <w:left w:val="nil"/>
              <w:bottom w:val="nil"/>
              <w:right w:val="nil"/>
            </w:tcBorders>
            <w:shd w:val="clear" w:color="auto" w:fill="auto"/>
            <w:tcMar>
              <w:top w:type="dxa" w:w="80"/>
              <w:left w:type="dxa" w:w="80"/>
              <w:bottom w:type="dxa" w:w="80"/>
              <w:right w:type="dxa" w:w="80"/>
            </w:tcMar>
            <w:vAlign w:val="top"/>
          </w:tcPr>
          <w:p>
            <w:pPr>
              <w:pStyle w:val="Compact"/>
              <w:spacing w:after="40" w:line="240" w:lineRule="auto"/>
            </w:pPr>
            <w:r>
              <w:rPr>
                <w:rFonts w:ascii="Times New Roman" w:hAnsi="Times New Roman"/>
                <w:sz w:val="18"/>
                <w:szCs w:val="18"/>
                <w:rtl w:val="0"/>
                <w:lang w:val="en-US"/>
              </w:rPr>
              <w:t>EF: energy flux</w:t>
            </w:r>
          </w:p>
        </w:tc>
        <w:tc>
          <w:tcPr>
            <w:tcW w:type="dxa" w:w="1980"/>
            <w:tcBorders>
              <w:top w:val="nil"/>
              <w:left w:val="nil"/>
              <w:bottom w:val="nil"/>
              <w:right w:val="nil"/>
            </w:tcBorders>
            <w:shd w:val="clear" w:color="auto" w:fill="auto"/>
            <w:tcMar>
              <w:top w:type="dxa" w:w="80"/>
              <w:left w:type="dxa" w:w="80"/>
              <w:bottom w:type="dxa" w:w="80"/>
              <w:right w:type="dxa" w:w="80"/>
            </w:tcMar>
            <w:vAlign w:val="top"/>
          </w:tcPr>
          <w:p>
            <w:pPr>
              <w:pStyle w:val="Compact"/>
              <w:spacing w:after="40" w:line="240" w:lineRule="auto"/>
            </w:pPr>
            <m:oMath>
              <m:sSub>
                <m:e>
                  <m:r>
                    <m:t>S</m:t>
                  </m:r>
                </m:e>
                <m:sub>
                  <m:r>
                    <m:t>i</m:t>
                  </m:r>
                </m:sub>
              </m:sSub>
              <m:r>
                <m:t>=c</m:t>
              </m:r>
              <m:sSup>
                <m:e>
                  <m:r>
                    <m:t>T</m:t>
                  </m:r>
                </m:e>
                <m:sup>
                  <m:r>
                    <m:t>0i</m:t>
                  </m:r>
                </m:sup>
              </m:sSup>
            </m:oMath>
            <w:r>
              <w:rPr>
                <w:rFonts w:ascii="Times New Roman" w:hAnsi="Times New Roman"/>
                <w:sz w:val="18"/>
                <w:szCs w:val="18"/>
                <w:rtl w:val="0"/>
                <w:lang w:val="en-US"/>
              </w:rPr>
              <w:t xml:space="preserve"> from metric variation and projection.</w:t>
            </w:r>
          </w:p>
        </w:tc>
        <w:tc>
          <w:tcPr>
            <w:tcW w:type="dxa" w:w="1980"/>
            <w:tcBorders>
              <w:top w:val="nil"/>
              <w:left w:val="nil"/>
              <w:bottom w:val="nil"/>
              <w:right w:val="nil"/>
            </w:tcBorders>
            <w:shd w:val="clear" w:color="auto" w:fill="auto"/>
            <w:tcMar>
              <w:top w:type="dxa" w:w="80"/>
              <w:left w:type="dxa" w:w="80"/>
              <w:bottom w:type="dxa" w:w="80"/>
              <w:right w:type="dxa" w:w="80"/>
            </w:tcMar>
            <w:vAlign w:val="top"/>
          </w:tcPr>
          <w:p>
            <w:pPr>
              <w:pStyle w:val="Compact"/>
              <w:spacing w:after="40" w:line="240" w:lineRule="auto"/>
            </w:pPr>
            <w:r>
              <w:rPr>
                <w:rFonts w:ascii="Times New Roman" w:hAnsi="Times New Roman"/>
                <w:sz w:val="18"/>
                <w:szCs w:val="18"/>
                <w:rtl w:val="0"/>
                <w:lang w:val="en-US"/>
              </w:rPr>
              <w:t>Field amplitude, action and metric normalisation, observer.</w:t>
            </w:r>
          </w:p>
        </w:tc>
        <w:tc>
          <w:tcPr>
            <w:tcW w:type="dxa" w:w="1980"/>
            <w:tcBorders>
              <w:top w:val="nil"/>
              <w:left w:val="nil"/>
              <w:bottom w:val="nil"/>
              <w:right w:val="nil"/>
            </w:tcBorders>
            <w:shd w:val="clear" w:color="auto" w:fill="auto"/>
            <w:tcMar>
              <w:top w:type="dxa" w:w="80"/>
              <w:left w:type="dxa" w:w="80"/>
              <w:bottom w:type="dxa" w:w="80"/>
              <w:right w:type="dxa" w:w="80"/>
            </w:tcMar>
            <w:vAlign w:val="top"/>
          </w:tcPr>
          <w:p>
            <w:pPr>
              <w:pStyle w:val="Compact"/>
              <w:spacing w:after="40" w:line="240" w:lineRule="auto"/>
            </w:pPr>
            <m:oMath>
              <m:d>
                <m:dPr>
                  <m:begChr m:val="|"/>
                  <m:endChr m:val="|"/>
                </m:dPr>
                <m:e>
                  <m:r>
                    <m:rPr>
                      <m:sty m:val="b"/>
                    </m:rPr>
                    <m:t>S</m:t>
                  </m:r>
                </m:e>
              </m:d>
              <m:r>
                <m:t>=cu</m:t>
              </m:r>
            </m:oMath>
            <w:r>
              <w:rPr>
                <w:rFonts w:ascii="Times New Roman" w:hAnsi="Times New Roman"/>
                <w:sz w:val="18"/>
                <w:szCs w:val="18"/>
                <w:rtl w:val="0"/>
                <w:lang w:val="en-US"/>
              </w:rPr>
              <w:t xml:space="preserve"> in one null sector; inequality otherwise.</w:t>
            </w:r>
          </w:p>
        </w:tc>
      </w:tr>
      <w:tr>
        <w:tblPrEx>
          <w:shd w:val="clear" w:color="auto" w:fill="ced7e7"/>
        </w:tblPrEx>
        <w:trPr>
          <w:trHeight w:val="878" w:hRule="atLeast"/>
        </w:trPr>
        <w:tc>
          <w:tcPr>
            <w:tcW w:type="dxa" w:w="1980"/>
            <w:tcBorders>
              <w:top w:val="nil"/>
              <w:left w:val="nil"/>
              <w:bottom w:val="nil"/>
              <w:right w:val="nil"/>
            </w:tcBorders>
            <w:shd w:val="clear" w:color="auto" w:fill="auto"/>
            <w:tcMar>
              <w:top w:type="dxa" w:w="80"/>
              <w:left w:type="dxa" w:w="80"/>
              <w:bottom w:type="dxa" w:w="80"/>
              <w:right w:type="dxa" w:w="80"/>
            </w:tcMar>
            <w:vAlign w:val="top"/>
          </w:tcPr>
          <w:p>
            <w:pPr>
              <w:pStyle w:val="Compact"/>
              <w:spacing w:after="40" w:line="240" w:lineRule="auto"/>
            </w:pPr>
            <w:r>
              <w:rPr>
                <w:rFonts w:ascii="Times New Roman" w:hAnsi="Times New Roman"/>
                <w:sz w:val="18"/>
                <w:szCs w:val="18"/>
                <w:rtl w:val="0"/>
                <w:lang w:val="en-US"/>
              </w:rPr>
              <w:t>MF: momentum flux</w:t>
            </w:r>
          </w:p>
        </w:tc>
        <w:tc>
          <w:tcPr>
            <w:tcW w:type="dxa" w:w="1980"/>
            <w:tcBorders>
              <w:top w:val="nil"/>
              <w:left w:val="nil"/>
              <w:bottom w:val="nil"/>
              <w:right w:val="nil"/>
            </w:tcBorders>
            <w:shd w:val="clear" w:color="auto" w:fill="auto"/>
            <w:tcMar>
              <w:top w:type="dxa" w:w="80"/>
              <w:left w:type="dxa" w:w="80"/>
              <w:bottom w:type="dxa" w:w="80"/>
              <w:right w:type="dxa" w:w="80"/>
            </w:tcMar>
            <w:vAlign w:val="top"/>
          </w:tcPr>
          <w:p>
            <w:pPr>
              <w:pStyle w:val="Compact"/>
              <w:spacing w:after="40" w:line="240" w:lineRule="auto"/>
            </w:pPr>
            <m:oMath>
              <m:sSub>
                <m:e>
                  <m:r>
                    <m:t>Π</m:t>
                  </m:r>
                </m:e>
                <m:sub>
                  <m:r>
                    <m:t>ij</m:t>
                  </m:r>
                </m:sub>
              </m:sSub>
              <m:r>
                <m:t>=</m:t>
              </m:r>
              <m:sSup>
                <m:e>
                  <m:r>
                    <m:t>T</m:t>
                  </m:r>
                </m:e>
                <m:sup>
                  <m:r>
                    <m:t>ij</m:t>
                  </m:r>
                </m:sup>
              </m:sSup>
            </m:oMath>
            <w:r>
              <w:rPr>
                <w:rFonts w:ascii="Times New Roman" w:hAnsi="Times New Roman"/>
                <w:sz w:val="18"/>
                <w:szCs w:val="18"/>
                <w:rtl w:val="0"/>
                <w:lang w:val="en-US"/>
              </w:rPr>
              <w:t>, distinct from momentum density.</w:t>
            </w:r>
          </w:p>
        </w:tc>
        <w:tc>
          <w:tcPr>
            <w:tcW w:type="dxa" w:w="1980"/>
            <w:tcBorders>
              <w:top w:val="nil"/>
              <w:left w:val="nil"/>
              <w:bottom w:val="nil"/>
              <w:right w:val="nil"/>
            </w:tcBorders>
            <w:shd w:val="clear" w:color="auto" w:fill="auto"/>
            <w:tcMar>
              <w:top w:type="dxa" w:w="80"/>
              <w:left w:type="dxa" w:w="80"/>
              <w:bottom w:type="dxa" w:w="80"/>
              <w:right w:type="dxa" w:w="80"/>
            </w:tcMar>
            <w:vAlign w:val="top"/>
          </w:tcPr>
          <w:p>
            <w:pPr>
              <w:pStyle w:val="Compact"/>
              <w:spacing w:after="40" w:line="240" w:lineRule="auto"/>
            </w:pPr>
            <w:r>
              <w:rPr>
                <w:rFonts w:ascii="Times New Roman" w:hAnsi="Times New Roman"/>
                <w:sz w:val="18"/>
                <w:szCs w:val="18"/>
                <w:rtl w:val="0"/>
                <w:lang w:val="en-US"/>
              </w:rPr>
              <w:t>Same as EF; specified spatial normal for a flux readout.</w:t>
            </w:r>
          </w:p>
        </w:tc>
        <w:tc>
          <w:tcPr>
            <w:tcW w:type="dxa" w:w="1980"/>
            <w:tcBorders>
              <w:top w:val="nil"/>
              <w:left w:val="nil"/>
              <w:bottom w:val="nil"/>
              <w:right w:val="nil"/>
            </w:tcBorders>
            <w:shd w:val="clear" w:color="auto" w:fill="auto"/>
            <w:tcMar>
              <w:top w:type="dxa" w:w="80"/>
              <w:left w:type="dxa" w:w="80"/>
              <w:bottom w:type="dxa" w:w="80"/>
              <w:right w:type="dxa" w:w="80"/>
            </w:tcMar>
            <w:vAlign w:val="top"/>
          </w:tcPr>
          <w:p>
            <w:pPr>
              <w:pStyle w:val="Compact"/>
              <w:spacing w:after="40" w:line="240" w:lineRule="auto"/>
            </w:pPr>
            <m:oMath>
              <m:sSub>
                <m:e>
                  <m:r>
                    <m:t>Π</m:t>
                  </m:r>
                </m:e>
                <m:sub>
                  <m:r>
                    <m:t>nn</m:t>
                  </m:r>
                </m:sub>
              </m:sSub>
              <m:r>
                <m:t>=I/c</m:t>
              </m:r>
            </m:oMath>
            <w:r>
              <w:rPr>
                <w:rFonts w:ascii="Times New Roman" w:hAnsi="Times New Roman"/>
                <w:sz w:val="18"/>
                <w:szCs w:val="18"/>
                <w:rtl w:val="0"/>
                <w:lang w:val="en-US"/>
              </w:rPr>
              <w:t xml:space="preserve"> for a collimated null beam; cone alone does not fix tensor components.</w:t>
            </w:r>
          </w:p>
        </w:tc>
      </w:tr>
      <w:tr>
        <w:tblPrEx>
          <w:shd w:val="clear" w:color="auto" w:fill="ced7e7"/>
        </w:tblPrEx>
        <w:trPr>
          <w:trHeight w:val="1064" w:hRule="atLeast"/>
        </w:trPr>
        <w:tc>
          <w:tcPr>
            <w:tcW w:type="dxa" w:w="1980"/>
            <w:tcBorders>
              <w:top w:val="nil"/>
              <w:left w:val="nil"/>
              <w:bottom w:val="nil"/>
              <w:right w:val="nil"/>
            </w:tcBorders>
            <w:shd w:val="clear" w:color="auto" w:fill="auto"/>
            <w:tcMar>
              <w:top w:type="dxa" w:w="80"/>
              <w:left w:type="dxa" w:w="80"/>
              <w:bottom w:type="dxa" w:w="80"/>
              <w:right w:type="dxa" w:w="80"/>
            </w:tcMar>
            <w:vAlign w:val="top"/>
          </w:tcPr>
          <w:p>
            <w:pPr>
              <w:pStyle w:val="Compact"/>
              <w:spacing w:after="40" w:line="240" w:lineRule="auto"/>
            </w:pPr>
            <w:r>
              <w:rPr>
                <w:rFonts w:ascii="Times New Roman" w:hAnsi="Times New Roman"/>
                <w:sz w:val="18"/>
                <w:szCs w:val="18"/>
                <w:rtl w:val="0"/>
                <w:lang w:val="en-US"/>
              </w:rPr>
              <w:t>RP: beam pressure</w:t>
            </w:r>
          </w:p>
        </w:tc>
        <w:tc>
          <w:tcPr>
            <w:tcW w:type="dxa" w:w="1980"/>
            <w:tcBorders>
              <w:top w:val="nil"/>
              <w:left w:val="nil"/>
              <w:bottom w:val="nil"/>
              <w:right w:val="nil"/>
            </w:tcBorders>
            <w:shd w:val="clear" w:color="auto" w:fill="auto"/>
            <w:tcMar>
              <w:top w:type="dxa" w:w="80"/>
              <w:left w:type="dxa" w:w="80"/>
              <w:bottom w:type="dxa" w:w="80"/>
              <w:right w:type="dxa" w:w="80"/>
            </w:tcMar>
            <w:vAlign w:val="top"/>
          </w:tcPr>
          <w:p>
            <w:pPr>
              <w:pStyle w:val="Compact"/>
              <w:spacing w:after="40" w:line="240" w:lineRule="auto"/>
            </w:pPr>
            <w:r>
              <w:rPr>
                <w:rFonts w:ascii="Times New Roman" w:hAnsi="Times New Roman"/>
                <w:sz w:val="18"/>
                <w:szCs w:val="18"/>
                <w:rtl w:val="0"/>
                <w:lang w:val="en-US"/>
              </w:rPr>
              <w:t>Incoming minus outgoing momentum flux.</w:t>
            </w:r>
          </w:p>
        </w:tc>
        <w:tc>
          <w:tcPr>
            <w:tcW w:type="dxa" w:w="1980"/>
            <w:tcBorders>
              <w:top w:val="nil"/>
              <w:left w:val="nil"/>
              <w:bottom w:val="nil"/>
              <w:right w:val="nil"/>
            </w:tcBorders>
            <w:shd w:val="clear" w:color="auto" w:fill="auto"/>
            <w:tcMar>
              <w:top w:type="dxa" w:w="80"/>
              <w:left w:type="dxa" w:w="80"/>
              <w:bottom w:type="dxa" w:w="80"/>
              <w:right w:type="dxa" w:w="80"/>
            </w:tcMar>
            <w:vAlign w:val="top"/>
          </w:tcPr>
          <w:p>
            <w:pPr>
              <w:pStyle w:val="Compact"/>
              <w:spacing w:after="40" w:line="240" w:lineRule="auto"/>
            </w:pPr>
            <w:r>
              <w:rPr>
                <w:rFonts w:ascii="Times New Roman" w:hAnsi="Times New Roman"/>
                <w:sz w:val="18"/>
                <w:szCs w:val="18"/>
                <w:rtl w:val="0"/>
                <w:lang w:val="en-US"/>
              </w:rPr>
              <w:t>Material or boundary, angle, reflection, transmission, absorption and motion.</w:t>
            </w:r>
          </w:p>
        </w:tc>
        <w:tc>
          <w:tcPr>
            <w:tcW w:type="dxa" w:w="1980"/>
            <w:tcBorders>
              <w:top w:val="nil"/>
              <w:left w:val="nil"/>
              <w:bottom w:val="nil"/>
              <w:right w:val="nil"/>
            </w:tcBorders>
            <w:shd w:val="clear" w:color="auto" w:fill="auto"/>
            <w:tcMar>
              <w:top w:type="dxa" w:w="80"/>
              <w:left w:type="dxa" w:w="80"/>
              <w:bottom w:type="dxa" w:w="80"/>
              <w:right w:type="dxa" w:w="80"/>
            </w:tcMar>
            <w:vAlign w:val="top"/>
          </w:tcPr>
          <w:p>
            <w:pPr>
              <w:pStyle w:val="Compact"/>
              <w:spacing w:after="40" w:line="240" w:lineRule="auto"/>
            </w:pPr>
            <m:oMath>
              <m:r>
                <m:t>P=bI/c</m:t>
              </m:r>
            </m:oMath>
            <w:r>
              <w:rPr>
                <w:rFonts w:ascii="Times New Roman" w:hAnsi="Times New Roman"/>
                <w:sz w:val="18"/>
                <w:szCs w:val="18"/>
                <w:rtl w:val="0"/>
                <w:lang w:val="en-US"/>
              </w:rPr>
              <w:t xml:space="preserve"> under the stated stationary assumptions; extra factors for moving boundaries.</w:t>
            </w:r>
          </w:p>
        </w:tc>
      </w:tr>
      <w:tr>
        <w:tblPrEx>
          <w:shd w:val="clear" w:color="auto" w:fill="ced7e7"/>
        </w:tblPrEx>
        <w:trPr>
          <w:trHeight w:val="866" w:hRule="atLeast"/>
        </w:trPr>
        <w:tc>
          <w:tcPr>
            <w:tcW w:type="dxa" w:w="1980"/>
            <w:tcBorders>
              <w:top w:val="nil"/>
              <w:left w:val="nil"/>
              <w:bottom w:val="nil"/>
              <w:right w:val="nil"/>
            </w:tcBorders>
            <w:shd w:val="clear" w:color="auto" w:fill="auto"/>
            <w:tcMar>
              <w:top w:type="dxa" w:w="80"/>
              <w:left w:type="dxa" w:w="80"/>
              <w:bottom w:type="dxa" w:w="80"/>
              <w:right w:type="dxa" w:w="80"/>
            </w:tcMar>
            <w:vAlign w:val="top"/>
          </w:tcPr>
          <w:p>
            <w:pPr>
              <w:pStyle w:val="Compact"/>
              <w:spacing w:after="40" w:line="240" w:lineRule="auto"/>
            </w:pPr>
            <w:r>
              <w:rPr>
                <w:rFonts w:ascii="Times New Roman" w:hAnsi="Times New Roman"/>
                <w:sz w:val="18"/>
                <w:szCs w:val="18"/>
                <w:rtl w:val="0"/>
                <w:lang w:val="en-US"/>
              </w:rPr>
              <w:t>GP: gas pressure</w:t>
            </w:r>
          </w:p>
        </w:tc>
        <w:tc>
          <w:tcPr>
            <w:tcW w:type="dxa" w:w="1980"/>
            <w:tcBorders>
              <w:top w:val="nil"/>
              <w:left w:val="nil"/>
              <w:bottom w:val="nil"/>
              <w:right w:val="nil"/>
            </w:tcBorders>
            <w:shd w:val="clear" w:color="auto" w:fill="auto"/>
            <w:tcMar>
              <w:top w:type="dxa" w:w="80"/>
              <w:left w:type="dxa" w:w="80"/>
              <w:bottom w:type="dxa" w:w="80"/>
              <w:right w:type="dxa" w:w="80"/>
            </w:tcMar>
            <w:vAlign w:val="top"/>
          </w:tcPr>
          <w:p>
            <w:pPr>
              <w:pStyle w:val="Compact"/>
              <w:spacing w:after="40" w:line="240" w:lineRule="auto"/>
            </w:pPr>
            <w:r>
              <w:rPr>
                <w:rFonts w:ascii="Times New Roman" w:hAnsi="Times New Roman"/>
                <w:sz w:val="18"/>
                <w:szCs w:val="18"/>
                <w:rtl w:val="0"/>
                <w:lang w:val="en-US"/>
              </w:rPr>
              <w:t>Angular second moment, or traceless kinetic tensor plus isotropy.</w:t>
            </w:r>
          </w:p>
        </w:tc>
        <w:tc>
          <w:tcPr>
            <w:tcW w:type="dxa" w:w="1980"/>
            <w:tcBorders>
              <w:top w:val="nil"/>
              <w:left w:val="nil"/>
              <w:bottom w:val="nil"/>
              <w:right w:val="nil"/>
            </w:tcBorders>
            <w:shd w:val="clear" w:color="auto" w:fill="auto"/>
            <w:tcMar>
              <w:top w:type="dxa" w:w="80"/>
              <w:left w:type="dxa" w:w="80"/>
              <w:bottom w:type="dxa" w:w="80"/>
              <w:right w:type="dxa" w:w="80"/>
            </w:tcMar>
            <w:vAlign w:val="top"/>
          </w:tcPr>
          <w:p>
            <w:pPr>
              <w:pStyle w:val="Compact"/>
              <w:spacing w:after="40" w:line="240" w:lineRule="auto"/>
            </w:pPr>
            <w:r>
              <w:rPr>
                <w:rFonts w:ascii="Times New Roman" w:hAnsi="Times New Roman"/>
                <w:sz w:val="18"/>
                <w:szCs w:val="18"/>
                <w:rtl w:val="0"/>
                <w:lang w:val="en-US"/>
              </w:rPr>
              <w:t xml:space="preserve">Massless distribution, isotropy, </w:t>
            </w:r>
            <m:oMath>
              <m:r>
                <m:t>d</m:t>
              </m:r>
            </m:oMath>
            <w:r>
              <w:rPr>
                <w:rFonts w:ascii="Times New Roman" w:hAnsi="Times New Roman"/>
                <w:sz w:val="18"/>
                <w:szCs w:val="18"/>
                <w:rtl w:val="0"/>
                <w:lang w:val="en-US"/>
              </w:rPr>
              <w:t>; equilibrium only for thermodynamics.</w:t>
            </w:r>
          </w:p>
        </w:tc>
        <w:tc>
          <w:tcPr>
            <w:tcW w:type="dxa" w:w="1980"/>
            <w:tcBorders>
              <w:top w:val="nil"/>
              <w:left w:val="nil"/>
              <w:bottom w:val="nil"/>
              <w:right w:val="nil"/>
            </w:tcBorders>
            <w:shd w:val="clear" w:color="auto" w:fill="auto"/>
            <w:tcMar>
              <w:top w:type="dxa" w:w="80"/>
              <w:left w:type="dxa" w:w="80"/>
              <w:bottom w:type="dxa" w:w="80"/>
              <w:right w:type="dxa" w:w="80"/>
            </w:tcMar>
            <w:vAlign w:val="top"/>
          </w:tcPr>
          <w:p>
            <w:pPr>
              <w:pStyle w:val="Compact"/>
              <w:spacing w:after="40" w:line="240" w:lineRule="auto"/>
            </w:pPr>
            <m:oMath>
              <m:r>
                <m:t>p=u/d</m:t>
              </m:r>
            </m:oMath>
            <w:r>
              <w:rPr>
                <w:rFonts w:ascii="Times New Roman" w:hAnsi="Times New Roman"/>
                <w:sz w:val="18"/>
                <w:szCs w:val="18"/>
                <w:rtl w:val="0"/>
                <w:lang w:val="en-US"/>
              </w:rPr>
              <w:t xml:space="preserve">; </w:t>
            </w:r>
            <m:oMath>
              <m:r>
                <m:t>c</m:t>
              </m:r>
            </m:oMath>
            <w:r>
              <w:rPr>
                <w:rFonts w:ascii="Times New Roman" w:hAnsi="Times New Roman"/>
                <w:sz w:val="18"/>
                <w:szCs w:val="18"/>
                <w:rtl w:val="0"/>
                <w:lang w:val="en-US"/>
              </w:rPr>
              <w:t xml:space="preserve"> cancels in the ratio but enters the spectrum and thermal density.</w:t>
            </w:r>
          </w:p>
        </w:tc>
      </w:tr>
      <w:tr>
        <w:tblPrEx>
          <w:shd w:val="clear" w:color="auto" w:fill="ced7e7"/>
        </w:tblPrEx>
        <w:trPr>
          <w:trHeight w:val="1064" w:hRule="atLeast"/>
        </w:trPr>
        <w:tc>
          <w:tcPr>
            <w:tcW w:type="dxa" w:w="1980"/>
            <w:tcBorders>
              <w:top w:val="nil"/>
              <w:left w:val="nil"/>
              <w:bottom w:val="nil"/>
              <w:right w:val="nil"/>
            </w:tcBorders>
            <w:shd w:val="clear" w:color="auto" w:fill="auto"/>
            <w:tcMar>
              <w:top w:type="dxa" w:w="80"/>
              <w:left w:type="dxa" w:w="80"/>
              <w:bottom w:type="dxa" w:w="80"/>
              <w:right w:type="dxa" w:w="80"/>
            </w:tcMar>
            <w:vAlign w:val="top"/>
          </w:tcPr>
          <w:p>
            <w:pPr>
              <w:pStyle w:val="Compact"/>
              <w:spacing w:after="40" w:line="240" w:lineRule="auto"/>
            </w:pPr>
            <w:r>
              <w:rPr>
                <w:rFonts w:ascii="Times New Roman" w:hAnsi="Times New Roman"/>
                <w:sz w:val="18"/>
                <w:szCs w:val="18"/>
                <w:rtl w:val="0"/>
                <w:lang w:val="en-US"/>
              </w:rPr>
              <w:t>T: stress</w:t>
            </w:r>
            <w:r>
              <w:rPr>
                <w:rFonts w:ascii="Times New Roman" w:hAnsi="Times New Roman" w:hint="default"/>
                <w:sz w:val="18"/>
                <w:szCs w:val="18"/>
                <w:rtl w:val="0"/>
                <w:lang w:val="en-US"/>
              </w:rPr>
              <w:t>–</w:t>
            </w:r>
            <w:r>
              <w:rPr>
                <w:rFonts w:ascii="Times New Roman" w:hAnsi="Times New Roman"/>
                <w:sz w:val="18"/>
                <w:szCs w:val="18"/>
                <w:rtl w:val="0"/>
                <w:lang w:val="en-US"/>
              </w:rPr>
              <w:t>energy</w:t>
            </w:r>
          </w:p>
        </w:tc>
        <w:tc>
          <w:tcPr>
            <w:tcW w:type="dxa" w:w="1980"/>
            <w:tcBorders>
              <w:top w:val="nil"/>
              <w:left w:val="nil"/>
              <w:bottom w:val="nil"/>
              <w:right w:val="nil"/>
            </w:tcBorders>
            <w:shd w:val="clear" w:color="auto" w:fill="auto"/>
            <w:tcMar>
              <w:top w:type="dxa" w:w="80"/>
              <w:left w:type="dxa" w:w="80"/>
              <w:bottom w:type="dxa" w:w="80"/>
              <w:right w:type="dxa" w:w="80"/>
            </w:tcMar>
            <w:vAlign w:val="top"/>
          </w:tcPr>
          <w:p>
            <w:pPr>
              <w:pStyle w:val="Compact"/>
              <w:spacing w:after="40" w:line="240" w:lineRule="auto"/>
            </w:pPr>
            <w:r>
              <w:rPr>
                <w:rFonts w:ascii="Times New Roman" w:hAnsi="Times New Roman"/>
                <w:sz w:val="18"/>
                <w:szCs w:val="18"/>
                <w:rtl w:val="0"/>
                <w:lang w:val="en-US"/>
              </w:rPr>
              <w:t>Metric derivative of the full specified matter action.</w:t>
            </w:r>
          </w:p>
        </w:tc>
        <w:tc>
          <w:tcPr>
            <w:tcW w:type="dxa" w:w="1980"/>
            <w:tcBorders>
              <w:top w:val="nil"/>
              <w:left w:val="nil"/>
              <w:bottom w:val="nil"/>
              <w:right w:val="nil"/>
            </w:tcBorders>
            <w:shd w:val="clear" w:color="auto" w:fill="auto"/>
            <w:tcMar>
              <w:top w:type="dxa" w:w="80"/>
              <w:left w:type="dxa" w:w="80"/>
              <w:bottom w:type="dxa" w:w="80"/>
              <w:right w:type="dxa" w:w="80"/>
            </w:tcMar>
            <w:vAlign w:val="top"/>
          </w:tcPr>
          <w:p>
            <w:pPr>
              <w:pStyle w:val="Compact"/>
              <w:spacing w:after="40" w:line="240" w:lineRule="auto"/>
            </w:pPr>
            <w:r>
              <w:rPr>
                <w:rFonts w:ascii="Times New Roman" w:hAnsi="Times New Roman"/>
                <w:sz w:val="18"/>
                <w:szCs w:val="18"/>
                <w:rtl w:val="0"/>
                <w:lang w:val="en-US"/>
              </w:rPr>
              <w:t>Metric representative, normalisation, state for expectations.</w:t>
            </w:r>
          </w:p>
        </w:tc>
        <w:tc>
          <w:tcPr>
            <w:tcW w:type="dxa" w:w="1980"/>
            <w:tcBorders>
              <w:top w:val="nil"/>
              <w:left w:val="nil"/>
              <w:bottom w:val="nil"/>
              <w:right w:val="nil"/>
            </w:tcBorders>
            <w:shd w:val="clear" w:color="auto" w:fill="auto"/>
            <w:tcMar>
              <w:top w:type="dxa" w:w="80"/>
              <w:left w:type="dxa" w:w="80"/>
              <w:bottom w:type="dxa" w:w="80"/>
              <w:right w:type="dxa" w:w="80"/>
            </w:tcMar>
            <w:vAlign w:val="top"/>
          </w:tcPr>
          <w:p>
            <w:pPr>
              <w:pStyle w:val="Compact"/>
              <w:spacing w:after="40" w:line="240" w:lineRule="auto"/>
            </w:pPr>
            <w:r>
              <w:rPr>
                <w:rFonts w:ascii="Times New Roman" w:hAnsi="Times New Roman"/>
                <w:sz w:val="18"/>
                <w:szCs w:val="18"/>
                <w:rtl w:val="0"/>
                <w:lang w:val="en-US"/>
              </w:rPr>
              <w:t xml:space="preserve">Same cone admits different magnitudes and non-null fields; </w:t>
            </w:r>
            <m:oMath>
              <m:r>
                <m:t>T</m:t>
              </m:r>
            </m:oMath>
            <w:r>
              <w:rPr>
                <w:rFonts w:ascii="Times New Roman" w:hAnsi="Times New Roman"/>
                <w:sz w:val="18"/>
                <w:szCs w:val="18"/>
                <w:rtl w:val="0"/>
                <w:lang w:val="en-US"/>
              </w:rPr>
              <w:t xml:space="preserve"> contains more data than the cone.</w:t>
            </w:r>
          </w:p>
        </w:tc>
      </w:tr>
      <w:tr>
        <w:tblPrEx>
          <w:shd w:val="clear" w:color="auto" w:fill="ced7e7"/>
        </w:tblPrEx>
        <w:trPr>
          <w:trHeight w:val="864" w:hRule="atLeast"/>
        </w:trPr>
        <w:tc>
          <w:tcPr>
            <w:tcW w:type="dxa" w:w="1980"/>
            <w:tcBorders>
              <w:top w:val="nil"/>
              <w:left w:val="nil"/>
              <w:bottom w:val="nil"/>
              <w:right w:val="nil"/>
            </w:tcBorders>
            <w:shd w:val="clear" w:color="auto" w:fill="auto"/>
            <w:tcMar>
              <w:top w:type="dxa" w:w="80"/>
              <w:left w:type="dxa" w:w="80"/>
              <w:bottom w:type="dxa" w:w="80"/>
              <w:right w:type="dxa" w:w="80"/>
            </w:tcMar>
            <w:vAlign w:val="top"/>
          </w:tcPr>
          <w:p>
            <w:pPr>
              <w:pStyle w:val="Compact"/>
              <w:spacing w:after="40" w:line="240" w:lineRule="auto"/>
            </w:pPr>
            <w:r>
              <w:rPr>
                <w:rFonts w:ascii="Times New Roman" w:hAnsi="Times New Roman"/>
                <w:sz w:val="18"/>
                <w:szCs w:val="18"/>
                <w:rtl w:val="0"/>
                <w:lang w:val="en-US"/>
              </w:rPr>
              <w:t>H: polarisation / helicity</w:t>
            </w:r>
          </w:p>
        </w:tc>
        <w:tc>
          <w:tcPr>
            <w:tcW w:type="dxa" w:w="1980"/>
            <w:tcBorders>
              <w:top w:val="nil"/>
              <w:left w:val="nil"/>
              <w:bottom w:val="nil"/>
              <w:right w:val="nil"/>
            </w:tcBorders>
            <w:shd w:val="clear" w:color="auto" w:fill="auto"/>
            <w:tcMar>
              <w:top w:type="dxa" w:w="80"/>
              <w:left w:type="dxa" w:w="80"/>
              <w:bottom w:type="dxa" w:w="80"/>
              <w:right w:type="dxa" w:w="80"/>
            </w:tcMar>
            <w:vAlign w:val="top"/>
          </w:tcPr>
          <w:p>
            <w:pPr>
              <w:pStyle w:val="Compact"/>
              <w:spacing w:after="40" w:line="240" w:lineRule="auto"/>
            </w:pPr>
            <w:r>
              <w:rPr>
                <w:rFonts w:ascii="Times New Roman" w:hAnsi="Times New Roman"/>
                <w:sz w:val="18"/>
                <w:szCs w:val="18"/>
                <w:rtl w:val="0"/>
                <w:lang w:val="en-US"/>
              </w:rPr>
              <w:t>Gauge quotient, screen transport, massless representation.</w:t>
            </w:r>
          </w:p>
        </w:tc>
        <w:tc>
          <w:tcPr>
            <w:tcW w:type="dxa" w:w="1980"/>
            <w:tcBorders>
              <w:top w:val="nil"/>
              <w:left w:val="nil"/>
              <w:bottom w:val="nil"/>
              <w:right w:val="nil"/>
            </w:tcBorders>
            <w:shd w:val="clear" w:color="auto" w:fill="auto"/>
            <w:tcMar>
              <w:top w:type="dxa" w:w="80"/>
              <w:left w:type="dxa" w:w="80"/>
              <w:bottom w:type="dxa" w:w="80"/>
              <w:right w:type="dxa" w:w="80"/>
            </w:tcMar>
            <w:vAlign w:val="top"/>
          </w:tcPr>
          <w:p>
            <w:pPr>
              <w:pStyle w:val="Compact"/>
              <w:spacing w:after="40" w:line="240" w:lineRule="auto"/>
            </w:pPr>
            <w:r>
              <w:rPr>
                <w:rFonts w:ascii="Times New Roman" w:hAnsi="Times New Roman"/>
                <w:sz w:val="18"/>
                <w:szCs w:val="18"/>
                <w:rtl w:val="0"/>
                <w:lang w:val="en-US"/>
              </w:rPr>
              <w:t>Maxwell degrees of freedom, helicity representation, preparation.</w:t>
            </w:r>
          </w:p>
        </w:tc>
        <w:tc>
          <w:tcPr>
            <w:tcW w:type="dxa" w:w="1980"/>
            <w:tcBorders>
              <w:top w:val="nil"/>
              <w:left w:val="nil"/>
              <w:bottom w:val="nil"/>
              <w:right w:val="nil"/>
            </w:tcBorders>
            <w:shd w:val="clear" w:color="auto" w:fill="auto"/>
            <w:tcMar>
              <w:top w:type="dxa" w:w="80"/>
              <w:left w:type="dxa" w:w="80"/>
              <w:bottom w:type="dxa" w:w="80"/>
              <w:right w:type="dxa" w:w="80"/>
            </w:tcMar>
            <w:vAlign w:val="top"/>
          </w:tcPr>
          <w:p>
            <w:pPr>
              <w:pStyle w:val="Compact"/>
              <w:spacing w:after="40" w:line="240" w:lineRule="auto"/>
            </w:pPr>
            <w:r>
              <w:rPr>
                <w:rFonts w:ascii="Times New Roman" w:hAnsi="Times New Roman"/>
                <w:sz w:val="18"/>
                <w:szCs w:val="18"/>
                <w:rtl w:val="0"/>
                <w:lang w:val="en-US"/>
              </w:rPr>
              <w:t xml:space="preserve">Cone supplies allowed directions; it does not select helicity </w:t>
            </w:r>
            <m:oMath>
              <m:r>
                <m:t>±1</m:t>
              </m:r>
            </m:oMath>
            <w:r>
              <w:rPr>
                <w:rFonts w:ascii="Times New Roman" w:hAnsi="Times New Roman"/>
                <w:sz w:val="18"/>
                <w:szCs w:val="18"/>
                <w:rtl w:val="0"/>
                <w:lang w:val="en-US"/>
              </w:rPr>
              <w:t xml:space="preserve"> or a polarisation state.</w:t>
            </w:r>
          </w:p>
        </w:tc>
      </w:tr>
      <w:tr>
        <w:tblPrEx>
          <w:shd w:val="clear" w:color="auto" w:fill="ced7e7"/>
        </w:tblPrEx>
        <w:trPr>
          <w:trHeight w:val="812" w:hRule="atLeast"/>
        </w:trPr>
        <w:tc>
          <w:tcPr>
            <w:tcW w:type="dxa" w:w="1980"/>
            <w:tcBorders>
              <w:top w:val="nil"/>
              <w:left w:val="nil"/>
              <w:bottom w:val="nil"/>
              <w:right w:val="nil"/>
            </w:tcBorders>
            <w:shd w:val="clear" w:color="auto" w:fill="auto"/>
            <w:tcMar>
              <w:top w:type="dxa" w:w="80"/>
              <w:left w:type="dxa" w:w="80"/>
              <w:bottom w:type="dxa" w:w="80"/>
              <w:right w:type="dxa" w:w="80"/>
            </w:tcMar>
            <w:vAlign w:val="top"/>
          </w:tcPr>
          <w:p>
            <w:pPr>
              <w:pStyle w:val="Compact"/>
              <w:spacing w:after="40" w:line="240" w:lineRule="auto"/>
            </w:pPr>
            <w:r>
              <w:rPr>
                <w:rFonts w:ascii="Times New Roman" w:hAnsi="Times New Roman"/>
                <w:sz w:val="18"/>
                <w:szCs w:val="18"/>
                <w:rtl w:val="0"/>
                <w:lang w:val="en-US"/>
              </w:rPr>
              <w:t>V: vacuum correlation</w:t>
            </w:r>
          </w:p>
        </w:tc>
        <w:tc>
          <w:tcPr>
            <w:tcW w:type="dxa" w:w="1980"/>
            <w:tcBorders>
              <w:top w:val="nil"/>
              <w:left w:val="nil"/>
              <w:bottom w:val="nil"/>
              <w:right w:val="nil"/>
            </w:tcBorders>
            <w:shd w:val="clear" w:color="auto" w:fill="auto"/>
            <w:tcMar>
              <w:top w:type="dxa" w:w="80"/>
              <w:left w:type="dxa" w:w="80"/>
              <w:bottom w:type="dxa" w:w="80"/>
              <w:right w:type="dxa" w:w="80"/>
            </w:tcMar>
            <w:vAlign w:val="top"/>
          </w:tcPr>
          <w:p>
            <w:pPr>
              <w:pStyle w:val="Compact"/>
              <w:spacing w:after="40" w:line="240" w:lineRule="auto"/>
            </w:pPr>
            <w:r>
              <w:rPr>
                <w:rFonts w:ascii="Times New Roman" w:hAnsi="Times New Roman"/>
                <w:sz w:val="18"/>
                <w:szCs w:val="18"/>
                <w:rtl w:val="0"/>
                <w:lang w:val="en-US"/>
              </w:rPr>
              <w:t>State expectation of field products.</w:t>
            </w:r>
          </w:p>
        </w:tc>
        <w:tc>
          <w:tcPr>
            <w:tcW w:type="dxa" w:w="1980"/>
            <w:tcBorders>
              <w:top w:val="nil"/>
              <w:left w:val="nil"/>
              <w:bottom w:val="nil"/>
              <w:right w:val="nil"/>
            </w:tcBorders>
            <w:shd w:val="clear" w:color="auto" w:fill="auto"/>
            <w:tcMar>
              <w:top w:type="dxa" w:w="80"/>
              <w:left w:type="dxa" w:w="80"/>
              <w:bottom w:type="dxa" w:w="80"/>
              <w:right w:type="dxa" w:w="80"/>
            </w:tcMar>
            <w:vAlign w:val="top"/>
          </w:tcPr>
          <w:p>
            <w:pPr>
              <w:pStyle w:val="Compact"/>
              <w:spacing w:after="40" w:line="240" w:lineRule="auto"/>
            </w:pPr>
            <w:r>
              <w:rPr>
                <w:rFonts w:ascii="Times New Roman" w:hAnsi="Times New Roman"/>
                <w:sz w:val="18"/>
                <w:szCs w:val="18"/>
                <w:rtl w:val="0"/>
                <w:lang w:val="en-US"/>
              </w:rPr>
              <w:t>Field algebra, normalisation, state; Hadamard condition when imposed.</w:t>
            </w:r>
          </w:p>
        </w:tc>
        <w:tc>
          <w:tcPr>
            <w:tcW w:type="dxa" w:w="1980"/>
            <w:tcBorders>
              <w:top w:val="nil"/>
              <w:left w:val="nil"/>
              <w:bottom w:val="nil"/>
              <w:right w:val="nil"/>
            </w:tcBorders>
            <w:shd w:val="clear" w:color="auto" w:fill="auto"/>
            <w:tcMar>
              <w:top w:type="dxa" w:w="80"/>
              <w:left w:type="dxa" w:w="80"/>
              <w:bottom w:type="dxa" w:w="80"/>
              <w:right w:type="dxa" w:w="80"/>
            </w:tcMar>
            <w:vAlign w:val="top"/>
          </w:tcPr>
          <w:p>
            <w:pPr>
              <w:pStyle w:val="Compact"/>
              <w:spacing w:after="40" w:line="240" w:lineRule="auto"/>
            </w:pPr>
            <w:r>
              <w:rPr>
                <w:rFonts w:ascii="Times New Roman" w:hAnsi="Times New Roman"/>
                <w:sz w:val="18"/>
                <w:szCs w:val="18"/>
                <w:rtl w:val="0"/>
                <w:lang w:val="en-US"/>
              </w:rPr>
              <w:t>Null singularities match the assumed operator; spacelike correlations may be nonzero.</w:t>
            </w:r>
          </w:p>
        </w:tc>
      </w:tr>
      <w:tr>
        <w:tblPrEx>
          <w:shd w:val="clear" w:color="auto" w:fill="ced7e7"/>
        </w:tblPrEx>
        <w:trPr>
          <w:trHeight w:val="1012" w:hRule="atLeast"/>
        </w:trPr>
        <w:tc>
          <w:tcPr>
            <w:tcW w:type="dxa" w:w="1980"/>
            <w:tcBorders>
              <w:top w:val="nil"/>
              <w:left w:val="nil"/>
              <w:bottom w:val="nil"/>
              <w:right w:val="nil"/>
            </w:tcBorders>
            <w:shd w:val="clear" w:color="auto" w:fill="auto"/>
            <w:tcMar>
              <w:top w:type="dxa" w:w="80"/>
              <w:left w:type="dxa" w:w="80"/>
              <w:bottom w:type="dxa" w:w="80"/>
              <w:right w:type="dxa" w:w="80"/>
            </w:tcMar>
            <w:vAlign w:val="top"/>
          </w:tcPr>
          <w:p>
            <w:pPr>
              <w:pStyle w:val="Compact"/>
              <w:spacing w:after="40" w:line="240" w:lineRule="auto"/>
            </w:pPr>
            <w:r>
              <w:rPr>
                <w:rFonts w:ascii="Times New Roman" w:hAnsi="Times New Roman"/>
                <w:sz w:val="18"/>
                <w:szCs w:val="18"/>
                <w:rtl w:val="0"/>
                <w:lang w:val="en-US"/>
              </w:rPr>
              <w:t>C: commutator</w:t>
            </w:r>
          </w:p>
        </w:tc>
        <w:tc>
          <w:tcPr>
            <w:tcW w:type="dxa" w:w="1980"/>
            <w:tcBorders>
              <w:top w:val="nil"/>
              <w:left w:val="nil"/>
              <w:bottom w:val="nil"/>
              <w:right w:val="nil"/>
            </w:tcBorders>
            <w:shd w:val="clear" w:color="auto" w:fill="auto"/>
            <w:tcMar>
              <w:top w:type="dxa" w:w="80"/>
              <w:left w:type="dxa" w:w="80"/>
              <w:bottom w:type="dxa" w:w="80"/>
              <w:right w:type="dxa" w:w="80"/>
            </w:tcMar>
            <w:vAlign w:val="top"/>
          </w:tcPr>
          <w:p>
            <w:pPr>
              <w:pStyle w:val="Compact"/>
              <w:spacing w:after="40" w:line="240" w:lineRule="auto"/>
            </w:pPr>
            <w:r>
              <w:rPr>
                <w:rFonts w:ascii="Times New Roman" w:hAnsi="Times New Roman"/>
                <w:sz w:val="18"/>
                <w:szCs w:val="18"/>
                <w:rtl w:val="0"/>
                <w:lang w:val="en-US"/>
              </w:rPr>
              <w:t>Canonical/Peierls structure and causal Green operator.</w:t>
            </w:r>
          </w:p>
        </w:tc>
        <w:tc>
          <w:tcPr>
            <w:tcW w:type="dxa" w:w="1980"/>
            <w:tcBorders>
              <w:top w:val="nil"/>
              <w:left w:val="nil"/>
              <w:bottom w:val="nil"/>
              <w:right w:val="nil"/>
            </w:tcBorders>
            <w:shd w:val="clear" w:color="auto" w:fill="auto"/>
            <w:tcMar>
              <w:top w:type="dxa" w:w="80"/>
              <w:left w:type="dxa" w:w="80"/>
              <w:bottom w:type="dxa" w:w="80"/>
              <w:right w:type="dxa" w:w="80"/>
            </w:tcMar>
            <w:vAlign w:val="top"/>
          </w:tcPr>
          <w:p>
            <w:pPr>
              <w:pStyle w:val="Compact"/>
              <w:spacing w:after="40" w:line="240" w:lineRule="auto"/>
            </w:pPr>
            <w:r>
              <w:rPr>
                <w:rFonts w:ascii="Times New Roman" w:hAnsi="Times New Roman"/>
                <w:sz w:val="18"/>
                <w:szCs w:val="18"/>
                <w:rtl w:val="0"/>
                <w:lang w:val="en-US"/>
              </w:rPr>
              <w:t>Physical algebra, symplectic normalisation, hyperbolicity and global conditions.</w:t>
            </w:r>
          </w:p>
        </w:tc>
        <w:tc>
          <w:tcPr>
            <w:tcW w:type="dxa" w:w="1980"/>
            <w:tcBorders>
              <w:top w:val="nil"/>
              <w:left w:val="nil"/>
              <w:bottom w:val="nil"/>
              <w:right w:val="nil"/>
            </w:tcBorders>
            <w:shd w:val="clear" w:color="auto" w:fill="auto"/>
            <w:tcMar>
              <w:top w:type="dxa" w:w="80"/>
              <w:left w:type="dxa" w:w="80"/>
              <w:bottom w:type="dxa" w:w="80"/>
              <w:right w:type="dxa" w:w="80"/>
            </w:tcMar>
            <w:vAlign w:val="top"/>
          </w:tcPr>
          <w:p>
            <w:pPr>
              <w:pStyle w:val="Compact"/>
              <w:spacing w:after="40" w:line="240" w:lineRule="auto"/>
            </w:pPr>
            <w:r>
              <w:rPr>
                <w:rFonts w:ascii="Times New Roman" w:hAnsi="Times New Roman"/>
                <w:sz w:val="18"/>
                <w:szCs w:val="18"/>
                <w:rtl w:val="0"/>
                <w:lang w:val="en-US"/>
              </w:rPr>
              <w:t>Causal support uses the same cone; coefficient is not determined by the cone alone.</w:t>
            </w:r>
          </w:p>
        </w:tc>
      </w:tr>
      <w:tr>
        <w:tblPrEx>
          <w:shd w:val="clear" w:color="auto" w:fill="ced7e7"/>
        </w:tblPrEx>
        <w:trPr>
          <w:trHeight w:val="812" w:hRule="atLeast"/>
        </w:trPr>
        <w:tc>
          <w:tcPr>
            <w:tcW w:type="dxa" w:w="1980"/>
            <w:tcBorders>
              <w:top w:val="nil"/>
              <w:left w:val="nil"/>
              <w:bottom w:val="nil"/>
              <w:right w:val="nil"/>
            </w:tcBorders>
            <w:shd w:val="clear" w:color="auto" w:fill="auto"/>
            <w:tcMar>
              <w:top w:type="dxa" w:w="80"/>
              <w:left w:type="dxa" w:w="80"/>
              <w:bottom w:type="dxa" w:w="80"/>
              <w:right w:type="dxa" w:w="80"/>
            </w:tcMar>
            <w:vAlign w:val="top"/>
          </w:tcPr>
          <w:p>
            <w:pPr>
              <w:pStyle w:val="Compact"/>
              <w:spacing w:after="40" w:line="240" w:lineRule="auto"/>
            </w:pPr>
            <w:r>
              <w:rPr>
                <w:rFonts w:ascii="Times New Roman" w:hAnsi="Times New Roman"/>
                <w:sz w:val="18"/>
                <w:szCs w:val="18"/>
                <w:rtl w:val="0"/>
                <w:lang w:val="en-US"/>
              </w:rPr>
              <w:t>U: quantum unitarity</w:t>
            </w:r>
          </w:p>
        </w:tc>
        <w:tc>
          <w:tcPr>
            <w:tcW w:type="dxa" w:w="1980"/>
            <w:tcBorders>
              <w:top w:val="nil"/>
              <w:left w:val="nil"/>
              <w:bottom w:val="nil"/>
              <w:right w:val="nil"/>
            </w:tcBorders>
            <w:shd w:val="clear" w:color="auto" w:fill="auto"/>
            <w:tcMar>
              <w:top w:type="dxa" w:w="80"/>
              <w:left w:type="dxa" w:w="80"/>
              <w:bottom w:type="dxa" w:w="80"/>
              <w:right w:type="dxa" w:w="80"/>
            </w:tcMar>
            <w:vAlign w:val="top"/>
          </w:tcPr>
          <w:p>
            <w:pPr>
              <w:pStyle w:val="Compact"/>
              <w:spacing w:after="40" w:line="240" w:lineRule="auto"/>
            </w:pPr>
            <w:r>
              <w:rPr>
                <w:rFonts w:ascii="Times New Roman" w:hAnsi="Times New Roman"/>
                <w:sz w:val="18"/>
                <w:szCs w:val="18"/>
                <w:rtl w:val="0"/>
                <w:lang w:val="en-US"/>
              </w:rPr>
              <w:t>Self-adjoint Hamiltonian in a specified representation.</w:t>
            </w:r>
          </w:p>
        </w:tc>
        <w:tc>
          <w:tcPr>
            <w:tcW w:type="dxa" w:w="1980"/>
            <w:tcBorders>
              <w:top w:val="nil"/>
              <w:left w:val="nil"/>
              <w:bottom w:val="nil"/>
              <w:right w:val="nil"/>
            </w:tcBorders>
            <w:shd w:val="clear" w:color="auto" w:fill="auto"/>
            <w:tcMar>
              <w:top w:type="dxa" w:w="80"/>
              <w:left w:type="dxa" w:w="80"/>
              <w:bottom w:type="dxa" w:w="80"/>
              <w:right w:type="dxa" w:w="80"/>
            </w:tcMar>
            <w:vAlign w:val="top"/>
          </w:tcPr>
          <w:p>
            <w:pPr>
              <w:pStyle w:val="Compact"/>
              <w:spacing w:after="40" w:line="240" w:lineRule="auto"/>
            </w:pPr>
            <w:r>
              <w:rPr>
                <w:rFonts w:ascii="Times New Roman" w:hAnsi="Times New Roman"/>
                <w:sz w:val="18"/>
                <w:szCs w:val="18"/>
                <w:rtl w:val="0"/>
                <w:lang w:val="en-US"/>
              </w:rPr>
              <w:t>Domain, positive physical inner product, suitable global evolution.</w:t>
            </w:r>
          </w:p>
        </w:tc>
        <w:tc>
          <w:tcPr>
            <w:tcW w:type="dxa" w:w="1980"/>
            <w:tcBorders>
              <w:top w:val="nil"/>
              <w:left w:val="nil"/>
              <w:bottom w:val="nil"/>
              <w:right w:val="nil"/>
            </w:tcBorders>
            <w:shd w:val="clear" w:color="auto" w:fill="auto"/>
            <w:tcMar>
              <w:top w:type="dxa" w:w="80"/>
              <w:left w:type="dxa" w:w="80"/>
              <w:bottom w:type="dxa" w:w="80"/>
              <w:right w:type="dxa" w:w="80"/>
            </w:tcMar>
            <w:vAlign w:val="top"/>
          </w:tcPr>
          <w:p>
            <w:pPr>
              <w:pStyle w:val="Compact"/>
              <w:spacing w:after="40" w:line="240" w:lineRule="auto"/>
            </w:pPr>
            <w:r>
              <w:rPr>
                <w:rFonts w:ascii="Times New Roman" w:hAnsi="Times New Roman"/>
                <w:sz w:val="18"/>
                <w:szCs w:val="18"/>
                <w:rtl w:val="0"/>
                <w:lang w:val="en-US"/>
              </w:rPr>
              <w:t>Unitarity alone implies neither a speed nor local commutativity.</w:t>
            </w:r>
          </w:p>
        </w:tc>
      </w:tr>
      <w:tr>
        <w:tblPrEx>
          <w:shd w:val="clear" w:color="auto" w:fill="ced7e7"/>
        </w:tblPrEx>
        <w:trPr>
          <w:trHeight w:val="1064" w:hRule="atLeast"/>
        </w:trPr>
        <w:tc>
          <w:tcPr>
            <w:tcW w:type="dxa" w:w="1980"/>
            <w:tcBorders>
              <w:top w:val="nil"/>
              <w:left w:val="nil"/>
              <w:bottom w:val="single" w:color="777777" w:sz="8" w:space="0" w:shadow="0" w:frame="0"/>
              <w:right w:val="nil"/>
            </w:tcBorders>
            <w:shd w:val="clear" w:color="auto" w:fill="auto"/>
            <w:tcMar>
              <w:top w:type="dxa" w:w="80"/>
              <w:left w:type="dxa" w:w="80"/>
              <w:bottom w:type="dxa" w:w="80"/>
              <w:right w:type="dxa" w:w="80"/>
            </w:tcMar>
            <w:vAlign w:val="top"/>
          </w:tcPr>
          <w:p>
            <w:pPr>
              <w:pStyle w:val="Compact"/>
              <w:spacing w:after="40" w:line="240" w:lineRule="auto"/>
            </w:pPr>
            <w:r>
              <w:rPr>
                <w:rFonts w:ascii="Times New Roman" w:hAnsi="Times New Roman"/>
                <w:sz w:val="18"/>
                <w:szCs w:val="18"/>
                <w:rtl w:val="0"/>
                <w:lang w:val="en-US"/>
              </w:rPr>
              <w:t>G: gravitational coupling</w:t>
            </w:r>
          </w:p>
        </w:tc>
        <w:tc>
          <w:tcPr>
            <w:tcW w:type="dxa" w:w="1980"/>
            <w:tcBorders>
              <w:top w:val="nil"/>
              <w:left w:val="nil"/>
              <w:bottom w:val="single" w:color="777777" w:sz="8" w:space="0" w:shadow="0" w:frame="0"/>
              <w:right w:val="nil"/>
            </w:tcBorders>
            <w:shd w:val="clear" w:color="auto" w:fill="auto"/>
            <w:tcMar>
              <w:top w:type="dxa" w:w="80"/>
              <w:left w:type="dxa" w:w="80"/>
              <w:bottom w:type="dxa" w:w="80"/>
              <w:right w:type="dxa" w:w="80"/>
            </w:tcMar>
            <w:vAlign w:val="top"/>
          </w:tcPr>
          <w:p>
            <w:pPr>
              <w:pStyle w:val="Compact"/>
              <w:spacing w:after="40" w:line="240" w:lineRule="auto"/>
            </w:pPr>
            <w:r>
              <w:rPr>
                <w:rFonts w:ascii="Times New Roman" w:hAnsi="Times New Roman"/>
                <w:sz w:val="18"/>
                <w:szCs w:val="18"/>
                <w:rtl w:val="0"/>
                <w:lang w:val="en-US"/>
              </w:rPr>
              <w:t>Joint variation of gravitational and matter actions.</w:t>
            </w:r>
          </w:p>
        </w:tc>
        <w:tc>
          <w:tcPr>
            <w:tcW w:type="dxa" w:w="1980"/>
            <w:tcBorders>
              <w:top w:val="nil"/>
              <w:left w:val="nil"/>
              <w:bottom w:val="single" w:color="777777" w:sz="8" w:space="0" w:shadow="0" w:frame="0"/>
              <w:right w:val="nil"/>
            </w:tcBorders>
            <w:shd w:val="clear" w:color="auto" w:fill="auto"/>
            <w:tcMar>
              <w:top w:type="dxa" w:w="80"/>
              <w:left w:type="dxa" w:w="80"/>
              <w:bottom w:type="dxa" w:w="80"/>
              <w:right w:type="dxa" w:w="80"/>
            </w:tcMar>
            <w:vAlign w:val="top"/>
          </w:tcPr>
          <w:p>
            <w:pPr>
              <w:pStyle w:val="Compact"/>
              <w:spacing w:after="40" w:line="240" w:lineRule="auto"/>
            </w:pPr>
            <w:r>
              <w:rPr>
                <w:rFonts w:ascii="Times New Roman" w:hAnsi="Times New Roman"/>
                <w:sz w:val="18"/>
                <w:szCs w:val="18"/>
                <w:rtl w:val="0"/>
                <w:lang w:val="en-US"/>
              </w:rPr>
              <w:t xml:space="preserve">Gravitational field equations, </w:t>
            </w:r>
            <m:oMath>
              <m:r>
                <m:t>G</m:t>
              </m:r>
            </m:oMath>
            <w:r>
              <w:rPr>
                <w:rFonts w:ascii="Times New Roman" w:hAnsi="Times New Roman"/>
                <w:sz w:val="18"/>
                <w:szCs w:val="18"/>
                <w:rtl w:val="0"/>
                <w:lang w:val="en-US"/>
              </w:rPr>
              <w:t>, total source; renormalisation if semiclassical.</w:t>
            </w:r>
          </w:p>
        </w:tc>
        <w:tc>
          <w:tcPr>
            <w:tcW w:type="dxa" w:w="1980"/>
            <w:tcBorders>
              <w:top w:val="nil"/>
              <w:left w:val="nil"/>
              <w:bottom w:val="single" w:color="777777" w:sz="8" w:space="0" w:shadow="0" w:frame="0"/>
              <w:right w:val="nil"/>
            </w:tcBorders>
            <w:shd w:val="clear" w:color="auto" w:fill="auto"/>
            <w:tcMar>
              <w:top w:type="dxa" w:w="80"/>
              <w:left w:type="dxa" w:w="80"/>
              <w:bottom w:type="dxa" w:w="80"/>
              <w:right w:type="dxa" w:w="80"/>
            </w:tcMar>
            <w:vAlign w:val="top"/>
          </w:tcPr>
          <w:p>
            <w:pPr>
              <w:pStyle w:val="Compact"/>
              <w:spacing w:after="40" w:line="240" w:lineRule="auto"/>
            </w:pPr>
            <w:r>
              <w:rPr>
                <w:rFonts w:ascii="Times New Roman" w:hAnsi="Times New Roman"/>
                <w:sz w:val="18"/>
                <w:szCs w:val="18"/>
                <w:rtl w:val="0"/>
                <w:lang w:val="en-US"/>
              </w:rPr>
              <w:t xml:space="preserve">Common matter cone does not derive gravity; </w:t>
            </w:r>
            <m:oMath>
              <m:sSup>
                <m:e>
                  <m:r>
                    <m:t>c</m:t>
                  </m:r>
                </m:e>
                <m:sup>
                  <m:r>
                    <m:t>−4</m:t>
                  </m:r>
                </m:sup>
              </m:sSup>
            </m:oMath>
            <w:r>
              <w:rPr>
                <w:rFonts w:ascii="Times New Roman" w:hAnsi="Times New Roman"/>
                <w:sz w:val="18"/>
                <w:szCs w:val="18"/>
                <w:rtl w:val="0"/>
                <w:lang w:val="en-US"/>
              </w:rPr>
              <w:t xml:space="preserve"> converts source units in Einstein</w:t>
            </w:r>
            <w:r>
              <w:rPr>
                <w:rFonts w:ascii="Times New Roman" w:hAnsi="Times New Roman" w:hint="default"/>
                <w:sz w:val="18"/>
                <w:szCs w:val="18"/>
                <w:rtl w:val="0"/>
                <w:lang w:val="en-US"/>
              </w:rPr>
              <w:t>’</w:t>
            </w:r>
            <w:r>
              <w:rPr>
                <w:rFonts w:ascii="Times New Roman" w:hAnsi="Times New Roman"/>
                <w:sz w:val="18"/>
                <w:szCs w:val="18"/>
                <w:rtl w:val="0"/>
                <w:lang w:val="en-US"/>
              </w:rPr>
              <w:t>s equation.</w:t>
            </w:r>
          </w:p>
        </w:tc>
      </w:tr>
    </w:tbl>
    <w:tbl>
      <w:tblPr>
        <w:tblW w:w="7920"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980"/>
        <w:gridCol w:w="1980"/>
        <w:gridCol w:w="1980"/>
        <w:gridCol w:w="1980"/>
      </w:tblGrid>
      <w:tr>
        <w:tblPrEx>
          <w:shd w:val="clear" w:color="auto" w:fill="ced7e7"/>
        </w:tblPrEx>
        <w:trPr>
          <w:trHeight w:val="610" w:hRule="atLeast"/>
        </w:trPr>
        <w:tc>
          <w:tcPr>
            <w:tcW w:type="dxa" w:w="1980"/>
            <w:tcBorders>
              <w:top w:val="single" w:color="777777" w:sz="8" w:space="0" w:shadow="0" w:frame="0"/>
              <w:left w:val="nil"/>
              <w:bottom w:val="single" w:color="777777" w:sz="6" w:space="0" w:shadow="0" w:frame="0"/>
              <w:right w:val="nil"/>
            </w:tcBorders>
            <w:shd w:val="clear" w:color="auto" w:fill="auto"/>
            <w:tcMar>
              <w:top w:type="dxa" w:w="80"/>
              <w:left w:type="dxa" w:w="80"/>
              <w:bottom w:type="dxa" w:w="80"/>
              <w:right w:type="dxa" w:w="80"/>
            </w:tcMar>
            <w:vAlign w:val="top"/>
          </w:tcPr>
          <w:p>
            <w:pPr>
              <w:pStyle w:val="Compact"/>
              <w:spacing w:after="40" w:line="240" w:lineRule="auto"/>
            </w:pPr>
            <w:r>
              <w:rPr>
                <w:rFonts w:ascii="Times New Roman" w:hAnsi="Times New Roman"/>
                <w:b w:val="1"/>
                <w:bCs w:val="1"/>
                <w:sz w:val="18"/>
                <w:szCs w:val="18"/>
                <w:rtl w:val="0"/>
                <w:lang w:val="en-US"/>
              </w:rPr>
              <w:t>ID</w:t>
            </w:r>
          </w:p>
        </w:tc>
        <w:tc>
          <w:tcPr>
            <w:tcW w:type="dxa" w:w="1980"/>
            <w:tcBorders>
              <w:top w:val="single" w:color="777777" w:sz="8" w:space="0" w:shadow="0" w:frame="0"/>
              <w:left w:val="nil"/>
              <w:bottom w:val="single" w:color="777777" w:sz="6" w:space="0" w:shadow="0" w:frame="0"/>
              <w:right w:val="nil"/>
            </w:tcBorders>
            <w:shd w:val="clear" w:color="auto" w:fill="auto"/>
            <w:tcMar>
              <w:top w:type="dxa" w:w="80"/>
              <w:left w:type="dxa" w:w="80"/>
              <w:bottom w:type="dxa" w:w="80"/>
              <w:right w:type="dxa" w:w="80"/>
            </w:tcMar>
            <w:vAlign w:val="top"/>
          </w:tcPr>
          <w:p>
            <w:pPr>
              <w:pStyle w:val="Compact"/>
              <w:spacing w:after="40" w:line="240" w:lineRule="auto"/>
            </w:pPr>
            <w:r>
              <w:rPr>
                <w:rFonts w:ascii="Times New Roman" w:hAnsi="Times New Roman"/>
                <w:b w:val="1"/>
                <w:bCs w:val="1"/>
                <w:sz w:val="18"/>
                <w:szCs w:val="18"/>
                <w:rtl w:val="0"/>
                <w:lang w:val="en-US"/>
              </w:rPr>
              <w:t>From the same action?</w:t>
            </w:r>
          </w:p>
        </w:tc>
        <w:tc>
          <w:tcPr>
            <w:tcW w:type="dxa" w:w="1980"/>
            <w:tcBorders>
              <w:top w:val="single" w:color="777777" w:sz="8" w:space="0" w:shadow="0" w:frame="0"/>
              <w:left w:val="nil"/>
              <w:bottom w:val="single" w:color="777777" w:sz="6" w:space="0" w:shadow="0" w:frame="0"/>
              <w:right w:val="nil"/>
            </w:tcBorders>
            <w:shd w:val="clear" w:color="auto" w:fill="auto"/>
            <w:tcMar>
              <w:top w:type="dxa" w:w="80"/>
              <w:left w:type="dxa" w:w="80"/>
              <w:bottom w:type="dxa" w:w="80"/>
              <w:right w:type="dxa" w:w="80"/>
            </w:tcMar>
            <w:vAlign w:val="top"/>
          </w:tcPr>
          <w:p>
            <w:pPr>
              <w:pStyle w:val="Compact"/>
              <w:spacing w:after="40" w:line="240" w:lineRule="auto"/>
            </w:pPr>
            <w:r>
              <w:rPr>
                <w:rFonts w:ascii="Times New Roman" w:hAnsi="Times New Roman"/>
                <w:b w:val="1"/>
                <w:bCs w:val="1"/>
                <w:sz w:val="18"/>
                <w:szCs w:val="18"/>
                <w:rtl w:val="0"/>
                <w:lang w:val="en-US"/>
              </w:rPr>
              <w:t>Survives reconstruction?</w:t>
            </w:r>
          </w:p>
        </w:tc>
        <w:tc>
          <w:tcPr>
            <w:tcW w:type="dxa" w:w="1980"/>
            <w:tcBorders>
              <w:top w:val="single" w:color="777777" w:sz="8" w:space="0" w:shadow="0" w:frame="0"/>
              <w:left w:val="nil"/>
              <w:bottom w:val="single" w:color="777777" w:sz="6" w:space="0" w:shadow="0" w:frame="0"/>
              <w:right w:val="nil"/>
            </w:tcBorders>
            <w:shd w:val="clear" w:color="auto" w:fill="auto"/>
            <w:tcMar>
              <w:top w:type="dxa" w:w="80"/>
              <w:left w:type="dxa" w:w="80"/>
              <w:bottom w:type="dxa" w:w="80"/>
              <w:right w:type="dxa" w:w="80"/>
            </w:tcMar>
            <w:vAlign w:val="top"/>
          </w:tcPr>
          <w:p>
            <w:pPr>
              <w:pStyle w:val="Compact"/>
              <w:spacing w:after="40" w:line="240" w:lineRule="auto"/>
            </w:pPr>
            <w:r>
              <w:rPr>
                <w:rFonts w:ascii="Times New Roman" w:hAnsi="Times New Roman"/>
                <w:b w:val="1"/>
                <w:bCs w:val="1"/>
                <w:sz w:val="18"/>
                <w:szCs w:val="18"/>
                <w:rtl w:val="0"/>
                <w:lang w:val="en-US"/>
              </w:rPr>
              <w:t>Readout and counterexample / failure mode</w:t>
            </w:r>
          </w:p>
        </w:tc>
      </w:tr>
      <w:tr>
        <w:tblPrEx>
          <w:shd w:val="clear" w:color="auto" w:fill="ced7e7"/>
        </w:tblPrEx>
        <w:trPr>
          <w:trHeight w:val="1010" w:hRule="atLeast"/>
        </w:trPr>
        <w:tc>
          <w:tcPr>
            <w:tcW w:type="dxa" w:w="1980"/>
            <w:tcBorders>
              <w:top w:val="single" w:color="777777" w:sz="6" w:space="0" w:shadow="0" w:frame="0"/>
              <w:left w:val="nil"/>
              <w:bottom w:val="nil"/>
              <w:right w:val="nil"/>
            </w:tcBorders>
            <w:shd w:val="clear" w:color="auto" w:fill="auto"/>
            <w:tcMar>
              <w:top w:type="dxa" w:w="80"/>
              <w:left w:type="dxa" w:w="80"/>
              <w:bottom w:type="dxa" w:w="80"/>
              <w:right w:type="dxa" w:w="80"/>
            </w:tcMar>
            <w:vAlign w:val="top"/>
          </w:tcPr>
          <w:p>
            <w:pPr>
              <w:pStyle w:val="Compact"/>
              <w:spacing w:after="40" w:line="240" w:lineRule="auto"/>
            </w:pPr>
            <w:r>
              <w:rPr>
                <w:rFonts w:ascii="Times New Roman" w:hAnsi="Times New Roman"/>
                <w:sz w:val="18"/>
                <w:szCs w:val="18"/>
                <w:rtl w:val="0"/>
                <w:lang w:val="en-US"/>
              </w:rPr>
              <w:t>P</w:t>
            </w:r>
          </w:p>
        </w:tc>
        <w:tc>
          <w:tcPr>
            <w:tcW w:type="dxa" w:w="1980"/>
            <w:tcBorders>
              <w:top w:val="single" w:color="777777" w:sz="6" w:space="0" w:shadow="0" w:frame="0"/>
              <w:left w:val="nil"/>
              <w:bottom w:val="nil"/>
              <w:right w:val="nil"/>
            </w:tcBorders>
            <w:shd w:val="clear" w:color="auto" w:fill="auto"/>
            <w:tcMar>
              <w:top w:type="dxa" w:w="80"/>
              <w:left w:type="dxa" w:w="80"/>
              <w:bottom w:type="dxa" w:w="80"/>
              <w:right w:type="dxa" w:w="80"/>
            </w:tcMar>
            <w:vAlign w:val="top"/>
          </w:tcPr>
          <w:p>
            <w:pPr>
              <w:pStyle w:val="Compact"/>
              <w:spacing w:after="40" w:line="240" w:lineRule="auto"/>
            </w:pPr>
            <w:r>
              <w:rPr>
                <w:rFonts w:ascii="Times New Roman" w:hAnsi="Times New Roman"/>
                <w:sz w:val="18"/>
                <w:szCs w:val="18"/>
                <w:rtl w:val="0"/>
                <w:lang w:val="en-US"/>
              </w:rPr>
              <w:t>Yes, principal variation and reduction.</w:t>
            </w:r>
          </w:p>
        </w:tc>
        <w:tc>
          <w:tcPr>
            <w:tcW w:type="dxa" w:w="1980"/>
            <w:tcBorders>
              <w:top w:val="single" w:color="777777" w:sz="6" w:space="0" w:shadow="0" w:frame="0"/>
              <w:left w:val="nil"/>
              <w:bottom w:val="nil"/>
              <w:right w:val="nil"/>
            </w:tcBorders>
            <w:shd w:val="clear" w:color="auto" w:fill="auto"/>
            <w:tcMar>
              <w:top w:type="dxa" w:w="80"/>
              <w:left w:type="dxa" w:w="80"/>
              <w:bottom w:type="dxa" w:w="80"/>
              <w:right w:type="dxa" w:w="80"/>
            </w:tcMar>
            <w:vAlign w:val="top"/>
          </w:tcPr>
          <w:p>
            <w:pPr>
              <w:pStyle w:val="Compact"/>
              <w:spacing w:after="40" w:line="240" w:lineRule="auto"/>
            </w:pPr>
            <m:oMath>
              <m:sSub>
                <m:e>
                  <m:r>
                    <m:t>R</m:t>
                  </m:r>
                </m:e>
                <m:sub>
                  <m:r>
                    <m:t>1</m:t>
                  </m:r>
                </m:sub>
              </m:sSub>
            </m:oMath>
            <w:r>
              <w:rPr>
                <w:rFonts w:ascii="Times New Roman" w:hAnsi="Times New Roman"/>
                <w:sz w:val="18"/>
                <w:szCs w:val="18"/>
                <w:rtl w:val="0"/>
                <w:lang w:val="en-US"/>
              </w:rPr>
              <w:t>, with fixed retained sectors and local limiting operator.</w:t>
            </w:r>
          </w:p>
        </w:tc>
        <w:tc>
          <w:tcPr>
            <w:tcW w:type="dxa" w:w="1980"/>
            <w:tcBorders>
              <w:top w:val="single" w:color="777777" w:sz="6" w:space="0" w:shadow="0" w:frame="0"/>
              <w:left w:val="nil"/>
              <w:bottom w:val="nil"/>
              <w:right w:val="nil"/>
            </w:tcBorders>
            <w:shd w:val="clear" w:color="auto" w:fill="auto"/>
            <w:tcMar>
              <w:top w:type="dxa" w:w="80"/>
              <w:left w:type="dxa" w:w="80"/>
              <w:bottom w:type="dxa" w:w="80"/>
              <w:right w:type="dxa" w:w="80"/>
            </w:tcMar>
            <w:vAlign w:val="top"/>
          </w:tcPr>
          <w:p>
            <w:pPr>
              <w:pStyle w:val="Compact"/>
              <w:spacing w:after="40" w:line="240" w:lineRule="auto"/>
            </w:pPr>
            <w:r>
              <w:rPr>
                <w:rFonts w:ascii="Times New Roman" w:hAnsi="Times New Roman"/>
                <w:sz w:val="18"/>
                <w:szCs w:val="18"/>
                <w:rtl w:val="0"/>
                <w:lang w:val="en-US"/>
              </w:rPr>
              <w:t>Arrival fronts and intersector comparisons; distinct positive branch speeds survive common rescaling.</w:t>
            </w:r>
          </w:p>
        </w:tc>
      </w:tr>
      <w:tr>
        <w:tblPrEx>
          <w:shd w:val="clear" w:color="auto" w:fill="ced7e7"/>
        </w:tblPrEx>
        <w:trPr>
          <w:trHeight w:val="1012" w:hRule="atLeast"/>
        </w:trPr>
        <w:tc>
          <w:tcPr>
            <w:tcW w:type="dxa" w:w="1980"/>
            <w:tcBorders>
              <w:top w:val="nil"/>
              <w:left w:val="nil"/>
              <w:bottom w:val="nil"/>
              <w:right w:val="nil"/>
            </w:tcBorders>
            <w:shd w:val="clear" w:color="auto" w:fill="auto"/>
            <w:tcMar>
              <w:top w:type="dxa" w:w="80"/>
              <w:left w:type="dxa" w:w="80"/>
              <w:bottom w:type="dxa" w:w="80"/>
              <w:right w:type="dxa" w:w="80"/>
            </w:tcMar>
            <w:vAlign w:val="top"/>
          </w:tcPr>
          <w:p>
            <w:pPr>
              <w:pStyle w:val="Compact"/>
              <w:spacing w:after="40" w:line="240" w:lineRule="auto"/>
            </w:pPr>
            <w:r>
              <w:rPr>
                <w:rFonts w:ascii="Times New Roman" w:hAnsi="Times New Roman"/>
                <w:sz w:val="18"/>
                <w:szCs w:val="18"/>
                <w:rtl w:val="0"/>
                <w:lang w:val="en-US"/>
              </w:rPr>
              <w:t>F</w:t>
            </w:r>
          </w:p>
        </w:tc>
        <w:tc>
          <w:tcPr>
            <w:tcW w:type="dxa" w:w="1980"/>
            <w:tcBorders>
              <w:top w:val="nil"/>
              <w:left w:val="nil"/>
              <w:bottom w:val="nil"/>
              <w:right w:val="nil"/>
            </w:tcBorders>
            <w:shd w:val="clear" w:color="auto" w:fill="auto"/>
            <w:tcMar>
              <w:top w:type="dxa" w:w="80"/>
              <w:left w:type="dxa" w:w="80"/>
              <w:bottom w:type="dxa" w:w="80"/>
              <w:right w:type="dxa" w:w="80"/>
            </w:tcMar>
            <w:vAlign w:val="top"/>
          </w:tcPr>
          <w:p>
            <w:pPr>
              <w:pStyle w:val="Compact"/>
              <w:spacing w:after="40" w:line="240" w:lineRule="auto"/>
            </w:pPr>
            <w:r>
              <w:rPr>
                <w:rFonts w:ascii="Times New Roman" w:hAnsi="Times New Roman"/>
                <w:sz w:val="18"/>
                <w:szCs w:val="18"/>
                <w:rtl w:val="0"/>
                <w:lang w:val="en-US"/>
              </w:rPr>
              <w:t>Dynamics allows phase; its measured value also needs a clock and state.</w:t>
            </w:r>
          </w:p>
        </w:tc>
        <w:tc>
          <w:tcPr>
            <w:tcW w:type="dxa" w:w="1980"/>
            <w:tcBorders>
              <w:top w:val="nil"/>
              <w:left w:val="nil"/>
              <w:bottom w:val="nil"/>
              <w:right w:val="nil"/>
            </w:tcBorders>
            <w:shd w:val="clear" w:color="auto" w:fill="auto"/>
            <w:tcMar>
              <w:top w:type="dxa" w:w="80"/>
              <w:left w:type="dxa" w:w="80"/>
              <w:bottom w:type="dxa" w:w="80"/>
              <w:right w:type="dxa" w:w="80"/>
            </w:tcMar>
            <w:vAlign w:val="top"/>
          </w:tcPr>
          <w:p>
            <w:pPr>
              <w:pStyle w:val="Compact"/>
              <w:spacing w:after="40" w:line="240" w:lineRule="auto"/>
            </w:pPr>
            <m:oMath>
              <m:sSub>
                <m:e>
                  <m:r>
                    <m:t>R</m:t>
                  </m:r>
                </m:e>
                <m:sub>
                  <m:r>
                    <m:t>2</m:t>
                  </m:r>
                </m:sub>
              </m:sSub>
            </m:oMath>
            <w:r>
              <w:rPr>
                <w:rFonts w:ascii="Times New Roman" w:hAnsi="Times New Roman"/>
                <w:sz w:val="18"/>
                <w:szCs w:val="18"/>
                <w:rtl w:val="0"/>
                <w:lang w:val="en-US"/>
              </w:rPr>
              <w:t xml:space="preserve"> with identified clock and solution.</w:t>
            </w:r>
          </w:p>
        </w:tc>
        <w:tc>
          <w:tcPr>
            <w:tcW w:type="dxa" w:w="1980"/>
            <w:tcBorders>
              <w:top w:val="nil"/>
              <w:left w:val="nil"/>
              <w:bottom w:val="nil"/>
              <w:right w:val="nil"/>
            </w:tcBorders>
            <w:shd w:val="clear" w:color="auto" w:fill="auto"/>
            <w:tcMar>
              <w:top w:type="dxa" w:w="80"/>
              <w:left w:type="dxa" w:w="80"/>
              <w:bottom w:type="dxa" w:w="80"/>
              <w:right w:type="dxa" w:w="80"/>
            </w:tcMar>
            <w:vAlign w:val="top"/>
          </w:tcPr>
          <w:p>
            <w:pPr>
              <w:pStyle w:val="Compact"/>
              <w:spacing w:after="40" w:line="240" w:lineRule="auto"/>
            </w:pPr>
            <w:r>
              <w:rPr>
                <w:rFonts w:ascii="Times New Roman" w:hAnsi="Times New Roman"/>
                <w:sz w:val="18"/>
                <w:szCs w:val="18"/>
                <w:rtl w:val="0"/>
                <w:lang w:val="en-US"/>
              </w:rPr>
              <w:t>Frequency comparison; observer motion or nonstationary geometry changes measured frequency.</w:t>
            </w:r>
          </w:p>
        </w:tc>
      </w:tr>
      <w:tr>
        <w:tblPrEx>
          <w:shd w:val="clear" w:color="auto" w:fill="ced7e7"/>
        </w:tblPrEx>
        <w:trPr>
          <w:trHeight w:val="1012" w:hRule="atLeast"/>
        </w:trPr>
        <w:tc>
          <w:tcPr>
            <w:tcW w:type="dxa" w:w="1980"/>
            <w:tcBorders>
              <w:top w:val="nil"/>
              <w:left w:val="nil"/>
              <w:bottom w:val="nil"/>
              <w:right w:val="nil"/>
            </w:tcBorders>
            <w:shd w:val="clear" w:color="auto" w:fill="auto"/>
            <w:tcMar>
              <w:top w:type="dxa" w:w="80"/>
              <w:left w:type="dxa" w:w="80"/>
              <w:bottom w:type="dxa" w:w="80"/>
              <w:right w:type="dxa" w:w="80"/>
            </w:tcMar>
            <w:vAlign w:val="top"/>
          </w:tcPr>
          <w:p>
            <w:pPr>
              <w:pStyle w:val="Compact"/>
              <w:spacing w:after="40" w:line="240" w:lineRule="auto"/>
            </w:pPr>
            <w:r>
              <w:rPr>
                <w:rFonts w:ascii="Times New Roman" w:hAnsi="Times New Roman"/>
                <w:sz w:val="18"/>
                <w:szCs w:val="18"/>
                <w:rtl w:val="0"/>
                <w:lang w:val="en-US"/>
              </w:rPr>
              <w:t>W</w:t>
            </w:r>
          </w:p>
        </w:tc>
        <w:tc>
          <w:tcPr>
            <w:tcW w:type="dxa" w:w="1980"/>
            <w:tcBorders>
              <w:top w:val="nil"/>
              <w:left w:val="nil"/>
              <w:bottom w:val="nil"/>
              <w:right w:val="nil"/>
            </w:tcBorders>
            <w:shd w:val="clear" w:color="auto" w:fill="auto"/>
            <w:tcMar>
              <w:top w:type="dxa" w:w="80"/>
              <w:left w:type="dxa" w:w="80"/>
              <w:bottom w:type="dxa" w:w="80"/>
              <w:right w:type="dxa" w:w="80"/>
            </w:tcMar>
            <w:vAlign w:val="top"/>
          </w:tcPr>
          <w:p>
            <w:pPr>
              <w:pStyle w:val="Compact"/>
              <w:spacing w:after="40" w:line="240" w:lineRule="auto"/>
            </w:pPr>
            <w:r>
              <w:rPr>
                <w:rFonts w:ascii="Times New Roman" w:hAnsi="Times New Roman"/>
                <w:sz w:val="18"/>
                <w:szCs w:val="18"/>
                <w:rtl w:val="0"/>
                <w:lang w:val="en-US"/>
              </w:rPr>
              <w:t>Phase solutions come from dynamics; length readout is additional.</w:t>
            </w:r>
          </w:p>
        </w:tc>
        <w:tc>
          <w:tcPr>
            <w:tcW w:type="dxa" w:w="1980"/>
            <w:tcBorders>
              <w:top w:val="nil"/>
              <w:left w:val="nil"/>
              <w:bottom w:val="nil"/>
              <w:right w:val="nil"/>
            </w:tcBorders>
            <w:shd w:val="clear" w:color="auto" w:fill="auto"/>
            <w:tcMar>
              <w:top w:type="dxa" w:w="80"/>
              <w:left w:type="dxa" w:w="80"/>
              <w:bottom w:type="dxa" w:w="80"/>
              <w:right w:type="dxa" w:w="80"/>
            </w:tcMar>
            <w:vAlign w:val="top"/>
          </w:tcPr>
          <w:p>
            <w:pPr>
              <w:pStyle w:val="Compact"/>
              <w:spacing w:after="40" w:line="240" w:lineRule="auto"/>
            </w:pPr>
            <m:oMath>
              <m:sSub>
                <m:e>
                  <m:r>
                    <m:t>R</m:t>
                  </m:r>
                </m:e>
                <m:sub>
                  <m:r>
                    <m:t>2</m:t>
                  </m:r>
                </m:sub>
              </m:sSub>
            </m:oMath>
            <w:r>
              <w:rPr>
                <w:rFonts w:ascii="Times New Roman" w:hAnsi="Times New Roman"/>
                <w:sz w:val="18"/>
                <w:szCs w:val="18"/>
                <w:rtl w:val="0"/>
                <w:lang w:val="en-US"/>
              </w:rPr>
              <w:t>, including spatial measure and phase localisation.</w:t>
            </w:r>
          </w:p>
        </w:tc>
        <w:tc>
          <w:tcPr>
            <w:tcW w:type="dxa" w:w="1980"/>
            <w:tcBorders>
              <w:top w:val="nil"/>
              <w:left w:val="nil"/>
              <w:bottom w:val="nil"/>
              <w:right w:val="nil"/>
            </w:tcBorders>
            <w:shd w:val="clear" w:color="auto" w:fill="auto"/>
            <w:tcMar>
              <w:top w:type="dxa" w:w="80"/>
              <w:left w:type="dxa" w:w="80"/>
              <w:bottom w:type="dxa" w:w="80"/>
              <w:right w:type="dxa" w:w="80"/>
            </w:tcMar>
            <w:vAlign w:val="top"/>
          </w:tcPr>
          <w:p>
            <w:pPr>
              <w:pStyle w:val="Compact"/>
              <w:spacing w:after="40" w:line="240" w:lineRule="auto"/>
            </w:pPr>
            <w:r>
              <w:rPr>
                <w:rFonts w:ascii="Times New Roman" w:hAnsi="Times New Roman"/>
                <w:sz w:val="18"/>
                <w:szCs w:val="18"/>
                <w:rtl w:val="0"/>
                <w:lang w:val="en-US"/>
              </w:rPr>
              <w:t>Interference or cavity comparison; arbitrary nonlocal isospectral maps lose spatial meaning.</w:t>
            </w:r>
          </w:p>
        </w:tc>
      </w:tr>
      <w:tr>
        <w:tblPrEx>
          <w:shd w:val="clear" w:color="auto" w:fill="ced7e7"/>
        </w:tblPrEx>
        <w:trPr>
          <w:trHeight w:val="1067" w:hRule="atLeast"/>
        </w:trPr>
        <w:tc>
          <w:tcPr>
            <w:tcW w:type="dxa" w:w="1980"/>
            <w:tcBorders>
              <w:top w:val="nil"/>
              <w:left w:val="nil"/>
              <w:bottom w:val="nil"/>
              <w:right w:val="nil"/>
            </w:tcBorders>
            <w:shd w:val="clear" w:color="auto" w:fill="auto"/>
            <w:tcMar>
              <w:top w:type="dxa" w:w="80"/>
              <w:left w:type="dxa" w:w="80"/>
              <w:bottom w:type="dxa" w:w="80"/>
              <w:right w:type="dxa" w:w="80"/>
            </w:tcMar>
            <w:vAlign w:val="top"/>
          </w:tcPr>
          <w:p>
            <w:pPr>
              <w:pStyle w:val="Compact"/>
              <w:spacing w:after="40" w:line="240" w:lineRule="auto"/>
            </w:pPr>
            <w:r>
              <w:rPr>
                <w:rFonts w:ascii="Times New Roman" w:hAnsi="Times New Roman"/>
                <w:sz w:val="18"/>
                <w:szCs w:val="18"/>
                <w:rtl w:val="0"/>
                <w:lang w:val="en-US"/>
              </w:rPr>
              <w:t>E</w:t>
            </w:r>
          </w:p>
        </w:tc>
        <w:tc>
          <w:tcPr>
            <w:tcW w:type="dxa" w:w="1980"/>
            <w:tcBorders>
              <w:top w:val="nil"/>
              <w:left w:val="nil"/>
              <w:bottom w:val="nil"/>
              <w:right w:val="nil"/>
            </w:tcBorders>
            <w:shd w:val="clear" w:color="auto" w:fill="auto"/>
            <w:tcMar>
              <w:top w:type="dxa" w:w="80"/>
              <w:left w:type="dxa" w:w="80"/>
              <w:bottom w:type="dxa" w:w="80"/>
              <w:right w:type="dxa" w:w="80"/>
            </w:tcMar>
            <w:vAlign w:val="top"/>
          </w:tcPr>
          <w:p>
            <w:pPr>
              <w:pStyle w:val="Compact"/>
              <w:spacing w:after="40" w:line="240" w:lineRule="auto"/>
            </w:pPr>
            <w:r>
              <w:rPr>
                <w:rFonts w:ascii="Times New Roman" w:hAnsi="Times New Roman"/>
                <w:sz w:val="18"/>
                <w:szCs w:val="18"/>
                <w:rtl w:val="0"/>
                <w:lang w:val="en-US"/>
              </w:rPr>
              <w:t>Yes for the classical generator; quantum energy adds quantisation.</w:t>
            </w:r>
          </w:p>
        </w:tc>
        <w:tc>
          <w:tcPr>
            <w:tcW w:type="dxa" w:w="1980"/>
            <w:tcBorders>
              <w:top w:val="nil"/>
              <w:left w:val="nil"/>
              <w:bottom w:val="nil"/>
              <w:right w:val="nil"/>
            </w:tcBorders>
            <w:shd w:val="clear" w:color="auto" w:fill="auto"/>
            <w:tcMar>
              <w:top w:type="dxa" w:w="80"/>
              <w:left w:type="dxa" w:w="80"/>
              <w:bottom w:type="dxa" w:w="80"/>
              <w:right w:type="dxa" w:w="80"/>
            </w:tcMar>
            <w:vAlign w:val="top"/>
          </w:tcPr>
          <w:p>
            <w:pPr>
              <w:pStyle w:val="Compact"/>
              <w:spacing w:after="40" w:line="240" w:lineRule="auto"/>
            </w:pPr>
            <m:oMath>
              <m:sSub>
                <m:e>
                  <m:r>
                    <m:t>R</m:t>
                  </m:r>
                </m:e>
                <m:sub>
                  <m:r>
                    <m:t>3</m:t>
                  </m:r>
                </m:sub>
              </m:sSub>
            </m:oMath>
            <w:r>
              <w:rPr>
                <w:rFonts w:ascii="Times New Roman" w:hAnsi="Times New Roman"/>
                <w:sz w:val="18"/>
                <w:szCs w:val="18"/>
                <w:rtl w:val="0"/>
                <w:lang w:val="en-US"/>
              </w:rPr>
              <w:t xml:space="preserve"> classically; </w:t>
            </w:r>
            <m:oMath>
              <m:sSub>
                <m:e>
                  <m:r>
                    <m:t>R</m:t>
                  </m:r>
                </m:e>
                <m:sub>
                  <m:r>
                    <m:t>5</m:t>
                  </m:r>
                </m:sub>
              </m:sSub>
            </m:oMath>
            <w:r>
              <w:rPr>
                <w:rFonts w:ascii="Times New Roman" w:hAnsi="Times New Roman"/>
                <w:sz w:val="18"/>
                <w:szCs w:val="18"/>
                <w:rtl w:val="0"/>
                <w:lang w:val="en-US"/>
              </w:rPr>
              <w:t xml:space="preserve"> and domain control quantum mechanically, </w:t>
            </w:r>
            <m:oMath>
              <m:sSub>
                <m:e>
                  <m:r>
                    <m:t>R</m:t>
                  </m:r>
                </m:e>
                <m:sub>
                  <m:r>
                    <m:t>6</m:t>
                  </m:r>
                </m:sub>
              </m:sSub>
            </m:oMath>
            <w:r>
              <w:rPr>
                <w:rFonts w:ascii="Times New Roman" w:hAnsi="Times New Roman"/>
                <w:sz w:val="18"/>
                <w:szCs w:val="18"/>
                <w:rtl w:val="0"/>
                <w:lang w:val="en-US"/>
              </w:rPr>
              <w:t xml:space="preserve"> for local quantum stress.</w:t>
            </w:r>
          </w:p>
        </w:tc>
        <w:tc>
          <w:tcPr>
            <w:tcW w:type="dxa" w:w="1980"/>
            <w:tcBorders>
              <w:top w:val="nil"/>
              <w:left w:val="nil"/>
              <w:bottom w:val="nil"/>
              <w:right w:val="nil"/>
            </w:tcBorders>
            <w:shd w:val="clear" w:color="auto" w:fill="auto"/>
            <w:tcMar>
              <w:top w:type="dxa" w:w="80"/>
              <w:left w:type="dxa" w:w="80"/>
              <w:bottom w:type="dxa" w:w="80"/>
              <w:right w:type="dxa" w:w="80"/>
            </w:tcMar>
            <w:vAlign w:val="top"/>
          </w:tcPr>
          <w:p>
            <w:pPr>
              <w:pStyle w:val="Compact"/>
              <w:spacing w:after="40" w:line="240" w:lineRule="auto"/>
            </w:pPr>
            <w:r>
              <w:rPr>
                <w:rFonts w:ascii="Times New Roman" w:hAnsi="Times New Roman"/>
                <w:sz w:val="18"/>
                <w:szCs w:val="18"/>
                <w:rtl w:val="0"/>
                <w:lang w:val="en-US"/>
              </w:rPr>
              <w:t xml:space="preserve">Independent calorimetry or energy transfer; </w:t>
            </w:r>
            <m:oMath>
              <m:r>
                <m:t>γS</m:t>
              </m:r>
            </m:oMath>
            <w:r>
              <w:rPr>
                <w:rFonts w:ascii="Times New Roman" w:hAnsi="Times New Roman"/>
                <w:sz w:val="18"/>
                <w:szCs w:val="18"/>
                <w:rtl w:val="0"/>
                <w:lang w:val="en-US"/>
              </w:rPr>
              <w:t xml:space="preserve"> keeps the cone but changes fixed-amplitude energy.</w:t>
            </w:r>
          </w:p>
        </w:tc>
      </w:tr>
      <w:tr>
        <w:tblPrEx>
          <w:shd w:val="clear" w:color="auto" w:fill="ced7e7"/>
        </w:tblPrEx>
        <w:trPr>
          <w:trHeight w:val="812" w:hRule="atLeast"/>
        </w:trPr>
        <w:tc>
          <w:tcPr>
            <w:tcW w:type="dxa" w:w="1980"/>
            <w:tcBorders>
              <w:top w:val="nil"/>
              <w:left w:val="nil"/>
              <w:bottom w:val="nil"/>
              <w:right w:val="nil"/>
            </w:tcBorders>
            <w:shd w:val="clear" w:color="auto" w:fill="auto"/>
            <w:tcMar>
              <w:top w:type="dxa" w:w="80"/>
              <w:left w:type="dxa" w:w="80"/>
              <w:bottom w:type="dxa" w:w="80"/>
              <w:right w:type="dxa" w:w="80"/>
            </w:tcMar>
            <w:vAlign w:val="top"/>
          </w:tcPr>
          <w:p>
            <w:pPr>
              <w:pStyle w:val="Compact"/>
              <w:spacing w:after="40" w:line="240" w:lineRule="auto"/>
            </w:pPr>
            <w:r>
              <w:rPr>
                <w:rFonts w:ascii="Times New Roman" w:hAnsi="Times New Roman"/>
                <w:sz w:val="18"/>
                <w:szCs w:val="18"/>
                <w:rtl w:val="0"/>
                <w:lang w:val="en-US"/>
              </w:rPr>
              <w:t>M</w:t>
            </w:r>
          </w:p>
        </w:tc>
        <w:tc>
          <w:tcPr>
            <w:tcW w:type="dxa" w:w="1980"/>
            <w:tcBorders>
              <w:top w:val="nil"/>
              <w:left w:val="nil"/>
              <w:bottom w:val="nil"/>
              <w:right w:val="nil"/>
            </w:tcBorders>
            <w:shd w:val="clear" w:color="auto" w:fill="auto"/>
            <w:tcMar>
              <w:top w:type="dxa" w:w="80"/>
              <w:left w:type="dxa" w:w="80"/>
              <w:bottom w:type="dxa" w:w="80"/>
              <w:right w:type="dxa" w:w="80"/>
            </w:tcMar>
            <w:vAlign w:val="top"/>
          </w:tcPr>
          <w:p>
            <w:pPr>
              <w:pStyle w:val="Compact"/>
              <w:spacing w:after="40" w:line="240" w:lineRule="auto"/>
            </w:pPr>
            <w:r>
              <w:rPr>
                <w:rFonts w:ascii="Times New Roman" w:hAnsi="Times New Roman"/>
                <w:sz w:val="18"/>
                <w:szCs w:val="18"/>
                <w:rtl w:val="0"/>
                <w:lang w:val="en-US"/>
              </w:rPr>
              <w:t>Yes for translation charges; quantum relation needs canonical generators.</w:t>
            </w:r>
          </w:p>
        </w:tc>
        <w:tc>
          <w:tcPr>
            <w:tcW w:type="dxa" w:w="1980"/>
            <w:tcBorders>
              <w:top w:val="nil"/>
              <w:left w:val="nil"/>
              <w:bottom w:val="nil"/>
              <w:right w:val="nil"/>
            </w:tcBorders>
            <w:shd w:val="clear" w:color="auto" w:fill="auto"/>
            <w:tcMar>
              <w:top w:type="dxa" w:w="80"/>
              <w:left w:type="dxa" w:w="80"/>
              <w:bottom w:type="dxa" w:w="80"/>
              <w:right w:type="dxa" w:w="80"/>
            </w:tcMar>
            <w:vAlign w:val="top"/>
          </w:tcPr>
          <w:p>
            <w:pPr>
              <w:pStyle w:val="Compact"/>
              <w:spacing w:after="40" w:line="240" w:lineRule="auto"/>
            </w:pPr>
            <m:oMath>
              <m:sSub>
                <m:e>
                  <m:r>
                    <m:t>R</m:t>
                  </m:r>
                </m:e>
                <m:sub>
                  <m:r>
                    <m:t>3</m:t>
                  </m:r>
                </m:sub>
              </m:sSub>
            </m:oMath>
            <w:r>
              <w:rPr>
                <w:rFonts w:ascii="Times New Roman" w:hAnsi="Times New Roman"/>
                <w:sz w:val="18"/>
                <w:szCs w:val="18"/>
                <w:rtl w:val="0"/>
                <w:lang w:val="en-US"/>
              </w:rPr>
              <w:t xml:space="preserve"> with spatial calibration; </w:t>
            </w:r>
            <m:oMath>
              <m:sSub>
                <m:e>
                  <m:r>
                    <m:t>R</m:t>
                  </m:r>
                </m:e>
                <m:sub>
                  <m:r>
                    <m:t>5</m:t>
                  </m:r>
                </m:sub>
              </m:sSub>
            </m:oMath>
            <w:r>
              <w:rPr>
                <w:rFonts w:ascii="Times New Roman" w:hAnsi="Times New Roman"/>
                <w:sz w:val="18"/>
                <w:szCs w:val="18"/>
                <w:rtl w:val="0"/>
                <w:lang w:val="en-US"/>
              </w:rPr>
              <w:t xml:space="preserve"> for quantum generators.</w:t>
            </w:r>
          </w:p>
        </w:tc>
        <w:tc>
          <w:tcPr>
            <w:tcW w:type="dxa" w:w="1980"/>
            <w:tcBorders>
              <w:top w:val="nil"/>
              <w:left w:val="nil"/>
              <w:bottom w:val="nil"/>
              <w:right w:val="nil"/>
            </w:tcBorders>
            <w:shd w:val="clear" w:color="auto" w:fill="auto"/>
            <w:tcMar>
              <w:top w:type="dxa" w:w="80"/>
              <w:left w:type="dxa" w:w="80"/>
              <w:bottom w:type="dxa" w:w="80"/>
              <w:right w:type="dxa" w:w="80"/>
            </w:tcMar>
            <w:vAlign w:val="top"/>
          </w:tcPr>
          <w:p>
            <w:pPr>
              <w:pStyle w:val="Compact"/>
              <w:spacing w:after="40" w:line="240" w:lineRule="auto"/>
            </w:pPr>
            <w:r>
              <w:rPr>
                <w:rFonts w:ascii="Times New Roman" w:hAnsi="Times New Roman"/>
                <w:sz w:val="18"/>
                <w:szCs w:val="18"/>
                <w:rtl w:val="0"/>
                <w:lang w:val="en-US"/>
              </w:rPr>
              <w:t>Recoil; a standing field stores energy with zero net momentum.</w:t>
            </w:r>
          </w:p>
        </w:tc>
      </w:tr>
      <w:tr>
        <w:tblPrEx>
          <w:shd w:val="clear" w:color="auto" w:fill="ced7e7"/>
        </w:tblPrEx>
        <w:trPr>
          <w:trHeight w:val="812" w:hRule="atLeast"/>
        </w:trPr>
        <w:tc>
          <w:tcPr>
            <w:tcW w:type="dxa" w:w="1980"/>
            <w:tcBorders>
              <w:top w:val="nil"/>
              <w:left w:val="nil"/>
              <w:bottom w:val="nil"/>
              <w:right w:val="nil"/>
            </w:tcBorders>
            <w:shd w:val="clear" w:color="auto" w:fill="auto"/>
            <w:tcMar>
              <w:top w:type="dxa" w:w="80"/>
              <w:left w:type="dxa" w:w="80"/>
              <w:bottom w:type="dxa" w:w="80"/>
              <w:right w:type="dxa" w:w="80"/>
            </w:tcMar>
            <w:vAlign w:val="top"/>
          </w:tcPr>
          <w:p>
            <w:pPr>
              <w:pStyle w:val="Compact"/>
              <w:spacing w:after="40" w:line="240" w:lineRule="auto"/>
            </w:pPr>
            <w:r>
              <w:rPr>
                <w:rFonts w:ascii="Times New Roman" w:hAnsi="Times New Roman"/>
                <w:sz w:val="18"/>
                <w:szCs w:val="18"/>
                <w:rtl w:val="0"/>
                <w:lang w:val="en-US"/>
              </w:rPr>
              <w:t>EF</w:t>
            </w:r>
          </w:p>
        </w:tc>
        <w:tc>
          <w:tcPr>
            <w:tcW w:type="dxa" w:w="1980"/>
            <w:tcBorders>
              <w:top w:val="nil"/>
              <w:left w:val="nil"/>
              <w:bottom w:val="nil"/>
              <w:right w:val="nil"/>
            </w:tcBorders>
            <w:shd w:val="clear" w:color="auto" w:fill="auto"/>
            <w:tcMar>
              <w:top w:type="dxa" w:w="80"/>
              <w:left w:type="dxa" w:w="80"/>
              <w:bottom w:type="dxa" w:w="80"/>
              <w:right w:type="dxa" w:w="80"/>
            </w:tcMar>
            <w:vAlign w:val="top"/>
          </w:tcPr>
          <w:p>
            <w:pPr>
              <w:pStyle w:val="Compact"/>
              <w:spacing w:after="40" w:line="240" w:lineRule="auto"/>
            </w:pPr>
            <w:r>
              <w:rPr>
                <w:rFonts w:ascii="Times New Roman" w:hAnsi="Times New Roman"/>
                <w:sz w:val="18"/>
                <w:szCs w:val="18"/>
                <w:rtl w:val="0"/>
                <w:lang w:val="en-US"/>
              </w:rPr>
              <w:t>Yes, metric variation and observer projection.</w:t>
            </w:r>
          </w:p>
        </w:tc>
        <w:tc>
          <w:tcPr>
            <w:tcW w:type="dxa" w:w="1980"/>
            <w:tcBorders>
              <w:top w:val="nil"/>
              <w:left w:val="nil"/>
              <w:bottom w:val="nil"/>
              <w:right w:val="nil"/>
            </w:tcBorders>
            <w:shd w:val="clear" w:color="auto" w:fill="auto"/>
            <w:tcMar>
              <w:top w:type="dxa" w:w="80"/>
              <w:left w:type="dxa" w:w="80"/>
              <w:bottom w:type="dxa" w:w="80"/>
              <w:right w:type="dxa" w:w="80"/>
            </w:tcMar>
            <w:vAlign w:val="top"/>
          </w:tcPr>
          <w:p>
            <w:pPr>
              <w:pStyle w:val="Compact"/>
              <w:spacing w:after="40" w:line="240" w:lineRule="auto"/>
            </w:pPr>
            <m:oMath>
              <m:sSub>
                <m:e>
                  <m:r>
                    <m:t>R</m:t>
                  </m:r>
                </m:e>
                <m:sub>
                  <m:r>
                    <m:t>3</m:t>
                  </m:r>
                </m:sub>
              </m:sSub>
            </m:oMath>
            <w:r>
              <w:rPr>
                <w:rFonts w:ascii="Times New Roman" w:hAnsi="Times New Roman"/>
                <w:sz w:val="18"/>
                <w:szCs w:val="18"/>
                <w:rtl w:val="0"/>
                <w:lang w:val="en-US"/>
              </w:rPr>
              <w:t xml:space="preserve"> for volume-smearing, </w:t>
            </w:r>
            <m:oMath>
              <m:sSub>
                <m:e>
                  <m:r>
                    <m:t>R</m:t>
                  </m:r>
                </m:e>
                <m:sub>
                  <m:r>
                    <m:t>4</m:t>
                  </m:r>
                </m:sub>
              </m:sSub>
            </m:oMath>
            <w:r>
              <w:rPr>
                <w:rFonts w:ascii="Times New Roman" w:hAnsi="Times New Roman"/>
                <w:sz w:val="18"/>
                <w:szCs w:val="18"/>
                <w:rtl w:val="0"/>
                <w:lang w:val="en-US"/>
              </w:rPr>
              <w:t xml:space="preserve"> for surface flux; </w:t>
            </w:r>
            <m:oMath>
              <m:sSub>
                <m:e>
                  <m:r>
                    <m:t>R</m:t>
                  </m:r>
                </m:e>
                <m:sub>
                  <m:r>
                    <m:t>6</m:t>
                  </m:r>
                </m:sub>
              </m:sSub>
            </m:oMath>
            <w:r>
              <w:rPr>
                <w:rFonts w:ascii="Times New Roman" w:hAnsi="Times New Roman"/>
                <w:sz w:val="18"/>
                <w:szCs w:val="18"/>
                <w:rtl w:val="0"/>
                <w:lang w:val="en-US"/>
              </w:rPr>
              <w:t xml:space="preserve"> if quantum.</w:t>
            </w:r>
          </w:p>
        </w:tc>
        <w:tc>
          <w:tcPr>
            <w:tcW w:type="dxa" w:w="1980"/>
            <w:tcBorders>
              <w:top w:val="nil"/>
              <w:left w:val="nil"/>
              <w:bottom w:val="nil"/>
              <w:right w:val="nil"/>
            </w:tcBorders>
            <w:shd w:val="clear" w:color="auto" w:fill="auto"/>
            <w:tcMar>
              <w:top w:type="dxa" w:w="80"/>
              <w:left w:type="dxa" w:w="80"/>
              <w:bottom w:type="dxa" w:w="80"/>
              <w:right w:type="dxa" w:w="80"/>
            </w:tcMar>
            <w:vAlign w:val="top"/>
          </w:tcPr>
          <w:p>
            <w:pPr>
              <w:pStyle w:val="Compact"/>
              <w:spacing w:after="40" w:line="240" w:lineRule="auto"/>
            </w:pPr>
            <w:r>
              <w:rPr>
                <w:rFonts w:ascii="Times New Roman" w:hAnsi="Times New Roman"/>
                <w:sz w:val="18"/>
                <w:szCs w:val="18"/>
                <w:rtl w:val="0"/>
                <w:lang w:val="en-US"/>
              </w:rPr>
              <w:t>Power transfer; a static field or opposing beams have energy without directed net flux.</w:t>
            </w:r>
          </w:p>
        </w:tc>
      </w:tr>
      <w:tr>
        <w:tblPrEx>
          <w:shd w:val="clear" w:color="auto" w:fill="ced7e7"/>
        </w:tblPrEx>
        <w:trPr>
          <w:trHeight w:val="1012" w:hRule="atLeast"/>
        </w:trPr>
        <w:tc>
          <w:tcPr>
            <w:tcW w:type="dxa" w:w="1980"/>
            <w:tcBorders>
              <w:top w:val="nil"/>
              <w:left w:val="nil"/>
              <w:bottom w:val="nil"/>
              <w:right w:val="nil"/>
            </w:tcBorders>
            <w:shd w:val="clear" w:color="auto" w:fill="auto"/>
            <w:tcMar>
              <w:top w:type="dxa" w:w="80"/>
              <w:left w:type="dxa" w:w="80"/>
              <w:bottom w:type="dxa" w:w="80"/>
              <w:right w:type="dxa" w:w="80"/>
            </w:tcMar>
            <w:vAlign w:val="top"/>
          </w:tcPr>
          <w:p>
            <w:pPr>
              <w:pStyle w:val="Compact"/>
              <w:spacing w:after="40" w:line="240" w:lineRule="auto"/>
            </w:pPr>
            <w:r>
              <w:rPr>
                <w:rFonts w:ascii="Times New Roman" w:hAnsi="Times New Roman"/>
                <w:sz w:val="18"/>
                <w:szCs w:val="18"/>
                <w:rtl w:val="0"/>
                <w:lang w:val="en-US"/>
              </w:rPr>
              <w:t>MF</w:t>
            </w:r>
          </w:p>
        </w:tc>
        <w:tc>
          <w:tcPr>
            <w:tcW w:type="dxa" w:w="1980"/>
            <w:tcBorders>
              <w:top w:val="nil"/>
              <w:left w:val="nil"/>
              <w:bottom w:val="nil"/>
              <w:right w:val="nil"/>
            </w:tcBorders>
            <w:shd w:val="clear" w:color="auto" w:fill="auto"/>
            <w:tcMar>
              <w:top w:type="dxa" w:w="80"/>
              <w:left w:type="dxa" w:w="80"/>
              <w:bottom w:type="dxa" w:w="80"/>
              <w:right w:type="dxa" w:w="80"/>
            </w:tcMar>
            <w:vAlign w:val="top"/>
          </w:tcPr>
          <w:p>
            <w:pPr>
              <w:pStyle w:val="Compact"/>
              <w:spacing w:after="40" w:line="240" w:lineRule="auto"/>
            </w:pPr>
            <w:r>
              <w:rPr>
                <w:rFonts w:ascii="Times New Roman" w:hAnsi="Times New Roman"/>
                <w:sz w:val="18"/>
                <w:szCs w:val="18"/>
                <w:rtl w:val="0"/>
                <w:lang w:val="en-US"/>
              </w:rPr>
              <w:t>Yes, different components of the same tensor.</w:t>
            </w:r>
          </w:p>
        </w:tc>
        <w:tc>
          <w:tcPr>
            <w:tcW w:type="dxa" w:w="1980"/>
            <w:tcBorders>
              <w:top w:val="nil"/>
              <w:left w:val="nil"/>
              <w:bottom w:val="nil"/>
              <w:right w:val="nil"/>
            </w:tcBorders>
            <w:shd w:val="clear" w:color="auto" w:fill="auto"/>
            <w:tcMar>
              <w:top w:type="dxa" w:w="80"/>
              <w:left w:type="dxa" w:w="80"/>
              <w:bottom w:type="dxa" w:w="80"/>
              <w:right w:type="dxa" w:w="80"/>
            </w:tcMar>
            <w:vAlign w:val="top"/>
          </w:tcPr>
          <w:p>
            <w:pPr>
              <w:pStyle w:val="Compact"/>
              <w:spacing w:after="40" w:line="240" w:lineRule="auto"/>
            </w:pPr>
            <m:oMath>
              <m:sSub>
                <m:e>
                  <m:r>
                    <m:t>R</m:t>
                  </m:r>
                </m:e>
                <m:sub>
                  <m:r>
                    <m:t>3</m:t>
                  </m:r>
                </m:sub>
              </m:sSub>
            </m:oMath>
            <w:r>
              <w:rPr>
                <w:rFonts w:ascii="Times New Roman" w:hAnsi="Times New Roman"/>
                <w:sz w:val="18"/>
                <w:szCs w:val="18"/>
                <w:rtl w:val="0"/>
                <w:lang w:val="en-US"/>
              </w:rPr>
              <w:t>, and trace control for surface transfer.</w:t>
            </w:r>
          </w:p>
        </w:tc>
        <w:tc>
          <w:tcPr>
            <w:tcW w:type="dxa" w:w="1980"/>
            <w:tcBorders>
              <w:top w:val="nil"/>
              <w:left w:val="nil"/>
              <w:bottom w:val="nil"/>
              <w:right w:val="nil"/>
            </w:tcBorders>
            <w:shd w:val="clear" w:color="auto" w:fill="auto"/>
            <w:tcMar>
              <w:top w:type="dxa" w:w="80"/>
              <w:left w:type="dxa" w:w="80"/>
              <w:bottom w:type="dxa" w:w="80"/>
              <w:right w:type="dxa" w:w="80"/>
            </w:tcMar>
            <w:vAlign w:val="top"/>
          </w:tcPr>
          <w:p>
            <w:pPr>
              <w:pStyle w:val="Compact"/>
              <w:spacing w:after="40" w:line="240" w:lineRule="auto"/>
            </w:pPr>
            <w:r>
              <w:rPr>
                <w:rFonts w:ascii="Times New Roman" w:hAnsi="Times New Roman"/>
                <w:sz w:val="18"/>
                <w:szCs w:val="18"/>
                <w:rtl w:val="0"/>
                <w:lang w:val="en-US"/>
              </w:rPr>
              <w:t>Direction-resolved momentum transfer; strong potentials with oscillating derivatives can retain finite flux.</w:t>
            </w:r>
          </w:p>
        </w:tc>
      </w:tr>
      <w:tr>
        <w:tblPrEx>
          <w:shd w:val="clear" w:color="auto" w:fill="ced7e7"/>
        </w:tblPrEx>
        <w:trPr>
          <w:trHeight w:val="1012" w:hRule="atLeast"/>
        </w:trPr>
        <w:tc>
          <w:tcPr>
            <w:tcW w:type="dxa" w:w="1980"/>
            <w:tcBorders>
              <w:top w:val="nil"/>
              <w:left w:val="nil"/>
              <w:bottom w:val="nil"/>
              <w:right w:val="nil"/>
            </w:tcBorders>
            <w:shd w:val="clear" w:color="auto" w:fill="auto"/>
            <w:tcMar>
              <w:top w:type="dxa" w:w="80"/>
              <w:left w:type="dxa" w:w="80"/>
              <w:bottom w:type="dxa" w:w="80"/>
              <w:right w:type="dxa" w:w="80"/>
            </w:tcMar>
            <w:vAlign w:val="top"/>
          </w:tcPr>
          <w:p>
            <w:pPr>
              <w:pStyle w:val="Compact"/>
              <w:spacing w:after="40" w:line="240" w:lineRule="auto"/>
            </w:pPr>
            <w:r>
              <w:rPr>
                <w:rFonts w:ascii="Times New Roman" w:hAnsi="Times New Roman"/>
                <w:sz w:val="18"/>
                <w:szCs w:val="18"/>
                <w:rtl w:val="0"/>
                <w:lang w:val="en-US"/>
              </w:rPr>
              <w:t>RP</w:t>
            </w:r>
          </w:p>
        </w:tc>
        <w:tc>
          <w:tcPr>
            <w:tcW w:type="dxa" w:w="1980"/>
            <w:tcBorders>
              <w:top w:val="nil"/>
              <w:left w:val="nil"/>
              <w:bottom w:val="nil"/>
              <w:right w:val="nil"/>
            </w:tcBorders>
            <w:shd w:val="clear" w:color="auto" w:fill="auto"/>
            <w:tcMar>
              <w:top w:type="dxa" w:w="80"/>
              <w:left w:type="dxa" w:w="80"/>
              <w:bottom w:type="dxa" w:w="80"/>
              <w:right w:type="dxa" w:w="80"/>
            </w:tcMar>
            <w:vAlign w:val="top"/>
          </w:tcPr>
          <w:p>
            <w:pPr>
              <w:pStyle w:val="Compact"/>
              <w:spacing w:after="40" w:line="240" w:lineRule="auto"/>
            </w:pPr>
            <w:r>
              <w:rPr>
                <w:rFonts w:ascii="Times New Roman" w:hAnsi="Times New Roman"/>
                <w:sz w:val="18"/>
                <w:szCs w:val="18"/>
                <w:rtl w:val="0"/>
                <w:lang w:val="en-US"/>
              </w:rPr>
              <w:t>Maxwell action plus the interaction/boundary model.</w:t>
            </w:r>
          </w:p>
        </w:tc>
        <w:tc>
          <w:tcPr>
            <w:tcW w:type="dxa" w:w="1980"/>
            <w:tcBorders>
              <w:top w:val="nil"/>
              <w:left w:val="nil"/>
              <w:bottom w:val="nil"/>
              <w:right w:val="nil"/>
            </w:tcBorders>
            <w:shd w:val="clear" w:color="auto" w:fill="auto"/>
            <w:tcMar>
              <w:top w:type="dxa" w:w="80"/>
              <w:left w:type="dxa" w:w="80"/>
              <w:bottom w:type="dxa" w:w="80"/>
              <w:right w:type="dxa" w:w="80"/>
            </w:tcMar>
            <w:vAlign w:val="top"/>
          </w:tcPr>
          <w:p>
            <w:pPr>
              <w:pStyle w:val="Compact"/>
              <w:spacing w:after="40" w:line="240" w:lineRule="auto"/>
            </w:pPr>
            <m:oMath>
              <m:sSub>
                <m:e>
                  <m:r>
                    <m:t>R</m:t>
                  </m:r>
                </m:e>
                <m:sub>
                  <m:r>
                    <m:t>4</m:t>
                  </m:r>
                </m:sub>
              </m:sSub>
            </m:oMath>
            <w:r>
              <w:rPr>
                <w:rFonts w:ascii="Times New Roman" w:hAnsi="Times New Roman"/>
                <w:sz w:val="18"/>
                <w:szCs w:val="18"/>
                <w:rtl w:val="0"/>
                <w:lang w:val="en-US"/>
              </w:rPr>
              <w:t xml:space="preserve">; </w:t>
            </w:r>
            <m:oMath>
              <m:sSub>
                <m:e>
                  <m:r>
                    <m:t>R</m:t>
                  </m:r>
                </m:e>
                <m:sub>
                  <m:r>
                    <m:t>1</m:t>
                  </m:r>
                </m:sub>
              </m:sSub>
            </m:oMath>
            <w:r>
              <w:rPr>
                <w:rFonts w:ascii="Times New Roman" w:hAnsi="Times New Roman"/>
                <w:sz w:val="18"/>
                <w:szCs w:val="18"/>
                <w:rtl w:val="0"/>
                <w:lang w:val="en-US"/>
              </w:rPr>
              <w:t xml:space="preserve"> alone does not identify force or absorption.</w:t>
            </w:r>
          </w:p>
        </w:tc>
        <w:tc>
          <w:tcPr>
            <w:tcW w:type="dxa" w:w="1980"/>
            <w:tcBorders>
              <w:top w:val="nil"/>
              <w:left w:val="nil"/>
              <w:bottom w:val="nil"/>
              <w:right w:val="nil"/>
            </w:tcBorders>
            <w:shd w:val="clear" w:color="auto" w:fill="auto"/>
            <w:tcMar>
              <w:top w:type="dxa" w:w="80"/>
              <w:left w:type="dxa" w:w="80"/>
              <w:bottom w:type="dxa" w:w="80"/>
              <w:right w:type="dxa" w:w="80"/>
            </w:tcMar>
            <w:vAlign w:val="top"/>
          </w:tcPr>
          <w:p>
            <w:pPr>
              <w:pStyle w:val="Compact"/>
              <w:spacing w:after="40" w:line="240" w:lineRule="auto"/>
            </w:pPr>
            <w:r>
              <w:rPr>
                <w:rFonts w:ascii="Times New Roman" w:hAnsi="Times New Roman"/>
                <w:sz w:val="18"/>
                <w:szCs w:val="18"/>
                <w:rtl w:val="0"/>
                <w:lang w:val="en-US"/>
              </w:rPr>
              <w:t>Mechanical force versus independently measured power; same beam gives factors 0, 1 or 2 at different boundaries.</w:t>
            </w:r>
          </w:p>
        </w:tc>
      </w:tr>
      <w:tr>
        <w:tblPrEx>
          <w:shd w:val="clear" w:color="auto" w:fill="ced7e7"/>
        </w:tblPrEx>
        <w:trPr>
          <w:trHeight w:val="1063" w:hRule="atLeast"/>
        </w:trPr>
        <w:tc>
          <w:tcPr>
            <w:tcW w:type="dxa" w:w="1980"/>
            <w:tcBorders>
              <w:top w:val="nil"/>
              <w:left w:val="nil"/>
              <w:bottom w:val="nil"/>
              <w:right w:val="nil"/>
            </w:tcBorders>
            <w:shd w:val="clear" w:color="auto" w:fill="auto"/>
            <w:tcMar>
              <w:top w:type="dxa" w:w="80"/>
              <w:left w:type="dxa" w:w="80"/>
              <w:bottom w:type="dxa" w:w="80"/>
              <w:right w:type="dxa" w:w="80"/>
            </w:tcMar>
            <w:vAlign w:val="top"/>
          </w:tcPr>
          <w:p>
            <w:pPr>
              <w:pStyle w:val="Compact"/>
              <w:spacing w:after="40" w:line="240" w:lineRule="auto"/>
            </w:pPr>
            <w:r>
              <w:rPr>
                <w:rFonts w:ascii="Times New Roman" w:hAnsi="Times New Roman"/>
                <w:sz w:val="18"/>
                <w:szCs w:val="18"/>
                <w:rtl w:val="0"/>
                <w:lang w:val="en-US"/>
              </w:rPr>
              <w:t>GP</w:t>
            </w:r>
          </w:p>
        </w:tc>
        <w:tc>
          <w:tcPr>
            <w:tcW w:type="dxa" w:w="1980"/>
            <w:tcBorders>
              <w:top w:val="nil"/>
              <w:left w:val="nil"/>
              <w:bottom w:val="nil"/>
              <w:right w:val="nil"/>
            </w:tcBorders>
            <w:shd w:val="clear" w:color="auto" w:fill="auto"/>
            <w:tcMar>
              <w:top w:type="dxa" w:w="80"/>
              <w:left w:type="dxa" w:w="80"/>
              <w:bottom w:type="dxa" w:w="80"/>
              <w:right w:type="dxa" w:w="80"/>
            </w:tcMar>
            <w:vAlign w:val="top"/>
          </w:tcPr>
          <w:p>
            <w:pPr>
              <w:pStyle w:val="Compact"/>
              <w:spacing w:after="40" w:line="240" w:lineRule="auto"/>
            </w:pPr>
            <w:r>
              <w:rPr>
                <w:rFonts w:ascii="Times New Roman" w:hAnsi="Times New Roman"/>
                <w:sz w:val="18"/>
                <w:szCs w:val="18"/>
                <w:rtl w:val="0"/>
                <w:lang w:val="en-US"/>
              </w:rPr>
              <w:t>Radiation dynamics plus the distribution, and thermodynamic structure if used.</w:t>
            </w:r>
          </w:p>
        </w:tc>
        <w:tc>
          <w:tcPr>
            <w:tcW w:type="dxa" w:w="1980"/>
            <w:tcBorders>
              <w:top w:val="nil"/>
              <w:left w:val="nil"/>
              <w:bottom w:val="nil"/>
              <w:right w:val="nil"/>
            </w:tcBorders>
            <w:shd w:val="clear" w:color="auto" w:fill="auto"/>
            <w:tcMar>
              <w:top w:type="dxa" w:w="80"/>
              <w:left w:type="dxa" w:w="80"/>
              <w:bottom w:type="dxa" w:w="80"/>
              <w:right w:type="dxa" w:w="80"/>
            </w:tcMar>
            <w:vAlign w:val="top"/>
          </w:tcPr>
          <w:p>
            <w:pPr>
              <w:pStyle w:val="Compact"/>
              <w:spacing w:after="40" w:line="240" w:lineRule="auto"/>
            </w:pPr>
            <m:oMath>
              <m:sSub>
                <m:e>
                  <m:r>
                    <m:t>R</m:t>
                  </m:r>
                </m:e>
                <m:sub>
                  <m:r>
                    <m:t>3</m:t>
                  </m:r>
                </m:sub>
              </m:sSub>
            </m:oMath>
            <w:r>
              <w:rPr>
                <w:rFonts w:ascii="Times New Roman" w:hAnsi="Times New Roman"/>
                <w:sz w:val="18"/>
                <w:szCs w:val="18"/>
                <w:rtl w:val="0"/>
                <w:lang w:val="en-US"/>
              </w:rPr>
              <w:t xml:space="preserve"> with angular measure and state; extra equilibrium calibration for temperature.</w:t>
            </w:r>
          </w:p>
        </w:tc>
        <w:tc>
          <w:tcPr>
            <w:tcW w:type="dxa" w:w="1980"/>
            <w:tcBorders>
              <w:top w:val="nil"/>
              <w:left w:val="nil"/>
              <w:bottom w:val="nil"/>
              <w:right w:val="nil"/>
            </w:tcBorders>
            <w:shd w:val="clear" w:color="auto" w:fill="auto"/>
            <w:tcMar>
              <w:top w:type="dxa" w:w="80"/>
              <w:left w:type="dxa" w:w="80"/>
              <w:bottom w:type="dxa" w:w="80"/>
              <w:right w:type="dxa" w:w="80"/>
            </w:tcMar>
            <w:vAlign w:val="top"/>
          </w:tcPr>
          <w:p>
            <w:pPr>
              <w:pStyle w:val="Compact"/>
              <w:spacing w:after="40" w:line="240" w:lineRule="auto"/>
            </w:pPr>
            <w:r>
              <w:rPr>
                <w:rFonts w:ascii="Times New Roman" w:hAnsi="Times New Roman"/>
                <w:sz w:val="18"/>
                <w:szCs w:val="18"/>
                <w:rtl w:val="0"/>
                <w:lang w:val="en-US"/>
              </w:rPr>
              <w:t xml:space="preserve">Equation-of-state comparison; anisotropic stress or a massive component invalidates inference of </w:t>
            </w:r>
            <m:oMath>
              <m:r>
                <m:t>d</m:t>
              </m:r>
            </m:oMath>
            <w:r>
              <w:rPr>
                <w:rFonts w:ascii="Times New Roman" w:hAnsi="Times New Roman"/>
                <w:sz w:val="18"/>
                <w:szCs w:val="18"/>
                <w:rtl w:val="0"/>
                <w:lang w:val="en-US"/>
              </w:rPr>
              <w:t>.</w:t>
            </w:r>
          </w:p>
        </w:tc>
      </w:tr>
      <w:tr>
        <w:tblPrEx>
          <w:shd w:val="clear" w:color="auto" w:fill="ced7e7"/>
        </w:tblPrEx>
        <w:trPr>
          <w:trHeight w:val="1212" w:hRule="atLeast"/>
        </w:trPr>
        <w:tc>
          <w:tcPr>
            <w:tcW w:type="dxa" w:w="1980"/>
            <w:tcBorders>
              <w:top w:val="nil"/>
              <w:left w:val="nil"/>
              <w:bottom w:val="nil"/>
              <w:right w:val="nil"/>
            </w:tcBorders>
            <w:shd w:val="clear" w:color="auto" w:fill="auto"/>
            <w:tcMar>
              <w:top w:type="dxa" w:w="80"/>
              <w:left w:type="dxa" w:w="80"/>
              <w:bottom w:type="dxa" w:w="80"/>
              <w:right w:type="dxa" w:w="80"/>
            </w:tcMar>
            <w:vAlign w:val="top"/>
          </w:tcPr>
          <w:p>
            <w:pPr>
              <w:pStyle w:val="Compact"/>
              <w:spacing w:after="40" w:line="240" w:lineRule="auto"/>
            </w:pPr>
            <w:r>
              <w:rPr>
                <w:rFonts w:ascii="Times New Roman" w:hAnsi="Times New Roman"/>
                <w:sz w:val="18"/>
                <w:szCs w:val="18"/>
                <w:rtl w:val="0"/>
                <w:lang w:val="en-US"/>
              </w:rPr>
              <w:t>T</w:t>
            </w:r>
          </w:p>
        </w:tc>
        <w:tc>
          <w:tcPr>
            <w:tcW w:type="dxa" w:w="1980"/>
            <w:tcBorders>
              <w:top w:val="nil"/>
              <w:left w:val="nil"/>
              <w:bottom w:val="nil"/>
              <w:right w:val="nil"/>
            </w:tcBorders>
            <w:shd w:val="clear" w:color="auto" w:fill="auto"/>
            <w:tcMar>
              <w:top w:type="dxa" w:w="80"/>
              <w:left w:type="dxa" w:w="80"/>
              <w:bottom w:type="dxa" w:w="80"/>
              <w:right w:type="dxa" w:w="80"/>
            </w:tcMar>
            <w:vAlign w:val="top"/>
          </w:tcPr>
          <w:p>
            <w:pPr>
              <w:pStyle w:val="Compact"/>
              <w:spacing w:after="40" w:line="240" w:lineRule="auto"/>
            </w:pPr>
            <w:r>
              <w:rPr>
                <w:rFonts w:ascii="Times New Roman" w:hAnsi="Times New Roman"/>
                <w:sz w:val="18"/>
                <w:szCs w:val="18"/>
                <w:rtl w:val="0"/>
                <w:lang w:val="en-US"/>
              </w:rPr>
              <w:t>Yes, once the metric dependence of the action is fixed.</w:t>
            </w:r>
          </w:p>
        </w:tc>
        <w:tc>
          <w:tcPr>
            <w:tcW w:type="dxa" w:w="1980"/>
            <w:tcBorders>
              <w:top w:val="nil"/>
              <w:left w:val="nil"/>
              <w:bottom w:val="nil"/>
              <w:right w:val="nil"/>
            </w:tcBorders>
            <w:shd w:val="clear" w:color="auto" w:fill="auto"/>
            <w:tcMar>
              <w:top w:type="dxa" w:w="80"/>
              <w:left w:type="dxa" w:w="80"/>
              <w:bottom w:type="dxa" w:w="80"/>
              <w:right w:type="dxa" w:w="80"/>
            </w:tcMar>
            <w:vAlign w:val="top"/>
          </w:tcPr>
          <w:p>
            <w:pPr>
              <w:pStyle w:val="Compact"/>
              <w:spacing w:after="40" w:line="240" w:lineRule="auto"/>
            </w:pPr>
            <w:r>
              <w:rPr>
                <w:rFonts w:ascii="Times New Roman" w:hAnsi="Times New Roman"/>
                <w:sz w:val="18"/>
                <w:szCs w:val="18"/>
                <w:rtl w:val="0"/>
                <w:lang w:val="en-US"/>
              </w:rPr>
              <w:t>Proposition</w:t>
            </w:r>
            <w:r>
              <w:rPr>
                <w:rFonts w:ascii="Times New Roman" w:hAnsi="Times New Roman" w:hint="default"/>
                <w:sz w:val="18"/>
                <w:szCs w:val="18"/>
                <w:rtl w:val="0"/>
                <w:lang w:val="en-US"/>
              </w:rPr>
              <w:t> </w:t>
            </w:r>
            <w:r>
              <w:rPr>
                <w:rFonts w:ascii="Times New Roman" w:hAnsi="Times New Roman"/>
                <w:sz w:val="18"/>
                <w:szCs w:val="18"/>
                <w:rtl w:val="0"/>
                <w:lang w:val="en-US"/>
              </w:rPr>
              <w:t xml:space="preserve">18.1; </w:t>
            </w:r>
            <m:oMath>
              <m:sSub>
                <m:e>
                  <m:r>
                    <m:t>R</m:t>
                  </m:r>
                </m:e>
                <m:sub>
                  <m:r>
                    <m:t>6</m:t>
                  </m:r>
                </m:sub>
              </m:sSub>
            </m:oMath>
            <w:r>
              <w:rPr>
                <w:rFonts w:ascii="Times New Roman" w:hAnsi="Times New Roman"/>
                <w:sz w:val="18"/>
                <w:szCs w:val="18"/>
                <w:rtl w:val="0"/>
                <w:lang w:val="en-US"/>
              </w:rPr>
              <w:t xml:space="preserve"> for renormalised quantum expectations.</w:t>
            </w:r>
          </w:p>
        </w:tc>
        <w:tc>
          <w:tcPr>
            <w:tcW w:type="dxa" w:w="1980"/>
            <w:tcBorders>
              <w:top w:val="nil"/>
              <w:left w:val="nil"/>
              <w:bottom w:val="nil"/>
              <w:right w:val="nil"/>
            </w:tcBorders>
            <w:shd w:val="clear" w:color="auto" w:fill="auto"/>
            <w:tcMar>
              <w:top w:type="dxa" w:w="80"/>
              <w:left w:type="dxa" w:w="80"/>
              <w:bottom w:type="dxa" w:w="80"/>
              <w:right w:type="dxa" w:w="80"/>
            </w:tcMar>
            <w:vAlign w:val="top"/>
          </w:tcPr>
          <w:p>
            <w:pPr>
              <w:pStyle w:val="Compact"/>
              <w:spacing w:after="40" w:line="240" w:lineRule="auto"/>
            </w:pPr>
            <w:r>
              <w:rPr>
                <w:rFonts w:ascii="Times New Roman" w:hAnsi="Times New Roman"/>
                <w:sz w:val="18"/>
                <w:szCs w:val="18"/>
                <w:rtl w:val="0"/>
                <w:lang w:val="en-US"/>
              </w:rPr>
              <w:t>Full stress projections; conformal rescaling or a quadratic high-frequency defect changes stress without changing the cone.</w:t>
            </w:r>
          </w:p>
        </w:tc>
      </w:tr>
      <w:tr>
        <w:tblPrEx>
          <w:shd w:val="clear" w:color="auto" w:fill="ced7e7"/>
        </w:tblPrEx>
        <w:trPr>
          <w:trHeight w:val="1012" w:hRule="atLeast"/>
        </w:trPr>
        <w:tc>
          <w:tcPr>
            <w:tcW w:type="dxa" w:w="1980"/>
            <w:tcBorders>
              <w:top w:val="nil"/>
              <w:left w:val="nil"/>
              <w:bottom w:val="nil"/>
              <w:right w:val="nil"/>
            </w:tcBorders>
            <w:shd w:val="clear" w:color="auto" w:fill="auto"/>
            <w:tcMar>
              <w:top w:type="dxa" w:w="80"/>
              <w:left w:type="dxa" w:w="80"/>
              <w:bottom w:type="dxa" w:w="80"/>
              <w:right w:type="dxa" w:w="80"/>
            </w:tcMar>
            <w:vAlign w:val="top"/>
          </w:tcPr>
          <w:p>
            <w:pPr>
              <w:pStyle w:val="Compact"/>
              <w:spacing w:after="40" w:line="240" w:lineRule="auto"/>
            </w:pPr>
            <w:r>
              <w:rPr>
                <w:rFonts w:ascii="Times New Roman" w:hAnsi="Times New Roman"/>
                <w:sz w:val="18"/>
                <w:szCs w:val="18"/>
                <w:rtl w:val="0"/>
                <w:lang w:val="en-US"/>
              </w:rPr>
              <w:t>H</w:t>
            </w:r>
          </w:p>
        </w:tc>
        <w:tc>
          <w:tcPr>
            <w:tcW w:type="dxa" w:w="1980"/>
            <w:tcBorders>
              <w:top w:val="nil"/>
              <w:left w:val="nil"/>
              <w:bottom w:val="nil"/>
              <w:right w:val="nil"/>
            </w:tcBorders>
            <w:shd w:val="clear" w:color="auto" w:fill="auto"/>
            <w:tcMar>
              <w:top w:type="dxa" w:w="80"/>
              <w:left w:type="dxa" w:w="80"/>
              <w:bottom w:type="dxa" w:w="80"/>
              <w:right w:type="dxa" w:w="80"/>
            </w:tcMar>
            <w:vAlign w:val="top"/>
          </w:tcPr>
          <w:p>
            <w:pPr>
              <w:pStyle w:val="Compact"/>
              <w:spacing w:after="40" w:line="240" w:lineRule="auto"/>
            </w:pPr>
            <w:r>
              <w:rPr>
                <w:rFonts w:ascii="Times New Roman" w:hAnsi="Times New Roman"/>
                <w:sz w:val="18"/>
                <w:szCs w:val="18"/>
                <w:rtl w:val="0"/>
                <w:lang w:val="en-US"/>
              </w:rPr>
              <w:t>Gauge action fixes physical modes; representation and state fix further content.</w:t>
            </w:r>
          </w:p>
        </w:tc>
        <w:tc>
          <w:tcPr>
            <w:tcW w:type="dxa" w:w="1980"/>
            <w:tcBorders>
              <w:top w:val="nil"/>
              <w:left w:val="nil"/>
              <w:bottom w:val="nil"/>
              <w:right w:val="nil"/>
            </w:tcBorders>
            <w:shd w:val="clear" w:color="auto" w:fill="auto"/>
            <w:tcMar>
              <w:top w:type="dxa" w:w="80"/>
              <w:left w:type="dxa" w:w="80"/>
              <w:bottom w:type="dxa" w:w="80"/>
              <w:right w:type="dxa" w:w="80"/>
            </w:tcMar>
            <w:vAlign w:val="top"/>
          </w:tcPr>
          <w:p>
            <w:pPr>
              <w:pStyle w:val="Compact"/>
              <w:spacing w:after="40" w:line="240" w:lineRule="auto"/>
            </w:pPr>
            <w:r>
              <w:rPr>
                <w:rFonts w:ascii="Times New Roman" w:hAnsi="Times New Roman"/>
                <w:sz w:val="18"/>
                <w:szCs w:val="18"/>
                <w:rtl w:val="0"/>
                <w:lang w:val="en-US"/>
              </w:rPr>
              <w:t xml:space="preserve">Physical bundle/gauge map and </w:t>
            </w:r>
            <m:oMath>
              <m:sSub>
                <m:e>
                  <m:r>
                    <m:t>R</m:t>
                  </m:r>
                </m:e>
                <m:sub>
                  <m:r>
                    <m:t>5</m:t>
                  </m:r>
                </m:sub>
              </m:sSub>
            </m:oMath>
            <w:r>
              <w:rPr>
                <w:rFonts w:ascii="Times New Roman" w:hAnsi="Times New Roman"/>
                <w:sz w:val="18"/>
                <w:szCs w:val="18"/>
                <w:rtl w:val="0"/>
                <w:lang w:val="en-US"/>
              </w:rPr>
              <w:t xml:space="preserve"> for the prepared quantum state.</w:t>
            </w:r>
          </w:p>
        </w:tc>
        <w:tc>
          <w:tcPr>
            <w:tcW w:type="dxa" w:w="1980"/>
            <w:tcBorders>
              <w:top w:val="nil"/>
              <w:left w:val="nil"/>
              <w:bottom w:val="nil"/>
              <w:right w:val="nil"/>
            </w:tcBorders>
            <w:shd w:val="clear" w:color="auto" w:fill="auto"/>
            <w:tcMar>
              <w:top w:type="dxa" w:w="80"/>
              <w:left w:type="dxa" w:w="80"/>
              <w:bottom w:type="dxa" w:w="80"/>
              <w:right w:type="dxa" w:w="80"/>
            </w:tcMar>
            <w:vAlign w:val="top"/>
          </w:tcPr>
          <w:p>
            <w:pPr>
              <w:pStyle w:val="Compact"/>
              <w:spacing w:after="40" w:line="240" w:lineRule="auto"/>
            </w:pPr>
            <w:r>
              <w:rPr>
                <w:rFonts w:ascii="Times New Roman" w:hAnsi="Times New Roman"/>
                <w:sz w:val="18"/>
                <w:szCs w:val="18"/>
                <w:rtl w:val="0"/>
                <w:lang w:val="en-US"/>
              </w:rPr>
              <w:t>Polarimetry and helicity-sensitive transfer; scalar and photon fields share a cone but differ in helicity.</w:t>
            </w:r>
          </w:p>
        </w:tc>
      </w:tr>
      <w:tr>
        <w:tblPrEx>
          <w:shd w:val="clear" w:color="auto" w:fill="ced7e7"/>
        </w:tblPrEx>
        <w:trPr>
          <w:trHeight w:val="1479" w:hRule="atLeast"/>
        </w:trPr>
        <w:tc>
          <w:tcPr>
            <w:tcW w:type="dxa" w:w="1980"/>
            <w:tcBorders>
              <w:top w:val="nil"/>
              <w:left w:val="nil"/>
              <w:bottom w:val="nil"/>
              <w:right w:val="nil"/>
            </w:tcBorders>
            <w:shd w:val="clear" w:color="auto" w:fill="auto"/>
            <w:tcMar>
              <w:top w:type="dxa" w:w="80"/>
              <w:left w:type="dxa" w:w="80"/>
              <w:bottom w:type="dxa" w:w="80"/>
              <w:right w:type="dxa" w:w="80"/>
            </w:tcMar>
            <w:vAlign w:val="top"/>
          </w:tcPr>
          <w:p>
            <w:pPr>
              <w:pStyle w:val="Compact"/>
              <w:spacing w:after="40" w:line="240" w:lineRule="auto"/>
            </w:pPr>
            <w:r>
              <w:rPr>
                <w:rFonts w:ascii="Times New Roman" w:hAnsi="Times New Roman"/>
                <w:sz w:val="18"/>
                <w:szCs w:val="18"/>
                <w:rtl w:val="0"/>
                <w:lang w:val="en-US"/>
              </w:rPr>
              <w:t>V</w:t>
            </w:r>
          </w:p>
        </w:tc>
        <w:tc>
          <w:tcPr>
            <w:tcW w:type="dxa" w:w="1980"/>
            <w:tcBorders>
              <w:top w:val="nil"/>
              <w:left w:val="nil"/>
              <w:bottom w:val="nil"/>
              <w:right w:val="nil"/>
            </w:tcBorders>
            <w:shd w:val="clear" w:color="auto" w:fill="auto"/>
            <w:tcMar>
              <w:top w:type="dxa" w:w="80"/>
              <w:left w:type="dxa" w:w="80"/>
              <w:bottom w:type="dxa" w:w="80"/>
              <w:right w:type="dxa" w:w="80"/>
            </w:tcMar>
            <w:vAlign w:val="top"/>
          </w:tcPr>
          <w:p>
            <w:pPr>
              <w:pStyle w:val="Compact"/>
              <w:spacing w:after="40" w:line="240" w:lineRule="auto"/>
            </w:pPr>
            <w:r>
              <w:rPr>
                <w:rFonts w:ascii="Times New Roman" w:hAnsi="Times New Roman"/>
                <w:sz w:val="18"/>
                <w:szCs w:val="18"/>
                <w:rtl w:val="0"/>
                <w:lang w:val="en-US"/>
              </w:rPr>
              <w:t>Quadratic action constrains bisolutions; it does not select their symmetric state part.</w:t>
            </w:r>
          </w:p>
        </w:tc>
        <w:tc>
          <w:tcPr>
            <w:tcW w:type="dxa" w:w="1980"/>
            <w:tcBorders>
              <w:top w:val="nil"/>
              <w:left w:val="nil"/>
              <w:bottom w:val="nil"/>
              <w:right w:val="nil"/>
            </w:tcBorders>
            <w:shd w:val="clear" w:color="auto" w:fill="auto"/>
            <w:tcMar>
              <w:top w:type="dxa" w:w="80"/>
              <w:left w:type="dxa" w:w="80"/>
              <w:bottom w:type="dxa" w:w="80"/>
              <w:right w:type="dxa" w:w="80"/>
            </w:tcMar>
            <w:vAlign w:val="top"/>
          </w:tcPr>
          <w:p>
            <w:pPr>
              <w:pStyle w:val="Compact"/>
              <w:spacing w:after="40" w:line="240" w:lineRule="auto"/>
            </w:pPr>
            <m:oMath>
              <m:sSub>
                <m:e>
                  <m:r>
                    <m:t>R</m:t>
                  </m:r>
                </m:e>
                <m:sub>
                  <m:r>
                    <m:t>5</m:t>
                  </m:r>
                </m:sub>
              </m:sSub>
            </m:oMath>
            <w:r>
              <w:rPr>
                <w:rFonts w:ascii="Times New Roman" w:hAnsi="Times New Roman"/>
                <w:sz w:val="18"/>
                <w:szCs w:val="18"/>
                <w:rtl w:val="0"/>
                <w:lang w:val="en-US"/>
              </w:rPr>
              <w:t xml:space="preserve"> with state identification; wavefront-set preservation needs stronger control than distributional convergence alone.</w:t>
            </w:r>
          </w:p>
        </w:tc>
        <w:tc>
          <w:tcPr>
            <w:tcW w:type="dxa" w:w="1980"/>
            <w:tcBorders>
              <w:top w:val="nil"/>
              <w:left w:val="nil"/>
              <w:bottom w:val="nil"/>
              <w:right w:val="nil"/>
            </w:tcBorders>
            <w:shd w:val="clear" w:color="auto" w:fill="auto"/>
            <w:tcMar>
              <w:top w:type="dxa" w:w="80"/>
              <w:left w:type="dxa" w:w="80"/>
              <w:bottom w:type="dxa" w:w="80"/>
              <w:right w:type="dxa" w:w="80"/>
            </w:tcMar>
            <w:vAlign w:val="top"/>
          </w:tcPr>
          <w:p>
            <w:pPr>
              <w:pStyle w:val="Compact"/>
              <w:spacing w:after="40" w:line="240" w:lineRule="auto"/>
            </w:pPr>
            <w:r>
              <w:rPr>
                <w:rFonts w:ascii="Times New Roman" w:hAnsi="Times New Roman"/>
                <w:sz w:val="18"/>
                <w:szCs w:val="18"/>
                <w:rtl w:val="0"/>
                <w:lang w:val="en-US"/>
              </w:rPr>
              <w:t>Correlation measurements; different Hadamard states share singular directions but have different smooth correlations.</w:t>
            </w:r>
          </w:p>
        </w:tc>
      </w:tr>
      <w:tr>
        <w:tblPrEx>
          <w:shd w:val="clear" w:color="auto" w:fill="ced7e7"/>
        </w:tblPrEx>
        <w:trPr>
          <w:trHeight w:val="1012" w:hRule="atLeast"/>
        </w:trPr>
        <w:tc>
          <w:tcPr>
            <w:tcW w:type="dxa" w:w="1980"/>
            <w:tcBorders>
              <w:top w:val="nil"/>
              <w:left w:val="nil"/>
              <w:bottom w:val="nil"/>
              <w:right w:val="nil"/>
            </w:tcBorders>
            <w:shd w:val="clear" w:color="auto" w:fill="auto"/>
            <w:tcMar>
              <w:top w:type="dxa" w:w="80"/>
              <w:left w:type="dxa" w:w="80"/>
              <w:bottom w:type="dxa" w:w="80"/>
              <w:right w:type="dxa" w:w="80"/>
            </w:tcMar>
            <w:vAlign w:val="top"/>
          </w:tcPr>
          <w:p>
            <w:pPr>
              <w:pStyle w:val="Compact"/>
              <w:spacing w:after="40" w:line="240" w:lineRule="auto"/>
            </w:pPr>
            <w:r>
              <w:rPr>
                <w:rFonts w:ascii="Times New Roman" w:hAnsi="Times New Roman"/>
                <w:sz w:val="18"/>
                <w:szCs w:val="18"/>
                <w:rtl w:val="0"/>
                <w:lang w:val="en-US"/>
              </w:rPr>
              <w:t>C</w:t>
            </w:r>
          </w:p>
        </w:tc>
        <w:tc>
          <w:tcPr>
            <w:tcW w:type="dxa" w:w="1980"/>
            <w:tcBorders>
              <w:top w:val="nil"/>
              <w:left w:val="nil"/>
              <w:bottom w:val="nil"/>
              <w:right w:val="nil"/>
            </w:tcBorders>
            <w:shd w:val="clear" w:color="auto" w:fill="auto"/>
            <w:tcMar>
              <w:top w:type="dxa" w:w="80"/>
              <w:left w:type="dxa" w:w="80"/>
              <w:bottom w:type="dxa" w:w="80"/>
              <w:right w:type="dxa" w:w="80"/>
            </w:tcMar>
            <w:vAlign w:val="top"/>
          </w:tcPr>
          <w:p>
            <w:pPr>
              <w:pStyle w:val="Compact"/>
              <w:spacing w:after="40" w:line="240" w:lineRule="auto"/>
            </w:pPr>
            <w:r>
              <w:rPr>
                <w:rFonts w:ascii="Times New Roman" w:hAnsi="Times New Roman"/>
                <w:sz w:val="18"/>
                <w:szCs w:val="18"/>
                <w:rtl w:val="0"/>
                <w:lang w:val="en-US"/>
              </w:rPr>
              <w:t>Yes after canonical/Peierls quantisation; retarded convention is extra.</w:t>
            </w:r>
          </w:p>
        </w:tc>
        <w:tc>
          <w:tcPr>
            <w:tcW w:type="dxa" w:w="1980"/>
            <w:tcBorders>
              <w:top w:val="nil"/>
              <w:left w:val="nil"/>
              <w:bottom w:val="nil"/>
              <w:right w:val="nil"/>
            </w:tcBorders>
            <w:shd w:val="clear" w:color="auto" w:fill="auto"/>
            <w:tcMar>
              <w:top w:type="dxa" w:w="80"/>
              <w:left w:type="dxa" w:w="80"/>
              <w:bottom w:type="dxa" w:w="80"/>
              <w:right w:type="dxa" w:w="80"/>
            </w:tcMar>
            <w:vAlign w:val="top"/>
          </w:tcPr>
          <w:p>
            <w:pPr>
              <w:pStyle w:val="Compact"/>
              <w:spacing w:after="40" w:line="240" w:lineRule="auto"/>
            </w:pPr>
            <m:oMath>
              <m:sSub>
                <m:e>
                  <m:r>
                    <m:t>R</m:t>
                  </m:r>
                </m:e>
                <m:sub>
                  <m:r>
                    <m:t>1</m:t>
                  </m:r>
                </m:sub>
              </m:sSub>
            </m:oMath>
            <w:r>
              <w:rPr>
                <w:rFonts w:ascii="Times New Roman" w:hAnsi="Times New Roman"/>
                <w:sz w:val="18"/>
                <w:szCs w:val="18"/>
                <w:rtl w:val="0"/>
                <w:lang w:val="en-US"/>
              </w:rPr>
              <w:t xml:space="preserve"> plus local symplectic identification at the same </w:t>
            </w:r>
            <m:oMath>
              <m:r>
                <m:rPr>
                  <m:sty m:val="p"/>
                </m:rPr>
                <m:t>ℏ</m:t>
              </m:r>
            </m:oMath>
            <w:r>
              <w:rPr>
                <w:rFonts w:ascii="Times New Roman" w:hAnsi="Times New Roman"/>
                <w:sz w:val="18"/>
                <w:szCs w:val="18"/>
                <w:rtl w:val="0"/>
                <w:lang w:val="en-US"/>
              </w:rPr>
              <w:t>.</w:t>
            </w:r>
          </w:p>
        </w:tc>
        <w:tc>
          <w:tcPr>
            <w:tcW w:type="dxa" w:w="1980"/>
            <w:tcBorders>
              <w:top w:val="nil"/>
              <w:left w:val="nil"/>
              <w:bottom w:val="nil"/>
              <w:right w:val="nil"/>
            </w:tcBorders>
            <w:shd w:val="clear" w:color="auto" w:fill="auto"/>
            <w:tcMar>
              <w:top w:type="dxa" w:w="80"/>
              <w:left w:type="dxa" w:w="80"/>
              <w:bottom w:type="dxa" w:w="80"/>
              <w:right w:type="dxa" w:w="80"/>
            </w:tcMar>
            <w:vAlign w:val="top"/>
          </w:tcPr>
          <w:p>
            <w:pPr>
              <w:pStyle w:val="Compact"/>
              <w:spacing w:after="40" w:line="240" w:lineRule="auto"/>
            </w:pPr>
            <w:r>
              <w:rPr>
                <w:rFonts w:ascii="Times New Roman" w:hAnsi="Times New Roman"/>
                <w:sz w:val="18"/>
                <w:szCs w:val="18"/>
                <w:rtl w:val="0"/>
                <w:lang w:val="en-US"/>
              </w:rPr>
              <w:t>Controlled linear response; nonzero spacelike correlations coexist with zero signalling commutator.</w:t>
            </w:r>
          </w:p>
        </w:tc>
      </w:tr>
      <w:tr>
        <w:tblPrEx>
          <w:shd w:val="clear" w:color="auto" w:fill="ced7e7"/>
        </w:tblPrEx>
        <w:trPr>
          <w:trHeight w:val="1012" w:hRule="atLeast"/>
        </w:trPr>
        <w:tc>
          <w:tcPr>
            <w:tcW w:type="dxa" w:w="1980"/>
            <w:tcBorders>
              <w:top w:val="nil"/>
              <w:left w:val="nil"/>
              <w:bottom w:val="nil"/>
              <w:right w:val="nil"/>
            </w:tcBorders>
            <w:shd w:val="clear" w:color="auto" w:fill="auto"/>
            <w:tcMar>
              <w:top w:type="dxa" w:w="80"/>
              <w:left w:type="dxa" w:w="80"/>
              <w:bottom w:type="dxa" w:w="80"/>
              <w:right w:type="dxa" w:w="80"/>
            </w:tcMar>
            <w:vAlign w:val="top"/>
          </w:tcPr>
          <w:p>
            <w:pPr>
              <w:pStyle w:val="Compact"/>
              <w:spacing w:after="40" w:line="240" w:lineRule="auto"/>
            </w:pPr>
            <w:r>
              <w:rPr>
                <w:rFonts w:ascii="Times New Roman" w:hAnsi="Times New Roman"/>
                <w:sz w:val="18"/>
                <w:szCs w:val="18"/>
                <w:rtl w:val="0"/>
                <w:lang w:val="en-US"/>
              </w:rPr>
              <w:t>U</w:t>
            </w:r>
          </w:p>
        </w:tc>
        <w:tc>
          <w:tcPr>
            <w:tcW w:type="dxa" w:w="1980"/>
            <w:tcBorders>
              <w:top w:val="nil"/>
              <w:left w:val="nil"/>
              <w:bottom w:val="nil"/>
              <w:right w:val="nil"/>
            </w:tcBorders>
            <w:shd w:val="clear" w:color="auto" w:fill="auto"/>
            <w:tcMar>
              <w:top w:type="dxa" w:w="80"/>
              <w:left w:type="dxa" w:w="80"/>
              <w:bottom w:type="dxa" w:w="80"/>
              <w:right w:type="dxa" w:w="80"/>
            </w:tcMar>
            <w:vAlign w:val="top"/>
          </w:tcPr>
          <w:p>
            <w:pPr>
              <w:pStyle w:val="Compact"/>
              <w:spacing w:after="40" w:line="240" w:lineRule="auto"/>
            </w:pPr>
            <w:r>
              <w:rPr>
                <w:rFonts w:ascii="Times New Roman" w:hAnsi="Times New Roman"/>
                <w:sz w:val="18"/>
                <w:szCs w:val="18"/>
                <w:rtl w:val="0"/>
                <w:lang w:val="en-US"/>
              </w:rPr>
              <w:t>Hamiltonian follows from the action; self-adjointness and representation must be established.</w:t>
            </w:r>
          </w:p>
        </w:tc>
        <w:tc>
          <w:tcPr>
            <w:tcW w:type="dxa" w:w="1980"/>
            <w:tcBorders>
              <w:top w:val="nil"/>
              <w:left w:val="nil"/>
              <w:bottom w:val="nil"/>
              <w:right w:val="nil"/>
            </w:tcBorders>
            <w:shd w:val="clear" w:color="auto" w:fill="auto"/>
            <w:tcMar>
              <w:top w:type="dxa" w:w="80"/>
              <w:left w:type="dxa" w:w="80"/>
              <w:bottom w:type="dxa" w:w="80"/>
              <w:right w:type="dxa" w:w="80"/>
            </w:tcMar>
            <w:vAlign w:val="top"/>
          </w:tcPr>
          <w:p>
            <w:pPr>
              <w:pStyle w:val="Compact"/>
              <w:spacing w:after="40" w:line="240" w:lineRule="auto"/>
            </w:pPr>
            <w:r>
              <w:rPr>
                <w:rFonts w:ascii="Times New Roman" w:hAnsi="Times New Roman"/>
                <w:sz w:val="18"/>
                <w:szCs w:val="18"/>
                <w:rtl w:val="0"/>
                <w:lang w:val="en-US"/>
              </w:rPr>
              <w:t>Specified strong unitary limit as in [36], or a state-preserving dynamical algebra isomorphism.</w:t>
            </w:r>
          </w:p>
        </w:tc>
        <w:tc>
          <w:tcPr>
            <w:tcW w:type="dxa" w:w="1980"/>
            <w:tcBorders>
              <w:top w:val="nil"/>
              <w:left w:val="nil"/>
              <w:bottom w:val="nil"/>
              <w:right w:val="nil"/>
            </w:tcBorders>
            <w:shd w:val="clear" w:color="auto" w:fill="auto"/>
            <w:tcMar>
              <w:top w:type="dxa" w:w="80"/>
              <w:left w:type="dxa" w:w="80"/>
              <w:bottom w:type="dxa" w:w="80"/>
              <w:right w:type="dxa" w:w="80"/>
            </w:tcMar>
            <w:vAlign w:val="top"/>
          </w:tcPr>
          <w:p>
            <w:pPr>
              <w:pStyle w:val="Compact"/>
              <w:spacing w:after="40" w:line="240" w:lineRule="auto"/>
            </w:pPr>
            <w:r>
              <w:rPr>
                <w:rFonts w:ascii="Times New Roman" w:hAnsi="Times New Roman"/>
                <w:sz w:val="18"/>
                <w:szCs w:val="18"/>
                <w:rtl w:val="0"/>
                <w:lang w:val="en-US"/>
              </w:rPr>
              <w:t>Reversible quantum evolution; finite harmonic systems are unitary yet have analytic spatial tails.</w:t>
            </w:r>
          </w:p>
        </w:tc>
      </w:tr>
      <w:tr>
        <w:tblPrEx>
          <w:shd w:val="clear" w:color="auto" w:fill="ced7e7"/>
        </w:tblPrEx>
        <w:trPr>
          <w:trHeight w:val="1012" w:hRule="atLeast"/>
        </w:trPr>
        <w:tc>
          <w:tcPr>
            <w:tcW w:type="dxa" w:w="1980"/>
            <w:tcBorders>
              <w:top w:val="nil"/>
              <w:left w:val="nil"/>
              <w:bottom w:val="single" w:color="777777" w:sz="8" w:space="0" w:shadow="0" w:frame="0"/>
              <w:right w:val="nil"/>
            </w:tcBorders>
            <w:shd w:val="clear" w:color="auto" w:fill="auto"/>
            <w:tcMar>
              <w:top w:type="dxa" w:w="80"/>
              <w:left w:type="dxa" w:w="80"/>
              <w:bottom w:type="dxa" w:w="80"/>
              <w:right w:type="dxa" w:w="80"/>
            </w:tcMar>
            <w:vAlign w:val="top"/>
          </w:tcPr>
          <w:p>
            <w:pPr>
              <w:pStyle w:val="Compact"/>
              <w:spacing w:after="40" w:line="240" w:lineRule="auto"/>
            </w:pPr>
            <w:r>
              <w:rPr>
                <w:rFonts w:ascii="Times New Roman" w:hAnsi="Times New Roman"/>
                <w:sz w:val="18"/>
                <w:szCs w:val="18"/>
                <w:rtl w:val="0"/>
                <w:lang w:val="en-US"/>
              </w:rPr>
              <w:t>G</w:t>
            </w:r>
          </w:p>
        </w:tc>
        <w:tc>
          <w:tcPr>
            <w:tcW w:type="dxa" w:w="1980"/>
            <w:tcBorders>
              <w:top w:val="nil"/>
              <w:left w:val="nil"/>
              <w:bottom w:val="single" w:color="777777" w:sz="8" w:space="0" w:shadow="0" w:frame="0"/>
              <w:right w:val="nil"/>
            </w:tcBorders>
            <w:shd w:val="clear" w:color="auto" w:fill="auto"/>
            <w:tcMar>
              <w:top w:type="dxa" w:w="80"/>
              <w:left w:type="dxa" w:w="80"/>
              <w:bottom w:type="dxa" w:w="80"/>
              <w:right w:type="dxa" w:w="80"/>
            </w:tcMar>
            <w:vAlign w:val="top"/>
          </w:tcPr>
          <w:p>
            <w:pPr>
              <w:pStyle w:val="Compact"/>
              <w:spacing w:after="40" w:line="240" w:lineRule="auto"/>
            </w:pPr>
            <w:r>
              <w:rPr>
                <w:rFonts w:ascii="Times New Roman" w:hAnsi="Times New Roman"/>
                <w:sz w:val="18"/>
                <w:szCs w:val="18"/>
                <w:rtl w:val="0"/>
                <w:lang w:val="en-US"/>
              </w:rPr>
              <w:t>Requires an additional gravitational action, not Maxwell action alone.</w:t>
            </w:r>
          </w:p>
        </w:tc>
        <w:tc>
          <w:tcPr>
            <w:tcW w:type="dxa" w:w="1980"/>
            <w:tcBorders>
              <w:top w:val="nil"/>
              <w:left w:val="nil"/>
              <w:bottom w:val="single" w:color="777777" w:sz="8" w:space="0" w:shadow="0" w:frame="0"/>
              <w:right w:val="nil"/>
            </w:tcBorders>
            <w:shd w:val="clear" w:color="auto" w:fill="auto"/>
            <w:tcMar>
              <w:top w:type="dxa" w:w="80"/>
              <w:left w:type="dxa" w:w="80"/>
              <w:bottom w:type="dxa" w:w="80"/>
              <w:right w:type="dxa" w:w="80"/>
            </w:tcMar>
            <w:vAlign w:val="top"/>
          </w:tcPr>
          <w:p>
            <w:pPr>
              <w:pStyle w:val="Compact"/>
              <w:spacing w:after="40" w:line="240" w:lineRule="auto"/>
            </w:pPr>
            <w:r>
              <w:rPr>
                <w:rFonts w:ascii="Times New Roman" w:hAnsi="Times New Roman"/>
                <w:sz w:val="18"/>
                <w:szCs w:val="18"/>
                <w:rtl w:val="0"/>
                <w:lang w:val="en-US"/>
              </w:rPr>
              <w:t xml:space="preserve">Source transport needs </w:t>
            </w:r>
            <m:oMath>
              <m:sSub>
                <m:e>
                  <m:r>
                    <m:t>R</m:t>
                  </m:r>
                </m:e>
                <m:sub>
                  <m:r>
                    <m:t>3</m:t>
                  </m:r>
                </m:sub>
              </m:sSub>
            </m:oMath>
            <w:r>
              <w:rPr>
                <w:rFonts w:ascii="Times New Roman" w:hAnsi="Times New Roman"/>
                <w:sz w:val="18"/>
                <w:szCs w:val="18"/>
                <w:rtl w:val="0"/>
                <w:lang w:val="en-US"/>
              </w:rPr>
              <w:t xml:space="preserve"> or </w:t>
            </w:r>
            <m:oMath>
              <m:sSub>
                <m:e>
                  <m:r>
                    <m:t>R</m:t>
                  </m:r>
                </m:e>
                <m:sub>
                  <m:r>
                    <m:t>6</m:t>
                  </m:r>
                </m:sub>
              </m:sSub>
            </m:oMath>
            <w:r>
              <w:rPr>
                <w:rFonts w:ascii="Times New Roman" w:hAnsi="Times New Roman"/>
                <w:sz w:val="18"/>
                <w:szCs w:val="18"/>
                <w:rtl w:val="0"/>
                <w:lang w:val="en-US"/>
              </w:rPr>
              <w:t>; convergence of the coupled metric needs another theorem.</w:t>
            </w:r>
          </w:p>
        </w:tc>
        <w:tc>
          <w:tcPr>
            <w:tcW w:type="dxa" w:w="1980"/>
            <w:tcBorders>
              <w:top w:val="nil"/>
              <w:left w:val="nil"/>
              <w:bottom w:val="single" w:color="777777" w:sz="8" w:space="0" w:shadow="0" w:frame="0"/>
              <w:right w:val="nil"/>
            </w:tcBorders>
            <w:shd w:val="clear" w:color="auto" w:fill="auto"/>
            <w:tcMar>
              <w:top w:type="dxa" w:w="80"/>
              <w:left w:type="dxa" w:w="80"/>
              <w:bottom w:type="dxa" w:w="80"/>
              <w:right w:type="dxa" w:w="80"/>
            </w:tcMar>
            <w:vAlign w:val="top"/>
          </w:tcPr>
          <w:p>
            <w:pPr>
              <w:pStyle w:val="Compact"/>
              <w:spacing w:after="40" w:line="240" w:lineRule="auto"/>
            </w:pPr>
            <w:r>
              <w:rPr>
                <w:rFonts w:ascii="Times New Roman" w:hAnsi="Times New Roman"/>
                <w:sz w:val="18"/>
                <w:szCs w:val="18"/>
                <w:rtl w:val="0"/>
                <w:lang w:val="en-US"/>
              </w:rPr>
              <w:t>Gravitational response to total energy and stress; equal cones leave the gravitational dynamics unspecified.</w:t>
            </w:r>
          </w:p>
        </w:tc>
      </w:tr>
    </w:tbl>
    <w:p>
      <w:pPr>
        <w:pStyle w:val="caption"/>
        <w:spacing w:before="60" w:after="120" w:line="240" w:lineRule="atLeast"/>
      </w:pPr>
      <w:r>
        <w:rPr>
          <w:b w:val="1"/>
          <w:bCs w:val="1"/>
          <w:rtl w:val="0"/>
          <w:lang w:val="en-US"/>
        </w:rPr>
        <w:t xml:space="preserve">Table 1. </w:t>
      </w:r>
      <w:r>
        <w:rPr>
          <w:rtl w:val="0"/>
          <w:lang w:val="en-US"/>
        </w:rPr>
        <w:t>Functional origins, assumptions and relation to the common cone. The same row identifiers are used in Table</w:t>
      </w:r>
      <w:r>
        <w:rPr>
          <w:rtl w:val="0"/>
          <w:lang w:val="en-US"/>
        </w:rPr>
        <w:t> </w:t>
      </w:r>
      <w:r>
        <w:rPr>
          <w:rtl w:val="0"/>
          <w:lang w:val="en-US"/>
        </w:rPr>
        <w:t>2.</w:t>
      </w:r>
      <w:r>
        <w:rPr>
          <w:b w:val="1"/>
          <w:bCs w:val="1"/>
          <w:rtl w:val="0"/>
          <w:lang w:val="en-US"/>
        </w:rPr>
        <w:t xml:space="preserve">Table 2. </w:t>
      </w:r>
      <w:r>
        <w:rPr>
          <w:rtl w:val="0"/>
          <w:lang w:val="en-US"/>
        </w:rPr>
        <w:t>Action dependence, reconstruction requirements, independent readouts and failure modes. Readouts are potential tests, not experiments reported here.</w:t>
      </w:r>
    </w:p>
    <w:p>
      <w:pPr>
        <w:pStyle w:val="Заголовок 2"/>
        <w:spacing w:line="240" w:lineRule="atLeast"/>
      </w:pPr>
      <w:bookmarkStart w:name="optionalcompactspherecontrol" w:id="62"/>
      <w:r>
        <w:rPr>
          <w:rtl w:val="0"/>
          <w:lang w:val="en-US"/>
        </w:rPr>
        <w:t>20. Optional compact-sphere control</w:t>
      </w:r>
    </w:p>
    <w:p>
      <w:pPr>
        <w:pStyle w:val="Текстовый блок"/>
        <w:spacing w:line="240" w:lineRule="atLeast"/>
      </w:pPr>
      <w:r>
        <w:rPr>
          <w:rtl w:val="0"/>
          <w:lang w:val="en-US"/>
        </w:rPr>
        <w:t xml:space="preserve">On the </w:t>
      </w:r>
      <w:r>
        <w:rPr>
          <w:i w:val="1"/>
          <w:iCs w:val="1"/>
          <w:rtl w:val="0"/>
          <w:lang w:val="es-ES_tradnl"/>
        </w:rPr>
        <w:t>prescribed</w:t>
      </w:r>
      <w:r>
        <w:rPr>
          <w:rtl w:val="0"/>
          <w:lang w:val="en-US"/>
        </w:rPr>
        <w:t xml:space="preserve"> ultrastatic effective spacetime </w:t>
      </w:r>
      <m:oMath>
        <m:r>
          <m:rPr>
            <m:sty m:val="p"/>
            <m:scr m:val="double-struck"/>
          </m:rPr>
          <m:t>R</m:t>
        </m:r>
        <m:r>
          <m:t>×</m:t>
        </m:r>
        <m:sSubSup>
          <m:e>
            <m:r>
              <m:t>S</m:t>
            </m:r>
          </m:e>
          <m:sub>
            <m:r>
              <m:t>R</m:t>
            </m:r>
          </m:sub>
          <m:sup>
            <m:r>
              <m:t>3</m:t>
            </m:r>
          </m:sup>
        </m:sSubSup>
      </m:oMath>
      <w:r>
        <w:rPr>
          <w:rtl w:val="0"/>
          <w:lang w:val="en-US"/>
        </w:rPr>
        <w:t xml:space="preserve"> with metric </w:t>
      </w:r>
      <m:oMath>
        <m:r>
          <m:t>−</m:t>
        </m:r>
        <m:sSup>
          <m:e>
            <m:r>
              <m:t>c</m:t>
            </m:r>
          </m:e>
          <m:sup>
            <m:r>
              <m:t>2</m:t>
            </m:r>
          </m:sup>
        </m:sSup>
        <m:r>
          <m:rPr>
            <m:sty m:val="p"/>
          </m:rPr>
          <m:t>d</m:t>
        </m:r>
        <m:sSup>
          <m:e>
            <m:r>
              <m:t>t</m:t>
            </m:r>
          </m:e>
          <m:sup>
            <m:r>
              <m:t>2</m:t>
            </m:r>
          </m:sup>
        </m:sSup>
        <m:r>
          <m:t>+</m:t>
        </m:r>
        <m:sSub>
          <m:e>
            <m:r>
              <m:t>h</m:t>
            </m:r>
          </m:e>
          <m:sub>
            <m:r>
              <m:t>R</m:t>
            </m:r>
          </m:sub>
        </m:sSub>
      </m:oMath>
      <w:r>
        <w:rPr>
          <w:rtl w:val="0"/>
          <w:lang w:val="en-US"/>
        </w:rPr>
        <w:t xml:space="preserve">, the diameter is </w:t>
      </w:r>
      <m:oMath>
        <m:r>
          <m:t>πR</m:t>
        </m:r>
      </m:oMath>
      <w:r>
        <w:rPr>
          <w:rtl w:val="0"/>
          <w:lang w:val="en-US"/>
        </w:rPr>
        <w:t xml:space="preserve">. Geodesic signals can reach every spatial point from a given point within </w:t>
      </w:r>
      <m:oMath>
        <m:r>
          <m:t>πR/c</m:t>
        </m:r>
      </m:oMath>
      <w:r>
        <w:rPr>
          <w:rtl w:val="0"/>
          <w:lang w:val="en-US"/>
        </w:rPr>
        <w:t>, under the ideal preparation and detection assumptions. This is a bound on potential access in the specified geometry; it is neither an actual signal history nor a cosmological horizon.</w:t>
      </w:r>
    </w:p>
    <w:p>
      <w:pPr>
        <w:pStyle w:val="Текстовый блок"/>
        <w:spacing w:line="240" w:lineRule="atLeast"/>
      </w:pPr>
      <w:r>
        <w:rPr>
          <w:rtl w:val="0"/>
          <w:lang w:val="en-US"/>
        </w:rPr>
        <w:t>For the scalar Laplacian,</w:t>
      </w:r>
    </w:p>
    <w:tbl>
      <w:tblPr>
        <w:tblW w:w="9522"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666"/>
        <w:gridCol w:w="8190"/>
        <w:gridCol w:w="666"/>
      </w:tblGrid>
      <w:tr>
        <w:tblPrEx>
          <w:shd w:val="clear" w:color="auto" w:fill="ced7e7"/>
        </w:tblPrEx>
        <w:trPr>
          <w:trHeight w:val="570" w:hRule="atLeast"/>
        </w:trPr>
        <w:tc>
          <w:tcPr>
            <w:tcW w:type="dxa" w:w="666"/>
            <w:tcBorders>
              <w:top w:val="nil"/>
              <w:left w:val="nil"/>
              <w:bottom w:val="nil"/>
              <w:right w:val="nil"/>
            </w:tcBorders>
            <w:shd w:val="clear" w:color="auto" w:fill="auto"/>
            <w:tcMar>
              <w:top w:type="dxa" w:w="80"/>
              <w:left w:type="dxa" w:w="80"/>
              <w:bottom w:type="dxa" w:w="80"/>
              <w:right w:type="dxa" w:w="80"/>
            </w:tcMar>
            <w:vAlign w:val="top"/>
          </w:tcPr>
          <w:p/>
        </w:tc>
        <w:tc>
          <w:tcPr>
            <w:tcW w:type="dxa" w:w="8190"/>
            <w:tcBorders>
              <w:top w:val="nil"/>
              <w:left w:val="nil"/>
              <w:bottom w:val="nil"/>
              <w:right w:val="nil"/>
            </w:tcBorders>
            <w:shd w:val="clear" w:color="auto" w:fill="auto"/>
            <w:tcMar>
              <w:top w:type="dxa" w:w="80"/>
              <w:left w:type="dxa" w:w="80"/>
              <w:bottom w:type="dxa" w:w="80"/>
              <w:right w:type="dxa" w:w="80"/>
            </w:tcMar>
            <w:vAlign w:val="top"/>
          </w:tcPr>
          <w:p>
            <w:pPr>
              <w:pStyle w:val="Текстовый блок"/>
              <w:spacing w:after="40" w:line="240" w:lineRule="auto"/>
              <w:jc w:val="center"/>
            </w:pPr>
            <m:oMathPara>
              <m:oMathParaPr>
                <m:jc m:val="center"/>
              </m:oMathParaPr>
              <m:oMath>
                <m:sSub>
                  <m:e>
                    <m:r>
                      <m:t>λ</m:t>
                    </m:r>
                  </m:e>
                  <m:sub>
                    <m:r>
                      <m:t>l</m:t>
                    </m:r>
                  </m:sub>
                </m:sSub>
                <m:r>
                  <m:t>=</m:t>
                </m:r>
                <m:f>
                  <m:fPr>
                    <m:type m:val="bar"/>
                  </m:fPr>
                  <m:num>
                    <m:r>
                      <m:t>l</m:t>
                    </m:r>
                    <m:d>
                      <m:e>
                        <m:r>
                          <m:t>l+2</m:t>
                        </m:r>
                      </m:e>
                    </m:d>
                  </m:num>
                  <m:den>
                    <m:sSup>
                      <m:e>
                        <m:r>
                          <m:t>R</m:t>
                        </m:r>
                      </m:e>
                      <m:sup>
                        <m:r>
                          <m:t>2</m:t>
                        </m:r>
                      </m:sup>
                    </m:sSup>
                  </m:den>
                </m:f>
                <m:r>
                  <m:t>,</m:t>
                </m:r>
                <m:sSub>
                  <m:e>
                    <m:r>
                      <m:t>ω</m:t>
                    </m:r>
                  </m:e>
                  <m:sub>
                    <m:r>
                      <m:t>l</m:t>
                    </m:r>
                  </m:sub>
                </m:sSub>
                <m:r>
                  <m:t>=</m:t>
                </m:r>
                <m:f>
                  <m:fPr>
                    <m:type m:val="bar"/>
                  </m:fPr>
                  <m:num>
                    <m:r>
                      <m:t>c</m:t>
                    </m:r>
                  </m:num>
                  <m:den>
                    <m:r>
                      <m:t>R</m:t>
                    </m:r>
                  </m:den>
                </m:f>
                <m:rad>
                  <m:radPr>
                    <m:degHide m:val="on"/>
                  </m:radPr>
                  <m:deg/>
                  <m:e>
                    <m:r>
                      <m:t>l</m:t>
                    </m:r>
                    <m:d>
                      <m:e>
                        <m:r>
                          <m:t>l+2</m:t>
                        </m:r>
                      </m:e>
                    </m:d>
                  </m:e>
                </m:rad>
                <m:r>
                  <m:t>,l=0,1,….</m:t>
                </m:r>
              </m:oMath>
            </m:oMathPara>
          </w:p>
        </w:tc>
        <w:tc>
          <w:tcPr>
            <w:tcW w:type="dxa" w:w="666"/>
            <w:tcBorders>
              <w:top w:val="nil"/>
              <w:left w:val="nil"/>
              <w:bottom w:val="nil"/>
              <w:right w:val="nil"/>
            </w:tcBorders>
            <w:shd w:val="clear" w:color="auto" w:fill="auto"/>
            <w:tcMar>
              <w:top w:type="dxa" w:w="80"/>
              <w:left w:type="dxa" w:w="80"/>
              <w:bottom w:type="dxa" w:w="80"/>
              <w:right w:type="dxa" w:w="80"/>
            </w:tcMar>
            <w:vAlign w:val="top"/>
          </w:tcPr>
          <w:p>
            <w:pPr>
              <w:pStyle w:val="Normal.0"/>
              <w:spacing w:after="40" w:line="240" w:lineRule="auto"/>
              <w:jc w:val="right"/>
            </w:pPr>
            <w:r>
              <w:rPr>
                <w:sz w:val="18"/>
                <w:szCs w:val="18"/>
                <w:rtl w:val="0"/>
                <w:lang w:val="en-US"/>
              </w:rPr>
              <w:t>(20.1)</w:t>
            </w:r>
          </w:p>
        </w:tc>
      </w:tr>
    </w:tbl>
    <w:p>
      <w:pPr>
        <w:pStyle w:val="Текстовый блок"/>
        <w:widowControl w:val="0"/>
        <w:spacing w:line="240" w:lineRule="atLeast"/>
        <w:jc w:val="center"/>
      </w:pPr>
    </w:p>
    <w:p>
      <w:pPr>
        <w:pStyle w:val="Текстовый блок"/>
        <w:spacing w:line="240" w:lineRule="atLeast"/>
      </w:pPr>
      <w:r>
        <w:rPr>
          <w:rtl w:val="0"/>
          <w:lang w:val="en-US"/>
        </w:rPr>
        <w:t xml:space="preserve">The corrected result of [36] is retained: the corresponding half-wave group has strongly almost-periodic orbits, but has no nonzero exact operator period, and </w:t>
      </w:r>
      <m:oMath>
        <m:d>
          <m:dPr>
            <m:begChr m:val="∥"/>
            <m:endChr m:val="∥"/>
          </m:dPr>
          <m:e>
            <m:sSup>
              <m:e>
                <m:r>
                  <m:t>e</m:t>
                </m:r>
              </m:e>
              <m:sup>
                <m:r>
                  <m:t>itc</m:t>
                </m:r>
                <m:rad>
                  <m:radPr>
                    <m:degHide m:val="on"/>
                  </m:radPr>
                  <m:deg/>
                  <m:e>
                    <m:r>
                      <m:t>−</m:t>
                    </m:r>
                    <m:sSub>
                      <m:e>
                        <m:r>
                          <m:t>Δ</m:t>
                        </m:r>
                      </m:e>
                      <m:sub>
                        <m:sSub>
                          <m:e>
                            <m:r>
                              <m:t>h</m:t>
                            </m:r>
                          </m:e>
                          <m:sub>
                            <m:r>
                              <m:t>R</m:t>
                            </m:r>
                          </m:sub>
                        </m:sSub>
                      </m:sub>
                    </m:sSub>
                  </m:e>
                </m:rad>
              </m:sup>
            </m:sSup>
            <m:r>
              <m:t>−I</m:t>
            </m:r>
          </m:e>
        </m:d>
        <m:r>
          <m:t>≥</m:t>
        </m:r>
        <m:rad>
          <m:radPr>
            <m:degHide m:val="on"/>
          </m:radPr>
          <m:deg/>
          <m:e>
            <m:r>
              <m:t>2</m:t>
            </m:r>
          </m:e>
        </m:rad>
      </m:oMath>
      <w:r>
        <w:rPr>
          <w:rtl w:val="0"/>
        </w:rPr>
        <w:t xml:space="preserve"> for </w:t>
      </w:r>
      <m:oMath>
        <m:r>
          <m:t>t≠0</m:t>
        </m:r>
      </m:oMath>
      <w:r>
        <w:rPr>
          <w:rtl w:val="0"/>
          <w:lang w:val="en-US"/>
        </w:rPr>
        <w:t xml:space="preserve">. Strong recurrence of each vector cannot be promoted to operator-norm recurrence. A lower-order change to </w:t>
      </w:r>
      <m:oMath>
        <m:r>
          <m:t>−</m:t>
        </m:r>
        <m:sSub>
          <m:e>
            <m:r>
              <m:t>Δ</m:t>
            </m:r>
          </m:e>
          <m:sub>
            <m:sSub>
              <m:e>
                <m:r>
                  <m:t>h</m:t>
                </m:r>
              </m:e>
              <m:sub>
                <m:r>
                  <m:t>R</m:t>
                </m:r>
              </m:sub>
            </m:sSub>
          </m:sub>
        </m:sSub>
        <m:r>
          <m:t>+</m:t>
        </m:r>
        <m:sSup>
          <m:e>
            <m:r>
              <m:t>R</m:t>
            </m:r>
          </m:e>
          <m:sup>
            <m:r>
              <m:t>−2</m:t>
            </m:r>
          </m:sup>
        </m:sSup>
      </m:oMath>
      <w:r>
        <w:rPr>
          <w:rtl w:val="0"/>
          <w:lang w:val="en-US"/>
        </w:rPr>
        <w:t xml:space="preserve"> instead gives frequencies </w:t>
      </w:r>
      <m:oMath>
        <m:r>
          <m:t>c</m:t>
        </m:r>
        <m:d>
          <m:e>
            <m:r>
              <m:t>l+1</m:t>
            </m:r>
          </m:e>
        </m:d>
        <m:r>
          <m:t>/R</m:t>
        </m:r>
      </m:oMath>
      <w:r>
        <w:rPr>
          <w:rtl w:val="0"/>
          <w:lang w:val="en-US"/>
        </w:rPr>
        <w:t xml:space="preserve"> and an exact period </w:t>
      </w:r>
      <m:oMath>
        <m:r>
          <m:t>2πR/c</m:t>
        </m:r>
      </m:oMath>
      <w:r>
        <w:rPr>
          <w:rtl w:val="0"/>
          <w:lang w:val="en-US"/>
        </w:rPr>
        <w:t xml:space="preserve">, with the same principal cone. Neither compactness nor recurrence chooses </w:t>
      </w:r>
      <m:oMath>
        <m:r>
          <m:t>c</m:t>
        </m:r>
      </m:oMath>
      <w:r>
        <w:rPr>
          <w:rtl w:val="0"/>
        </w:rPr>
        <w:t>.</w:t>
      </w:r>
    </w:p>
    <w:p>
      <w:pPr>
        <w:pStyle w:val="Текстовый блок"/>
        <w:spacing w:line="240" w:lineRule="atLeast"/>
      </w:pPr>
      <w:r>
        <w:rPr>
          <w:rtl w:val="0"/>
          <w:lang w:val="en-US"/>
        </w:rPr>
        <w:t xml:space="preserve">These are scalar control statements. Electromagnetic cavity or sphere modes require their transverse vector spectrum and global gauge-sector analysis. No identification of the observable universe with </w:t>
      </w:r>
      <m:oMath>
        <m:sSup>
          <m:e>
            <m:r>
              <m:t>S</m:t>
            </m:r>
          </m:e>
          <m:sup>
            <m:r>
              <m:t>3</m:t>
            </m:r>
          </m:sup>
        </m:sSup>
      </m:oMath>
      <w:r>
        <w:rPr>
          <w:rtl w:val="0"/>
          <w:lang w:val="en-US"/>
        </w:rPr>
        <w:t>, and no fundamental compact pregeometric assumption, enters the main results.</w:t>
      </w:r>
      <w:bookmarkEnd w:id="62"/>
      <w:bookmarkEnd w:id="61"/>
    </w:p>
    <w:p>
      <w:pPr>
        <w:pStyle w:val="Заголовок 2"/>
        <w:spacing w:line="240" w:lineRule="atLeast"/>
      </w:pPr>
      <w:bookmarkStart w:name="nonimplicationsandcounterexamples" w:id="63"/>
      <w:r>
        <w:rPr>
          <w:rtl w:val="0"/>
          <w:lang w:val="en-US"/>
        </w:rPr>
        <w:t>21. Non-implications and counterexamples</w:t>
      </w:r>
    </w:p>
    <w:p>
      <w:pPr>
        <w:pStyle w:val="Текстовый блок"/>
        <w:spacing w:line="240" w:lineRule="atLeast"/>
      </w:pPr>
      <w:r>
        <w:rPr>
          <w:rtl w:val="0"/>
          <w:lang w:val="en-US"/>
        </w:rPr>
        <w:t>The following failures delimit the dependency graph. They follow from the displayed constructions or the explicitly retained results of [36].</w:t>
      </w:r>
    </w:p>
    <w:p>
      <w:pPr>
        <w:pStyle w:val="Normal.0"/>
        <w:numPr>
          <w:ilvl w:val="0"/>
          <w:numId w:val="2"/>
        </w:numPr>
        <w:spacing w:after="80" w:line="240" w:lineRule="atLeast"/>
      </w:pPr>
      <m:oMath>
        <m:r>
          <m:t>c=1</m:t>
        </m:r>
      </m:oMath>
      <w:r>
        <w:rPr>
          <w:b w:val="1"/>
          <w:bCs w:val="1"/>
          <w:sz w:val="22"/>
          <w:szCs w:val="22"/>
          <w:rtl w:val="0"/>
          <w:lang w:val="en-US"/>
        </w:rPr>
        <w:t xml:space="preserve"> does not establish intersector universality.</w:t>
      </w:r>
      <w:r>
        <w:rPr>
          <w:sz w:val="22"/>
          <w:szCs w:val="22"/>
          <w:rtl w:val="0"/>
          <w:lang w:val="en-US"/>
        </w:rPr>
        <w:t xml:space="preserve"> The ratios </w:t>
      </w:r>
      <m:oMath>
        <m:sSub>
          <m:e>
            <m:r>
              <m:t>v</m:t>
            </m:r>
          </m:e>
          <m:sub>
            <m:r>
              <m:t>i</m:t>
            </m:r>
          </m:sub>
        </m:sSub>
        <m:r>
          <m:t>/</m:t>
        </m:r>
        <m:sSub>
          <m:e>
            <m:r>
              <m:t>v</m:t>
            </m:r>
          </m:e>
          <m:sub>
            <m:r>
              <m:t>j</m:t>
            </m:r>
          </m:sub>
        </m:sSub>
      </m:oMath>
      <w:r>
        <w:rPr>
          <w:sz w:val="22"/>
          <w:szCs w:val="22"/>
          <w:rtl w:val="0"/>
          <w:lang w:val="en-US"/>
        </w:rPr>
        <w:t xml:space="preserve"> in (2.3) survive common rescaling.</w:t>
      </w:r>
    </w:p>
    <w:p>
      <w:pPr>
        <w:pStyle w:val="Normal.0"/>
        <w:numPr>
          <w:ilvl w:val="0"/>
          <w:numId w:val="3"/>
        </w:numPr>
        <w:spacing w:after="80" w:line="240" w:lineRule="atLeast"/>
        <w:rPr>
          <w:sz w:val="22"/>
          <w:szCs w:val="22"/>
          <w:lang w:val="en-US"/>
        </w:rPr>
      </w:pPr>
      <w:r>
        <w:rPr>
          <w:b w:val="1"/>
          <w:bCs w:val="1"/>
          <w:sz w:val="22"/>
          <w:szCs w:val="22"/>
          <w:rtl w:val="0"/>
          <w:lang w:val="en-US"/>
        </w:rPr>
        <w:t>A common cone does not determine polarisation.</w:t>
      </w:r>
      <w:r>
        <w:rPr>
          <w:sz w:val="22"/>
          <w:szCs w:val="22"/>
          <w:rtl w:val="0"/>
          <w:lang w:val="en-US"/>
        </w:rPr>
        <w:t xml:space="preserve"> Scalar and Maxwell theories on Minkowski space provide different fibres over the same characteristic set.</w:t>
      </w:r>
    </w:p>
    <w:p>
      <w:pPr>
        <w:pStyle w:val="Normal.0"/>
        <w:numPr>
          <w:ilvl w:val="0"/>
          <w:numId w:val="3"/>
        </w:numPr>
        <w:spacing w:after="80" w:line="240" w:lineRule="atLeast"/>
        <w:rPr>
          <w:sz w:val="22"/>
          <w:szCs w:val="22"/>
          <w:lang w:val="en-US"/>
        </w:rPr>
      </w:pPr>
      <w:r>
        <w:rPr>
          <w:b w:val="1"/>
          <w:bCs w:val="1"/>
          <w:sz w:val="22"/>
          <w:szCs w:val="22"/>
          <w:rtl w:val="0"/>
          <w:lang w:val="en-US"/>
        </w:rPr>
        <w:t>A common cone does not determine metric scale.</w:t>
      </w:r>
      <w:r>
        <w:rPr>
          <w:sz w:val="22"/>
          <w:szCs w:val="22"/>
          <w:rtl w:val="0"/>
          <w:lang w:val="en-US"/>
        </w:rPr>
        <w:t xml:space="preserve"> </w:t>
      </w:r>
      <m:oMath>
        <m:r>
          <m:t>g</m:t>
        </m:r>
      </m:oMath>
      <w:r>
        <w:rPr>
          <w:sz w:val="22"/>
          <w:szCs w:val="22"/>
          <w:rtl w:val="0"/>
          <w:lang w:val="en-US"/>
        </w:rPr>
        <w:t xml:space="preserve"> and </w:t>
      </w:r>
      <m:oMath>
        <m:sSup>
          <m:e>
            <m:r>
              <m:t>Ω</m:t>
            </m:r>
          </m:e>
          <m:sup>
            <m:r>
              <m:t>2</m:t>
            </m:r>
          </m:sup>
        </m:sSup>
        <m:r>
          <m:t>g</m:t>
        </m:r>
      </m:oMath>
      <w:r>
        <w:rPr>
          <w:sz w:val="22"/>
          <w:szCs w:val="22"/>
          <w:rtl w:val="0"/>
          <w:lang w:val="en-US"/>
        </w:rPr>
        <w:t xml:space="preserve"> have the same null set, with different calibrated energies, lengths or times unless the readouts are also adjusted.</w:t>
      </w:r>
    </w:p>
    <w:p>
      <w:pPr>
        <w:pStyle w:val="Normal.0"/>
        <w:numPr>
          <w:ilvl w:val="0"/>
          <w:numId w:val="3"/>
        </w:numPr>
        <w:spacing w:after="80" w:line="240" w:lineRule="atLeast"/>
        <w:rPr>
          <w:sz w:val="22"/>
          <w:szCs w:val="22"/>
          <w:lang w:val="en-US"/>
        </w:rPr>
      </w:pPr>
      <w:r>
        <w:rPr>
          <w:b w:val="1"/>
          <w:bCs w:val="1"/>
          <w:sz w:val="22"/>
          <w:szCs w:val="22"/>
          <w:rtl w:val="0"/>
          <w:lang w:val="en-US"/>
        </w:rPr>
        <w:t>A common cone does not select the future.</w:t>
      </w:r>
      <w:r>
        <w:rPr>
          <w:sz w:val="22"/>
          <w:szCs w:val="22"/>
          <w:rtl w:val="0"/>
          <w:lang w:val="en-US"/>
        </w:rPr>
        <w:t xml:space="preserve"> The quadratic cone and </w:t>
      </w:r>
      <m:oMath>
        <m:r>
          <m:t>u</m:t>
        </m:r>
        <m:r>
          <m:rPr>
            <m:sty m:val="p"/>
          </m:rPr>
          <m:t>ℓ</m:t>
        </m:r>
        <m:r>
          <m:t>⊗</m:t>
        </m:r>
        <m:r>
          <m:rPr>
            <m:sty m:val="p"/>
          </m:rPr>
          <m:t>ℓ</m:t>
        </m:r>
      </m:oMath>
      <w:r>
        <w:rPr>
          <w:sz w:val="22"/>
          <w:szCs w:val="22"/>
          <w:rtl w:val="0"/>
          <w:lang w:val="en-US"/>
        </w:rPr>
        <w:t xml:space="preserve"> are unchanged by </w:t>
      </w:r>
      <m:oMath>
        <m:r>
          <m:rPr>
            <m:sty m:val="p"/>
          </m:rPr>
          <m:t>ℓ</m:t>
        </m:r>
        <m:r>
          <m:t>↦−</m:t>
        </m:r>
        <m:r>
          <m:rPr>
            <m:sty m:val="p"/>
          </m:rPr>
          <m:t>ℓ</m:t>
        </m:r>
      </m:oMath>
      <w:r>
        <w:rPr>
          <w:sz w:val="22"/>
          <w:szCs w:val="22"/>
          <w:rtl w:val="0"/>
          <w:lang w:val="en-US"/>
        </w:rPr>
        <w:t>; orientation is extra data.</w:t>
      </w:r>
    </w:p>
    <w:p>
      <w:pPr>
        <w:pStyle w:val="Normal.0"/>
        <w:numPr>
          <w:ilvl w:val="0"/>
          <w:numId w:val="2"/>
        </w:numPr>
        <w:spacing w:after="80" w:line="240" w:lineRule="atLeast"/>
      </w:pPr>
      <m:oMath>
        <m:sSup>
          <m:e>
            <m:r>
              <m:t>c</m:t>
            </m:r>
          </m:e>
          <m:sup>
            <m:r>
              <m:t>2</m:t>
            </m:r>
          </m:sup>
        </m:sSup>
      </m:oMath>
      <w:r>
        <w:rPr>
          <w:b w:val="1"/>
          <w:bCs w:val="1"/>
          <w:sz w:val="22"/>
          <w:szCs w:val="22"/>
          <w:rtl w:val="0"/>
          <w:lang w:val="en-US"/>
        </w:rPr>
        <w:t xml:space="preserve"> in rest energy does not imply probability.</w:t>
      </w:r>
      <w:r>
        <w:rPr>
          <w:sz w:val="22"/>
          <w:szCs w:val="22"/>
          <w:rtl w:val="0"/>
          <w:lang w:val="en-US"/>
        </w:rPr>
        <w:t xml:space="preserve"> Equation</w:t>
      </w:r>
      <w:r>
        <w:rPr>
          <w:sz w:val="22"/>
          <w:szCs w:val="22"/>
          <w:rtl w:val="0"/>
          <w:lang w:val="en-US"/>
        </w:rPr>
        <w:t> </w:t>
      </w:r>
      <w:r>
        <w:rPr>
          <w:sz w:val="22"/>
          <w:szCs w:val="22"/>
          <w:rtl w:val="0"/>
          <w:lang w:val="en-US"/>
        </w:rPr>
        <w:t>(14.1) is a Lorentzian norm relation, with no Born rule supplied by its notation.</w:t>
      </w:r>
    </w:p>
    <w:p>
      <w:pPr>
        <w:pStyle w:val="Normal.0"/>
        <w:numPr>
          <w:ilvl w:val="0"/>
          <w:numId w:val="3"/>
        </w:numPr>
        <w:spacing w:after="80" w:line="240" w:lineRule="atLeast"/>
        <w:rPr>
          <w:sz w:val="22"/>
          <w:szCs w:val="22"/>
          <w:lang w:val="en-US"/>
        </w:rPr>
      </w:pPr>
      <w:r>
        <w:rPr>
          <w:b w:val="1"/>
          <w:bCs w:val="1"/>
          <w:sz w:val="22"/>
          <w:szCs w:val="22"/>
          <w:rtl w:val="0"/>
          <w:lang w:val="en-US"/>
        </w:rPr>
        <w:t>Vacuum correlation does not imply spacelike signalling.</w:t>
      </w:r>
      <w:r>
        <w:rPr>
          <w:sz w:val="22"/>
          <w:szCs w:val="22"/>
          <w:rtl w:val="0"/>
          <w:lang w:val="en-US"/>
        </w:rPr>
        <w:t xml:space="preserve"> The Minkowski two-point function is nonzero at spacelike separation, while local nonselective operations leave distant readouts unchanged.</w:t>
      </w:r>
    </w:p>
    <w:p>
      <w:pPr>
        <w:pStyle w:val="Normal.0"/>
        <w:numPr>
          <w:ilvl w:val="0"/>
          <w:numId w:val="3"/>
        </w:numPr>
        <w:spacing w:after="80" w:line="240" w:lineRule="atLeast"/>
        <w:rPr>
          <w:sz w:val="22"/>
          <w:szCs w:val="22"/>
          <w:lang w:val="en-US"/>
        </w:rPr>
      </w:pPr>
      <w:r>
        <w:rPr>
          <w:b w:val="1"/>
          <w:bCs w:val="1"/>
          <w:sz w:val="22"/>
          <w:szCs w:val="22"/>
          <w:rtl w:val="0"/>
          <w:lang w:val="en-US"/>
        </w:rPr>
        <w:t>No detected photons does not imply no causal structure.</w:t>
      </w:r>
      <w:r>
        <w:rPr>
          <w:sz w:val="22"/>
          <w:szCs w:val="22"/>
          <w:rtl w:val="0"/>
          <w:lang w:val="en-US"/>
        </w:rPr>
        <w:t xml:space="preserve"> The field algebra and possible retarded response persist in a vacuum state.</w:t>
      </w:r>
    </w:p>
    <w:p>
      <w:pPr>
        <w:pStyle w:val="Normal.0"/>
        <w:numPr>
          <w:ilvl w:val="0"/>
          <w:numId w:val="3"/>
        </w:numPr>
        <w:spacing w:after="80" w:line="240" w:lineRule="atLeast"/>
        <w:rPr>
          <w:sz w:val="22"/>
          <w:szCs w:val="22"/>
          <w:lang w:val="en-US"/>
        </w:rPr>
      </w:pPr>
      <w:r>
        <w:rPr>
          <w:b w:val="1"/>
          <w:bCs w:val="1"/>
          <w:sz w:val="22"/>
          <w:szCs w:val="22"/>
          <w:rtl w:val="0"/>
          <w:lang w:val="en-US"/>
        </w:rPr>
        <w:t>Actual signal history does not define the whole causal domain.</w:t>
      </w:r>
      <w:r>
        <w:rPr>
          <w:sz w:val="22"/>
          <w:szCs w:val="22"/>
          <w:rtl w:val="0"/>
          <w:lang w:val="en-US"/>
        </w:rPr>
        <w:t xml:space="preserve"> Unrealised causal paths remain part of the model</w:t>
      </w:r>
      <w:r>
        <w:rPr>
          <w:sz w:val="22"/>
          <w:szCs w:val="22"/>
          <w:rtl w:val="0"/>
          <w:lang w:val="en-US"/>
        </w:rPr>
        <w:t>’</w:t>
      </w:r>
      <w:r>
        <w:rPr>
          <w:sz w:val="22"/>
          <w:szCs w:val="22"/>
          <w:rtl w:val="0"/>
          <w:lang w:val="en-US"/>
        </w:rPr>
        <w:t>s possible propagation.</w:t>
      </w:r>
    </w:p>
    <w:p>
      <w:pPr>
        <w:pStyle w:val="Normal.0"/>
        <w:numPr>
          <w:ilvl w:val="0"/>
          <w:numId w:val="3"/>
        </w:numPr>
        <w:spacing w:after="80" w:line="240" w:lineRule="atLeast"/>
        <w:rPr>
          <w:sz w:val="22"/>
          <w:szCs w:val="22"/>
          <w:lang w:val="en-US"/>
        </w:rPr>
      </w:pPr>
      <w:r>
        <w:rPr>
          <w:b w:val="1"/>
          <w:bCs w:val="1"/>
          <w:sz w:val="22"/>
          <w:szCs w:val="22"/>
          <w:rtl w:val="0"/>
          <w:lang w:val="en-US"/>
        </w:rPr>
        <w:t>Pressure does not require nonzero particle rest mass.</w:t>
      </w:r>
      <w:r>
        <w:rPr>
          <w:sz w:val="22"/>
          <w:szCs w:val="22"/>
          <w:rtl w:val="0"/>
          <w:lang w:val="en-US"/>
        </w:rPr>
        <w:t xml:space="preserve"> A photon gas or reflected beam provides the counterexample.</w:t>
      </w:r>
    </w:p>
    <w:p>
      <w:pPr>
        <w:pStyle w:val="Normal.0"/>
        <w:numPr>
          <w:ilvl w:val="0"/>
          <w:numId w:val="3"/>
        </w:numPr>
        <w:spacing w:after="80" w:line="240" w:lineRule="atLeast"/>
        <w:rPr>
          <w:sz w:val="22"/>
          <w:szCs w:val="22"/>
          <w:lang w:val="en-US"/>
        </w:rPr>
      </w:pPr>
      <w:r>
        <w:rPr>
          <w:b w:val="1"/>
          <w:bCs w:val="1"/>
          <w:sz w:val="22"/>
          <w:szCs w:val="22"/>
          <w:rtl w:val="0"/>
          <w:lang w:val="en-US"/>
        </w:rPr>
        <w:t>Rest-mass density does not require pressure.</w:t>
      </w:r>
      <w:r>
        <w:rPr>
          <w:sz w:val="22"/>
          <w:szCs w:val="22"/>
          <w:rtl w:val="0"/>
          <w:lang w:val="en-US"/>
        </w:rPr>
        <w:t xml:space="preserve"> Ideal dust has </w:t>
      </w:r>
      <m:oMath>
        <m:sSub>
          <m:e>
            <m:r>
              <m:t>ρ</m:t>
            </m:r>
          </m:e>
          <m:sub>
            <m:r>
              <m:rPr>
                <m:sty m:val="p"/>
              </m:rPr>
              <m:t>m</m:t>
            </m:r>
          </m:sub>
        </m:sSub>
        <m:r>
          <m:t>&gt;0</m:t>
        </m:r>
      </m:oMath>
      <w:r>
        <w:rPr>
          <w:sz w:val="22"/>
          <w:szCs w:val="22"/>
          <w:rtl w:val="0"/>
          <w:lang w:val="en-US"/>
        </w:rPr>
        <w:t xml:space="preserve"> and </w:t>
      </w:r>
      <m:oMath>
        <m:r>
          <m:t>p=0</m:t>
        </m:r>
      </m:oMath>
      <w:r>
        <w:rPr>
          <w:sz w:val="22"/>
          <w:szCs w:val="22"/>
          <w:rtl w:val="0"/>
          <w:lang w:val="en-US"/>
        </w:rPr>
        <w:t xml:space="preserve"> in its rest frame.</w:t>
      </w:r>
    </w:p>
    <w:p>
      <w:pPr>
        <w:pStyle w:val="Normal.0"/>
        <w:numPr>
          <w:ilvl w:val="0"/>
          <w:numId w:val="3"/>
        </w:numPr>
        <w:spacing w:after="80" w:line="240" w:lineRule="atLeast"/>
        <w:rPr>
          <w:sz w:val="22"/>
          <w:szCs w:val="22"/>
          <w:lang w:val="en-US"/>
        </w:rPr>
      </w:pPr>
      <w:r>
        <w:rPr>
          <w:b w:val="1"/>
          <w:bCs w:val="1"/>
          <w:sz w:val="22"/>
          <w:szCs w:val="22"/>
          <w:rtl w:val="0"/>
          <w:lang w:val="en-US"/>
        </w:rPr>
        <w:t>Null dust is not general Maxwell theory.</w:t>
      </w:r>
      <w:r>
        <w:rPr>
          <w:sz w:val="22"/>
          <w:szCs w:val="22"/>
          <w:rtl w:val="0"/>
          <w:lang w:val="en-US"/>
        </w:rPr>
        <w:t xml:space="preserve"> Static fields, standing waves and non-collinear beam mixtures violate single-ray rank-one closure.</w:t>
      </w:r>
    </w:p>
    <w:p>
      <w:pPr>
        <w:pStyle w:val="Normal.0"/>
        <w:numPr>
          <w:ilvl w:val="0"/>
          <w:numId w:val="2"/>
        </w:numPr>
        <w:spacing w:after="80" w:line="240" w:lineRule="atLeast"/>
      </w:pPr>
      <m:oMath>
        <m:sSup>
          <m:e>
            <m:r>
              <m:t>S</m:t>
            </m:r>
          </m:e>
          <m:sup>
            <m:r>
              <m:t>0</m:t>
            </m:r>
          </m:sup>
        </m:sSup>
      </m:oMath>
      <w:r>
        <w:rPr>
          <w:b w:val="1"/>
          <w:bCs w:val="1"/>
          <w:sz w:val="22"/>
          <w:szCs w:val="22"/>
          <w:rtl w:val="0"/>
          <w:lang w:val="en-US"/>
        </w:rPr>
        <w:t xml:space="preserve"> proves no physical ontology.</w:t>
      </w:r>
      <w:r>
        <w:rPr>
          <w:sz w:val="22"/>
          <w:szCs w:val="22"/>
          <w:rtl w:val="0"/>
          <w:lang w:val="en-US"/>
        </w:rPr>
        <w:t xml:space="preserve"> The two-point lemma concerns a predicate on a mathematical carrier.</w:t>
      </w:r>
    </w:p>
    <w:p>
      <w:pPr>
        <w:pStyle w:val="Normal.0"/>
        <w:numPr>
          <w:ilvl w:val="0"/>
          <w:numId w:val="3"/>
        </w:numPr>
        <w:spacing w:after="80" w:line="240" w:lineRule="atLeast"/>
        <w:rPr>
          <w:sz w:val="22"/>
          <w:szCs w:val="22"/>
          <w:lang w:val="en-US"/>
        </w:rPr>
      </w:pPr>
      <w:r>
        <w:rPr>
          <w:b w:val="1"/>
          <w:bCs w:val="1"/>
          <w:sz w:val="22"/>
          <w:szCs w:val="22"/>
          <w:rtl w:val="0"/>
          <w:lang w:val="en-US"/>
        </w:rPr>
        <w:t>Suspension is not dynamical production of physical dimensions.</w:t>
      </w:r>
      <w:r>
        <w:rPr>
          <w:sz w:val="22"/>
          <w:szCs w:val="22"/>
          <w:rtl w:val="0"/>
          <w:lang w:val="en-US"/>
        </w:rPr>
        <w:t xml:space="preserve"> A topological construction supplies no Hamiltonian or operational measure.</w:t>
      </w:r>
    </w:p>
    <w:p>
      <w:pPr>
        <w:pStyle w:val="Normal.0"/>
        <w:numPr>
          <w:ilvl w:val="0"/>
          <w:numId w:val="3"/>
        </w:numPr>
        <w:spacing w:after="80" w:line="240" w:lineRule="atLeast"/>
        <w:rPr>
          <w:sz w:val="22"/>
          <w:szCs w:val="22"/>
          <w:lang w:val="en-US"/>
        </w:rPr>
      </w:pPr>
      <w:r>
        <w:rPr>
          <w:b w:val="1"/>
          <w:bCs w:val="1"/>
          <w:sz w:val="22"/>
          <w:szCs w:val="22"/>
          <w:rtl w:val="0"/>
          <w:lang w:val="en-US"/>
        </w:rPr>
        <w:t>Hopf non-factorisation does not prove physical interaction.</w:t>
      </w:r>
      <w:r>
        <w:rPr>
          <w:sz w:val="22"/>
          <w:szCs w:val="22"/>
          <w:rtl w:val="0"/>
          <w:lang w:val="en-US"/>
        </w:rPr>
        <w:t xml:space="preserve"> The bundle has no dynamical coupling until one is separately specified.</w:t>
      </w:r>
    </w:p>
    <w:p>
      <w:pPr>
        <w:pStyle w:val="Normal.0"/>
        <w:numPr>
          <w:ilvl w:val="0"/>
          <w:numId w:val="3"/>
        </w:numPr>
        <w:spacing w:after="80" w:line="240" w:lineRule="atLeast"/>
        <w:rPr>
          <w:sz w:val="22"/>
          <w:szCs w:val="22"/>
          <w:lang w:val="en-US"/>
        </w:rPr>
      </w:pPr>
      <w:r>
        <w:rPr>
          <w:b w:val="1"/>
          <w:bCs w:val="1"/>
          <w:sz w:val="22"/>
          <w:szCs w:val="22"/>
          <w:rtl w:val="0"/>
          <w:lang w:val="en-US"/>
        </w:rPr>
        <w:t xml:space="preserve">Compactness does not select the value of </w:t>
      </w:r>
      <m:oMath>
        <m:r>
          <m:t>c</m:t>
        </m:r>
      </m:oMath>
      <w:r>
        <w:rPr>
          <w:b w:val="1"/>
          <w:bCs w:val="1"/>
          <w:sz w:val="22"/>
          <w:szCs w:val="22"/>
          <w:rtl w:val="0"/>
          <w:lang w:val="en-US"/>
        </w:rPr>
        <w:t>.</w:t>
      </w:r>
      <w:r>
        <w:rPr>
          <w:sz w:val="22"/>
          <w:szCs w:val="22"/>
          <w:rtl w:val="0"/>
          <w:lang w:val="en-US"/>
        </w:rPr>
        <w:t xml:space="preserve"> The same </w:t>
      </w:r>
      <m:oMath>
        <m:sSubSup>
          <m:e>
            <m:r>
              <m:t>S</m:t>
            </m:r>
          </m:e>
          <m:sub>
            <m:r>
              <m:t>R</m:t>
            </m:r>
          </m:sub>
          <m:sup>
            <m:r>
              <m:t>3</m:t>
            </m:r>
          </m:sup>
        </m:sSubSup>
      </m:oMath>
      <w:r>
        <w:rPr>
          <w:sz w:val="22"/>
          <w:szCs w:val="22"/>
          <w:rtl w:val="0"/>
          <w:lang w:val="en-US"/>
        </w:rPr>
        <w:t xml:space="preserve"> supports wave operators with any prescribed positive speed.</w:t>
      </w:r>
    </w:p>
    <w:p>
      <w:pPr>
        <w:pStyle w:val="Normal.0"/>
        <w:numPr>
          <w:ilvl w:val="0"/>
          <w:numId w:val="3"/>
        </w:numPr>
        <w:spacing w:after="80" w:line="240" w:lineRule="atLeast"/>
        <w:rPr>
          <w:sz w:val="22"/>
          <w:szCs w:val="22"/>
          <w:lang w:val="en-US"/>
        </w:rPr>
      </w:pPr>
      <w:r>
        <w:rPr>
          <w:b w:val="1"/>
          <w:bCs w:val="1"/>
          <w:sz w:val="22"/>
          <w:szCs w:val="22"/>
          <w:rtl w:val="0"/>
          <w:lang w:val="en-US"/>
        </w:rPr>
        <w:t>A domain of description is not automatically a cosmological horizon.</w:t>
      </w:r>
      <w:r>
        <w:rPr>
          <w:sz w:val="22"/>
          <w:szCs w:val="22"/>
          <w:rtl w:val="0"/>
          <w:lang w:val="en-US"/>
        </w:rPr>
        <w:t xml:space="preserve"> Domain, past history, future accessibility and expansion scale require different defining data.</w:t>
      </w:r>
    </w:p>
    <w:p>
      <w:pPr>
        <w:pStyle w:val="Normal.0"/>
        <w:numPr>
          <w:ilvl w:val="0"/>
          <w:numId w:val="3"/>
        </w:numPr>
        <w:spacing w:after="80" w:line="240" w:lineRule="atLeast"/>
        <w:rPr>
          <w:sz w:val="22"/>
          <w:szCs w:val="22"/>
          <w:lang w:val="en-US"/>
        </w:rPr>
      </w:pPr>
      <w:r>
        <w:rPr>
          <w:b w:val="1"/>
          <w:bCs w:val="1"/>
          <w:sz w:val="22"/>
          <w:szCs w:val="22"/>
          <w:rtl w:val="0"/>
          <w:lang w:val="en-US"/>
        </w:rPr>
        <w:t>Identical homogeneous propagation does not fix energy normalisation.</w:t>
      </w:r>
      <w:r>
        <w:rPr>
          <w:sz w:val="22"/>
          <w:szCs w:val="22"/>
          <w:rtl w:val="0"/>
          <w:lang w:val="en-US"/>
        </w:rPr>
        <w:t xml:space="preserve"> </w:t>
      </w:r>
      <m:oMath>
        <m:r>
          <m:t>S</m:t>
        </m:r>
      </m:oMath>
      <w:r>
        <w:rPr>
          <w:sz w:val="22"/>
          <w:szCs w:val="22"/>
          <w:rtl w:val="0"/>
          <w:lang w:val="en-US"/>
        </w:rPr>
        <w:t xml:space="preserve"> and </w:t>
      </w:r>
      <m:oMath>
        <m:r>
          <m:t>γS</m:t>
        </m:r>
      </m:oMath>
      <w:r>
        <w:rPr>
          <w:sz w:val="22"/>
          <w:szCs w:val="22"/>
          <w:rtl w:val="0"/>
          <w:lang w:val="en-US"/>
        </w:rPr>
        <w:t xml:space="preserve"> give the counterexample of Proposition</w:t>
      </w:r>
      <w:r>
        <w:rPr>
          <w:sz w:val="22"/>
          <w:szCs w:val="22"/>
          <w:rtl w:val="0"/>
          <w:lang w:val="en-US"/>
        </w:rPr>
        <w:t> </w:t>
      </w:r>
      <w:r>
        <w:rPr>
          <w:sz w:val="22"/>
          <w:szCs w:val="22"/>
          <w:rtl w:val="0"/>
          <w:lang w:val="en-US"/>
        </w:rPr>
        <w:t>8.2 when field amplitudes are held fixed.</w:t>
      </w:r>
    </w:p>
    <w:p>
      <w:pPr>
        <w:pStyle w:val="Normal.0"/>
        <w:numPr>
          <w:ilvl w:val="0"/>
          <w:numId w:val="3"/>
        </w:numPr>
        <w:spacing w:after="80" w:line="240" w:lineRule="atLeast"/>
        <w:rPr>
          <w:sz w:val="22"/>
          <w:szCs w:val="22"/>
          <w:lang w:val="en-US"/>
        </w:rPr>
      </w:pPr>
      <w:r>
        <w:rPr>
          <w:b w:val="1"/>
          <w:bCs w:val="1"/>
          <w:sz w:val="22"/>
          <w:szCs w:val="22"/>
          <w:rtl w:val="0"/>
          <w:lang w:val="en-US"/>
        </w:rPr>
        <w:t>Strong potential convergence does not imply stress convergence.</w:t>
      </w:r>
      <w:r>
        <w:rPr>
          <w:sz w:val="22"/>
          <w:szCs w:val="22"/>
          <w:rtl w:val="0"/>
          <w:lang w:val="en-US"/>
        </w:rPr>
        <w:t xml:space="preserve"> The exact sequence in Proposition</w:t>
      </w:r>
      <w:r>
        <w:rPr>
          <w:sz w:val="22"/>
          <w:szCs w:val="22"/>
          <w:rtl w:val="0"/>
          <w:lang w:val="en-US"/>
        </w:rPr>
        <w:t> </w:t>
      </w:r>
      <w:r>
        <w:rPr>
          <w:sz w:val="22"/>
          <w:szCs w:val="22"/>
          <w:rtl w:val="0"/>
          <w:lang w:val="en-US"/>
        </w:rPr>
        <w:t>18.3 retains finite quadratic stress.</w:t>
      </w:r>
    </w:p>
    <w:p>
      <w:pPr>
        <w:pStyle w:val="Normal.0"/>
        <w:numPr>
          <w:ilvl w:val="0"/>
          <w:numId w:val="3"/>
        </w:numPr>
        <w:spacing w:after="80" w:line="240" w:lineRule="atLeast"/>
        <w:rPr>
          <w:sz w:val="22"/>
          <w:szCs w:val="22"/>
          <w:lang w:val="en-US"/>
        </w:rPr>
      </w:pPr>
      <w:r>
        <w:rPr>
          <w:b w:val="1"/>
          <w:bCs w:val="1"/>
          <w:sz w:val="22"/>
          <w:szCs w:val="22"/>
          <w:rtl w:val="0"/>
          <w:lang w:val="en-US"/>
        </w:rPr>
        <w:t>Equal Hadamard singularities do not fix quantum stress.</w:t>
      </w:r>
      <w:r>
        <w:rPr>
          <w:sz w:val="22"/>
          <w:szCs w:val="22"/>
          <w:rtl w:val="0"/>
          <w:lang w:val="en-US"/>
        </w:rPr>
        <w:t xml:space="preserve"> Different smooth state remainders survive coincident differentiation.</w:t>
      </w:r>
    </w:p>
    <w:p>
      <w:pPr>
        <w:pStyle w:val="Normal.0"/>
        <w:numPr>
          <w:ilvl w:val="0"/>
          <w:numId w:val="3"/>
        </w:numPr>
        <w:spacing w:after="80" w:line="240" w:lineRule="atLeast"/>
        <w:rPr>
          <w:sz w:val="22"/>
          <w:szCs w:val="22"/>
          <w:lang w:val="en-US"/>
        </w:rPr>
      </w:pPr>
      <w:r>
        <w:rPr>
          <w:b w:val="1"/>
          <w:bCs w:val="1"/>
          <w:sz w:val="22"/>
          <w:szCs w:val="22"/>
          <w:rtl w:val="0"/>
          <w:lang w:val="en-US"/>
        </w:rPr>
        <w:t xml:space="preserve">The ratio </w:t>
      </w:r>
      <m:oMath>
        <m:r>
          <m:t>p/u</m:t>
        </m:r>
      </m:oMath>
      <w:r>
        <w:rPr>
          <w:b w:val="1"/>
          <w:bCs w:val="1"/>
          <w:sz w:val="22"/>
          <w:szCs w:val="22"/>
          <w:rtl w:val="0"/>
          <w:lang w:val="en-US"/>
        </w:rPr>
        <w:t xml:space="preserve"> does not determine dimension without its hypotheses.</w:t>
      </w:r>
      <w:r>
        <w:rPr>
          <w:sz w:val="22"/>
          <w:szCs w:val="22"/>
          <w:rtl w:val="0"/>
          <w:lang w:val="en-US"/>
        </w:rPr>
        <w:t xml:space="preserve"> Anisotropy or nonradiative stress can alter it in a fixed spatial dimension.</w:t>
      </w:r>
      <w:bookmarkEnd w:id="63"/>
    </w:p>
    <w:p>
      <w:pPr>
        <w:pStyle w:val="Заголовок 2"/>
        <w:spacing w:line="240" w:lineRule="atLeast"/>
      </w:pPr>
      <w:bookmarkStart w:name="X60982e59142fd8bfac97f51d10e2a749d8ad9f2" w:id="64"/>
      <w:r>
        <w:rPr>
          <w:rtl w:val="0"/>
          <w:lang w:val="en-US"/>
        </w:rPr>
        <w:t>22. What is proved, assumed, interpreted and open</w:t>
      </w:r>
    </w:p>
    <w:tbl>
      <w:tblPr>
        <w:tblW w:w="7920"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960"/>
        <w:gridCol w:w="3960"/>
      </w:tblGrid>
      <w:tr>
        <w:tblPrEx>
          <w:shd w:val="clear" w:color="auto" w:fill="ced7e7"/>
        </w:tblPrEx>
        <w:trPr>
          <w:trHeight w:val="210" w:hRule="atLeast"/>
        </w:trPr>
        <w:tc>
          <w:tcPr>
            <w:tcW w:type="dxa" w:w="3960"/>
            <w:tcBorders>
              <w:top w:val="single" w:color="777777" w:sz="8" w:space="0" w:shadow="0" w:frame="0"/>
              <w:left w:val="nil"/>
              <w:bottom w:val="single" w:color="777777" w:sz="6" w:space="0" w:shadow="0" w:frame="0"/>
              <w:right w:val="nil"/>
            </w:tcBorders>
            <w:shd w:val="clear" w:color="auto" w:fill="auto"/>
            <w:tcMar>
              <w:top w:type="dxa" w:w="80"/>
              <w:left w:type="dxa" w:w="80"/>
              <w:bottom w:type="dxa" w:w="80"/>
              <w:right w:type="dxa" w:w="80"/>
            </w:tcMar>
            <w:vAlign w:val="top"/>
          </w:tcPr>
          <w:p>
            <w:pPr>
              <w:pStyle w:val="Compact"/>
              <w:spacing w:after="40" w:line="240" w:lineRule="auto"/>
            </w:pPr>
            <w:r>
              <w:rPr>
                <w:rFonts w:ascii="Times New Roman" w:hAnsi="Times New Roman"/>
                <w:b w:val="1"/>
                <w:bCs w:val="1"/>
                <w:sz w:val="18"/>
                <w:szCs w:val="18"/>
                <w:rtl w:val="0"/>
                <w:lang w:val="en-US"/>
              </w:rPr>
              <w:t>Status</w:t>
            </w:r>
          </w:p>
        </w:tc>
        <w:tc>
          <w:tcPr>
            <w:tcW w:type="dxa" w:w="3960"/>
            <w:tcBorders>
              <w:top w:val="single" w:color="777777" w:sz="8" w:space="0" w:shadow="0" w:frame="0"/>
              <w:left w:val="nil"/>
              <w:bottom w:val="single" w:color="777777" w:sz="6" w:space="0" w:shadow="0" w:frame="0"/>
              <w:right w:val="nil"/>
            </w:tcBorders>
            <w:shd w:val="clear" w:color="auto" w:fill="auto"/>
            <w:tcMar>
              <w:top w:type="dxa" w:w="80"/>
              <w:left w:type="dxa" w:w="80"/>
              <w:bottom w:type="dxa" w:w="80"/>
              <w:right w:type="dxa" w:w="80"/>
            </w:tcMar>
            <w:vAlign w:val="top"/>
          </w:tcPr>
          <w:p>
            <w:pPr>
              <w:pStyle w:val="Compact"/>
              <w:spacing w:after="40" w:line="240" w:lineRule="auto"/>
            </w:pPr>
            <w:r>
              <w:rPr>
                <w:rFonts w:ascii="Times New Roman" w:hAnsi="Times New Roman"/>
                <w:b w:val="1"/>
                <w:bCs w:val="1"/>
                <w:sz w:val="18"/>
                <w:szCs w:val="18"/>
                <w:rtl w:val="0"/>
                <w:lang w:val="en-US"/>
              </w:rPr>
              <w:t>Content and limit</w:t>
            </w:r>
          </w:p>
        </w:tc>
      </w:tr>
      <w:tr>
        <w:tblPrEx>
          <w:shd w:val="clear" w:color="auto" w:fill="ced7e7"/>
        </w:tblPrEx>
        <w:trPr>
          <w:trHeight w:val="1010" w:hRule="atLeast"/>
        </w:trPr>
        <w:tc>
          <w:tcPr>
            <w:tcW w:type="dxa" w:w="3960"/>
            <w:tcBorders>
              <w:top w:val="single" w:color="777777" w:sz="6" w:space="0" w:shadow="0" w:frame="0"/>
              <w:left w:val="nil"/>
              <w:bottom w:val="nil"/>
              <w:right w:val="nil"/>
            </w:tcBorders>
            <w:shd w:val="clear" w:color="auto" w:fill="auto"/>
            <w:tcMar>
              <w:top w:type="dxa" w:w="80"/>
              <w:left w:type="dxa" w:w="80"/>
              <w:bottom w:type="dxa" w:w="80"/>
              <w:right w:type="dxa" w:w="80"/>
            </w:tcMar>
            <w:vAlign w:val="top"/>
          </w:tcPr>
          <w:p>
            <w:pPr>
              <w:pStyle w:val="Compact"/>
              <w:spacing w:after="40" w:line="240" w:lineRule="auto"/>
            </w:pPr>
            <w:r>
              <w:rPr>
                <w:rFonts w:ascii="Times New Roman" w:hAnsi="Times New Roman"/>
                <w:sz w:val="18"/>
                <w:szCs w:val="18"/>
                <w:rtl w:val="0"/>
                <w:lang w:val="en-US"/>
              </w:rPr>
              <w:t>Retained results</w:t>
            </w:r>
          </w:p>
        </w:tc>
        <w:tc>
          <w:tcPr>
            <w:tcW w:type="dxa" w:w="3960"/>
            <w:tcBorders>
              <w:top w:val="single" w:color="777777" w:sz="6" w:space="0" w:shadow="0" w:frame="0"/>
              <w:left w:val="nil"/>
              <w:bottom w:val="nil"/>
              <w:right w:val="nil"/>
            </w:tcBorders>
            <w:shd w:val="clear" w:color="auto" w:fill="auto"/>
            <w:tcMar>
              <w:top w:type="dxa" w:w="80"/>
              <w:left w:type="dxa" w:w="80"/>
              <w:bottom w:type="dxa" w:w="80"/>
              <w:right w:type="dxa" w:w="80"/>
            </w:tcMar>
            <w:vAlign w:val="top"/>
          </w:tcPr>
          <w:p>
            <w:pPr>
              <w:pStyle w:val="Compact"/>
              <w:spacing w:after="40" w:line="240" w:lineRule="auto"/>
            </w:pPr>
            <w:r>
              <w:rPr>
                <w:rFonts w:ascii="Times New Roman" w:hAnsi="Times New Roman"/>
                <w:sz w:val="18"/>
                <w:szCs w:val="18"/>
                <w:rtl w:val="0"/>
                <w:lang w:val="en-US"/>
              </w:rPr>
              <w:t>Common calibration criterion, relative defect, bounded-energy reconstruction comparison, spectral error control, scalar unitary continuum limit with its zero mode, and corrected compact recurrence from [36]. Long proofs are not repeated.</w:t>
            </w:r>
          </w:p>
        </w:tc>
      </w:tr>
      <w:tr>
        <w:tblPrEx>
          <w:shd w:val="clear" w:color="auto" w:fill="ced7e7"/>
        </w:tblPrEx>
        <w:trPr>
          <w:trHeight w:val="1664" w:hRule="atLeast"/>
        </w:trPr>
        <w:tc>
          <w:tcPr>
            <w:tcW w:type="dxa" w:w="3960"/>
            <w:tcBorders>
              <w:top w:val="nil"/>
              <w:left w:val="nil"/>
              <w:bottom w:val="nil"/>
              <w:right w:val="nil"/>
            </w:tcBorders>
            <w:shd w:val="clear" w:color="auto" w:fill="auto"/>
            <w:tcMar>
              <w:top w:type="dxa" w:w="80"/>
              <w:left w:type="dxa" w:w="80"/>
              <w:bottom w:type="dxa" w:w="80"/>
              <w:right w:type="dxa" w:w="80"/>
            </w:tcMar>
            <w:vAlign w:val="top"/>
          </w:tcPr>
          <w:p>
            <w:pPr>
              <w:pStyle w:val="Compact"/>
              <w:spacing w:after="40" w:line="240" w:lineRule="auto"/>
            </w:pPr>
            <w:r>
              <w:rPr>
                <w:rFonts w:ascii="Times New Roman" w:hAnsi="Times New Roman"/>
                <w:sz w:val="18"/>
                <w:szCs w:val="18"/>
                <w:rtl w:val="0"/>
                <w:lang w:val="en-US"/>
              </w:rPr>
              <w:t>Proved here within the control assumptions</w:t>
            </w:r>
          </w:p>
        </w:tc>
        <w:tc>
          <w:tcPr>
            <w:tcW w:type="dxa" w:w="3960"/>
            <w:tcBorders>
              <w:top w:val="nil"/>
              <w:left w:val="nil"/>
              <w:bottom w:val="nil"/>
              <w:right w:val="nil"/>
            </w:tcBorders>
            <w:shd w:val="clear" w:color="auto" w:fill="auto"/>
            <w:tcMar>
              <w:top w:type="dxa" w:w="80"/>
              <w:left w:type="dxa" w:w="80"/>
              <w:bottom w:type="dxa" w:w="80"/>
              <w:right w:type="dxa" w:w="80"/>
            </w:tcMar>
            <w:vAlign w:val="top"/>
          </w:tcPr>
          <w:p>
            <w:pPr>
              <w:pStyle w:val="Compact"/>
              <w:spacing w:after="40" w:line="240" w:lineRule="auto"/>
            </w:pPr>
            <w:r>
              <w:rPr>
                <w:rFonts w:ascii="Times New Roman" w:hAnsi="Times New Roman"/>
                <w:sz w:val="18"/>
                <w:szCs w:val="18"/>
                <w:rtl w:val="0"/>
                <w:lang w:val="en-US"/>
              </w:rPr>
              <w:t xml:space="preserve">Physical Maxwell characteristic quotient; null tensor component closure; stationary and moving boundary momentum balance; isotropic pressure identity; calibrated </w:t>
            </w:r>
            <m:oMath>
              <m:sSup>
                <m:e>
                  <m:r>
                    <m:t>L</m:t>
                  </m:r>
                </m:e>
                <m:sup>
                  <m:r>
                    <m:t>2</m:t>
                  </m:r>
                </m:sup>
              </m:sSup>
            </m:oMath>
            <w:r>
              <w:rPr>
                <w:rFonts w:ascii="Times New Roman" w:hAnsi="Times New Roman"/>
                <w:sz w:val="18"/>
                <w:szCs w:val="18"/>
                <w:rtl w:val="0"/>
                <w:lang w:val="en-US"/>
              </w:rPr>
              <w:t>-to-</w:t>
            </w:r>
            <m:oMath>
              <m:sSup>
                <m:e>
                  <m:r>
                    <m:t>L</m:t>
                  </m:r>
                </m:e>
                <m:sup>
                  <m:r>
                    <m:t>1</m:t>
                  </m:r>
                </m:sup>
              </m:sSup>
            </m:oMath>
            <w:r>
              <w:rPr>
                <w:rFonts w:ascii="Times New Roman" w:hAnsi="Times New Roman"/>
                <w:sz w:val="18"/>
                <w:szCs w:val="18"/>
                <w:rtl w:val="0"/>
                <w:lang w:val="en-US"/>
              </w:rPr>
              <w:t xml:space="preserve"> stress estimate; the exact oscillatory counterexample; conditional continuity of point-split quantum stress. These include standard identities and elementary proofs, not newly discovered physical laws.</w:t>
            </w:r>
          </w:p>
        </w:tc>
      </w:tr>
      <w:tr>
        <w:tblPrEx>
          <w:shd w:val="clear" w:color="auto" w:fill="ced7e7"/>
        </w:tblPrEx>
        <w:trPr>
          <w:trHeight w:val="1212" w:hRule="atLeast"/>
        </w:trPr>
        <w:tc>
          <w:tcPr>
            <w:tcW w:type="dxa" w:w="3960"/>
            <w:tcBorders>
              <w:top w:val="nil"/>
              <w:left w:val="nil"/>
              <w:bottom w:val="nil"/>
              <w:right w:val="nil"/>
            </w:tcBorders>
            <w:shd w:val="clear" w:color="auto" w:fill="auto"/>
            <w:tcMar>
              <w:top w:type="dxa" w:w="80"/>
              <w:left w:type="dxa" w:w="80"/>
              <w:bottom w:type="dxa" w:w="80"/>
              <w:right w:type="dxa" w:w="80"/>
            </w:tcMar>
            <w:vAlign w:val="top"/>
          </w:tcPr>
          <w:p>
            <w:pPr>
              <w:pStyle w:val="Compact"/>
              <w:spacing w:after="40" w:line="240" w:lineRule="auto"/>
            </w:pPr>
            <w:r>
              <w:rPr>
                <w:rFonts w:ascii="Times New Roman" w:hAnsi="Times New Roman"/>
                <w:sz w:val="18"/>
                <w:szCs w:val="18"/>
                <w:rtl w:val="0"/>
                <w:lang w:val="en-US"/>
              </w:rPr>
              <w:t>Physical anchors</w:t>
            </w:r>
          </w:p>
        </w:tc>
        <w:tc>
          <w:tcPr>
            <w:tcW w:type="dxa" w:w="3960"/>
            <w:tcBorders>
              <w:top w:val="nil"/>
              <w:left w:val="nil"/>
              <w:bottom w:val="nil"/>
              <w:right w:val="nil"/>
            </w:tcBorders>
            <w:shd w:val="clear" w:color="auto" w:fill="auto"/>
            <w:tcMar>
              <w:top w:type="dxa" w:w="80"/>
              <w:left w:type="dxa" w:w="80"/>
              <w:bottom w:type="dxa" w:w="80"/>
              <w:right w:type="dxa" w:w="80"/>
            </w:tcMar>
            <w:vAlign w:val="top"/>
          </w:tcPr>
          <w:p>
            <w:pPr>
              <w:pStyle w:val="Compact"/>
              <w:spacing w:after="40" w:line="240" w:lineRule="auto"/>
            </w:pPr>
            <w:r>
              <w:rPr>
                <w:rFonts w:ascii="Times New Roman" w:hAnsi="Times New Roman"/>
                <w:sz w:val="18"/>
                <w:szCs w:val="18"/>
                <w:rtl w:val="0"/>
                <w:lang w:val="en-US"/>
              </w:rPr>
              <w:t>Maxwell action and constitutive vacuum sector; canonical photon quantisation; relativistic total four-momentum; Einstein coupling when invoked. Existing radiation-pressure metrology anchors an observable channel, not a new experiment performed here.</w:t>
            </w:r>
          </w:p>
        </w:tc>
      </w:tr>
      <w:tr>
        <w:tblPrEx>
          <w:shd w:val="clear" w:color="auto" w:fill="ced7e7"/>
        </w:tblPrEx>
        <w:trPr>
          <w:trHeight w:val="1212" w:hRule="atLeast"/>
        </w:trPr>
        <w:tc>
          <w:tcPr>
            <w:tcW w:type="dxa" w:w="3960"/>
            <w:tcBorders>
              <w:top w:val="nil"/>
              <w:left w:val="nil"/>
              <w:bottom w:val="nil"/>
              <w:right w:val="nil"/>
            </w:tcBorders>
            <w:shd w:val="clear" w:color="auto" w:fill="auto"/>
            <w:tcMar>
              <w:top w:type="dxa" w:w="80"/>
              <w:left w:type="dxa" w:w="80"/>
              <w:bottom w:type="dxa" w:w="80"/>
              <w:right w:type="dxa" w:w="80"/>
            </w:tcMar>
            <w:vAlign w:val="top"/>
          </w:tcPr>
          <w:p>
            <w:pPr>
              <w:pStyle w:val="Compact"/>
              <w:spacing w:after="40" w:line="240" w:lineRule="auto"/>
            </w:pPr>
            <w:r>
              <w:rPr>
                <w:rFonts w:ascii="Times New Roman" w:hAnsi="Times New Roman"/>
                <w:sz w:val="18"/>
                <w:szCs w:val="18"/>
                <w:rtl w:val="0"/>
                <w:lang w:val="en-US"/>
              </w:rPr>
              <w:t>Assumptions</w:t>
            </w:r>
          </w:p>
        </w:tc>
        <w:tc>
          <w:tcPr>
            <w:tcW w:type="dxa" w:w="3960"/>
            <w:tcBorders>
              <w:top w:val="nil"/>
              <w:left w:val="nil"/>
              <w:bottom w:val="nil"/>
              <w:right w:val="nil"/>
            </w:tcBorders>
            <w:shd w:val="clear" w:color="auto" w:fill="auto"/>
            <w:tcMar>
              <w:top w:type="dxa" w:w="80"/>
              <w:left w:type="dxa" w:w="80"/>
              <w:bottom w:type="dxa" w:w="80"/>
              <w:right w:type="dxa" w:w="80"/>
            </w:tcMar>
            <w:vAlign w:val="top"/>
          </w:tcPr>
          <w:p>
            <w:pPr>
              <w:pStyle w:val="Compact"/>
              <w:spacing w:after="40" w:line="240" w:lineRule="auto"/>
            </w:pPr>
            <w:r>
              <w:rPr>
                <w:rFonts w:ascii="Times New Roman" w:hAnsi="Times New Roman"/>
                <w:sz w:val="18"/>
                <w:szCs w:val="18"/>
                <w:rtl w:val="0"/>
                <w:lang w:val="en-US"/>
              </w:rPr>
              <w:t>Effective manifold, retained sector content, gauge reduction, well-posedness, positive normalisation, stated geometric-optics regime, chosen observers and states, boundary laws, and stronger convergence where quadratic or quantum observables require it.</w:t>
            </w:r>
          </w:p>
        </w:tc>
      </w:tr>
      <w:tr>
        <w:tblPrEx>
          <w:shd w:val="clear" w:color="auto" w:fill="ced7e7"/>
        </w:tblPrEx>
        <w:trPr>
          <w:trHeight w:val="812" w:hRule="atLeast"/>
        </w:trPr>
        <w:tc>
          <w:tcPr>
            <w:tcW w:type="dxa" w:w="3960"/>
            <w:tcBorders>
              <w:top w:val="nil"/>
              <w:left w:val="nil"/>
              <w:bottom w:val="nil"/>
              <w:right w:val="nil"/>
            </w:tcBorders>
            <w:shd w:val="clear" w:color="auto" w:fill="auto"/>
            <w:tcMar>
              <w:top w:type="dxa" w:w="80"/>
              <w:left w:type="dxa" w:w="80"/>
              <w:bottom w:type="dxa" w:w="80"/>
              <w:right w:type="dxa" w:w="80"/>
            </w:tcMar>
            <w:vAlign w:val="top"/>
          </w:tcPr>
          <w:p>
            <w:pPr>
              <w:pStyle w:val="Compact"/>
              <w:spacing w:after="40" w:line="240" w:lineRule="auto"/>
            </w:pPr>
            <w:r>
              <w:rPr>
                <w:rFonts w:ascii="Times New Roman" w:hAnsi="Times New Roman"/>
                <w:sz w:val="18"/>
                <w:szCs w:val="18"/>
                <w:rtl w:val="0"/>
                <w:lang w:val="en-US"/>
              </w:rPr>
              <w:t>Interpretation</w:t>
            </w:r>
          </w:p>
        </w:tc>
        <w:tc>
          <w:tcPr>
            <w:tcW w:type="dxa" w:w="3960"/>
            <w:tcBorders>
              <w:top w:val="nil"/>
              <w:left w:val="nil"/>
              <w:bottom w:val="nil"/>
              <w:right w:val="nil"/>
            </w:tcBorders>
            <w:shd w:val="clear" w:color="auto" w:fill="auto"/>
            <w:tcMar>
              <w:top w:type="dxa" w:w="80"/>
              <w:left w:type="dxa" w:w="80"/>
              <w:bottom w:type="dxa" w:w="80"/>
              <w:right w:type="dxa" w:w="80"/>
            </w:tcMar>
            <w:vAlign w:val="top"/>
          </w:tcPr>
          <w:p>
            <w:pPr>
              <w:pStyle w:val="Compact"/>
              <w:spacing w:after="40" w:line="240" w:lineRule="auto"/>
            </w:pPr>
            <w:r>
              <w:rPr>
                <w:rFonts w:ascii="Times New Roman" w:hAnsi="Times New Roman"/>
                <w:sz w:val="18"/>
                <w:szCs w:val="18"/>
                <w:rtl w:val="0"/>
                <w:lang w:val="en-US"/>
              </w:rPr>
              <w:t>Distinction belongs to a relational carrier; phenomenal presence is not identified with independent substantial self-being. These claims are not proved by the physical calculations.</w:t>
            </w:r>
          </w:p>
        </w:tc>
      </w:tr>
      <w:tr>
        <w:tblPrEx>
          <w:shd w:val="clear" w:color="auto" w:fill="ced7e7"/>
        </w:tblPrEx>
        <w:trPr>
          <w:trHeight w:val="1212" w:hRule="atLeast"/>
        </w:trPr>
        <w:tc>
          <w:tcPr>
            <w:tcW w:type="dxa" w:w="3960"/>
            <w:tcBorders>
              <w:top w:val="nil"/>
              <w:left w:val="nil"/>
              <w:bottom w:val="single" w:color="777777" w:sz="8" w:space="0" w:shadow="0" w:frame="0"/>
              <w:right w:val="nil"/>
            </w:tcBorders>
            <w:shd w:val="clear" w:color="auto" w:fill="auto"/>
            <w:tcMar>
              <w:top w:type="dxa" w:w="80"/>
              <w:left w:type="dxa" w:w="80"/>
              <w:bottom w:type="dxa" w:w="80"/>
              <w:right w:type="dxa" w:w="80"/>
            </w:tcMar>
            <w:vAlign w:val="top"/>
          </w:tcPr>
          <w:p>
            <w:pPr>
              <w:pStyle w:val="Compact"/>
              <w:spacing w:after="40" w:line="240" w:lineRule="auto"/>
            </w:pPr>
            <w:r>
              <w:rPr>
                <w:rFonts w:ascii="Times New Roman" w:hAnsi="Times New Roman"/>
                <w:sz w:val="18"/>
                <w:szCs w:val="18"/>
                <w:rtl w:val="0"/>
                <w:lang w:val="en-US"/>
              </w:rPr>
              <w:t>Open problems</w:t>
            </w:r>
          </w:p>
        </w:tc>
        <w:tc>
          <w:tcPr>
            <w:tcW w:type="dxa" w:w="3960"/>
            <w:tcBorders>
              <w:top w:val="nil"/>
              <w:left w:val="nil"/>
              <w:bottom w:val="single" w:color="777777" w:sz="8" w:space="0" w:shadow="0" w:frame="0"/>
              <w:right w:val="nil"/>
            </w:tcBorders>
            <w:shd w:val="clear" w:color="auto" w:fill="auto"/>
            <w:tcMar>
              <w:top w:type="dxa" w:w="80"/>
              <w:left w:type="dxa" w:w="80"/>
              <w:bottom w:type="dxa" w:w="80"/>
              <w:right w:type="dxa" w:w="80"/>
            </w:tcMar>
            <w:vAlign w:val="top"/>
          </w:tcPr>
          <w:p>
            <w:pPr>
              <w:pStyle w:val="Compact"/>
              <w:spacing w:after="40" w:line="240" w:lineRule="auto"/>
            </w:pPr>
            <w:r>
              <w:rPr>
                <w:rFonts w:ascii="Times New Roman" w:hAnsi="Times New Roman"/>
                <w:sz w:val="18"/>
                <w:szCs w:val="18"/>
                <w:rtl w:val="0"/>
                <w:lang w:val="en-US"/>
              </w:rPr>
              <w:t>Selection and stability of an electromagnetic sector from neutral relational dynamics; intersector cone universality under interactions; physical clocks and records; stress-preserving microscopic limits with boundaries; geometric scale and gravitational dynamics.</w:t>
            </w:r>
          </w:p>
        </w:tc>
      </w:tr>
    </w:tbl>
    <w:p>
      <w:pPr>
        <w:pStyle w:val="Заголовок 2"/>
        <w:widowControl w:val="0"/>
        <w:spacing w:line="240" w:lineRule="atLeast"/>
        <w:jc w:val="center"/>
      </w:pPr>
    </w:p>
    <w:p>
      <w:pPr>
        <w:pStyle w:val="Текстовый блок"/>
        <w:keepLines w:val="1"/>
        <w:spacing w:before="60" w:line="240" w:lineRule="atLeast"/>
      </w:pPr>
      <w:r>
        <w:rPr>
          <w:b w:val="1"/>
          <w:bCs w:val="1"/>
          <w:rtl w:val="0"/>
          <w:lang w:val="en-US"/>
        </w:rPr>
        <w:t>Hypothesis 22.1 (Stable joint functional reconstruction).</w:t>
      </w:r>
      <w:r>
        <w:rPr>
          <w:rtl w:val="0"/>
          <w:lang w:val="en-US"/>
        </w:rPr>
        <w:t xml:space="preserve"> A specified class of microscopic dynamics and states may admit reconstructions whose physical responses, symplectic structures and calibrated stress observables converge jointly, with one limiting null calibration across the retained physical sectors.</w:t>
      </w:r>
    </w:p>
    <w:p>
      <w:pPr>
        <w:pStyle w:val="Текстовый блок"/>
        <w:spacing w:line="240" w:lineRule="atLeast"/>
      </w:pPr>
      <w:r>
        <w:rPr>
          <w:rtl w:val="0"/>
          <w:lang w:val="en-US"/>
        </w:rPr>
        <w:t>This statement is stronger than either cone convergence or the closure of one assumed Maxwell sector. Symmetry can protect two electromagnetic polarisations without enforcing equal speeds for inequivalent matter representations. Nor does the hypothesis establish attraction to a universality manifold. Any attraction claim must identify the coarse-grained, statistical or dissipative evolution to which it applies and respect the finite conservative recurrence limitations retained from [36].</w:t>
      </w:r>
    </w:p>
    <w:p>
      <w:pPr>
        <w:pStyle w:val="Текстовый блок"/>
        <w:keepLines w:val="1"/>
        <w:spacing w:before="60" w:line="240" w:lineRule="atLeast"/>
      </w:pPr>
      <w:r>
        <w:rPr>
          <w:b w:val="1"/>
          <w:bCs w:val="1"/>
          <w:rtl w:val="0"/>
          <w:lang w:val="en-US"/>
        </w:rPr>
        <w:t>Open Problem 22.2 (The next technical theorem).</w:t>
      </w:r>
      <w:r>
        <w:rPr>
          <w:rtl w:val="0"/>
          <w:lang w:val="en-US"/>
        </w:rPr>
        <w:t xml:space="preserve"> For one explicitly specified constrained microscopic electromagnetic model coupled to a force-measuring boundary, prove a joint finite-time response and stress limit with controlled gauge reduction, no unresolved quadratic energy defect and convergent boundary traces. Show that two independently specified admissible reconstructions give the same timing/pressure closure residual. If quantum local stress is claimed, additionally prove the required state and renormalisation convergence. No equality of the desired pressure or cone may be inserted into the reconstruction definition.</w:t>
      </w:r>
    </w:p>
    <w:p>
      <w:pPr>
        <w:pStyle w:val="Текстовый блок"/>
        <w:spacing w:line="240" w:lineRule="atLeast"/>
      </w:pPr>
      <w:r>
        <w:rPr>
          <w:rtl w:val="0"/>
          <w:lang w:val="en-US"/>
        </w:rPr>
        <w:t>This is a concrete next interface theorem. A more fundamental theorem would also have to select such a constrained model, a stable local sector and common calibration for inequivalent physical sectors from neutral relational data, with stability under a stated class of microscopic perturbations. This paper does not claim that selection.</w:t>
      </w:r>
      <w:bookmarkEnd w:id="64"/>
    </w:p>
    <w:p>
      <w:pPr>
        <w:pStyle w:val="Заголовок 2"/>
        <w:spacing w:line="240" w:lineRule="atLeast"/>
      </w:pPr>
      <w:bookmarkStart w:name="conclusion2" w:id="65"/>
      <w:r>
        <w:rPr>
          <w:rtl w:val="0"/>
          <w:lang w:val="it-IT"/>
        </w:rPr>
        <w:t>23. Conclusion</w:t>
      </w:r>
    </w:p>
    <w:p>
      <w:pPr>
        <w:pStyle w:val="Текстовый блок"/>
        <w:spacing w:line="240" w:lineRule="atLeast"/>
      </w:pPr>
      <w:r>
        <w:rPr>
          <w:rtl w:val="0"/>
          <w:lang w:val="en-US"/>
        </w:rPr>
        <w:t>A substantial subset of light observables is constrained by a single effective Maxwell functional, through distinct variations, symmetry constructions and observer projections. In a single null sector those operations close propagation, energy flux, momentum flux and longitudinal stress into one tensor structure. Pressure tests that structure through interaction with an independently characterised boundary; isotropic radiation and composite invariant mass provide different controlled consequences.</w:t>
      </w:r>
    </w:p>
    <w:p>
      <w:pPr>
        <w:pStyle w:val="Текстовый блок"/>
        <w:spacing w:line="240" w:lineRule="atLeast"/>
      </w:pPr>
      <w:r>
        <w:rPr>
          <w:rtl w:val="0"/>
          <w:lang w:val="en-US"/>
        </w:rPr>
        <w:t>The closure has precise limits. Polarisation needs gauge and representation data, quantum energies need quantisation, correlations need a state, pressure needs a boundary, and gravity needs an additional action. Reconstruction of quadratic observables requires more than preservation of a cone or strong convergence of potentials. The calibrated field-energy estimate and its counterexample locate this extra requirement explicitly. The resulting programme concerns existence and preservation of a joint functional structure between descriptions, with its assumptions exposed.</w:t>
      </w:r>
      <w:bookmarkEnd w:id="65"/>
    </w:p>
    <w:p>
      <w:pPr>
        <w:pStyle w:val="Заголовок"/>
        <w:spacing w:after="100" w:line="240" w:lineRule="atLeast"/>
      </w:pPr>
      <w:bookmarkStart w:name="Xc17b59f3dd39419d20e203dbcc32bf667acb7f6" w:id="66"/>
      <w:r>
        <w:rPr>
          <w:rtl w:val="0"/>
          <w:lang w:val="en-US"/>
        </w:rPr>
        <w:t>Part V. Quantitative interfaces, obstructions, and the version-3 research programme</w:t>
      </w:r>
    </w:p>
    <w:p>
      <w:pPr>
        <w:pStyle w:val="Заголовок 2"/>
        <w:spacing w:after="100" w:line="240" w:lineRule="atLeast"/>
      </w:pPr>
      <w:r>
        <w:rPr>
          <w:rtl w:val="0"/>
          <w:lang w:val="en-US"/>
        </w:rPr>
        <w:t>V.1. Scope, provenance and the open mathematical bottleneck</w:t>
      </w:r>
    </w:p>
    <w:p>
      <w:pPr>
        <w:pStyle w:val="Normal.0"/>
        <w:spacing w:after="100" w:line="240" w:lineRule="atLeast"/>
      </w:pPr>
      <w:r>
        <w:rPr>
          <w:rtl w:val="0"/>
          <w:lang w:val="en-US"/>
        </w:rPr>
        <w:t>This part extends, rather than replaces, Parts I</w:t>
      </w:r>
      <w:r>
        <w:rPr>
          <w:rtl w:val="0"/>
          <w:lang w:val="en-US"/>
        </w:rPr>
        <w:t>–</w:t>
      </w:r>
      <w:r>
        <w:rPr>
          <w:rtl w:val="0"/>
          <w:lang w:val="en-US"/>
        </w:rPr>
        <w:t xml:space="preserve">IV. Those parts already prove on prescribed chains a measure-normalised buffered exterior decay of retarded Green kernels (Part II, </w:t>
      </w:r>
      <w:r>
        <w:rPr>
          <w:rtl w:val="0"/>
          <w:lang w:val="en-US"/>
        </w:rPr>
        <w:t>§</w:t>
      </w:r>
      <w:r>
        <w:rPr>
          <w:rtl w:val="0"/>
          <w:lang w:val="en-US"/>
        </w:rPr>
        <w:t xml:space="preserve">3), compare local and nonlocal reconstructions (Part II, </w:t>
      </w:r>
      <w:r>
        <w:rPr>
          <w:rtl w:val="0"/>
          <w:lang w:val="en-US"/>
        </w:rPr>
        <w:t>§</w:t>
      </w:r>
      <w:r>
        <w:rPr>
          <w:rtl w:val="0"/>
          <w:lang w:val="en-US"/>
        </w:rPr>
        <w:t xml:space="preserve">4; Part III, </w:t>
      </w:r>
      <w:r>
        <w:rPr>
          <w:rtl w:val="0"/>
          <w:lang w:val="en-US"/>
        </w:rPr>
        <w:t>§</w:t>
      </w:r>
      <w:r>
        <w:rPr>
          <w:rtl w:val="0"/>
          <w:lang w:val="en-US"/>
        </w:rPr>
        <w:t xml:space="preserve">3), establish the common-cone compression criterion and its tangency condition (Part I, </w:t>
      </w:r>
      <w:r>
        <w:rPr>
          <w:rtl w:val="0"/>
          <w:lang w:val="en-US"/>
        </w:rPr>
        <w:t>§</w:t>
      </w:r>
      <w:r>
        <w:rPr>
          <w:rtl w:val="0"/>
          <w:lang w:val="en-US"/>
        </w:rPr>
        <w:t xml:space="preserve">7; Part II, </w:t>
      </w:r>
      <w:r>
        <w:rPr>
          <w:rtl w:val="0"/>
          <w:lang w:val="en-US"/>
        </w:rPr>
        <w:t>§</w:t>
      </w:r>
      <w:r>
        <w:rPr>
          <w:rtl w:val="0"/>
          <w:lang w:val="en-US"/>
        </w:rPr>
        <w:t xml:space="preserve">5; Part III, </w:t>
      </w:r>
      <w:r>
        <w:rPr>
          <w:rtl w:val="0"/>
          <w:lang w:val="en-US"/>
        </w:rPr>
        <w:t>§</w:t>
      </w:r>
      <w:r>
        <w:rPr>
          <w:rtl w:val="0"/>
          <w:lang w:val="en-US"/>
        </w:rPr>
        <w:t>2), and identify conditions for quantum Weyl-algebra microcausality and Maxwell-sector functional consistency (Parts III and IV). What is still missing is a law of initially neutral, permutation-equivariant relations that robustly selects an effective geometry, a stable common massless bundle, and a physical time orientation.</w:t>
      </w:r>
    </w:p>
    <w:p>
      <w:pPr>
        <w:pStyle w:val="Normal.0"/>
        <w:spacing w:after="100" w:line="240" w:lineRule="atLeast"/>
      </w:pPr>
      <w:r>
        <w:rPr>
          <w:rtl w:val="0"/>
          <w:lang w:val="en-US"/>
        </w:rPr>
        <w:t xml:space="preserve">The 18-item </w:t>
      </w:r>
      <w:r>
        <w:rPr>
          <w:rtl w:val="0"/>
          <w:lang w:val="en-US"/>
        </w:rPr>
        <w:t>“</w:t>
      </w:r>
      <w:r>
        <w:rPr>
          <w:rtl w:val="0"/>
          <w:lang w:val="en-US"/>
        </w:rPr>
        <w:t>Wishes for the next version</w:t>
      </w:r>
      <w:r>
        <w:rPr>
          <w:rtl w:val="0"/>
          <w:lang w:val="en-US"/>
        </w:rPr>
        <w:t xml:space="preserve">” </w:t>
      </w:r>
      <w:r>
        <w:rPr>
          <w:rtl w:val="0"/>
          <w:lang w:val="en-US"/>
        </w:rPr>
        <w:t xml:space="preserve">memorandum is therefore a programme specification, not a list of 18 unresolved defects. Table V.1 records which wishes have already been substantially answered and where Version 3 adds new control. </w:t>
      </w:r>
      <w:r>
        <w:rPr>
          <w:rtl w:val="0"/>
          <w:lang w:val="en-US"/>
        </w:rPr>
        <w:t>“</w:t>
      </w:r>
      <w:r>
        <w:rPr>
          <w:rtl w:val="0"/>
          <w:lang w:val="en-US"/>
        </w:rPr>
        <w:t>Addressed</w:t>
      </w:r>
      <w:r>
        <w:rPr>
          <w:rtl w:val="0"/>
          <w:lang w:val="en-US"/>
        </w:rPr>
        <w:t xml:space="preserve">” </w:t>
      </w:r>
      <w:r>
        <w:rPr>
          <w:rtl w:val="0"/>
          <w:lang w:val="en-US"/>
        </w:rPr>
        <w:t>does not mean that the underlying physical emergence problem has been solved.</w:t>
      </w:r>
    </w:p>
    <w:tbl>
      <w:tblPr>
        <w:tblW w:w="9525"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175"/>
        <w:gridCol w:w="3175"/>
        <w:gridCol w:w="3175"/>
      </w:tblGrid>
      <w:tr>
        <w:tblPrEx>
          <w:shd w:val="clear" w:color="auto" w:fill="4f81bd"/>
        </w:tblPrEx>
        <w:trPr>
          <w:trHeight w:val="210" w:hRule="atLeast"/>
          <w:tblHeader/>
        </w:trPr>
        <w:tc>
          <w:tcPr>
            <w:tcW w:type="dxa" w:w="31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df2f6"/>
            <w:tcMar>
              <w:top w:type="dxa" w:w="80"/>
              <w:left w:type="dxa" w:w="80"/>
              <w:bottom w:type="dxa" w:w="80"/>
              <w:right w:type="dxa" w:w="80"/>
            </w:tcMar>
            <w:vAlign w:val="center"/>
          </w:tcPr>
          <w:p>
            <w:pPr>
              <w:pStyle w:val="Normal.0"/>
              <w:spacing w:after="20"/>
            </w:pPr>
            <w:r>
              <w:rPr>
                <w:rFonts w:ascii="Aptos" w:cs="Aptos" w:hAnsi="Aptos" w:eastAsia="Aptos"/>
                <w:b w:val="1"/>
                <w:bCs w:val="1"/>
                <w:sz w:val="16"/>
                <w:szCs w:val="16"/>
                <w:rtl w:val="0"/>
                <w:lang w:val="en-US"/>
              </w:rPr>
              <w:t>Item</w:t>
            </w:r>
          </w:p>
        </w:tc>
        <w:tc>
          <w:tcPr>
            <w:tcW w:type="dxa" w:w="31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df2f6"/>
            <w:tcMar>
              <w:top w:type="dxa" w:w="80"/>
              <w:left w:type="dxa" w:w="80"/>
              <w:bottom w:type="dxa" w:w="80"/>
              <w:right w:type="dxa" w:w="80"/>
            </w:tcMar>
            <w:vAlign w:val="center"/>
          </w:tcPr>
          <w:p>
            <w:pPr>
              <w:pStyle w:val="Normal.0"/>
              <w:spacing w:after="20"/>
            </w:pPr>
            <w:r>
              <w:rPr>
                <w:rFonts w:ascii="Aptos" w:cs="Aptos" w:hAnsi="Aptos" w:eastAsia="Aptos"/>
                <w:b w:val="1"/>
                <w:bCs w:val="1"/>
                <w:sz w:val="16"/>
                <w:szCs w:val="16"/>
                <w:rtl w:val="0"/>
                <w:lang w:val="en-US"/>
              </w:rPr>
              <w:t>Memo focus</w:t>
            </w:r>
          </w:p>
        </w:tc>
        <w:tc>
          <w:tcPr>
            <w:tcW w:type="dxa" w:w="31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df2f6"/>
            <w:tcMar>
              <w:top w:type="dxa" w:w="80"/>
              <w:left w:type="dxa" w:w="80"/>
              <w:bottom w:type="dxa" w:w="80"/>
              <w:right w:type="dxa" w:w="80"/>
            </w:tcMar>
            <w:vAlign w:val="center"/>
          </w:tcPr>
          <w:p>
            <w:pPr>
              <w:pStyle w:val="Normal.0"/>
              <w:spacing w:after="20"/>
            </w:pPr>
            <w:r>
              <w:rPr>
                <w:rFonts w:ascii="Aptos" w:cs="Aptos" w:hAnsi="Aptos" w:eastAsia="Aptos"/>
                <w:b w:val="1"/>
                <w:bCs w:val="1"/>
                <w:sz w:val="16"/>
                <w:szCs w:val="16"/>
                <w:rtl w:val="0"/>
                <w:lang w:val="en-US"/>
              </w:rPr>
              <w:t>Assessment in consolidated manuscript</w:t>
            </w:r>
          </w:p>
        </w:tc>
      </w:tr>
      <w:tr>
        <w:tblPrEx>
          <w:shd w:val="clear" w:color="auto" w:fill="ced7e7"/>
        </w:tblPrEx>
        <w:trPr>
          <w:trHeight w:val="210" w:hRule="atLeast"/>
        </w:trPr>
        <w:tc>
          <w:tcPr>
            <w:tcW w:type="dxa" w:w="31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20"/>
            </w:pPr>
            <w:r>
              <w:rPr>
                <w:rFonts w:ascii="Aptos" w:cs="Aptos" w:hAnsi="Aptos" w:eastAsia="Aptos"/>
                <w:sz w:val="16"/>
                <w:szCs w:val="16"/>
                <w:rtl w:val="0"/>
                <w:lang w:val="en-US"/>
              </w:rPr>
              <w:t>1</w:t>
            </w:r>
          </w:p>
        </w:tc>
        <w:tc>
          <w:tcPr>
            <w:tcW w:type="dxa" w:w="31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20"/>
            </w:pPr>
            <w:r>
              <w:rPr>
                <w:rFonts w:ascii="Aptos" w:cs="Aptos" w:hAnsi="Aptos" w:eastAsia="Aptos"/>
                <w:sz w:val="16"/>
                <w:szCs w:val="16"/>
                <w:rtl w:val="0"/>
                <w:lang w:val="en-US"/>
              </w:rPr>
              <w:t>Finite microscopic tails vs exact causality</w:t>
            </w:r>
          </w:p>
        </w:tc>
        <w:tc>
          <w:tcPr>
            <w:tcW w:type="dxa" w:w="31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20"/>
            </w:pPr>
            <w:r>
              <w:rPr>
                <w:rFonts w:ascii="Aptos" w:cs="Aptos" w:hAnsi="Aptos" w:eastAsia="Aptos"/>
                <w:sz w:val="16"/>
                <w:szCs w:val="16"/>
                <w:rtl w:val="0"/>
                <w:lang w:val="en-US"/>
              </w:rPr>
              <w:t xml:space="preserve">Already E: I </w:t>
            </w:r>
            <w:r>
              <w:rPr>
                <w:rFonts w:ascii="Aptos" w:cs="Aptos" w:hAnsi="Aptos" w:eastAsia="Aptos"/>
                <w:sz w:val="16"/>
                <w:szCs w:val="16"/>
                <w:rtl w:val="0"/>
                <w:lang w:val="en-US"/>
              </w:rPr>
              <w:t>§</w:t>
            </w:r>
            <w:r>
              <w:rPr>
                <w:rFonts w:ascii="Aptos" w:cs="Aptos" w:hAnsi="Aptos" w:eastAsia="Aptos"/>
                <w:sz w:val="16"/>
                <w:szCs w:val="16"/>
                <w:rtl w:val="0"/>
                <w:lang w:val="en-US"/>
              </w:rPr>
              <w:t xml:space="preserve">9, II </w:t>
            </w:r>
            <w:r>
              <w:rPr>
                <w:rFonts w:ascii="Aptos" w:cs="Aptos" w:hAnsi="Aptos" w:eastAsia="Aptos"/>
                <w:sz w:val="16"/>
                <w:szCs w:val="16"/>
                <w:rtl w:val="0"/>
                <w:lang w:val="en-US"/>
              </w:rPr>
              <w:t>§</w:t>
            </w:r>
            <w:r>
              <w:rPr>
                <w:rFonts w:ascii="Aptos" w:cs="Aptos" w:hAnsi="Aptos" w:eastAsia="Aptos"/>
                <w:sz w:val="16"/>
                <w:szCs w:val="16"/>
                <w:rtl w:val="0"/>
                <w:lang w:val="en-US"/>
              </w:rPr>
              <w:t xml:space="preserve">3, III </w:t>
            </w:r>
            <w:r>
              <w:rPr>
                <w:rFonts w:ascii="Aptos" w:cs="Aptos" w:hAnsi="Aptos" w:eastAsia="Aptos"/>
                <w:sz w:val="16"/>
                <w:szCs w:val="16"/>
                <w:rtl w:val="0"/>
                <w:lang w:val="en-US"/>
              </w:rPr>
              <w:t>§</w:t>
            </w:r>
            <w:r>
              <w:rPr>
                <w:rFonts w:ascii="Aptos" w:cs="Aptos" w:hAnsi="Aptos" w:eastAsia="Aptos"/>
                <w:sz w:val="16"/>
                <w:szCs w:val="16"/>
                <w:rtl w:val="0"/>
                <w:lang w:val="en-US"/>
              </w:rPr>
              <w:t>5</w:t>
            </w:r>
          </w:p>
        </w:tc>
      </w:tr>
      <w:tr>
        <w:tblPrEx>
          <w:shd w:val="clear" w:color="auto" w:fill="ced7e7"/>
        </w:tblPrEx>
        <w:trPr>
          <w:trHeight w:val="210" w:hRule="atLeast"/>
        </w:trPr>
        <w:tc>
          <w:tcPr>
            <w:tcW w:type="dxa" w:w="31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20"/>
            </w:pPr>
            <w:r>
              <w:rPr>
                <w:rFonts w:ascii="Aptos" w:cs="Aptos" w:hAnsi="Aptos" w:eastAsia="Aptos"/>
                <w:sz w:val="16"/>
                <w:szCs w:val="16"/>
                <w:rtl w:val="0"/>
                <w:lang w:val="en-US"/>
              </w:rPr>
              <w:t>2</w:t>
            </w:r>
          </w:p>
        </w:tc>
        <w:tc>
          <w:tcPr>
            <w:tcW w:type="dxa" w:w="31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20"/>
            </w:pPr>
            <w:r>
              <w:rPr>
                <w:rFonts w:ascii="Aptos" w:cs="Aptos" w:hAnsi="Aptos" w:eastAsia="Aptos"/>
                <w:sz w:val="16"/>
                <w:szCs w:val="16"/>
                <w:rtl w:val="0"/>
                <w:lang w:val="en-US"/>
              </w:rPr>
              <w:t>Relation, response, causal order</w:t>
            </w:r>
          </w:p>
        </w:tc>
        <w:tc>
          <w:tcPr>
            <w:tcW w:type="dxa" w:w="31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20"/>
            </w:pPr>
            <w:r>
              <w:rPr>
                <w:rFonts w:ascii="Aptos" w:cs="Aptos" w:hAnsi="Aptos" w:eastAsia="Aptos"/>
                <w:sz w:val="16"/>
                <w:szCs w:val="16"/>
                <w:rtl w:val="0"/>
                <w:lang w:val="en-US"/>
              </w:rPr>
              <w:t xml:space="preserve">Already E/conceptual: I </w:t>
            </w:r>
            <w:r>
              <w:rPr>
                <w:rFonts w:ascii="Aptos" w:cs="Aptos" w:hAnsi="Aptos" w:eastAsia="Aptos"/>
                <w:sz w:val="16"/>
                <w:szCs w:val="16"/>
                <w:rtl w:val="0"/>
                <w:lang w:val="en-US"/>
              </w:rPr>
              <w:t>§</w:t>
            </w:r>
            <w:r>
              <w:rPr>
                <w:rFonts w:ascii="Aptos" w:cs="Aptos" w:hAnsi="Aptos" w:eastAsia="Aptos"/>
                <w:sz w:val="16"/>
                <w:szCs w:val="16"/>
                <w:rtl w:val="0"/>
                <w:lang w:val="en-US"/>
              </w:rPr>
              <w:t xml:space="preserve">1, II </w:t>
            </w:r>
            <w:r>
              <w:rPr>
                <w:rFonts w:ascii="Aptos" w:cs="Aptos" w:hAnsi="Aptos" w:eastAsia="Aptos"/>
                <w:sz w:val="16"/>
                <w:szCs w:val="16"/>
                <w:rtl w:val="0"/>
                <w:lang w:val="en-US"/>
              </w:rPr>
              <w:t>§</w:t>
            </w:r>
            <w:r>
              <w:rPr>
                <w:rFonts w:ascii="Aptos" w:cs="Aptos" w:hAnsi="Aptos" w:eastAsia="Aptos"/>
                <w:sz w:val="16"/>
                <w:szCs w:val="16"/>
                <w:rtl w:val="0"/>
                <w:lang w:val="en-US"/>
              </w:rPr>
              <w:t>2</w:t>
            </w:r>
          </w:p>
        </w:tc>
      </w:tr>
      <w:tr>
        <w:tblPrEx>
          <w:shd w:val="clear" w:color="auto" w:fill="ced7e7"/>
        </w:tblPrEx>
        <w:trPr>
          <w:trHeight w:val="210" w:hRule="atLeast"/>
        </w:trPr>
        <w:tc>
          <w:tcPr>
            <w:tcW w:type="dxa" w:w="31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20"/>
            </w:pPr>
            <w:r>
              <w:rPr>
                <w:rFonts w:ascii="Aptos" w:cs="Aptos" w:hAnsi="Aptos" w:eastAsia="Aptos"/>
                <w:sz w:val="16"/>
                <w:szCs w:val="16"/>
                <w:rtl w:val="0"/>
                <w:lang w:val="en-US"/>
              </w:rPr>
              <w:t>3</w:t>
            </w:r>
          </w:p>
        </w:tc>
        <w:tc>
          <w:tcPr>
            <w:tcW w:type="dxa" w:w="31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20"/>
            </w:pPr>
            <w:r>
              <w:rPr>
                <w:rFonts w:ascii="Aptos" w:cs="Aptos" w:hAnsi="Aptos" w:eastAsia="Aptos"/>
                <w:sz w:val="16"/>
                <w:szCs w:val="16"/>
                <w:rtl w:val="0"/>
                <w:lang w:val="en-US"/>
              </w:rPr>
              <w:t>Explicit emergence ladder</w:t>
            </w:r>
          </w:p>
        </w:tc>
        <w:tc>
          <w:tcPr>
            <w:tcW w:type="dxa" w:w="31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20"/>
            </w:pPr>
            <w:r>
              <w:rPr>
                <w:rFonts w:ascii="Aptos" w:cs="Aptos" w:hAnsi="Aptos" w:eastAsia="Aptos"/>
                <w:sz w:val="16"/>
                <w:szCs w:val="16"/>
                <w:rtl w:val="0"/>
                <w:lang w:val="en-US"/>
              </w:rPr>
              <w:t xml:space="preserve">Partial: I </w:t>
            </w:r>
            <w:r>
              <w:rPr>
                <w:rFonts w:ascii="Aptos" w:cs="Aptos" w:hAnsi="Aptos" w:eastAsia="Aptos"/>
                <w:sz w:val="16"/>
                <w:szCs w:val="16"/>
                <w:rtl w:val="0"/>
                <w:lang w:val="en-US"/>
              </w:rPr>
              <w:t>§</w:t>
            </w:r>
            <w:r>
              <w:rPr>
                <w:rFonts w:ascii="Aptos" w:cs="Aptos" w:hAnsi="Aptos" w:eastAsia="Aptos"/>
                <w:sz w:val="16"/>
                <w:szCs w:val="16"/>
                <w:rtl w:val="0"/>
                <w:lang w:val="en-US"/>
              </w:rPr>
              <w:t xml:space="preserve">1; V </w:t>
            </w:r>
            <w:r>
              <w:rPr>
                <w:rFonts w:ascii="Aptos" w:cs="Aptos" w:hAnsi="Aptos" w:eastAsia="Aptos"/>
                <w:sz w:val="16"/>
                <w:szCs w:val="16"/>
                <w:rtl w:val="0"/>
                <w:lang w:val="en-US"/>
              </w:rPr>
              <w:t>§</w:t>
            </w:r>
            <w:r>
              <w:rPr>
                <w:rFonts w:ascii="Aptos" w:cs="Aptos" w:hAnsi="Aptos" w:eastAsia="Aptos"/>
                <w:sz w:val="16"/>
                <w:szCs w:val="16"/>
                <w:rtl w:val="0"/>
                <w:lang w:val="en-US"/>
              </w:rPr>
              <w:t xml:space="preserve">1 and </w:t>
            </w:r>
            <w:r>
              <w:rPr>
                <w:rFonts w:ascii="Aptos" w:cs="Aptos" w:hAnsi="Aptos" w:eastAsia="Aptos"/>
                <w:sz w:val="16"/>
                <w:szCs w:val="16"/>
                <w:rtl w:val="0"/>
                <w:lang w:val="en-US"/>
              </w:rPr>
              <w:t>§</w:t>
            </w:r>
            <w:r>
              <w:rPr>
                <w:rFonts w:ascii="Aptos" w:cs="Aptos" w:hAnsi="Aptos" w:eastAsia="Aptos"/>
                <w:sz w:val="16"/>
                <w:szCs w:val="16"/>
                <w:rtl w:val="0"/>
                <w:lang w:val="en-US"/>
              </w:rPr>
              <w:t>9 integrate</w:t>
            </w:r>
          </w:p>
        </w:tc>
      </w:tr>
      <w:tr>
        <w:tblPrEx>
          <w:shd w:val="clear" w:color="auto" w:fill="ced7e7"/>
        </w:tblPrEx>
        <w:trPr>
          <w:trHeight w:val="210" w:hRule="atLeast"/>
        </w:trPr>
        <w:tc>
          <w:tcPr>
            <w:tcW w:type="dxa" w:w="31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20"/>
            </w:pPr>
            <w:r>
              <w:rPr>
                <w:rFonts w:ascii="Aptos" w:cs="Aptos" w:hAnsi="Aptos" w:eastAsia="Aptos"/>
                <w:sz w:val="16"/>
                <w:szCs w:val="16"/>
                <w:rtl w:val="0"/>
                <w:lang w:val="en-US"/>
              </w:rPr>
              <w:t>4</w:t>
            </w:r>
          </w:p>
        </w:tc>
        <w:tc>
          <w:tcPr>
            <w:tcW w:type="dxa" w:w="31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20"/>
            </w:pPr>
            <w:r>
              <w:rPr>
                <w:rFonts w:ascii="Aptos" w:cs="Aptos" w:hAnsi="Aptos" w:eastAsia="Aptos"/>
                <w:sz w:val="16"/>
                <w:szCs w:val="16"/>
                <w:rtl w:val="0"/>
                <w:lang w:val="en-US"/>
              </w:rPr>
              <w:t>Micro-to-effective reconstruction</w:t>
            </w:r>
          </w:p>
        </w:tc>
        <w:tc>
          <w:tcPr>
            <w:tcW w:type="dxa" w:w="31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20"/>
            </w:pPr>
            <w:r>
              <w:rPr>
                <w:rFonts w:ascii="Aptos" w:cs="Aptos" w:hAnsi="Aptos" w:eastAsia="Aptos"/>
                <w:sz w:val="16"/>
                <w:szCs w:val="16"/>
                <w:rtl w:val="0"/>
                <w:lang w:val="en-US"/>
              </w:rPr>
              <w:t xml:space="preserve">Already E/C: II </w:t>
            </w:r>
            <w:r>
              <w:rPr>
                <w:rFonts w:ascii="Aptos" w:cs="Aptos" w:hAnsi="Aptos" w:eastAsia="Aptos"/>
                <w:sz w:val="16"/>
                <w:szCs w:val="16"/>
                <w:rtl w:val="0"/>
                <w:lang w:val="en-US"/>
              </w:rPr>
              <w:t>§</w:t>
            </w:r>
            <w:r>
              <w:rPr>
                <w:rFonts w:ascii="Aptos" w:cs="Aptos" w:hAnsi="Aptos" w:eastAsia="Aptos"/>
                <w:sz w:val="16"/>
                <w:szCs w:val="16"/>
                <w:rtl w:val="0"/>
                <w:lang w:val="en-US"/>
              </w:rPr>
              <w:t xml:space="preserve">2, </w:t>
            </w:r>
            <w:r>
              <w:rPr>
                <w:rFonts w:ascii="Aptos" w:cs="Aptos" w:hAnsi="Aptos" w:eastAsia="Aptos"/>
                <w:sz w:val="16"/>
                <w:szCs w:val="16"/>
                <w:rtl w:val="0"/>
                <w:lang w:val="en-US"/>
              </w:rPr>
              <w:t>§</w:t>
            </w:r>
            <w:r>
              <w:rPr>
                <w:rFonts w:ascii="Aptos" w:cs="Aptos" w:hAnsi="Aptos" w:eastAsia="Aptos"/>
                <w:sz w:val="16"/>
                <w:szCs w:val="16"/>
                <w:rtl w:val="0"/>
                <w:lang w:val="en-US"/>
              </w:rPr>
              <w:t xml:space="preserve">4; III </w:t>
            </w:r>
            <w:r>
              <w:rPr>
                <w:rFonts w:ascii="Aptos" w:cs="Aptos" w:hAnsi="Aptos" w:eastAsia="Aptos"/>
                <w:sz w:val="16"/>
                <w:szCs w:val="16"/>
                <w:rtl w:val="0"/>
                <w:lang w:val="en-US"/>
              </w:rPr>
              <w:t>§</w:t>
            </w:r>
            <w:r>
              <w:rPr>
                <w:rFonts w:ascii="Aptos" w:cs="Aptos" w:hAnsi="Aptos" w:eastAsia="Aptos"/>
                <w:sz w:val="16"/>
                <w:szCs w:val="16"/>
                <w:rtl w:val="0"/>
                <w:lang w:val="en-US"/>
              </w:rPr>
              <w:t xml:space="preserve">3; V </w:t>
            </w:r>
            <w:r>
              <w:rPr>
                <w:rFonts w:ascii="Aptos" w:cs="Aptos" w:hAnsi="Aptos" w:eastAsia="Aptos"/>
                <w:sz w:val="16"/>
                <w:szCs w:val="16"/>
                <w:rtl w:val="0"/>
                <w:lang w:val="en-US"/>
              </w:rPr>
              <w:t>§</w:t>
            </w:r>
            <w:r>
              <w:rPr>
                <w:rFonts w:ascii="Aptos" w:cs="Aptos" w:hAnsi="Aptos" w:eastAsia="Aptos"/>
                <w:sz w:val="16"/>
                <w:szCs w:val="16"/>
                <w:rtl w:val="0"/>
                <w:lang w:val="en-US"/>
              </w:rPr>
              <w:t>2</w:t>
            </w:r>
          </w:p>
        </w:tc>
      </w:tr>
      <w:tr>
        <w:tblPrEx>
          <w:shd w:val="clear" w:color="auto" w:fill="ced7e7"/>
        </w:tblPrEx>
        <w:trPr>
          <w:trHeight w:val="210" w:hRule="atLeast"/>
        </w:trPr>
        <w:tc>
          <w:tcPr>
            <w:tcW w:type="dxa" w:w="31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20"/>
            </w:pPr>
            <w:r>
              <w:rPr>
                <w:rFonts w:ascii="Aptos" w:cs="Aptos" w:hAnsi="Aptos" w:eastAsia="Aptos"/>
                <w:sz w:val="16"/>
                <w:szCs w:val="16"/>
                <w:rtl w:val="0"/>
                <w:lang w:val="en-US"/>
              </w:rPr>
              <w:t>5</w:t>
            </w:r>
          </w:p>
        </w:tc>
        <w:tc>
          <w:tcPr>
            <w:tcW w:type="dxa" w:w="31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20"/>
            </w:pPr>
            <w:r>
              <w:rPr>
                <w:rFonts w:ascii="Aptos" w:cs="Aptos" w:hAnsi="Aptos" w:eastAsia="Aptos"/>
                <w:sz w:val="16"/>
                <w:szCs w:val="16"/>
                <w:rtl w:val="0"/>
                <w:lang w:val="en-US"/>
              </w:rPr>
              <w:t>Vanishing tails in continuum limit</w:t>
            </w:r>
          </w:p>
        </w:tc>
        <w:tc>
          <w:tcPr>
            <w:tcW w:type="dxa" w:w="31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20"/>
            </w:pPr>
            <w:r>
              <w:rPr>
                <w:rFonts w:ascii="Aptos" w:cs="Aptos" w:hAnsi="Aptos" w:eastAsia="Aptos"/>
                <w:sz w:val="16"/>
                <w:szCs w:val="16"/>
                <w:rtl w:val="0"/>
                <w:lang w:val="en-US"/>
              </w:rPr>
              <w:t xml:space="preserve">Already E: II </w:t>
            </w:r>
            <w:r>
              <w:rPr>
                <w:rFonts w:ascii="Aptos" w:cs="Aptos" w:hAnsi="Aptos" w:eastAsia="Aptos"/>
                <w:sz w:val="16"/>
                <w:szCs w:val="16"/>
                <w:rtl w:val="0"/>
                <w:lang w:val="en-US"/>
              </w:rPr>
              <w:t>§</w:t>
            </w:r>
            <w:r>
              <w:rPr>
                <w:rFonts w:ascii="Aptos" w:cs="Aptos" w:hAnsi="Aptos" w:eastAsia="Aptos"/>
                <w:sz w:val="16"/>
                <w:szCs w:val="16"/>
                <w:rtl w:val="0"/>
                <w:lang w:val="en-US"/>
              </w:rPr>
              <w:t xml:space="preserve">3, III </w:t>
            </w:r>
            <w:r>
              <w:rPr>
                <w:rFonts w:ascii="Aptos" w:cs="Aptos" w:hAnsi="Aptos" w:eastAsia="Aptos"/>
                <w:sz w:val="16"/>
                <w:szCs w:val="16"/>
                <w:rtl w:val="0"/>
                <w:lang w:val="en-US"/>
              </w:rPr>
              <w:t>§</w:t>
            </w:r>
            <w:r>
              <w:rPr>
                <w:rFonts w:ascii="Aptos" w:cs="Aptos" w:hAnsi="Aptos" w:eastAsia="Aptos"/>
                <w:sz w:val="16"/>
                <w:szCs w:val="16"/>
                <w:rtl w:val="0"/>
                <w:lang w:val="en-US"/>
              </w:rPr>
              <w:t xml:space="preserve">5; V </w:t>
            </w:r>
            <w:r>
              <w:rPr>
                <w:rFonts w:ascii="Aptos" w:cs="Aptos" w:hAnsi="Aptos" w:eastAsia="Aptos"/>
                <w:sz w:val="16"/>
                <w:szCs w:val="16"/>
                <w:rtl w:val="0"/>
                <w:lang w:val="en-US"/>
              </w:rPr>
              <w:t>§</w:t>
            </w:r>
            <w:r>
              <w:rPr>
                <w:rFonts w:ascii="Aptos" w:cs="Aptos" w:hAnsi="Aptos" w:eastAsia="Aptos"/>
                <w:sz w:val="16"/>
                <w:szCs w:val="16"/>
                <w:rtl w:val="0"/>
                <w:lang w:val="en-US"/>
              </w:rPr>
              <w:t>6 checks</w:t>
            </w:r>
          </w:p>
        </w:tc>
      </w:tr>
      <w:tr>
        <w:tblPrEx>
          <w:shd w:val="clear" w:color="auto" w:fill="ced7e7"/>
        </w:tblPrEx>
        <w:trPr>
          <w:trHeight w:val="210" w:hRule="atLeast"/>
        </w:trPr>
        <w:tc>
          <w:tcPr>
            <w:tcW w:type="dxa" w:w="31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20"/>
            </w:pPr>
            <w:r>
              <w:rPr>
                <w:rFonts w:ascii="Aptos" w:cs="Aptos" w:hAnsi="Aptos" w:eastAsia="Aptos"/>
                <w:sz w:val="16"/>
                <w:szCs w:val="16"/>
                <w:rtl w:val="0"/>
                <w:lang w:val="en-US"/>
              </w:rPr>
              <w:t>6</w:t>
            </w:r>
          </w:p>
        </w:tc>
        <w:tc>
          <w:tcPr>
            <w:tcW w:type="dxa" w:w="31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20"/>
            </w:pPr>
            <w:r>
              <w:rPr>
                <w:rFonts w:ascii="Aptos" w:cs="Aptos" w:hAnsi="Aptos" w:eastAsia="Aptos"/>
                <w:sz w:val="16"/>
                <w:szCs w:val="16"/>
                <w:rtl w:val="0"/>
                <w:lang w:val="en-US"/>
              </w:rPr>
              <w:t>No hand-preselected geometry</w:t>
            </w:r>
          </w:p>
        </w:tc>
        <w:tc>
          <w:tcPr>
            <w:tcW w:type="dxa" w:w="31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20"/>
            </w:pPr>
            <w:r>
              <w:rPr>
                <w:rFonts w:ascii="Aptos" w:cs="Aptos" w:hAnsi="Aptos" w:eastAsia="Aptos"/>
                <w:sz w:val="16"/>
                <w:szCs w:val="16"/>
                <w:rtl w:val="0"/>
                <w:lang w:val="en-US"/>
              </w:rPr>
              <w:t xml:space="preserve">O: V </w:t>
            </w:r>
            <w:r>
              <w:rPr>
                <w:rFonts w:ascii="Aptos" w:cs="Aptos" w:hAnsi="Aptos" w:eastAsia="Aptos"/>
                <w:sz w:val="16"/>
                <w:szCs w:val="16"/>
                <w:rtl w:val="0"/>
                <w:lang w:val="en-US"/>
              </w:rPr>
              <w:t>§</w:t>
            </w:r>
            <w:r>
              <w:rPr>
                <w:rFonts w:ascii="Aptos" w:cs="Aptos" w:hAnsi="Aptos" w:eastAsia="Aptos"/>
                <w:sz w:val="16"/>
                <w:szCs w:val="16"/>
                <w:rtl w:val="0"/>
                <w:lang w:val="en-US"/>
              </w:rPr>
              <w:t>7 sets falsifiable phase protocol</w:t>
            </w:r>
          </w:p>
        </w:tc>
      </w:tr>
      <w:tr>
        <w:tblPrEx>
          <w:shd w:val="clear" w:color="auto" w:fill="ced7e7"/>
        </w:tblPrEx>
        <w:trPr>
          <w:trHeight w:val="210" w:hRule="atLeast"/>
        </w:trPr>
        <w:tc>
          <w:tcPr>
            <w:tcW w:type="dxa" w:w="31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20"/>
            </w:pPr>
            <w:r>
              <w:rPr>
                <w:rFonts w:ascii="Aptos" w:cs="Aptos" w:hAnsi="Aptos" w:eastAsia="Aptos"/>
                <w:sz w:val="16"/>
                <w:szCs w:val="16"/>
                <w:rtl w:val="0"/>
                <w:lang w:val="en-US"/>
              </w:rPr>
              <w:t>7</w:t>
            </w:r>
          </w:p>
        </w:tc>
        <w:tc>
          <w:tcPr>
            <w:tcW w:type="dxa" w:w="31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20"/>
            </w:pPr>
            <w:r>
              <w:rPr>
                <w:rFonts w:ascii="Aptos" w:cs="Aptos" w:hAnsi="Aptos" w:eastAsia="Aptos"/>
                <w:sz w:val="16"/>
                <w:szCs w:val="16"/>
                <w:rtl w:val="0"/>
                <w:lang w:val="en-US"/>
              </w:rPr>
              <w:t>Mechanism protecting common cone</w:t>
            </w:r>
          </w:p>
        </w:tc>
        <w:tc>
          <w:tcPr>
            <w:tcW w:type="dxa" w:w="31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20"/>
            </w:pPr>
            <w:r>
              <w:rPr>
                <w:rFonts w:ascii="Aptos" w:cs="Aptos" w:hAnsi="Aptos" w:eastAsia="Aptos"/>
                <w:sz w:val="16"/>
                <w:szCs w:val="16"/>
                <w:rtl w:val="0"/>
                <w:lang w:val="en-US"/>
              </w:rPr>
              <w:t xml:space="preserve">Partial E/N: II </w:t>
            </w:r>
            <w:r>
              <w:rPr>
                <w:rFonts w:ascii="Aptos" w:cs="Aptos" w:hAnsi="Aptos" w:eastAsia="Aptos"/>
                <w:sz w:val="16"/>
                <w:szCs w:val="16"/>
                <w:rtl w:val="0"/>
                <w:lang w:val="en-US"/>
              </w:rPr>
              <w:t>§</w:t>
            </w:r>
            <w:r>
              <w:rPr>
                <w:rFonts w:ascii="Aptos" w:cs="Aptos" w:hAnsi="Aptos" w:eastAsia="Aptos"/>
                <w:sz w:val="16"/>
                <w:szCs w:val="16"/>
                <w:rtl w:val="0"/>
                <w:lang w:val="en-US"/>
              </w:rPr>
              <w:t xml:space="preserve">5; V </w:t>
            </w:r>
            <w:r>
              <w:rPr>
                <w:rFonts w:ascii="Aptos" w:cs="Aptos" w:hAnsi="Aptos" w:eastAsia="Aptos"/>
                <w:sz w:val="16"/>
                <w:szCs w:val="16"/>
                <w:rtl w:val="0"/>
                <w:lang w:val="en-US"/>
              </w:rPr>
              <w:t>§</w:t>
            </w:r>
            <w:r>
              <w:rPr>
                <w:rFonts w:ascii="Aptos" w:cs="Aptos" w:hAnsi="Aptos" w:eastAsia="Aptos"/>
                <w:sz w:val="16"/>
                <w:szCs w:val="16"/>
                <w:rtl w:val="0"/>
                <w:lang w:val="en-US"/>
              </w:rPr>
              <w:t>4 robustness bound</w:t>
            </w:r>
          </w:p>
        </w:tc>
      </w:tr>
      <w:tr>
        <w:tblPrEx>
          <w:shd w:val="clear" w:color="auto" w:fill="ced7e7"/>
        </w:tblPrEx>
        <w:trPr>
          <w:trHeight w:val="426" w:hRule="atLeast"/>
        </w:trPr>
        <w:tc>
          <w:tcPr>
            <w:tcW w:type="dxa" w:w="31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20"/>
            </w:pPr>
            <w:r>
              <w:rPr>
                <w:rFonts w:ascii="Aptos" w:cs="Aptos" w:hAnsi="Aptos" w:eastAsia="Aptos"/>
                <w:sz w:val="16"/>
                <w:szCs w:val="16"/>
                <w:rtl w:val="0"/>
                <w:lang w:val="en-US"/>
              </w:rPr>
              <w:t>8</w:t>
            </w:r>
          </w:p>
        </w:tc>
        <w:tc>
          <w:tcPr>
            <w:tcW w:type="dxa" w:w="31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20"/>
            </w:pPr>
            <w:r>
              <w:rPr>
                <w:rFonts w:ascii="Aptos" w:cs="Aptos" w:hAnsi="Aptos" w:eastAsia="Aptos"/>
                <w:sz w:val="16"/>
                <w:szCs w:val="16"/>
                <w:rtl w:val="0"/>
                <w:lang w:val="en-US"/>
              </w:rPr>
              <w:t>Invariant is common null structure, not numeric c</w:t>
            </w:r>
          </w:p>
        </w:tc>
        <w:tc>
          <w:tcPr>
            <w:tcW w:type="dxa" w:w="31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20"/>
            </w:pPr>
            <w:r>
              <w:rPr>
                <w:rFonts w:ascii="Aptos" w:cs="Aptos" w:hAnsi="Aptos" w:eastAsia="Aptos"/>
                <w:sz w:val="16"/>
                <w:szCs w:val="16"/>
                <w:rtl w:val="0"/>
                <w:lang w:val="en-US"/>
              </w:rPr>
              <w:t xml:space="preserve">Already E/C: III </w:t>
            </w:r>
            <w:r>
              <w:rPr>
                <w:rFonts w:ascii="Aptos" w:cs="Aptos" w:hAnsi="Aptos" w:eastAsia="Aptos"/>
                <w:sz w:val="16"/>
                <w:szCs w:val="16"/>
                <w:rtl w:val="0"/>
                <w:lang w:val="en-US"/>
              </w:rPr>
              <w:t>§</w:t>
            </w:r>
            <w:r>
              <w:rPr>
                <w:rFonts w:ascii="Aptos" w:cs="Aptos" w:hAnsi="Aptos" w:eastAsia="Aptos"/>
                <w:sz w:val="16"/>
                <w:szCs w:val="16"/>
                <w:rtl w:val="0"/>
                <w:lang w:val="en-US"/>
              </w:rPr>
              <w:t>2</w:t>
            </w:r>
          </w:p>
        </w:tc>
      </w:tr>
      <w:tr>
        <w:tblPrEx>
          <w:shd w:val="clear" w:color="auto" w:fill="ced7e7"/>
        </w:tblPrEx>
        <w:trPr>
          <w:trHeight w:val="210" w:hRule="atLeast"/>
        </w:trPr>
        <w:tc>
          <w:tcPr>
            <w:tcW w:type="dxa" w:w="31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20"/>
            </w:pPr>
            <w:r>
              <w:rPr>
                <w:rFonts w:ascii="Aptos" w:cs="Aptos" w:hAnsi="Aptos" w:eastAsia="Aptos"/>
                <w:sz w:val="16"/>
                <w:szCs w:val="16"/>
                <w:rtl w:val="0"/>
                <w:lang w:val="en-US"/>
              </w:rPr>
              <w:t>9</w:t>
            </w:r>
          </w:p>
        </w:tc>
        <w:tc>
          <w:tcPr>
            <w:tcW w:type="dxa" w:w="31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20"/>
            </w:pPr>
            <w:r>
              <w:rPr>
                <w:rFonts w:ascii="Aptos" w:cs="Aptos" w:hAnsi="Aptos" w:eastAsia="Aptos"/>
                <w:sz w:val="16"/>
                <w:szCs w:val="16"/>
                <w:rtl w:val="0"/>
                <w:lang w:val="en-US"/>
              </w:rPr>
              <w:t>DRD morphism/interface</w:t>
            </w:r>
          </w:p>
        </w:tc>
        <w:tc>
          <w:tcPr>
            <w:tcW w:type="dxa" w:w="31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20"/>
            </w:pPr>
            <w:r>
              <w:rPr>
                <w:rFonts w:ascii="Aptos" w:cs="Aptos" w:hAnsi="Aptos" w:eastAsia="Aptos"/>
                <w:sz w:val="16"/>
                <w:szCs w:val="16"/>
                <w:rtl w:val="0"/>
                <w:lang w:val="en-US"/>
              </w:rPr>
              <w:t xml:space="preserve">Partial C: III </w:t>
            </w:r>
            <w:r>
              <w:rPr>
                <w:rFonts w:ascii="Aptos" w:cs="Aptos" w:hAnsi="Aptos" w:eastAsia="Aptos"/>
                <w:sz w:val="16"/>
                <w:szCs w:val="16"/>
                <w:rtl w:val="0"/>
                <w:lang w:val="en-US"/>
              </w:rPr>
              <w:t>§</w:t>
            </w:r>
            <w:r>
              <w:rPr>
                <w:rFonts w:ascii="Aptos" w:cs="Aptos" w:hAnsi="Aptos" w:eastAsia="Aptos"/>
                <w:sz w:val="16"/>
                <w:szCs w:val="16"/>
                <w:rtl w:val="0"/>
                <w:lang w:val="en-US"/>
              </w:rPr>
              <w:t>9.3</w:t>
            </w:r>
          </w:p>
        </w:tc>
      </w:tr>
      <w:tr>
        <w:tblPrEx>
          <w:shd w:val="clear" w:color="auto" w:fill="ced7e7"/>
        </w:tblPrEx>
        <w:trPr>
          <w:trHeight w:val="210" w:hRule="atLeast"/>
        </w:trPr>
        <w:tc>
          <w:tcPr>
            <w:tcW w:type="dxa" w:w="31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20"/>
            </w:pPr>
            <w:r>
              <w:rPr>
                <w:rFonts w:ascii="Aptos" w:cs="Aptos" w:hAnsi="Aptos" w:eastAsia="Aptos"/>
                <w:sz w:val="16"/>
                <w:szCs w:val="16"/>
                <w:rtl w:val="0"/>
                <w:lang w:val="en-US"/>
              </w:rPr>
              <w:t>10</w:t>
            </w:r>
          </w:p>
        </w:tc>
        <w:tc>
          <w:tcPr>
            <w:tcW w:type="dxa" w:w="31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20"/>
            </w:pPr>
            <w:r>
              <w:rPr>
                <w:rFonts w:ascii="Aptos" w:cs="Aptos" w:hAnsi="Aptos" w:eastAsia="Aptos"/>
                <w:sz w:val="16"/>
                <w:szCs w:val="16"/>
                <w:rtl w:val="0"/>
                <w:lang w:val="en-US"/>
              </w:rPr>
              <w:t>Origin of time orientation</w:t>
            </w:r>
          </w:p>
        </w:tc>
        <w:tc>
          <w:tcPr>
            <w:tcW w:type="dxa" w:w="31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20"/>
            </w:pPr>
            <w:r>
              <w:rPr>
                <w:rFonts w:ascii="Aptos" w:cs="Aptos" w:hAnsi="Aptos" w:eastAsia="Aptos"/>
                <w:sz w:val="16"/>
                <w:szCs w:val="16"/>
                <w:rtl w:val="0"/>
                <w:lang w:val="en-US"/>
              </w:rPr>
              <w:t xml:space="preserve">O: II </w:t>
            </w:r>
            <w:r>
              <w:rPr>
                <w:rFonts w:ascii="Aptos" w:cs="Aptos" w:hAnsi="Aptos" w:eastAsia="Aptos"/>
                <w:sz w:val="16"/>
                <w:szCs w:val="16"/>
                <w:rtl w:val="0"/>
                <w:lang w:val="en-US"/>
              </w:rPr>
              <w:t>§</w:t>
            </w:r>
            <w:r>
              <w:rPr>
                <w:rFonts w:ascii="Aptos" w:cs="Aptos" w:hAnsi="Aptos" w:eastAsia="Aptos"/>
                <w:sz w:val="16"/>
                <w:szCs w:val="16"/>
                <w:rtl w:val="0"/>
                <w:lang w:val="en-US"/>
              </w:rPr>
              <w:t xml:space="preserve">6; V </w:t>
            </w:r>
            <w:r>
              <w:rPr>
                <w:rFonts w:ascii="Aptos" w:cs="Aptos" w:hAnsi="Aptos" w:eastAsia="Aptos"/>
                <w:sz w:val="16"/>
                <w:szCs w:val="16"/>
                <w:rtl w:val="0"/>
                <w:lang w:val="en-US"/>
              </w:rPr>
              <w:t>§</w:t>
            </w:r>
            <w:r>
              <w:rPr>
                <w:rFonts w:ascii="Aptos" w:cs="Aptos" w:hAnsi="Aptos" w:eastAsia="Aptos"/>
                <w:sz w:val="16"/>
                <w:szCs w:val="16"/>
                <w:rtl w:val="0"/>
                <w:lang w:val="en-US"/>
              </w:rPr>
              <w:t>5 no-go and tests</w:t>
            </w:r>
          </w:p>
        </w:tc>
      </w:tr>
      <w:tr>
        <w:tblPrEx>
          <w:shd w:val="clear" w:color="auto" w:fill="ced7e7"/>
        </w:tblPrEx>
        <w:trPr>
          <w:trHeight w:val="210" w:hRule="atLeast"/>
        </w:trPr>
        <w:tc>
          <w:tcPr>
            <w:tcW w:type="dxa" w:w="31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20"/>
            </w:pPr>
            <w:r>
              <w:rPr>
                <w:rFonts w:ascii="Aptos" w:cs="Aptos" w:hAnsi="Aptos" w:eastAsia="Aptos"/>
                <w:sz w:val="16"/>
                <w:szCs w:val="16"/>
                <w:rtl w:val="0"/>
                <w:lang w:val="en-US"/>
              </w:rPr>
              <w:t>11</w:t>
            </w:r>
          </w:p>
        </w:tc>
        <w:tc>
          <w:tcPr>
            <w:tcW w:type="dxa" w:w="31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20"/>
            </w:pPr>
            <w:r>
              <w:rPr>
                <w:rFonts w:ascii="Aptos" w:cs="Aptos" w:hAnsi="Aptos" w:eastAsia="Aptos"/>
                <w:sz w:val="16"/>
                <w:szCs w:val="16"/>
                <w:rtl w:val="0"/>
                <w:lang w:val="en-US"/>
              </w:rPr>
              <w:t>Internal operational observer</w:t>
            </w:r>
          </w:p>
        </w:tc>
        <w:tc>
          <w:tcPr>
            <w:tcW w:type="dxa" w:w="31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20"/>
            </w:pPr>
            <w:r>
              <w:rPr>
                <w:rFonts w:ascii="Aptos" w:cs="Aptos" w:hAnsi="Aptos" w:eastAsia="Aptos"/>
                <w:sz w:val="16"/>
                <w:szCs w:val="16"/>
                <w:rtl w:val="0"/>
                <w:lang w:val="en-US"/>
              </w:rPr>
              <w:t xml:space="preserve">Partial C: IV </w:t>
            </w:r>
            <w:r>
              <w:rPr>
                <w:rFonts w:ascii="Aptos" w:cs="Aptos" w:hAnsi="Aptos" w:eastAsia="Aptos"/>
                <w:sz w:val="16"/>
                <w:szCs w:val="16"/>
                <w:rtl w:val="0"/>
                <w:lang w:val="en-US"/>
              </w:rPr>
              <w:t>§</w:t>
            </w:r>
            <w:r>
              <w:rPr>
                <w:rFonts w:ascii="Aptos" w:cs="Aptos" w:hAnsi="Aptos" w:eastAsia="Aptos"/>
                <w:sz w:val="16"/>
                <w:szCs w:val="16"/>
                <w:rtl w:val="0"/>
                <w:lang w:val="en-US"/>
              </w:rPr>
              <w:t xml:space="preserve">7; V </w:t>
            </w:r>
            <w:r>
              <w:rPr>
                <w:rFonts w:ascii="Aptos" w:cs="Aptos" w:hAnsi="Aptos" w:eastAsia="Aptos"/>
                <w:sz w:val="16"/>
                <w:szCs w:val="16"/>
                <w:rtl w:val="0"/>
                <w:lang w:val="en-US"/>
              </w:rPr>
              <w:t>§</w:t>
            </w:r>
            <w:r>
              <w:rPr>
                <w:rFonts w:ascii="Aptos" w:cs="Aptos" w:hAnsi="Aptos" w:eastAsia="Aptos"/>
                <w:sz w:val="16"/>
                <w:szCs w:val="16"/>
                <w:rtl w:val="0"/>
                <w:lang w:val="en-US"/>
              </w:rPr>
              <w:t>8 protocol</w:t>
            </w:r>
          </w:p>
        </w:tc>
      </w:tr>
      <w:tr>
        <w:tblPrEx>
          <w:shd w:val="clear" w:color="auto" w:fill="ced7e7"/>
        </w:tblPrEx>
        <w:trPr>
          <w:trHeight w:val="210" w:hRule="atLeast"/>
        </w:trPr>
        <w:tc>
          <w:tcPr>
            <w:tcW w:type="dxa" w:w="31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20"/>
            </w:pPr>
            <w:r>
              <w:rPr>
                <w:rFonts w:ascii="Aptos" w:cs="Aptos" w:hAnsi="Aptos" w:eastAsia="Aptos"/>
                <w:sz w:val="16"/>
                <w:szCs w:val="16"/>
                <w:rtl w:val="0"/>
                <w:lang w:val="en-US"/>
              </w:rPr>
              <w:t>12</w:t>
            </w:r>
          </w:p>
        </w:tc>
        <w:tc>
          <w:tcPr>
            <w:tcW w:type="dxa" w:w="31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20"/>
            </w:pPr>
            <w:r>
              <w:rPr>
                <w:rFonts w:ascii="Aptos" w:cs="Aptos" w:hAnsi="Aptos" w:eastAsia="Aptos"/>
                <w:sz w:val="16"/>
                <w:szCs w:val="16"/>
                <w:rtl w:val="0"/>
                <w:lang w:val="en-US"/>
              </w:rPr>
              <w:t>S</w:t>
            </w:r>
            <w:r>
              <w:rPr>
                <w:rFonts w:ascii="Aptos" w:cs="Aptos" w:hAnsi="Aptos" w:eastAsia="Aptos"/>
                <w:sz w:val="16"/>
                <w:szCs w:val="16"/>
                <w:rtl w:val="0"/>
                <w:lang w:val="en-US"/>
              </w:rPr>
              <w:t>³</w:t>
            </w:r>
            <w:r>
              <w:rPr>
                <w:rFonts w:ascii="Aptos" w:cs="Aptos" w:hAnsi="Aptos" w:eastAsia="Aptos"/>
                <w:sz w:val="16"/>
                <w:szCs w:val="16"/>
                <w:rtl w:val="0"/>
                <w:lang w:val="en-US"/>
              </w:rPr>
              <w:t>/topology not a microscopic axiom</w:t>
            </w:r>
          </w:p>
        </w:tc>
        <w:tc>
          <w:tcPr>
            <w:tcW w:type="dxa" w:w="31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20"/>
            </w:pPr>
            <w:r>
              <w:rPr>
                <w:rFonts w:ascii="Aptos" w:cs="Aptos" w:hAnsi="Aptos" w:eastAsia="Aptos"/>
                <w:sz w:val="16"/>
                <w:szCs w:val="16"/>
                <w:rtl w:val="0"/>
                <w:lang w:val="en-US"/>
              </w:rPr>
              <w:t xml:space="preserve">Already restricted: III </w:t>
            </w:r>
            <w:r>
              <w:rPr>
                <w:rFonts w:ascii="Aptos" w:cs="Aptos" w:hAnsi="Aptos" w:eastAsia="Aptos"/>
                <w:sz w:val="16"/>
                <w:szCs w:val="16"/>
                <w:rtl w:val="0"/>
                <w:lang w:val="en-US"/>
              </w:rPr>
              <w:t>§</w:t>
            </w:r>
            <w:r>
              <w:rPr>
                <w:rFonts w:ascii="Aptos" w:cs="Aptos" w:hAnsi="Aptos" w:eastAsia="Aptos"/>
                <w:sz w:val="16"/>
                <w:szCs w:val="16"/>
                <w:rtl w:val="0"/>
                <w:lang w:val="en-US"/>
              </w:rPr>
              <w:t xml:space="preserve">9; IV </w:t>
            </w:r>
            <w:r>
              <w:rPr>
                <w:rFonts w:ascii="Aptos" w:cs="Aptos" w:hAnsi="Aptos" w:eastAsia="Aptos"/>
                <w:sz w:val="16"/>
                <w:szCs w:val="16"/>
                <w:rtl w:val="0"/>
                <w:lang w:val="en-US"/>
              </w:rPr>
              <w:t>§</w:t>
            </w:r>
            <w:r>
              <w:rPr>
                <w:rFonts w:ascii="Aptos" w:cs="Aptos" w:hAnsi="Aptos" w:eastAsia="Aptos"/>
                <w:sz w:val="16"/>
                <w:szCs w:val="16"/>
                <w:rtl w:val="0"/>
                <w:lang w:val="en-US"/>
              </w:rPr>
              <w:t>20</w:t>
            </w:r>
          </w:p>
        </w:tc>
      </w:tr>
      <w:tr>
        <w:tblPrEx>
          <w:shd w:val="clear" w:color="auto" w:fill="ced7e7"/>
        </w:tblPrEx>
        <w:trPr>
          <w:trHeight w:val="426" w:hRule="atLeast"/>
        </w:trPr>
        <w:tc>
          <w:tcPr>
            <w:tcW w:type="dxa" w:w="31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20"/>
            </w:pPr>
            <w:r>
              <w:rPr>
                <w:rFonts w:ascii="Aptos" w:cs="Aptos" w:hAnsi="Aptos" w:eastAsia="Aptos"/>
                <w:sz w:val="16"/>
                <w:szCs w:val="16"/>
                <w:rtl w:val="0"/>
                <w:lang w:val="en-US"/>
              </w:rPr>
              <w:t>13</w:t>
            </w:r>
          </w:p>
        </w:tc>
        <w:tc>
          <w:tcPr>
            <w:tcW w:type="dxa" w:w="31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20"/>
            </w:pPr>
            <w:r>
              <w:rPr>
                <w:rFonts w:ascii="Aptos" w:cs="Aptos" w:hAnsi="Aptos" w:eastAsia="Aptos"/>
                <w:sz w:val="16"/>
                <w:szCs w:val="16"/>
                <w:rtl w:val="0"/>
                <w:lang w:val="en-US"/>
              </w:rPr>
              <w:t>Operational meaning of vacuum/density</w:t>
            </w:r>
          </w:p>
        </w:tc>
        <w:tc>
          <w:tcPr>
            <w:tcW w:type="dxa" w:w="31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20"/>
            </w:pPr>
            <w:r>
              <w:rPr>
                <w:rFonts w:ascii="Aptos" w:cs="Aptos" w:hAnsi="Aptos" w:eastAsia="Aptos"/>
                <w:sz w:val="16"/>
                <w:szCs w:val="16"/>
                <w:rtl w:val="0"/>
                <w:lang w:val="en-US"/>
              </w:rPr>
              <w:t xml:space="preserve">Already distinguished: IV </w:t>
            </w:r>
            <w:r>
              <w:rPr>
                <w:rFonts w:ascii="Aptos" w:cs="Aptos" w:hAnsi="Aptos" w:eastAsia="Aptos"/>
                <w:sz w:val="16"/>
                <w:szCs w:val="16"/>
                <w:rtl w:val="0"/>
                <w:lang w:val="en-US"/>
              </w:rPr>
              <w:t>§</w:t>
            </w:r>
            <w:r>
              <w:rPr>
                <w:rFonts w:ascii="Aptos" w:cs="Aptos" w:hAnsi="Aptos" w:eastAsia="Aptos"/>
                <w:sz w:val="16"/>
                <w:szCs w:val="16"/>
                <w:rtl w:val="0"/>
                <w:lang w:val="en-US"/>
              </w:rPr>
              <w:t>5; physical measure open</w:t>
            </w:r>
          </w:p>
        </w:tc>
      </w:tr>
      <w:tr>
        <w:tblPrEx>
          <w:shd w:val="clear" w:color="auto" w:fill="ced7e7"/>
        </w:tblPrEx>
        <w:trPr>
          <w:trHeight w:val="210" w:hRule="atLeast"/>
        </w:trPr>
        <w:tc>
          <w:tcPr>
            <w:tcW w:type="dxa" w:w="31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20"/>
            </w:pPr>
            <w:r>
              <w:rPr>
                <w:rFonts w:ascii="Aptos" w:cs="Aptos" w:hAnsi="Aptos" w:eastAsia="Aptos"/>
                <w:sz w:val="16"/>
                <w:szCs w:val="16"/>
                <w:rtl w:val="0"/>
                <w:lang w:val="en-US"/>
              </w:rPr>
              <w:t>14</w:t>
            </w:r>
          </w:p>
        </w:tc>
        <w:tc>
          <w:tcPr>
            <w:tcW w:type="dxa" w:w="31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20"/>
            </w:pPr>
            <w:r>
              <w:rPr>
                <w:rFonts w:ascii="Aptos" w:cs="Aptos" w:hAnsi="Aptos" w:eastAsia="Aptos"/>
                <w:sz w:val="16"/>
                <w:szCs w:val="16"/>
                <w:rtl w:val="0"/>
                <w:lang w:val="en-US"/>
              </w:rPr>
              <w:t>No premature derivation of gravity</w:t>
            </w:r>
          </w:p>
        </w:tc>
        <w:tc>
          <w:tcPr>
            <w:tcW w:type="dxa" w:w="31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20"/>
            </w:pPr>
            <w:r>
              <w:rPr>
                <w:rFonts w:ascii="Aptos" w:cs="Aptos" w:hAnsi="Aptos" w:eastAsia="Aptos"/>
                <w:sz w:val="16"/>
                <w:szCs w:val="16"/>
                <w:rtl w:val="0"/>
                <w:lang w:val="en-US"/>
              </w:rPr>
              <w:t xml:space="preserve">Already bounded: I </w:t>
            </w:r>
            <w:r>
              <w:rPr>
                <w:rFonts w:ascii="Aptos" w:cs="Aptos" w:hAnsi="Aptos" w:eastAsia="Aptos"/>
                <w:sz w:val="16"/>
                <w:szCs w:val="16"/>
                <w:rtl w:val="0"/>
                <w:lang w:val="en-US"/>
              </w:rPr>
              <w:t>§</w:t>
            </w:r>
            <w:r>
              <w:rPr>
                <w:rFonts w:ascii="Aptos" w:cs="Aptos" w:hAnsi="Aptos" w:eastAsia="Aptos"/>
                <w:sz w:val="16"/>
                <w:szCs w:val="16"/>
                <w:rtl w:val="0"/>
                <w:lang w:val="en-US"/>
              </w:rPr>
              <w:t xml:space="preserve">10; IV </w:t>
            </w:r>
            <w:r>
              <w:rPr>
                <w:rFonts w:ascii="Aptos" w:cs="Aptos" w:hAnsi="Aptos" w:eastAsia="Aptos"/>
                <w:sz w:val="16"/>
                <w:szCs w:val="16"/>
                <w:rtl w:val="0"/>
                <w:lang w:val="en-US"/>
              </w:rPr>
              <w:t>§§</w:t>
            </w:r>
            <w:r>
              <w:rPr>
                <w:rFonts w:ascii="Aptos" w:cs="Aptos" w:hAnsi="Aptos" w:eastAsia="Aptos"/>
                <w:sz w:val="16"/>
                <w:szCs w:val="16"/>
                <w:rtl w:val="0"/>
                <w:lang w:val="en-US"/>
              </w:rPr>
              <w:t>10</w:t>
            </w:r>
            <w:r>
              <w:rPr>
                <w:rFonts w:ascii="Aptos" w:cs="Aptos" w:hAnsi="Aptos" w:eastAsia="Aptos"/>
                <w:sz w:val="16"/>
                <w:szCs w:val="16"/>
                <w:rtl w:val="0"/>
                <w:lang w:val="en-US"/>
              </w:rPr>
              <w:t>–</w:t>
            </w:r>
            <w:r>
              <w:rPr>
                <w:rFonts w:ascii="Aptos" w:cs="Aptos" w:hAnsi="Aptos" w:eastAsia="Aptos"/>
                <w:sz w:val="16"/>
                <w:szCs w:val="16"/>
                <w:rtl w:val="0"/>
                <w:lang w:val="en-US"/>
              </w:rPr>
              <w:t>14</w:t>
            </w:r>
          </w:p>
        </w:tc>
      </w:tr>
      <w:tr>
        <w:tblPrEx>
          <w:shd w:val="clear" w:color="auto" w:fill="ced7e7"/>
        </w:tblPrEx>
        <w:trPr>
          <w:trHeight w:val="426" w:hRule="atLeast"/>
        </w:trPr>
        <w:tc>
          <w:tcPr>
            <w:tcW w:type="dxa" w:w="31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20"/>
            </w:pPr>
            <w:r>
              <w:rPr>
                <w:rFonts w:ascii="Aptos" w:cs="Aptos" w:hAnsi="Aptos" w:eastAsia="Aptos"/>
                <w:sz w:val="16"/>
                <w:szCs w:val="16"/>
                <w:rtl w:val="0"/>
                <w:lang w:val="en-US"/>
              </w:rPr>
              <w:t>15</w:t>
            </w:r>
          </w:p>
        </w:tc>
        <w:tc>
          <w:tcPr>
            <w:tcW w:type="dxa" w:w="31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20"/>
            </w:pPr>
            <w:r>
              <w:rPr>
                <w:rFonts w:ascii="Aptos" w:cs="Aptos" w:hAnsi="Aptos" w:eastAsia="Aptos"/>
                <w:sz w:val="16"/>
                <w:szCs w:val="16"/>
                <w:rtl w:val="0"/>
                <w:lang w:val="en-US"/>
              </w:rPr>
              <w:t>Finite-size scaling and stability</w:t>
            </w:r>
          </w:p>
        </w:tc>
        <w:tc>
          <w:tcPr>
            <w:tcW w:type="dxa" w:w="31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20"/>
            </w:pPr>
            <w:r>
              <w:rPr>
                <w:rFonts w:ascii="Aptos" w:cs="Aptos" w:hAnsi="Aptos" w:eastAsia="Aptos"/>
                <w:sz w:val="16"/>
                <w:szCs w:val="16"/>
                <w:rtl w:val="0"/>
                <w:lang w:val="en-US"/>
              </w:rPr>
              <w:t xml:space="preserve">Partial E: II </w:t>
            </w:r>
            <w:r>
              <w:rPr>
                <w:rFonts w:ascii="Aptos" w:cs="Aptos" w:hAnsi="Aptos" w:eastAsia="Aptos"/>
                <w:sz w:val="16"/>
                <w:szCs w:val="16"/>
                <w:rtl w:val="0"/>
                <w:lang w:val="en-US"/>
              </w:rPr>
              <w:t>§</w:t>
            </w:r>
            <w:r>
              <w:rPr>
                <w:rFonts w:ascii="Aptos" w:cs="Aptos" w:hAnsi="Aptos" w:eastAsia="Aptos"/>
                <w:sz w:val="16"/>
                <w:szCs w:val="16"/>
                <w:rtl w:val="0"/>
                <w:lang w:val="en-US"/>
              </w:rPr>
              <w:t xml:space="preserve">7; new v3 fixed-time data V </w:t>
            </w:r>
            <w:r>
              <w:rPr>
                <w:rFonts w:ascii="Aptos" w:cs="Aptos" w:hAnsi="Aptos" w:eastAsia="Aptos"/>
                <w:sz w:val="16"/>
                <w:szCs w:val="16"/>
                <w:rtl w:val="0"/>
                <w:lang w:val="en-US"/>
              </w:rPr>
              <w:t>§</w:t>
            </w:r>
            <w:r>
              <w:rPr>
                <w:rFonts w:ascii="Aptos" w:cs="Aptos" w:hAnsi="Aptos" w:eastAsia="Aptos"/>
                <w:sz w:val="16"/>
                <w:szCs w:val="16"/>
                <w:rtl w:val="0"/>
                <w:lang w:val="en-US"/>
              </w:rPr>
              <w:t>6</w:t>
            </w:r>
          </w:p>
        </w:tc>
      </w:tr>
      <w:tr>
        <w:tblPrEx>
          <w:shd w:val="clear" w:color="auto" w:fill="ced7e7"/>
        </w:tblPrEx>
        <w:trPr>
          <w:trHeight w:val="210" w:hRule="atLeast"/>
        </w:trPr>
        <w:tc>
          <w:tcPr>
            <w:tcW w:type="dxa" w:w="31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20"/>
            </w:pPr>
            <w:r>
              <w:rPr>
                <w:rFonts w:ascii="Aptos" w:cs="Aptos" w:hAnsi="Aptos" w:eastAsia="Aptos"/>
                <w:sz w:val="16"/>
                <w:szCs w:val="16"/>
                <w:rtl w:val="0"/>
                <w:lang w:val="en-US"/>
              </w:rPr>
              <w:t>16</w:t>
            </w:r>
          </w:p>
        </w:tc>
        <w:tc>
          <w:tcPr>
            <w:tcW w:type="dxa" w:w="31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20"/>
            </w:pPr>
            <w:r>
              <w:rPr>
                <w:rFonts w:ascii="Aptos" w:cs="Aptos" w:hAnsi="Aptos" w:eastAsia="Aptos"/>
                <w:sz w:val="16"/>
                <w:szCs w:val="16"/>
                <w:rtl w:val="0"/>
                <w:lang w:val="en-US"/>
              </w:rPr>
              <w:t>No-go and non-implications</w:t>
            </w:r>
          </w:p>
        </w:tc>
        <w:tc>
          <w:tcPr>
            <w:tcW w:type="dxa" w:w="31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20"/>
            </w:pPr>
            <w:r>
              <w:rPr>
                <w:rFonts w:ascii="Aptos" w:cs="Aptos" w:hAnsi="Aptos" w:eastAsia="Aptos"/>
                <w:sz w:val="16"/>
                <w:szCs w:val="16"/>
                <w:rtl w:val="0"/>
                <w:lang w:val="en-US"/>
              </w:rPr>
              <w:t xml:space="preserve">Already E/N; new V </w:t>
            </w:r>
            <w:r>
              <w:rPr>
                <w:rFonts w:ascii="Aptos" w:cs="Aptos" w:hAnsi="Aptos" w:eastAsia="Aptos"/>
                <w:sz w:val="16"/>
                <w:szCs w:val="16"/>
                <w:rtl w:val="0"/>
                <w:lang w:val="en-US"/>
              </w:rPr>
              <w:t>§</w:t>
            </w:r>
            <w:r>
              <w:rPr>
                <w:rFonts w:ascii="Aptos" w:cs="Aptos" w:hAnsi="Aptos" w:eastAsia="Aptos"/>
                <w:sz w:val="16"/>
                <w:szCs w:val="16"/>
                <w:rtl w:val="0"/>
                <w:lang w:val="en-US"/>
              </w:rPr>
              <w:t xml:space="preserve">3, V </w:t>
            </w:r>
            <w:r>
              <w:rPr>
                <w:rFonts w:ascii="Aptos" w:cs="Aptos" w:hAnsi="Aptos" w:eastAsia="Aptos"/>
                <w:sz w:val="16"/>
                <w:szCs w:val="16"/>
                <w:rtl w:val="0"/>
                <w:lang w:val="en-US"/>
              </w:rPr>
              <w:t>§</w:t>
            </w:r>
            <w:r>
              <w:rPr>
                <w:rFonts w:ascii="Aptos" w:cs="Aptos" w:hAnsi="Aptos" w:eastAsia="Aptos"/>
                <w:sz w:val="16"/>
                <w:szCs w:val="16"/>
                <w:rtl w:val="0"/>
                <w:lang w:val="en-US"/>
              </w:rPr>
              <w:t>5</w:t>
            </w:r>
          </w:p>
        </w:tc>
      </w:tr>
      <w:tr>
        <w:tblPrEx>
          <w:shd w:val="clear" w:color="auto" w:fill="ced7e7"/>
        </w:tblPrEx>
        <w:trPr>
          <w:trHeight w:val="210" w:hRule="atLeast"/>
        </w:trPr>
        <w:tc>
          <w:tcPr>
            <w:tcW w:type="dxa" w:w="31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20"/>
            </w:pPr>
            <w:r>
              <w:rPr>
                <w:rFonts w:ascii="Aptos" w:cs="Aptos" w:hAnsi="Aptos" w:eastAsia="Aptos"/>
                <w:sz w:val="16"/>
                <w:szCs w:val="16"/>
                <w:rtl w:val="0"/>
                <w:lang w:val="en-US"/>
              </w:rPr>
              <w:t>17</w:t>
            </w:r>
          </w:p>
        </w:tc>
        <w:tc>
          <w:tcPr>
            <w:tcW w:type="dxa" w:w="31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20"/>
            </w:pPr>
            <w:r>
              <w:rPr>
                <w:rFonts w:ascii="Aptos" w:cs="Aptos" w:hAnsi="Aptos" w:eastAsia="Aptos"/>
                <w:sz w:val="16"/>
                <w:szCs w:val="16"/>
                <w:rtl w:val="0"/>
                <w:lang w:val="en-US"/>
              </w:rPr>
              <w:t>Theorem map and falsifiers</w:t>
            </w:r>
          </w:p>
        </w:tc>
        <w:tc>
          <w:tcPr>
            <w:tcW w:type="dxa" w:w="31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20"/>
            </w:pPr>
            <w:r>
              <w:rPr>
                <w:rFonts w:ascii="Aptos" w:cs="Aptos" w:hAnsi="Aptos" w:eastAsia="Aptos"/>
                <w:sz w:val="16"/>
                <w:szCs w:val="16"/>
                <w:rtl w:val="0"/>
                <w:lang w:val="en-US"/>
              </w:rPr>
              <w:t xml:space="preserve">Partial existing: III </w:t>
            </w:r>
            <w:r>
              <w:rPr>
                <w:rFonts w:ascii="Aptos" w:cs="Aptos" w:hAnsi="Aptos" w:eastAsia="Aptos"/>
                <w:sz w:val="16"/>
                <w:szCs w:val="16"/>
                <w:rtl w:val="0"/>
                <w:lang w:val="en-US"/>
              </w:rPr>
              <w:t>§</w:t>
            </w:r>
            <w:r>
              <w:rPr>
                <w:rFonts w:ascii="Aptos" w:cs="Aptos" w:hAnsi="Aptos" w:eastAsia="Aptos"/>
                <w:sz w:val="16"/>
                <w:szCs w:val="16"/>
                <w:rtl w:val="0"/>
                <w:lang w:val="en-US"/>
              </w:rPr>
              <w:t xml:space="preserve">10, IV </w:t>
            </w:r>
            <w:r>
              <w:rPr>
                <w:rFonts w:ascii="Aptos" w:cs="Aptos" w:hAnsi="Aptos" w:eastAsia="Aptos"/>
                <w:sz w:val="16"/>
                <w:szCs w:val="16"/>
                <w:rtl w:val="0"/>
                <w:lang w:val="en-US"/>
              </w:rPr>
              <w:t>§</w:t>
            </w:r>
            <w:r>
              <w:rPr>
                <w:rFonts w:ascii="Aptos" w:cs="Aptos" w:hAnsi="Aptos" w:eastAsia="Aptos"/>
                <w:sz w:val="16"/>
                <w:szCs w:val="16"/>
                <w:rtl w:val="0"/>
                <w:lang w:val="en-US"/>
              </w:rPr>
              <w:t xml:space="preserve">22; V </w:t>
            </w:r>
            <w:r>
              <w:rPr>
                <w:rFonts w:ascii="Aptos" w:cs="Aptos" w:hAnsi="Aptos" w:eastAsia="Aptos"/>
                <w:sz w:val="16"/>
                <w:szCs w:val="16"/>
                <w:rtl w:val="0"/>
                <w:lang w:val="en-US"/>
              </w:rPr>
              <w:t>§</w:t>
            </w:r>
            <w:r>
              <w:rPr>
                <w:rFonts w:ascii="Aptos" w:cs="Aptos" w:hAnsi="Aptos" w:eastAsia="Aptos"/>
                <w:sz w:val="16"/>
                <w:szCs w:val="16"/>
                <w:rtl w:val="0"/>
                <w:lang w:val="en-US"/>
              </w:rPr>
              <w:t>9</w:t>
            </w:r>
          </w:p>
        </w:tc>
      </w:tr>
      <w:tr>
        <w:tblPrEx>
          <w:shd w:val="clear" w:color="auto" w:fill="ced7e7"/>
        </w:tblPrEx>
        <w:trPr>
          <w:trHeight w:val="426" w:hRule="atLeast"/>
        </w:trPr>
        <w:tc>
          <w:tcPr>
            <w:tcW w:type="dxa" w:w="31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20"/>
            </w:pPr>
            <w:r>
              <w:rPr>
                <w:rFonts w:ascii="Aptos" w:cs="Aptos" w:hAnsi="Aptos" w:eastAsia="Aptos"/>
                <w:sz w:val="16"/>
                <w:szCs w:val="16"/>
                <w:rtl w:val="0"/>
                <w:lang w:val="en-US"/>
              </w:rPr>
              <w:t>18</w:t>
            </w:r>
          </w:p>
        </w:tc>
        <w:tc>
          <w:tcPr>
            <w:tcW w:type="dxa" w:w="31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20"/>
            </w:pPr>
            <w:r>
              <w:rPr>
                <w:rFonts w:ascii="Aptos" w:cs="Aptos" w:hAnsi="Aptos" w:eastAsia="Aptos"/>
                <w:sz w:val="16"/>
                <w:szCs w:val="16"/>
                <w:rtl w:val="0"/>
                <w:lang w:val="en-US"/>
              </w:rPr>
              <w:t xml:space="preserve">Invariants/transitions over </w:t>
            </w:r>
            <w:r>
              <w:rPr>
                <w:rFonts w:ascii="Aptos" w:cs="Aptos" w:hAnsi="Aptos" w:eastAsia="Aptos"/>
                <w:sz w:val="16"/>
                <w:szCs w:val="16"/>
                <w:rtl w:val="0"/>
                <w:lang w:val="en-US"/>
              </w:rPr>
              <w:t>“</w:t>
            </w:r>
            <w:r>
              <w:rPr>
                <w:rFonts w:ascii="Aptos" w:cs="Aptos" w:hAnsi="Aptos" w:eastAsia="Aptos"/>
                <w:sz w:val="16"/>
                <w:szCs w:val="16"/>
                <w:rtl w:val="0"/>
                <w:lang w:val="en-US"/>
              </w:rPr>
              <w:t>last substance</w:t>
            </w:r>
            <w:r>
              <w:rPr>
                <w:rFonts w:ascii="Aptos" w:cs="Aptos" w:hAnsi="Aptos" w:eastAsia="Aptos"/>
                <w:sz w:val="16"/>
                <w:szCs w:val="16"/>
                <w:rtl w:val="0"/>
                <w:lang w:val="en-US"/>
              </w:rPr>
              <w:t>”</w:t>
            </w:r>
          </w:p>
        </w:tc>
        <w:tc>
          <w:tcPr>
            <w:tcW w:type="dxa" w:w="31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20"/>
            </w:pPr>
            <w:r>
              <w:rPr>
                <w:rFonts w:ascii="Aptos" w:cs="Aptos" w:hAnsi="Aptos" w:eastAsia="Aptos"/>
                <w:sz w:val="16"/>
                <w:szCs w:val="16"/>
                <w:rtl w:val="0"/>
                <w:lang w:val="en-US"/>
              </w:rPr>
              <w:t xml:space="preserve">Already core framing; made operational V </w:t>
            </w:r>
            <w:r>
              <w:rPr>
                <w:rFonts w:ascii="Aptos" w:cs="Aptos" w:hAnsi="Aptos" w:eastAsia="Aptos"/>
                <w:sz w:val="16"/>
                <w:szCs w:val="16"/>
                <w:rtl w:val="0"/>
                <w:lang w:val="en-US"/>
              </w:rPr>
              <w:t>§</w:t>
            </w:r>
            <w:r>
              <w:rPr>
                <w:rFonts w:ascii="Aptos" w:cs="Aptos" w:hAnsi="Aptos" w:eastAsia="Aptos"/>
                <w:sz w:val="16"/>
                <w:szCs w:val="16"/>
                <w:rtl w:val="0"/>
                <w:lang w:val="en-US"/>
              </w:rPr>
              <w:t>2</w:t>
            </w:r>
            <w:r>
              <w:rPr>
                <w:rFonts w:ascii="Aptos" w:cs="Aptos" w:hAnsi="Aptos" w:eastAsia="Aptos"/>
                <w:sz w:val="16"/>
                <w:szCs w:val="16"/>
                <w:rtl w:val="0"/>
                <w:lang w:val="en-US"/>
              </w:rPr>
              <w:t>–</w:t>
            </w:r>
            <w:r>
              <w:rPr>
                <w:rFonts w:ascii="Aptos" w:cs="Aptos" w:hAnsi="Aptos" w:eastAsia="Aptos"/>
                <w:sz w:val="16"/>
                <w:szCs w:val="16"/>
                <w:rtl w:val="0"/>
                <w:lang w:val="en-US"/>
              </w:rPr>
              <w:t>9</w:t>
            </w:r>
          </w:p>
        </w:tc>
      </w:tr>
    </w:tbl>
    <w:p>
      <w:pPr>
        <w:pStyle w:val="Normal.0"/>
        <w:widowControl w:val="0"/>
        <w:spacing w:after="100" w:line="240" w:lineRule="atLeast"/>
        <w:ind w:firstLine="0"/>
        <w:jc w:val="center"/>
      </w:pPr>
    </w:p>
    <w:p>
      <w:pPr>
        <w:pStyle w:val="Normal.0"/>
        <w:spacing w:after="100" w:line="240" w:lineRule="atLeast"/>
      </w:pPr>
      <w:r>
        <w:rPr>
          <w:rtl w:val="0"/>
          <w:lang w:val="en-US"/>
        </w:rPr>
        <w:t xml:space="preserve">There is no scientific basis to claim a </w:t>
      </w:r>
      <w:r>
        <w:rPr>
          <w:rtl w:val="0"/>
          <w:lang w:val="en-US"/>
        </w:rPr>
        <w:t>“</w:t>
      </w:r>
      <w:r>
        <w:rPr>
          <w:rtl w:val="0"/>
          <w:lang w:val="en-US"/>
        </w:rPr>
        <w:t>general derivation of spacetime</w:t>
      </w:r>
      <w:r>
        <w:rPr>
          <w:rtl w:val="0"/>
          <w:lang w:val="en-US"/>
        </w:rPr>
        <w:t xml:space="preserve">” </w:t>
      </w:r>
      <w:r>
        <w:rPr>
          <w:rtl w:val="0"/>
          <w:lang w:val="en-US"/>
        </w:rPr>
        <w:t xml:space="preserve">from these results. In this extension </w:t>
      </w:r>
      <w:r>
        <w:rPr>
          <w:rtl w:val="0"/>
          <w:lang w:val="en-US"/>
        </w:rPr>
        <w:t>“</w:t>
      </w:r>
      <w:r>
        <w:rPr>
          <w:rtl w:val="0"/>
          <w:lang w:val="en-US"/>
        </w:rPr>
        <w:t>theorem</w:t>
      </w:r>
      <w:r>
        <w:rPr>
          <w:rtl w:val="0"/>
          <w:lang w:val="en-US"/>
        </w:rPr>
        <w:t xml:space="preserve">” </w:t>
      </w:r>
      <w:r>
        <w:rPr>
          <w:rtl w:val="0"/>
          <w:lang w:val="en-US"/>
        </w:rPr>
        <w:t>means a proposition with a proof under the written hypotheses, not a proof of the complete emergence programme.</w:t>
      </w:r>
    </w:p>
    <w:p>
      <w:pPr>
        <w:pStyle w:val="Заголовок 2"/>
        <w:spacing w:after="100" w:line="240" w:lineRule="atLeast"/>
      </w:pPr>
      <w:r>
        <w:rPr>
          <w:rtl w:val="0"/>
          <w:lang w:val="en-US"/>
        </w:rPr>
        <w:t>V.2. The buffered-locality inheritance theorem</w:t>
      </w:r>
    </w:p>
    <w:p>
      <w:pPr>
        <w:pStyle w:val="Normal.0"/>
        <w:spacing w:after="100" w:line="240" w:lineRule="atLeast"/>
      </w:pPr>
      <w:r>
        <w:rPr>
          <w:rtl w:val="0"/>
          <w:lang w:val="en-US"/>
        </w:rPr>
        <w:t xml:space="preserve">Define a sequence of measured finite sites (V_N, </w:t>
      </w:r>
      <w:r>
        <w:rPr>
          <w:rtl w:val="0"/>
          <w:lang w:val="en-US"/>
        </w:rPr>
        <w:t>μ</w:t>
      </w:r>
      <w:r>
        <w:rPr>
          <w:rtl w:val="0"/>
          <w:lang w:val="en-US"/>
        </w:rPr>
        <w:t xml:space="preserve">_N), together with a specified metric d_N in physical units and a causal response density K_N(t;i,j). The measure </w:t>
      </w:r>
      <w:r>
        <w:rPr>
          <w:rtl w:val="0"/>
          <w:lang w:val="en-US"/>
        </w:rPr>
        <w:t>μ</w:t>
      </w:r>
      <w:r>
        <w:rPr>
          <w:rtl w:val="0"/>
          <w:lang w:val="en-US"/>
        </w:rPr>
        <w:t xml:space="preserve">_N matters: if S_N is the matrix of a response operator acting on site values, its density relative to </w:t>
      </w:r>
      <w:r>
        <w:rPr>
          <w:rtl w:val="0"/>
          <w:lang w:val="en-US"/>
        </w:rPr>
        <w:t>μ</w:t>
      </w:r>
      <w:r>
        <w:rPr>
          <w:rtl w:val="0"/>
          <w:lang w:val="en-US"/>
        </w:rPr>
        <w:t>_N is K_N(t;i,j)=S_N(t)ᵢ</w:t>
      </w:r>
      <w:r>
        <w:rPr>
          <w:rFonts w:ascii="Arial Unicode MS" w:cs="Arial Unicode MS" w:hAnsi="Arial Unicode MS" w:eastAsia="Arial Unicode MS" w:hint="default"/>
          <w:b w:val="0"/>
          <w:bCs w:val="0"/>
          <w:i w:val="0"/>
          <w:iCs w:val="0"/>
          <w:rtl w:val="0"/>
          <w:lang w:val="en-US"/>
        </w:rPr>
        <w:t>ⱼ</w:t>
      </w:r>
      <w:r>
        <w:rPr>
          <w:rtl w:val="0"/>
          <w:lang w:val="en-US"/>
        </w:rPr>
        <w:t>/</w:t>
      </w:r>
      <w:r>
        <w:rPr>
          <w:rtl w:val="0"/>
          <w:lang w:val="en-US"/>
        </w:rPr>
        <w:t>μ</w:t>
      </w:r>
      <w:r>
        <w:rPr>
          <w:rtl w:val="0"/>
          <w:lang w:val="en-US"/>
        </w:rPr>
        <w:t xml:space="preserve">_N(j). Neither d_N nor </w:t>
      </w:r>
      <w:r>
        <w:rPr>
          <w:rtl w:val="0"/>
          <w:lang w:val="en-US"/>
        </w:rPr>
        <w:t>μ</w:t>
      </w:r>
      <w:r>
        <w:rPr>
          <w:rtl w:val="0"/>
          <w:lang w:val="en-US"/>
        </w:rPr>
        <w:t xml:space="preserve">_N is asserted to emerge from an arbitrary initial graph. Assume the family has an exterior estimate for some velocity v and every buffer </w:t>
      </w:r>
      <w:r>
        <w:rPr>
          <w:rtl w:val="0"/>
          <w:lang w:val="en-US"/>
        </w:rPr>
        <w:t>δ</w:t>
      </w:r>
      <w:r>
        <w:rPr>
          <w:rtl w:val="0"/>
          <w:lang w:val="en-US"/>
        </w:rPr>
        <w:t>&gt;0, uniformly on a fixed time interval [0,T]:</w:t>
      </w:r>
    </w:p>
    <w:p>
      <w:pPr>
        <w:pStyle w:val="Normal.0"/>
        <w:spacing w:after="100" w:line="240" w:lineRule="atLeast"/>
        <w:jc w:val="center"/>
      </w:pPr>
      <w:r>
        <w:rPr>
          <w:rFonts w:ascii="Cambria Math" w:cs="Cambria Math" w:hAnsi="Cambria Math" w:eastAsia="Cambria Math"/>
          <w:sz w:val="18"/>
          <w:szCs w:val="18"/>
          <w:rtl w:val="0"/>
          <w:lang w:val="en-US"/>
        </w:rPr>
        <w:t>ε</w:t>
      </w:r>
      <w:r>
        <w:rPr>
          <w:rFonts w:ascii="Cambria Math" w:cs="Cambria Math" w:hAnsi="Cambria Math" w:eastAsia="Cambria Math"/>
          <w:sz w:val="18"/>
          <w:szCs w:val="18"/>
          <w:rtl w:val="0"/>
          <w:lang w:val="en-US"/>
        </w:rPr>
        <w:t>_N(T,</w:t>
      </w:r>
      <w:r>
        <w:rPr>
          <w:rFonts w:ascii="Cambria Math" w:cs="Cambria Math" w:hAnsi="Cambria Math" w:eastAsia="Cambria Math"/>
          <w:sz w:val="18"/>
          <w:szCs w:val="18"/>
          <w:rtl w:val="0"/>
          <w:lang w:val="en-US"/>
        </w:rPr>
        <w:t>δ</w:t>
      </w:r>
      <w:r>
        <w:rPr>
          <w:rFonts w:ascii="Cambria Math" w:cs="Cambria Math" w:hAnsi="Cambria Math" w:eastAsia="Cambria Math"/>
          <w:sz w:val="18"/>
          <w:szCs w:val="18"/>
          <w:rtl w:val="0"/>
          <w:lang w:val="en-US"/>
        </w:rPr>
        <w:t>) = sup { |K_N(t;i,j)| : 0</w:t>
      </w:r>
      <w:r>
        <w:rPr>
          <w:rFonts w:ascii="Cambria Math" w:cs="Cambria Math" w:hAnsi="Cambria Math" w:eastAsia="Cambria Math"/>
          <w:sz w:val="18"/>
          <w:szCs w:val="18"/>
          <w:rtl w:val="0"/>
          <w:lang w:val="en-US"/>
        </w:rPr>
        <w:t>≤</w:t>
      </w:r>
      <w:r>
        <w:rPr>
          <w:rFonts w:ascii="Cambria Math" w:cs="Cambria Math" w:hAnsi="Cambria Math" w:eastAsia="Cambria Math"/>
          <w:sz w:val="18"/>
          <w:szCs w:val="18"/>
          <w:rtl w:val="0"/>
          <w:lang w:val="en-US"/>
        </w:rPr>
        <w:t>t</w:t>
      </w:r>
      <w:r>
        <w:rPr>
          <w:rFonts w:ascii="Cambria Math" w:cs="Cambria Math" w:hAnsi="Cambria Math" w:eastAsia="Cambria Math"/>
          <w:sz w:val="18"/>
          <w:szCs w:val="18"/>
          <w:rtl w:val="0"/>
          <w:lang w:val="en-US"/>
        </w:rPr>
        <w:t>≤</w:t>
      </w:r>
      <w:r>
        <w:rPr>
          <w:rFonts w:ascii="Cambria Math" w:cs="Cambria Math" w:hAnsi="Cambria Math" w:eastAsia="Cambria Math"/>
          <w:sz w:val="18"/>
          <w:szCs w:val="18"/>
          <w:rtl w:val="0"/>
          <w:lang w:val="en-US"/>
        </w:rPr>
        <w:t>T, d_N(i,j)&gt;vt+</w:t>
      </w:r>
      <w:r>
        <w:rPr>
          <w:rFonts w:ascii="Cambria Math" w:cs="Cambria Math" w:hAnsi="Cambria Math" w:eastAsia="Cambria Math"/>
          <w:sz w:val="18"/>
          <w:szCs w:val="18"/>
          <w:rtl w:val="0"/>
          <w:lang w:val="en-US"/>
        </w:rPr>
        <w:t xml:space="preserve">δ </w:t>
      </w:r>
      <w:r>
        <w:rPr>
          <w:rFonts w:ascii="Cambria Math" w:cs="Cambria Math" w:hAnsi="Cambria Math" w:eastAsia="Cambria Math"/>
          <w:sz w:val="18"/>
          <w:szCs w:val="18"/>
          <w:rtl w:val="0"/>
          <w:lang w:val="en-US"/>
        </w:rPr>
        <w:t xml:space="preserve">} </w:t>
      </w:r>
      <w:r>
        <w:rPr>
          <w:rFonts w:ascii="Cambria Math" w:cs="Cambria Math" w:hAnsi="Cambria Math" w:eastAsia="Cambria Math"/>
          <w:sz w:val="18"/>
          <w:szCs w:val="18"/>
          <w:rtl w:val="0"/>
          <w:lang w:val="en-US"/>
        </w:rPr>
        <w:t xml:space="preserve">→ </w:t>
      </w:r>
      <w:r>
        <w:rPr>
          <w:rFonts w:ascii="Cambria Math" w:cs="Cambria Math" w:hAnsi="Cambria Math" w:eastAsia="Cambria Math"/>
          <w:sz w:val="18"/>
          <w:szCs w:val="18"/>
          <w:rtl w:val="0"/>
          <w:lang w:val="en-US"/>
        </w:rPr>
        <w:t>0.     (V.1)</w:t>
      </w:r>
    </w:p>
    <w:p>
      <w:pPr>
        <w:pStyle w:val="Normal.0"/>
        <w:spacing w:after="100" w:line="240" w:lineRule="atLeast"/>
      </w:pPr>
      <w:r>
        <w:rPr>
          <w:rtl w:val="0"/>
          <w:lang w:val="en-US"/>
        </w:rPr>
        <w:t>An effective site x is associated with an anchor v_x</w:t>
      </w:r>
      <w:r>
        <w:rPr>
          <w:rFonts w:ascii="Arial Unicode MS" w:cs="Arial Unicode MS" w:hAnsi="Arial Unicode MS" w:eastAsia="Arial Unicode MS" w:hint="default"/>
          <w:b w:val="0"/>
          <w:bCs w:val="0"/>
          <w:i w:val="0"/>
          <w:iCs w:val="0"/>
          <w:rtl w:val="0"/>
          <w:lang w:val="en-US"/>
        </w:rPr>
        <w:t>∈</w:t>
      </w:r>
      <w:r>
        <w:rPr>
          <w:rtl w:val="0"/>
          <w:lang w:val="en-US"/>
        </w:rPr>
        <w:t>V_N. Let B_N be a map whose column b_x(i) implements preparation and readout after the relevant measure factors are absorbed into the column definition. The assumptions are operational, not merely spectral:</w:t>
      </w:r>
    </w:p>
    <w:p>
      <w:pPr>
        <w:pStyle w:val="Normal.0"/>
        <w:spacing w:after="100" w:line="240" w:lineRule="atLeast"/>
        <w:jc w:val="center"/>
      </w:pPr>
      <w:r>
        <w:rPr>
          <w:rFonts w:ascii="Cambria Math" w:cs="Cambria Math" w:hAnsi="Cambria Math" w:eastAsia="Cambria Math"/>
          <w:sz w:val="18"/>
          <w:szCs w:val="18"/>
          <w:rtl w:val="0"/>
          <w:lang w:val="en-US"/>
        </w:rPr>
        <w:t xml:space="preserve">supp b_x </w:t>
      </w:r>
      <w:r>
        <w:rPr>
          <w:rFonts w:ascii="Cambria Math" w:cs="Cambria Math" w:hAnsi="Cambria Math" w:eastAsia="Cambria Math"/>
          <w:sz w:val="18"/>
          <w:szCs w:val="18"/>
          <w:rtl w:val="0"/>
          <w:lang w:val="en-US"/>
        </w:rPr>
        <w:t xml:space="preserve">⊂ </w:t>
      </w:r>
      <w:r>
        <w:rPr>
          <w:rFonts w:ascii="Cambria Math" w:cs="Cambria Math" w:hAnsi="Cambria Math" w:eastAsia="Cambria Math"/>
          <w:sz w:val="18"/>
          <w:szCs w:val="18"/>
          <w:rtl w:val="0"/>
          <w:lang w:val="en-US"/>
        </w:rPr>
        <w:t xml:space="preserve">B_{d_N}(v_x,r_N),       sup_x </w:t>
      </w:r>
      <w:r>
        <w:rPr>
          <w:rFonts w:ascii="Cambria Math" w:cs="Cambria Math" w:hAnsi="Cambria Math" w:eastAsia="Cambria Math"/>
          <w:sz w:val="18"/>
          <w:szCs w:val="18"/>
          <w:rtl w:val="0"/>
          <w:lang w:val="en-US"/>
        </w:rPr>
        <w:t>Σ</w:t>
      </w:r>
      <w:r>
        <w:rPr>
          <w:rFonts w:ascii="Cambria Math" w:cs="Cambria Math" w:hAnsi="Cambria Math" w:eastAsia="Cambria Math"/>
          <w:sz w:val="18"/>
          <w:szCs w:val="18"/>
          <w:rtl w:val="0"/>
          <w:lang w:val="en-US"/>
        </w:rPr>
        <w:t xml:space="preserve">_i |b_x(i)| </w:t>
      </w:r>
      <w:r>
        <w:rPr>
          <w:rFonts w:ascii="Cambria Math" w:cs="Cambria Math" w:hAnsi="Cambria Math" w:eastAsia="Cambria Math"/>
          <w:sz w:val="18"/>
          <w:szCs w:val="18"/>
          <w:rtl w:val="0"/>
          <w:lang w:val="en-US"/>
        </w:rPr>
        <w:t xml:space="preserve">≤ </w:t>
      </w:r>
      <w:r>
        <w:rPr>
          <w:rFonts w:ascii="Cambria Math" w:cs="Cambria Math" w:hAnsi="Cambria Math" w:eastAsia="Cambria Math"/>
          <w:sz w:val="18"/>
          <w:szCs w:val="18"/>
          <w:rtl w:val="0"/>
          <w:lang w:val="en-US"/>
        </w:rPr>
        <w:t xml:space="preserve">C &lt; </w:t>
      </w:r>
      <w:r>
        <w:rPr>
          <w:rFonts w:ascii="Cambria Math" w:cs="Cambria Math" w:hAnsi="Cambria Math" w:eastAsia="Cambria Math"/>
          <w:sz w:val="18"/>
          <w:szCs w:val="18"/>
          <w:rtl w:val="0"/>
          <w:lang w:val="en-US"/>
        </w:rPr>
        <w:t>∞</w:t>
      </w:r>
      <w:r>
        <w:rPr>
          <w:rFonts w:ascii="Cambria Math" w:cs="Cambria Math" w:hAnsi="Cambria Math" w:eastAsia="Cambria Math"/>
          <w:sz w:val="18"/>
          <w:szCs w:val="18"/>
          <w:rtl w:val="0"/>
          <w:lang w:val="en-US"/>
        </w:rPr>
        <w:t>.     (V.2)</w:t>
      </w:r>
    </w:p>
    <w:p>
      <w:pPr>
        <w:pStyle w:val="Normal.0"/>
        <w:spacing w:after="100" w:line="240" w:lineRule="atLeast"/>
      </w:pPr>
      <w:r>
        <w:rPr>
          <w:rtl w:val="0"/>
          <w:lang w:val="en-US"/>
        </w:rPr>
        <w:t>Set d_E(x,y)=d_N(v_x,v_y) and K_N^E(t;x,y)=</w:t>
      </w:r>
      <w:r>
        <w:rPr>
          <w:rtl w:val="0"/>
          <w:lang w:val="en-US"/>
        </w:rPr>
        <w:t>Σ</w:t>
      </w:r>
      <w:r>
        <w:rPr>
          <w:rtl w:val="0"/>
          <w:lang w:val="en-US"/>
        </w:rPr>
        <w:t>_{i,j} b_x(i) K_N(t;i,j) b_y(j). For asymmetric preparation and readout maps one uses two separately bounded column norms and their product instead of C</w:t>
      </w:r>
      <w:r>
        <w:rPr>
          <w:rtl w:val="0"/>
          <w:lang w:val="en-US"/>
        </w:rPr>
        <w:t>²</w:t>
      </w:r>
      <w:r>
        <w:rPr>
          <w:rtl w:val="0"/>
          <w:lang w:val="en-US"/>
        </w:rPr>
        <w:t>.</w:t>
      </w:r>
    </w:p>
    <w:p>
      <w:pPr>
        <w:pStyle w:val="Normal.0"/>
        <w:spacing w:after="100" w:line="240" w:lineRule="atLeast"/>
      </w:pPr>
      <w:r>
        <w:rPr>
          <w:rtl w:val="0"/>
          <w:lang w:val="en-US"/>
        </w:rPr>
        <w:t>THEOREM V.1 (local reconstruction preserves buffered exterior decay). Under (V.1)</w:t>
      </w:r>
      <w:r>
        <w:rPr>
          <w:rtl w:val="0"/>
          <w:lang w:val="en-US"/>
        </w:rPr>
        <w:t>–</w:t>
      </w:r>
      <w:r>
        <w:rPr>
          <w:rtl w:val="0"/>
          <w:lang w:val="en-US"/>
        </w:rPr>
        <w:t>(V.2), for all 0</w:t>
      </w:r>
      <w:r>
        <w:rPr>
          <w:rtl w:val="0"/>
          <w:lang w:val="en-US"/>
        </w:rPr>
        <w:t>≤</w:t>
      </w:r>
      <w:r>
        <w:rPr>
          <w:rtl w:val="0"/>
          <w:lang w:val="en-US"/>
        </w:rPr>
        <w:t>t</w:t>
      </w:r>
      <w:r>
        <w:rPr>
          <w:rtl w:val="0"/>
          <w:lang w:val="en-US"/>
        </w:rPr>
        <w:t>≤</w:t>
      </w:r>
      <w:r>
        <w:rPr>
          <w:rtl w:val="0"/>
          <w:lang w:val="en-US"/>
        </w:rPr>
        <w:t>T,</w:t>
      </w:r>
    </w:p>
    <w:p>
      <w:pPr>
        <w:pStyle w:val="Normal.0"/>
        <w:spacing w:after="100" w:line="240" w:lineRule="atLeast"/>
        <w:jc w:val="center"/>
      </w:pPr>
      <w:r>
        <w:rPr>
          <w:rFonts w:ascii="Cambria Math" w:cs="Cambria Math" w:hAnsi="Cambria Math" w:eastAsia="Cambria Math"/>
          <w:sz w:val="18"/>
          <w:szCs w:val="18"/>
          <w:rtl w:val="0"/>
          <w:lang w:val="en-US"/>
        </w:rPr>
        <w:t>d_E(x,y)&gt;vt+</w:t>
      </w:r>
      <w:r>
        <w:rPr>
          <w:rFonts w:ascii="Cambria Math" w:cs="Cambria Math" w:hAnsi="Cambria Math" w:eastAsia="Cambria Math"/>
          <w:sz w:val="18"/>
          <w:szCs w:val="18"/>
          <w:rtl w:val="0"/>
          <w:lang w:val="en-US"/>
        </w:rPr>
        <w:t>δ</w:t>
      </w:r>
      <w:r>
        <w:rPr>
          <w:rFonts w:ascii="Cambria Math" w:cs="Cambria Math" w:hAnsi="Cambria Math" w:eastAsia="Cambria Math"/>
          <w:sz w:val="18"/>
          <w:szCs w:val="18"/>
          <w:rtl w:val="0"/>
          <w:lang w:val="en-US"/>
        </w:rPr>
        <w:t xml:space="preserve">+2r_N  </w:t>
      </w:r>
      <w:r>
        <w:rPr>
          <w:rFonts w:ascii="Cambria Math" w:cs="Cambria Math" w:hAnsi="Cambria Math" w:eastAsia="Cambria Math"/>
          <w:sz w:val="18"/>
          <w:szCs w:val="18"/>
          <w:rtl w:val="0"/>
          <w:lang w:val="en-US"/>
        </w:rPr>
        <w:t xml:space="preserve">⇒  </w:t>
      </w:r>
      <w:r>
        <w:rPr>
          <w:rFonts w:ascii="Cambria Math" w:cs="Cambria Math" w:hAnsi="Cambria Math" w:eastAsia="Cambria Math"/>
          <w:sz w:val="18"/>
          <w:szCs w:val="18"/>
          <w:rtl w:val="0"/>
          <w:lang w:val="en-US"/>
        </w:rPr>
        <w:t xml:space="preserve">|K_N^E(t;x,y)| </w:t>
      </w:r>
      <w:r>
        <w:rPr>
          <w:rFonts w:ascii="Cambria Math" w:cs="Cambria Math" w:hAnsi="Cambria Math" w:eastAsia="Cambria Math"/>
          <w:sz w:val="18"/>
          <w:szCs w:val="18"/>
          <w:rtl w:val="0"/>
          <w:lang w:val="en-US"/>
        </w:rPr>
        <w:t xml:space="preserve">≤ </w:t>
      </w:r>
      <w:r>
        <w:rPr>
          <w:rFonts w:ascii="Cambria Math" w:cs="Cambria Math" w:hAnsi="Cambria Math" w:eastAsia="Cambria Math"/>
          <w:sz w:val="18"/>
          <w:szCs w:val="18"/>
          <w:rtl w:val="0"/>
          <w:lang w:val="en-US"/>
        </w:rPr>
        <w:t>C</w:t>
      </w:r>
      <w:r>
        <w:rPr>
          <w:rFonts w:ascii="Cambria Math" w:cs="Cambria Math" w:hAnsi="Cambria Math" w:eastAsia="Cambria Math"/>
          <w:sz w:val="18"/>
          <w:szCs w:val="18"/>
          <w:rtl w:val="0"/>
          <w:lang w:val="en-US"/>
        </w:rPr>
        <w:t>² ε</w:t>
      </w:r>
      <w:r>
        <w:rPr>
          <w:rFonts w:ascii="Cambria Math" w:cs="Cambria Math" w:hAnsi="Cambria Math" w:eastAsia="Cambria Math"/>
          <w:sz w:val="18"/>
          <w:szCs w:val="18"/>
          <w:rtl w:val="0"/>
          <w:lang w:val="en-US"/>
        </w:rPr>
        <w:t>_N(T,</w:t>
      </w:r>
      <w:r>
        <w:rPr>
          <w:rFonts w:ascii="Cambria Math" w:cs="Cambria Math" w:hAnsi="Cambria Math" w:eastAsia="Cambria Math"/>
          <w:sz w:val="18"/>
          <w:szCs w:val="18"/>
          <w:rtl w:val="0"/>
          <w:lang w:val="en-US"/>
        </w:rPr>
        <w:t>δ</w:t>
      </w:r>
      <w:r>
        <w:rPr>
          <w:rFonts w:ascii="Cambria Math" w:cs="Cambria Math" w:hAnsi="Cambria Math" w:eastAsia="Cambria Math"/>
          <w:sz w:val="18"/>
          <w:szCs w:val="18"/>
          <w:rtl w:val="0"/>
          <w:lang w:val="en-US"/>
        </w:rPr>
        <w:t>).     (V.3)</w:t>
      </w:r>
    </w:p>
    <w:p>
      <w:pPr>
        <w:pStyle w:val="Normal.0"/>
        <w:spacing w:after="100" w:line="240" w:lineRule="atLeast"/>
      </w:pPr>
      <w:r>
        <w:rPr>
          <w:rtl w:val="0"/>
          <w:lang w:val="en-US"/>
        </w:rPr>
        <w:t>In particular, if r_N</w:t>
      </w:r>
      <w:r>
        <w:rPr>
          <w:rtl w:val="0"/>
          <w:lang w:val="en-US"/>
        </w:rPr>
        <w:t>→</w:t>
      </w:r>
      <w:r>
        <w:rPr>
          <w:rtl w:val="0"/>
          <w:lang w:val="en-US"/>
        </w:rPr>
        <w:t xml:space="preserve">0 and (V.1) holds for every fixed </w:t>
      </w:r>
      <w:r>
        <w:rPr>
          <w:rtl w:val="0"/>
          <w:lang w:val="en-US"/>
        </w:rPr>
        <w:t>δ</w:t>
      </w:r>
      <w:r>
        <w:rPr>
          <w:rtl w:val="0"/>
          <w:lang w:val="en-US"/>
        </w:rPr>
        <w:t xml:space="preserve">&gt;0, then for each </w:t>
      </w:r>
      <w:r>
        <w:rPr>
          <w:rtl w:val="0"/>
          <w:lang w:val="en-US"/>
        </w:rPr>
        <w:t>η</w:t>
      </w:r>
      <w:r>
        <w:rPr>
          <w:rtl w:val="0"/>
          <w:lang w:val="en-US"/>
        </w:rPr>
        <w:t>&gt;0 the effective response has exterior tails tending uniformly to zero in the region d_E(x,y)&gt;vt+</w:t>
      </w:r>
      <w:r>
        <w:rPr>
          <w:rtl w:val="0"/>
          <w:lang w:val="en-US"/>
        </w:rPr>
        <w:t>η</w:t>
      </w:r>
      <w:r>
        <w:rPr>
          <w:rtl w:val="0"/>
          <w:lang w:val="en-US"/>
        </w:rPr>
        <w:t>.</w:t>
      </w:r>
    </w:p>
    <w:p>
      <w:pPr>
        <w:pStyle w:val="Normal.0"/>
        <w:spacing w:after="100" w:line="240" w:lineRule="atLeast"/>
      </w:pPr>
      <w:r>
        <w:rPr>
          <w:rtl w:val="0"/>
          <w:lang w:val="en-US"/>
        </w:rPr>
        <w:t>Proof. If b_x(i)b_y(j)</w:t>
      </w:r>
      <w:r>
        <w:rPr>
          <w:rtl w:val="0"/>
          <w:lang w:val="en-US"/>
        </w:rPr>
        <w:t>≠</w:t>
      </w:r>
      <w:r>
        <w:rPr>
          <w:rtl w:val="0"/>
          <w:lang w:val="en-US"/>
        </w:rPr>
        <w:t>0, the triangle inequality gives d_N(i,j)</w:t>
      </w:r>
      <w:r>
        <w:rPr>
          <w:rtl w:val="0"/>
          <w:lang w:val="en-US"/>
        </w:rPr>
        <w:t>≥</w:t>
      </w:r>
      <w:r>
        <w:rPr>
          <w:rtl w:val="0"/>
          <w:lang w:val="en-US"/>
        </w:rPr>
        <w:t>d_N(v_x,v_y)</w:t>
      </w:r>
      <w:r>
        <w:rPr>
          <w:rtl w:val="0"/>
          <w:lang w:val="en-US"/>
        </w:rPr>
        <w:t>−</w:t>
      </w:r>
      <w:r>
        <w:rPr>
          <w:rtl w:val="0"/>
          <w:lang w:val="en-US"/>
        </w:rPr>
        <w:t>d_N(i,v_x)</w:t>
      </w:r>
      <w:r>
        <w:rPr>
          <w:rtl w:val="0"/>
          <w:lang w:val="en-US"/>
        </w:rPr>
        <w:t>−</w:t>
      </w:r>
      <w:r>
        <w:rPr>
          <w:rtl w:val="0"/>
          <w:lang w:val="en-US"/>
        </w:rPr>
        <w:t>d_N(j,v_y)&gt;vt+</w:t>
      </w:r>
      <w:r>
        <w:rPr>
          <w:rtl w:val="0"/>
          <w:lang w:val="en-US"/>
        </w:rPr>
        <w:t>δ</w:t>
      </w:r>
      <w:r>
        <w:rPr>
          <w:rtl w:val="0"/>
          <w:lang w:val="en-US"/>
        </w:rPr>
        <w:t xml:space="preserve">. Hence each K_N(t;i,j) appearing in the double sum is bounded by </w:t>
      </w:r>
      <w:r>
        <w:rPr>
          <w:rtl w:val="0"/>
          <w:lang w:val="en-US"/>
        </w:rPr>
        <w:t>ε</w:t>
      </w:r>
      <w:r>
        <w:rPr>
          <w:rtl w:val="0"/>
          <w:lang w:val="en-US"/>
        </w:rPr>
        <w:t>_N(T,</w:t>
      </w:r>
      <w:r>
        <w:rPr>
          <w:rtl w:val="0"/>
          <w:lang w:val="en-US"/>
        </w:rPr>
        <w:t>δ</w:t>
      </w:r>
      <w:r>
        <w:rPr>
          <w:rtl w:val="0"/>
          <w:lang w:val="en-US"/>
        </w:rPr>
        <w:t xml:space="preserve">). The two </w:t>
      </w:r>
      <w:r>
        <w:rPr>
          <w:rtl w:val="0"/>
          <w:lang w:val="en-US"/>
        </w:rPr>
        <w:t xml:space="preserve">ℓ¹ </w:t>
      </w:r>
      <w:r>
        <w:rPr>
          <w:rtl w:val="0"/>
          <w:lang w:val="en-US"/>
        </w:rPr>
        <w:t>bounds give |K_N^E(t;x,y)|</w:t>
      </w:r>
      <w:r>
        <w:rPr>
          <w:rtl w:val="0"/>
          <w:lang w:val="en-US"/>
        </w:rPr>
        <w:t>≤ε</w:t>
      </w:r>
      <w:r>
        <w:rPr>
          <w:rtl w:val="0"/>
          <w:lang w:val="en-US"/>
        </w:rPr>
        <w:t>_N(</w:t>
      </w:r>
      <w:r>
        <w:rPr>
          <w:rtl w:val="0"/>
          <w:lang w:val="en-US"/>
        </w:rPr>
        <w:t>Σ</w:t>
      </w:r>
      <w:r>
        <w:rPr>
          <w:rtl w:val="0"/>
          <w:lang w:val="en-US"/>
        </w:rPr>
        <w:t>|b_x|)(</w:t>
      </w:r>
      <w:r>
        <w:rPr>
          <w:rtl w:val="0"/>
          <w:lang w:val="en-US"/>
        </w:rPr>
        <w:t>Σ</w:t>
      </w:r>
      <w:r>
        <w:rPr>
          <w:rtl w:val="0"/>
          <w:lang w:val="en-US"/>
        </w:rPr>
        <w:t>|b_y|)</w:t>
      </w:r>
      <w:r>
        <w:rPr>
          <w:rtl w:val="0"/>
          <w:lang w:val="en-US"/>
        </w:rPr>
        <w:t>≤</w:t>
      </w:r>
      <w:r>
        <w:rPr>
          <w:rtl w:val="0"/>
          <w:lang w:val="en-US"/>
        </w:rPr>
        <w:t>C</w:t>
      </w:r>
      <w:r>
        <w:rPr>
          <w:rtl w:val="0"/>
          <w:lang w:val="en-US"/>
        </w:rPr>
        <w:t>²ε</w:t>
      </w:r>
      <w:r>
        <w:rPr>
          <w:rtl w:val="0"/>
          <w:lang w:val="en-US"/>
        </w:rPr>
        <w:t xml:space="preserve">_N. To obtain the last claim choose </w:t>
      </w:r>
      <w:r>
        <w:rPr>
          <w:rtl w:val="0"/>
          <w:lang w:val="en-US"/>
        </w:rPr>
        <w:t>δ</w:t>
      </w:r>
      <w:r>
        <w:rPr>
          <w:rtl w:val="0"/>
          <w:lang w:val="en-US"/>
        </w:rPr>
        <w:t>=</w:t>
      </w:r>
      <w:r>
        <w:rPr>
          <w:rtl w:val="0"/>
          <w:lang w:val="en-US"/>
        </w:rPr>
        <w:t>η</w:t>
      </w:r>
      <w:r>
        <w:rPr>
          <w:rtl w:val="0"/>
          <w:lang w:val="en-US"/>
        </w:rPr>
        <w:t>/2 and then N large enough for 2r_N&lt;</w:t>
      </w:r>
      <w:r>
        <w:rPr>
          <w:rtl w:val="0"/>
          <w:lang w:val="en-US"/>
        </w:rPr>
        <w:t>η</w:t>
      </w:r>
      <w:r>
        <w:rPr>
          <w:rtl w:val="0"/>
          <w:lang w:val="en-US"/>
        </w:rPr>
        <w:t xml:space="preserve">/2. </w:t>
      </w:r>
      <w:r>
        <w:rPr>
          <w:rtl w:val="0"/>
          <w:lang w:val="en-US"/>
        </w:rPr>
        <w:t>□</w:t>
      </w:r>
    </w:p>
    <w:p>
      <w:pPr>
        <w:pStyle w:val="Normal.0"/>
        <w:spacing w:after="100" w:line="240" w:lineRule="atLeast"/>
      </w:pPr>
      <w:r>
        <w:rPr>
          <w:rtl w:val="0"/>
          <w:lang w:val="en-US"/>
        </w:rPr>
        <w:t xml:space="preserve">Interpretation. Theorem V.1 is a stability/transport result: it cannot manufacture a cone where (V.1) is absent, cannot justify the metric/measure supplied to its hypotheses, and does not itself give a time orientation. It makes an existing tail estimate survive an explicit family of local reconstruction operations. A low-frequency Fourier projector need not have uniformly local columns; therefore no such inheritance is assured for that operation. This sharpens the local-versus-Fourier contrast already established in Part II </w:t>
      </w:r>
      <w:r>
        <w:rPr>
          <w:rtl w:val="0"/>
          <w:lang w:val="en-US"/>
        </w:rPr>
        <w:t>§</w:t>
      </w:r>
      <w:r>
        <w:rPr>
          <w:rtl w:val="0"/>
          <w:lang w:val="en-US"/>
        </w:rPr>
        <w:t>4.</w:t>
      </w:r>
    </w:p>
    <w:p>
      <w:pPr>
        <w:pStyle w:val="Normal.0"/>
        <w:spacing w:after="100" w:line="240" w:lineRule="atLeast"/>
      </w:pPr>
      <w:r>
        <w:rPr>
          <w:rtl w:val="0"/>
          <w:lang w:val="en-US"/>
        </w:rPr>
        <w:t xml:space="preserve">Application to the established chain control. In Part II </w:t>
      </w:r>
      <w:r>
        <w:rPr>
          <w:rtl w:val="0"/>
          <w:lang w:val="en-US"/>
        </w:rPr>
        <w:t>§</w:t>
      </w:r>
      <w:r>
        <w:rPr>
          <w:rtl w:val="0"/>
          <w:lang w:val="en-US"/>
        </w:rPr>
        <w:t>3 the normalised density obeys a buffered exterior bound tending to zero as a_N</w:t>
      </w:r>
      <w:r>
        <w:rPr>
          <w:rtl w:val="0"/>
          <w:lang w:val="en-US"/>
        </w:rPr>
        <w:t>→</w:t>
      </w:r>
      <w:r>
        <w:rPr>
          <w:rtl w:val="0"/>
          <w:lang w:val="en-US"/>
        </w:rPr>
        <w:t>0. For any physically normalised local cell/packet maps satisfying (V.2) with r_N</w:t>
      </w:r>
      <w:r>
        <w:rPr>
          <w:rtl w:val="0"/>
          <w:lang w:val="en-US"/>
        </w:rPr>
        <w:t>→</w:t>
      </w:r>
      <w:r>
        <w:rPr>
          <w:rtl w:val="0"/>
          <w:lang w:val="en-US"/>
        </w:rPr>
        <w:t xml:space="preserve">0, the same consequence follows without a new contour-shift calculation. For nonuniform </w:t>
      </w:r>
      <w:r>
        <w:rPr>
          <w:rtl w:val="0"/>
          <w:lang w:val="en-US"/>
        </w:rPr>
        <w:t>μ</w:t>
      </w:r>
      <w:r>
        <w:rPr>
          <w:rtl w:val="0"/>
          <w:lang w:val="en-US"/>
        </w:rPr>
        <w:t>_N, both the density and B_N must be recomputed in the proper weighted duality; copying unweighted matrix entries can give a false positive.</w:t>
      </w:r>
    </w:p>
    <w:p>
      <w:pPr>
        <w:pStyle w:val="Заголовок 2"/>
        <w:spacing w:after="100" w:line="240" w:lineRule="atLeast"/>
      </w:pPr>
      <w:r>
        <w:rPr>
          <w:rtl w:val="0"/>
          <w:lang w:val="en-US"/>
        </w:rPr>
        <w:t>V.3. A no-go theorem linking spectral expansion and geometric volume growth</w:t>
      </w:r>
    </w:p>
    <w:p>
      <w:pPr>
        <w:pStyle w:val="Normal.0"/>
        <w:spacing w:after="100" w:line="240" w:lineRule="atLeast"/>
      </w:pPr>
      <w:r>
        <w:rPr>
          <w:rtl w:val="0"/>
          <w:lang w:val="en-US"/>
        </w:rPr>
        <w:t>A graph can be spectrally excellent and geometrically inappropriate. Uniform rapid mixing and a high graph spectral gap are not proxies for a stable finite-dimensional local phase. The following elementary obstruction makes the conflict quantitative.</w:t>
      </w:r>
    </w:p>
    <w:p>
      <w:pPr>
        <w:pStyle w:val="Normal.0"/>
        <w:spacing w:after="100" w:line="240" w:lineRule="atLeast"/>
      </w:pPr>
      <w:r>
        <w:rPr>
          <w:rtl w:val="0"/>
          <w:lang w:val="en-US"/>
        </w:rPr>
        <w:t>THEOREM V.2 (bounded-degree expansion obstructs uniform polynomial ball growth). Let G_N be connected, simple, k-regular, unweighted graphs with fixed k</w:t>
      </w:r>
      <w:r>
        <w:rPr>
          <w:rtl w:val="0"/>
          <w:lang w:val="en-US"/>
        </w:rPr>
        <w:t>≥</w:t>
      </w:r>
      <w:r>
        <w:rPr>
          <w:rtl w:val="0"/>
          <w:lang w:val="en-US"/>
        </w:rPr>
        <w:t>3 and N</w:t>
      </w:r>
      <w:r>
        <w:rPr>
          <w:rtl w:val="0"/>
          <w:lang w:val="en-US"/>
        </w:rPr>
        <w:t>→∞</w:t>
      </w:r>
      <w:r>
        <w:rPr>
          <w:rtl w:val="0"/>
          <w:lang w:val="en-US"/>
        </w:rPr>
        <w:t>. Let L_N=kI</w:t>
      </w:r>
      <w:r>
        <w:rPr>
          <w:rtl w:val="0"/>
          <w:lang w:val="en-US"/>
        </w:rPr>
        <w:t>−</w:t>
      </w:r>
      <w:r>
        <w:rPr>
          <w:rtl w:val="0"/>
          <w:lang w:val="en-US"/>
        </w:rPr>
        <w:t xml:space="preserve">A_N, and suppose the global Laplacian gap </w:t>
      </w:r>
      <w:r>
        <w:rPr>
          <w:rtl w:val="0"/>
          <w:lang w:val="en-US"/>
        </w:rPr>
        <w:t>λ</w:t>
      </w:r>
      <w:r>
        <w:rPr>
          <w:rFonts w:ascii="Arial Unicode MS" w:cs="Arial Unicode MS" w:hAnsi="Arial Unicode MS" w:eastAsia="Arial Unicode MS" w:hint="default"/>
          <w:b w:val="0"/>
          <w:bCs w:val="0"/>
          <w:i w:val="0"/>
          <w:iCs w:val="0"/>
          <w:rtl w:val="0"/>
          <w:lang w:val="en-US"/>
        </w:rPr>
        <w:t>₂</w:t>
      </w:r>
      <w:r>
        <w:rPr>
          <w:rtl w:val="0"/>
          <w:lang w:val="en-US"/>
        </w:rPr>
        <w:t>(L_N)</w:t>
      </w:r>
      <w:r>
        <w:rPr>
          <w:rtl w:val="0"/>
          <w:lang w:val="en-US"/>
        </w:rPr>
        <w:t>≥γ</w:t>
      </w:r>
      <w:r>
        <w:rPr>
          <w:rtl w:val="0"/>
          <w:lang w:val="en-US"/>
        </w:rPr>
        <w:t>&gt;0 uniformly. Then</w:t>
      </w:r>
    </w:p>
    <w:p>
      <w:pPr>
        <w:pStyle w:val="Normal.0"/>
        <w:spacing w:after="100" w:line="240" w:lineRule="atLeast"/>
        <w:jc w:val="center"/>
      </w:pPr>
      <w:r>
        <w:rPr>
          <w:rFonts w:ascii="Cambria Math" w:cs="Cambria Math" w:hAnsi="Cambria Math" w:eastAsia="Cambria Math"/>
          <w:sz w:val="18"/>
          <w:szCs w:val="18"/>
          <w:rtl w:val="0"/>
          <w:lang w:val="en-US"/>
        </w:rPr>
        <w:t xml:space="preserve">diam(G_N) </w:t>
      </w:r>
      <w:r>
        <w:rPr>
          <w:rFonts w:ascii="Cambria Math" w:cs="Cambria Math" w:hAnsi="Cambria Math" w:eastAsia="Cambria Math"/>
          <w:sz w:val="18"/>
          <w:szCs w:val="18"/>
          <w:rtl w:val="0"/>
          <w:lang w:val="en-US"/>
        </w:rPr>
        <w:t xml:space="preserve">≤ </w:t>
      </w:r>
      <w:r>
        <w:rPr>
          <w:rFonts w:ascii="Cambria Math" w:cs="Cambria Math" w:hAnsi="Cambria Math" w:eastAsia="Cambria Math"/>
          <w:sz w:val="18"/>
          <w:szCs w:val="18"/>
          <w:rtl w:val="0"/>
          <w:lang w:val="en-US"/>
        </w:rPr>
        <w:t>1 + (2k/</w:t>
      </w:r>
      <w:r>
        <w:rPr>
          <w:rFonts w:ascii="Cambria Math" w:cs="Cambria Math" w:hAnsi="Cambria Math" w:eastAsia="Cambria Math"/>
          <w:sz w:val="18"/>
          <w:szCs w:val="18"/>
          <w:rtl w:val="0"/>
          <w:lang w:val="en-US"/>
        </w:rPr>
        <w:t>γ</w:t>
      </w:r>
      <w:r>
        <w:rPr>
          <w:rFonts w:ascii="Cambria Math" w:cs="Cambria Math" w:hAnsi="Cambria Math" w:eastAsia="Cambria Math"/>
          <w:sz w:val="18"/>
          <w:szCs w:val="18"/>
          <w:rtl w:val="0"/>
          <w:lang w:val="en-US"/>
        </w:rPr>
        <w:t>) log N.     (V.4)</w:t>
      </w:r>
    </w:p>
    <w:p>
      <w:pPr>
        <w:pStyle w:val="Normal.0"/>
        <w:spacing w:after="100" w:line="240" w:lineRule="atLeast"/>
      </w:pPr>
      <w:r>
        <w:rPr>
          <w:rtl w:val="0"/>
          <w:lang w:val="en-US"/>
        </w:rPr>
        <w:t>Consequently, there are no fixed constants C,D&lt;</w:t>
      </w:r>
      <w:r>
        <w:rPr>
          <w:rtl w:val="0"/>
          <w:lang w:val="en-US"/>
        </w:rPr>
        <w:t xml:space="preserve">∞ </w:t>
      </w:r>
      <w:r>
        <w:rPr>
          <w:rtl w:val="0"/>
          <w:lang w:val="en-US"/>
        </w:rPr>
        <w:t>such that every ball in every G_N obeys |B_r(x)|</w:t>
      </w:r>
      <w:r>
        <w:rPr>
          <w:rtl w:val="0"/>
          <w:lang w:val="en-US"/>
        </w:rPr>
        <w:t>≤</w:t>
      </w:r>
      <w:r>
        <w:rPr>
          <w:rtl w:val="0"/>
          <w:lang w:val="en-US"/>
        </w:rPr>
        <w:t>C(1+r)^D for all graph radii r</w:t>
      </w:r>
      <w:r>
        <w:rPr>
          <w:rtl w:val="0"/>
          <w:lang w:val="en-US"/>
        </w:rPr>
        <w:t>≥</w:t>
      </w:r>
      <w:r>
        <w:rPr>
          <w:rtl w:val="0"/>
          <w:lang w:val="en-US"/>
        </w:rPr>
        <w:t>0 and all N. In particular, a fixed-degree expander family is not a uniformly polynomial-growth local lattice merely because its spectrum is well separated.</w:t>
      </w:r>
    </w:p>
    <w:p>
      <w:pPr>
        <w:pStyle w:val="Normal.0"/>
        <w:spacing w:after="100" w:line="240" w:lineRule="atLeast"/>
      </w:pPr>
      <w:r>
        <w:rPr>
          <w:rtl w:val="0"/>
          <w:lang w:val="en-US"/>
        </w:rPr>
        <w:t>Proof. Consider the lazy random-walk matrix P=(I+A_N/k)/2=I</w:t>
      </w:r>
      <w:r>
        <w:rPr>
          <w:rtl w:val="0"/>
          <w:lang w:val="en-US"/>
        </w:rPr>
        <w:t>−</w:t>
      </w:r>
      <w:r>
        <w:rPr>
          <w:rtl w:val="0"/>
          <w:lang w:val="en-US"/>
        </w:rPr>
        <w:t xml:space="preserve">L_N/(2k). It is symmetric stochastic. Its eigenvalues lie in [0,1], and on the orthogonal complement of constants its operator norm is </w:t>
      </w:r>
      <w:r>
        <w:rPr>
          <w:rtl w:val="0"/>
          <w:lang w:val="en-US"/>
        </w:rPr>
        <w:t>ρ≤</w:t>
      </w:r>
      <w:r>
        <w:rPr>
          <w:rtl w:val="0"/>
          <w:lang w:val="en-US"/>
        </w:rPr>
        <w:t>1</w:t>
      </w:r>
      <w:r>
        <w:rPr>
          <w:rtl w:val="0"/>
          <w:lang w:val="en-US"/>
        </w:rPr>
        <w:t>−γ</w:t>
      </w:r>
      <w:r>
        <w:rPr>
          <w:rtl w:val="0"/>
          <w:lang w:val="en-US"/>
        </w:rPr>
        <w:t>/(2k)</w:t>
      </w:r>
      <w:r>
        <w:rPr>
          <w:rtl w:val="0"/>
          <w:lang w:val="en-US"/>
        </w:rPr>
        <w:t>≤</w:t>
      </w:r>
      <w:r>
        <w:rPr>
          <w:rtl w:val="0"/>
          <w:lang w:val="en-US"/>
        </w:rPr>
        <w:t>exp(</w:t>
      </w:r>
      <w:r>
        <w:rPr>
          <w:rtl w:val="0"/>
          <w:lang w:val="en-US"/>
        </w:rPr>
        <w:t>−γ</w:t>
      </w:r>
      <w:r>
        <w:rPr>
          <w:rtl w:val="0"/>
          <w:lang w:val="en-US"/>
        </w:rPr>
        <w:t>/(2k)). For all vertices i,j and positive integers m,</w:t>
      </w:r>
    </w:p>
    <w:p>
      <w:pPr>
        <w:pStyle w:val="Normal.0"/>
        <w:spacing w:after="100" w:line="240" w:lineRule="atLeast"/>
        <w:jc w:val="center"/>
      </w:pPr>
      <w:r>
        <w:rPr>
          <w:rFonts w:ascii="Cambria Math" w:cs="Cambria Math" w:hAnsi="Cambria Math" w:eastAsia="Cambria Math"/>
          <w:sz w:val="18"/>
          <w:szCs w:val="18"/>
          <w:rtl w:val="0"/>
          <w:lang w:val="en-US"/>
        </w:rPr>
        <w:t>|P^m(i,j)</w:t>
      </w:r>
      <w:r>
        <w:rPr>
          <w:rFonts w:ascii="Cambria Math" w:cs="Cambria Math" w:hAnsi="Cambria Math" w:eastAsia="Cambria Math"/>
          <w:sz w:val="18"/>
          <w:szCs w:val="18"/>
          <w:rtl w:val="0"/>
          <w:lang w:val="en-US"/>
        </w:rPr>
        <w:t>−</w:t>
      </w:r>
      <w:r>
        <w:rPr>
          <w:rFonts w:ascii="Cambria Math" w:cs="Cambria Math" w:hAnsi="Cambria Math" w:eastAsia="Cambria Math"/>
          <w:sz w:val="18"/>
          <w:szCs w:val="18"/>
          <w:rtl w:val="0"/>
          <w:lang w:val="en-US"/>
        </w:rPr>
        <w:t xml:space="preserve">1/N| </w:t>
      </w:r>
      <w:r>
        <w:rPr>
          <w:rFonts w:ascii="Cambria Math" w:cs="Cambria Math" w:hAnsi="Cambria Math" w:eastAsia="Cambria Math"/>
          <w:sz w:val="18"/>
          <w:szCs w:val="18"/>
          <w:rtl w:val="0"/>
          <w:lang w:val="en-US"/>
        </w:rPr>
        <w:t>≤ ρ</w:t>
      </w:r>
      <w:r>
        <w:rPr>
          <w:rFonts w:ascii="Cambria Math" w:cs="Cambria Math" w:hAnsi="Cambria Math" w:eastAsia="Cambria Math"/>
          <w:sz w:val="18"/>
          <w:szCs w:val="18"/>
          <w:rtl w:val="0"/>
          <w:lang w:val="en-US"/>
        </w:rPr>
        <w:t xml:space="preserve">^m </w:t>
      </w:r>
      <w:r>
        <w:rPr>
          <w:rFonts w:ascii="Cambria Math" w:cs="Cambria Math" w:hAnsi="Cambria Math" w:eastAsia="Cambria Math"/>
          <w:sz w:val="18"/>
          <w:szCs w:val="18"/>
          <w:rtl w:val="0"/>
          <w:lang w:val="en-US"/>
        </w:rPr>
        <w:t xml:space="preserve">≤ </w:t>
      </w:r>
      <w:r>
        <w:rPr>
          <w:rFonts w:ascii="Cambria Math" w:cs="Cambria Math" w:hAnsi="Cambria Math" w:eastAsia="Cambria Math"/>
          <w:sz w:val="18"/>
          <w:szCs w:val="18"/>
          <w:rtl w:val="0"/>
          <w:lang w:val="en-US"/>
        </w:rPr>
        <w:t>exp[</w:t>
      </w:r>
      <w:r>
        <w:rPr>
          <w:rFonts w:ascii="Cambria Math" w:cs="Cambria Math" w:hAnsi="Cambria Math" w:eastAsia="Cambria Math"/>
          <w:sz w:val="18"/>
          <w:szCs w:val="18"/>
          <w:rtl w:val="0"/>
          <w:lang w:val="en-US"/>
        </w:rPr>
        <w:t>−</w:t>
      </w:r>
      <w:r>
        <w:rPr>
          <w:rFonts w:ascii="Cambria Math" w:cs="Cambria Math" w:hAnsi="Cambria Math" w:eastAsia="Cambria Math"/>
          <w:sz w:val="18"/>
          <w:szCs w:val="18"/>
          <w:rtl w:val="0"/>
          <w:lang w:val="en-US"/>
        </w:rPr>
        <w:t>m</w:t>
      </w:r>
      <w:r>
        <w:rPr>
          <w:rFonts w:ascii="Cambria Math" w:cs="Cambria Math" w:hAnsi="Cambria Math" w:eastAsia="Cambria Math"/>
          <w:sz w:val="18"/>
          <w:szCs w:val="18"/>
          <w:rtl w:val="0"/>
          <w:lang w:val="en-US"/>
        </w:rPr>
        <w:t>γ</w:t>
      </w:r>
      <w:r>
        <w:rPr>
          <w:rFonts w:ascii="Cambria Math" w:cs="Cambria Math" w:hAnsi="Cambria Math" w:eastAsia="Cambria Math"/>
          <w:sz w:val="18"/>
          <w:szCs w:val="18"/>
          <w:rtl w:val="0"/>
          <w:lang w:val="en-US"/>
        </w:rPr>
        <w:t>/(2k)].     (V.5)</w:t>
      </w:r>
    </w:p>
    <w:p>
      <w:pPr>
        <w:pStyle w:val="Normal.0"/>
        <w:spacing w:after="100" w:line="240" w:lineRule="atLeast"/>
      </w:pPr>
      <w:r>
        <w:rPr>
          <w:rtl w:val="0"/>
          <w:lang w:val="en-US"/>
        </w:rPr>
        <w:t>Choose m&gt; (2k/</w:t>
      </w:r>
      <w:r>
        <w:rPr>
          <w:rtl w:val="0"/>
          <w:lang w:val="en-US"/>
        </w:rPr>
        <w:t>γ</w:t>
      </w:r>
      <w:r>
        <w:rPr>
          <w:rtl w:val="0"/>
          <w:lang w:val="en-US"/>
        </w:rPr>
        <w:t>) log N. Then P^m(i,j)&gt;0 for every pair. A nonzero lazy-walk m-step transition implies a graph path of length at most m, proving (V.4) up to the integer ceiling. If uniform polynomial ball growth held, taking r=diam(G_N) would yield N</w:t>
      </w:r>
      <w:r>
        <w:rPr>
          <w:rtl w:val="0"/>
          <w:lang w:val="en-US"/>
        </w:rPr>
        <w:t>≤</w:t>
      </w:r>
      <w:r>
        <w:rPr>
          <w:rtl w:val="0"/>
          <w:lang w:val="en-US"/>
        </w:rPr>
        <w:t>C(1+diam(G_N))^D</w:t>
      </w:r>
      <w:r>
        <w:rPr>
          <w:rtl w:val="0"/>
          <w:lang w:val="en-US"/>
        </w:rPr>
        <w:t>≤</w:t>
      </w:r>
      <w:r>
        <w:rPr>
          <w:rtl w:val="0"/>
          <w:lang w:val="en-US"/>
        </w:rPr>
        <w:t>C(2+(2k/</w:t>
      </w:r>
      <w:r>
        <w:rPr>
          <w:rtl w:val="0"/>
          <w:lang w:val="en-US"/>
        </w:rPr>
        <w:t>γ</w:t>
      </w:r>
      <w:r>
        <w:rPr>
          <w:rtl w:val="0"/>
          <w:lang w:val="en-US"/>
        </w:rPr>
        <w:t xml:space="preserve">)log N)^D, impossible for arbitrarily large N. </w:t>
      </w:r>
      <w:r>
        <w:rPr>
          <w:rtl w:val="0"/>
          <w:lang w:val="en-US"/>
        </w:rPr>
        <w:t>□</w:t>
      </w:r>
    </w:p>
    <w:p>
      <w:pPr>
        <w:pStyle w:val="Normal.0"/>
        <w:spacing w:after="100" w:line="240" w:lineRule="atLeast"/>
      </w:pPr>
      <w:r>
        <w:rPr>
          <w:rtl w:val="0"/>
          <w:lang w:val="en-US"/>
        </w:rPr>
        <w:t xml:space="preserve">The </w:t>
      </w:r>
      <w:r>
        <w:rPr>
          <w:rtl w:val="0"/>
          <w:lang w:val="en-US"/>
        </w:rPr>
        <w:t>“</w:t>
      </w:r>
      <w:r>
        <w:rPr>
          <w:rtl w:val="0"/>
          <w:lang w:val="en-US"/>
        </w:rPr>
        <w:t>gap</w:t>
      </w:r>
      <w:r>
        <w:rPr>
          <w:rtl w:val="0"/>
          <w:lang w:val="en-US"/>
        </w:rPr>
        <w:t xml:space="preserve">” </w:t>
      </w:r>
      <w:r>
        <w:rPr>
          <w:rtl w:val="0"/>
          <w:lang w:val="en-US"/>
        </w:rPr>
        <w:t xml:space="preserve">in this theorem is the global unrescaled gap of fixed-degree graphs, not the intra-block gap used for spectral sectors in Part I </w:t>
      </w:r>
      <w:r>
        <w:rPr>
          <w:rtl w:val="0"/>
          <w:lang w:val="en-US"/>
        </w:rPr>
        <w:t>§</w:t>
      </w:r>
      <w:r>
        <w:rPr>
          <w:rtl w:val="0"/>
          <w:lang w:val="en-US"/>
        </w:rPr>
        <w:t>4.2. The two diagnostics must never be conflated. If graph weights, degrees or metric rescalings vary, the assumptions must be checked again. A graph family may have several useful notions of effective dimension; no one of them by itself yields Lorentzian signature.</w:t>
      </w:r>
    </w:p>
    <w:p>
      <w:pPr>
        <w:pStyle w:val="Normal.0"/>
        <w:spacing w:after="100" w:line="240" w:lineRule="atLeast"/>
      </w:pPr>
      <w:r>
        <w:rPr>
          <w:rtl w:val="0"/>
          <w:lang w:val="en-US"/>
        </w:rPr>
        <w:t>Methodological corollary. Candidate permutation-invariant graph dynamics must be tested against both mixing-based and geometry-based metrics. A strong expander phase may be a counterexample to localization rather than evidence for it. The OpenAI Math catalogue contains fixed-degree Ramanujan graph constructions (family 178), which are potentially useful stress-test ensembles</w:t>
      </w:r>
      <w:r>
        <w:rPr>
          <w:rtl w:val="0"/>
          <w:lang w:val="en-US"/>
        </w:rPr>
        <w:t>—</w:t>
      </w:r>
      <w:r>
        <w:rPr>
          <w:rtl w:val="0"/>
          <w:lang w:val="en-US"/>
        </w:rPr>
        <w:t>but their mathematical existence would not demonstrate a physically emerging light cone [OA4].</w:t>
      </w:r>
    </w:p>
    <w:p>
      <w:pPr>
        <w:pStyle w:val="Заголовок 2"/>
        <w:spacing w:after="100" w:line="240" w:lineRule="atLeast"/>
      </w:pPr>
      <w:r>
        <w:rPr>
          <w:rtl w:val="0"/>
          <w:lang w:val="en-US"/>
        </w:rPr>
        <w:t>V.4. Quantitative stability of a common-cone defect</w:t>
      </w:r>
    </w:p>
    <w:p>
      <w:pPr>
        <w:pStyle w:val="Normal.0"/>
        <w:spacing w:after="100" w:line="240" w:lineRule="atLeast"/>
      </w:pPr>
      <w:r>
        <w:rPr>
          <w:rtl w:val="0"/>
          <w:lang w:val="en-US"/>
        </w:rPr>
        <w:t>The preceding manuscript identifies the condition F=PDP</w:t>
      </w:r>
      <w:r>
        <w:rPr>
          <w:rtl w:val="0"/>
          <w:lang w:val="en-US"/>
        </w:rPr>
        <w:t>−</w:t>
      </w:r>
      <w:r>
        <w:rPr>
          <w:rtl w:val="0"/>
          <w:lang w:val="en-US"/>
        </w:rPr>
        <w:t>(tr(PD)/r)P=0 with a common leading cone in the positive common-spatial-form class, where P is the projection onto the r-dimensional massless bundle and D=A^(</w:t>
      </w:r>
      <w:r>
        <w:rPr>
          <w:rtl w:val="0"/>
          <w:lang w:val="en-US"/>
        </w:rPr>
        <w:t>−</w:t>
      </w:r>
      <w:r>
        <w:rPr>
          <w:rtl w:val="0"/>
          <w:lang w:val="en-US"/>
        </w:rPr>
        <w:t>1/2)BA^(</w:t>
      </w:r>
      <w:r>
        <w:rPr>
          <w:rtl w:val="0"/>
          <w:lang w:val="en-US"/>
        </w:rPr>
        <w:t>−</w:t>
      </w:r>
      <w:r>
        <w:rPr>
          <w:rtl w:val="0"/>
          <w:lang w:val="en-US"/>
        </w:rPr>
        <w:t xml:space="preserve">1/2). Part II </w:t>
      </w:r>
      <w:r>
        <w:rPr>
          <w:rtl w:val="0"/>
          <w:lang w:val="en-US"/>
        </w:rPr>
        <w:t>§</w:t>
      </w:r>
      <w:r>
        <w:rPr>
          <w:rtl w:val="0"/>
          <w:lang w:val="en-US"/>
        </w:rPr>
        <w:t>5 gives a tangency condition when this bundle moves. Here we add a simple finite-perturbation error budget allowing independent changes in the kinetic-normalised matrix and the projector.</w:t>
      </w:r>
    </w:p>
    <w:p>
      <w:pPr>
        <w:pStyle w:val="Normal.0"/>
        <w:spacing w:after="100" w:line="240" w:lineRule="atLeast"/>
      </w:pPr>
      <w:r>
        <w:rPr>
          <w:rtl w:val="0"/>
          <w:lang w:val="en-US"/>
        </w:rPr>
        <w:t>THEOREM V.3 (projector-and-stiffness perturbation bound). Let P,P</w:t>
      </w:r>
      <w:r>
        <w:rPr>
          <w:rtl w:val="0"/>
          <w:lang w:val="en-US"/>
        </w:rPr>
        <w:t xml:space="preserve">′ </w:t>
      </w:r>
      <w:r>
        <w:rPr>
          <w:rtl w:val="0"/>
          <w:lang w:val="en-US"/>
        </w:rPr>
        <w:t>be orthogonal projections of equal rank r</w:t>
      </w:r>
      <w:r>
        <w:rPr>
          <w:rtl w:val="0"/>
          <w:lang w:val="en-US"/>
        </w:rPr>
        <w:t>≥</w:t>
      </w:r>
      <w:r>
        <w:rPr>
          <w:rtl w:val="0"/>
          <w:lang w:val="en-US"/>
        </w:rPr>
        <w:t>1 on a finite-dimensional real Hilbert space and D,D</w:t>
      </w:r>
      <w:r>
        <w:rPr>
          <w:rtl w:val="0"/>
          <w:lang w:val="en-US"/>
        </w:rPr>
        <w:t xml:space="preserve">′ </w:t>
      </w:r>
      <w:r>
        <w:rPr>
          <w:rtl w:val="0"/>
          <w:lang w:val="en-US"/>
        </w:rPr>
        <w:t>be symmetric matrices. Put F(P,D)=PDP</w:t>
      </w:r>
      <w:r>
        <w:rPr>
          <w:rtl w:val="0"/>
          <w:lang w:val="en-US"/>
        </w:rPr>
        <w:t>−</w:t>
      </w:r>
      <w:r>
        <w:rPr>
          <w:rtl w:val="0"/>
          <w:lang w:val="en-US"/>
        </w:rPr>
        <w:t xml:space="preserve">[tr(PD)/r]P, and suppose </w:t>
      </w:r>
      <w:r>
        <w:rPr>
          <w:rtl w:val="0"/>
          <w:lang w:val="en-US"/>
        </w:rPr>
        <w:t>‖</w:t>
      </w:r>
      <w:r>
        <w:rPr>
          <w:rtl w:val="0"/>
          <w:lang w:val="en-US"/>
        </w:rPr>
        <w:t>D</w:t>
      </w:r>
      <w:r>
        <w:rPr>
          <w:rtl w:val="0"/>
          <w:lang w:val="en-US"/>
        </w:rPr>
        <w:t>‖≤</w:t>
      </w:r>
      <w:r>
        <w:rPr>
          <w:rtl w:val="0"/>
          <w:lang w:val="en-US"/>
        </w:rPr>
        <w:t>M. Then</w:t>
      </w:r>
    </w:p>
    <w:p>
      <w:pPr>
        <w:pStyle w:val="Normal.0"/>
        <w:spacing w:after="100" w:line="240" w:lineRule="atLeast"/>
        <w:jc w:val="center"/>
      </w:pPr>
      <w:r>
        <w:rPr>
          <w:rFonts w:ascii="Cambria Math" w:cs="Cambria Math" w:hAnsi="Cambria Math" w:eastAsia="Cambria Math"/>
          <w:sz w:val="18"/>
          <w:szCs w:val="18"/>
          <w:rtl w:val="0"/>
          <w:lang w:val="en-US"/>
        </w:rPr>
        <w:t>‖</w:t>
      </w:r>
      <w:r>
        <w:rPr>
          <w:rFonts w:ascii="Cambria Math" w:cs="Cambria Math" w:hAnsi="Cambria Math" w:eastAsia="Cambria Math"/>
          <w:sz w:val="18"/>
          <w:szCs w:val="18"/>
          <w:rtl w:val="0"/>
          <w:lang w:val="en-US"/>
        </w:rPr>
        <w:t>F(P</w:t>
      </w:r>
      <w:r>
        <w:rPr>
          <w:rFonts w:ascii="Cambria Math" w:cs="Cambria Math" w:hAnsi="Cambria Math" w:eastAsia="Cambria Math"/>
          <w:sz w:val="18"/>
          <w:szCs w:val="18"/>
          <w:rtl w:val="0"/>
          <w:lang w:val="en-US"/>
        </w:rPr>
        <w:t>′</w:t>
      </w:r>
      <w:r>
        <w:rPr>
          <w:rFonts w:ascii="Cambria Math" w:cs="Cambria Math" w:hAnsi="Cambria Math" w:eastAsia="Cambria Math"/>
          <w:sz w:val="18"/>
          <w:szCs w:val="18"/>
          <w:rtl w:val="0"/>
          <w:lang w:val="en-US"/>
        </w:rPr>
        <w:t>,D</w:t>
      </w:r>
      <w:r>
        <w:rPr>
          <w:rFonts w:ascii="Cambria Math" w:cs="Cambria Math" w:hAnsi="Cambria Math" w:eastAsia="Cambria Math"/>
          <w:sz w:val="18"/>
          <w:szCs w:val="18"/>
          <w:rtl w:val="0"/>
          <w:lang w:val="en-US"/>
        </w:rPr>
        <w:t>′</w:t>
      </w:r>
      <w:r>
        <w:rPr>
          <w:rFonts w:ascii="Cambria Math" w:cs="Cambria Math" w:hAnsi="Cambria Math" w:eastAsia="Cambria Math"/>
          <w:sz w:val="18"/>
          <w:szCs w:val="18"/>
          <w:rtl w:val="0"/>
          <w:lang w:val="en-US"/>
        </w:rPr>
        <w:t>)</w:t>
      </w:r>
      <w:r>
        <w:rPr>
          <w:rFonts w:ascii="Cambria Math" w:cs="Cambria Math" w:hAnsi="Cambria Math" w:eastAsia="Cambria Math"/>
          <w:sz w:val="18"/>
          <w:szCs w:val="18"/>
          <w:rtl w:val="0"/>
          <w:lang w:val="en-US"/>
        </w:rPr>
        <w:t>−</w:t>
      </w:r>
      <w:r>
        <w:rPr>
          <w:rFonts w:ascii="Cambria Math" w:cs="Cambria Math" w:hAnsi="Cambria Math" w:eastAsia="Cambria Math"/>
          <w:sz w:val="18"/>
          <w:szCs w:val="18"/>
          <w:rtl w:val="0"/>
          <w:lang w:val="en-US"/>
        </w:rPr>
        <w:t>F(P,D)</w:t>
      </w:r>
      <w:r>
        <w:rPr>
          <w:rFonts w:ascii="Cambria Math" w:cs="Cambria Math" w:hAnsi="Cambria Math" w:eastAsia="Cambria Math"/>
          <w:sz w:val="18"/>
          <w:szCs w:val="18"/>
          <w:rtl w:val="0"/>
          <w:lang w:val="en-US"/>
        </w:rPr>
        <w:t xml:space="preserve">‖ ≤ </w:t>
      </w:r>
      <w:r>
        <w:rPr>
          <w:rFonts w:ascii="Cambria Math" w:cs="Cambria Math" w:hAnsi="Cambria Math" w:eastAsia="Cambria Math"/>
          <w:sz w:val="18"/>
          <w:szCs w:val="18"/>
          <w:rtl w:val="0"/>
          <w:lang w:val="en-US"/>
        </w:rPr>
        <w:t>2</w:t>
      </w:r>
      <w:r>
        <w:rPr>
          <w:rFonts w:ascii="Cambria Math" w:cs="Cambria Math" w:hAnsi="Cambria Math" w:eastAsia="Cambria Math"/>
          <w:sz w:val="18"/>
          <w:szCs w:val="18"/>
          <w:rtl w:val="0"/>
          <w:lang w:val="en-US"/>
        </w:rPr>
        <w:t>‖</w:t>
      </w:r>
      <w:r>
        <w:rPr>
          <w:rFonts w:ascii="Cambria Math" w:cs="Cambria Math" w:hAnsi="Cambria Math" w:eastAsia="Cambria Math"/>
          <w:sz w:val="18"/>
          <w:szCs w:val="18"/>
          <w:rtl w:val="0"/>
          <w:lang w:val="en-US"/>
        </w:rPr>
        <w:t>D</w:t>
      </w:r>
      <w:r>
        <w:rPr>
          <w:rFonts w:ascii="Cambria Math" w:cs="Cambria Math" w:hAnsi="Cambria Math" w:eastAsia="Cambria Math"/>
          <w:sz w:val="18"/>
          <w:szCs w:val="18"/>
          <w:rtl w:val="0"/>
          <w:lang w:val="en-US"/>
        </w:rPr>
        <w:t>′−</w:t>
      </w:r>
      <w:r>
        <w:rPr>
          <w:rFonts w:ascii="Cambria Math" w:cs="Cambria Math" w:hAnsi="Cambria Math" w:eastAsia="Cambria Math"/>
          <w:sz w:val="18"/>
          <w:szCs w:val="18"/>
          <w:rtl w:val="0"/>
          <w:lang w:val="en-US"/>
        </w:rPr>
        <w:t>D</w:t>
      </w:r>
      <w:r>
        <w:rPr>
          <w:rFonts w:ascii="Cambria Math" w:cs="Cambria Math" w:hAnsi="Cambria Math" w:eastAsia="Cambria Math"/>
          <w:sz w:val="18"/>
          <w:szCs w:val="18"/>
          <w:rtl w:val="0"/>
          <w:lang w:val="en-US"/>
        </w:rPr>
        <w:t xml:space="preserve">‖ </w:t>
      </w:r>
      <w:r>
        <w:rPr>
          <w:rFonts w:ascii="Cambria Math" w:cs="Cambria Math" w:hAnsi="Cambria Math" w:eastAsia="Cambria Math"/>
          <w:sz w:val="18"/>
          <w:szCs w:val="18"/>
          <w:rtl w:val="0"/>
          <w:lang w:val="en-US"/>
        </w:rPr>
        <w:t>+ 5M</w:t>
      </w:r>
      <w:r>
        <w:rPr>
          <w:rFonts w:ascii="Cambria Math" w:cs="Cambria Math" w:hAnsi="Cambria Math" w:eastAsia="Cambria Math"/>
          <w:sz w:val="18"/>
          <w:szCs w:val="18"/>
          <w:rtl w:val="0"/>
          <w:lang w:val="en-US"/>
        </w:rPr>
        <w:t>‖</w:t>
      </w:r>
      <w:r>
        <w:rPr>
          <w:rFonts w:ascii="Cambria Math" w:cs="Cambria Math" w:hAnsi="Cambria Math" w:eastAsia="Cambria Math"/>
          <w:sz w:val="18"/>
          <w:szCs w:val="18"/>
          <w:rtl w:val="0"/>
          <w:lang w:val="en-US"/>
        </w:rPr>
        <w:t>P</w:t>
      </w:r>
      <w:r>
        <w:rPr>
          <w:rFonts w:ascii="Cambria Math" w:cs="Cambria Math" w:hAnsi="Cambria Math" w:eastAsia="Cambria Math"/>
          <w:sz w:val="18"/>
          <w:szCs w:val="18"/>
          <w:rtl w:val="0"/>
          <w:lang w:val="en-US"/>
        </w:rPr>
        <w:t>′−</w:t>
      </w:r>
      <w:r>
        <w:rPr>
          <w:rFonts w:ascii="Cambria Math" w:cs="Cambria Math" w:hAnsi="Cambria Math" w:eastAsia="Cambria Math"/>
          <w:sz w:val="18"/>
          <w:szCs w:val="18"/>
          <w:rtl w:val="0"/>
          <w:lang w:val="en-US"/>
        </w:rPr>
        <w:t>P</w:t>
      </w:r>
      <w:r>
        <w:rPr>
          <w:rFonts w:ascii="Cambria Math" w:cs="Cambria Math" w:hAnsi="Cambria Math" w:eastAsia="Cambria Math"/>
          <w:sz w:val="18"/>
          <w:szCs w:val="18"/>
          <w:rtl w:val="0"/>
          <w:lang w:val="en-US"/>
        </w:rPr>
        <w:t>‖</w:t>
      </w:r>
      <w:r>
        <w:rPr>
          <w:rFonts w:ascii="Cambria Math" w:cs="Cambria Math" w:hAnsi="Cambria Math" w:eastAsia="Cambria Math"/>
          <w:sz w:val="18"/>
          <w:szCs w:val="18"/>
          <w:rtl w:val="0"/>
          <w:lang w:val="en-US"/>
        </w:rPr>
        <w:t>.     (V.6)</w:t>
      </w:r>
    </w:p>
    <w:p>
      <w:pPr>
        <w:pStyle w:val="Normal.0"/>
        <w:spacing w:after="100" w:line="240" w:lineRule="atLeast"/>
      </w:pPr>
      <w:r>
        <w:rPr>
          <w:rtl w:val="0"/>
          <w:lang w:val="en-US"/>
        </w:rPr>
        <w:t>Proof. Split P</w:t>
      </w:r>
      <w:r>
        <w:rPr>
          <w:rtl w:val="0"/>
          <w:lang w:val="en-US"/>
        </w:rPr>
        <w:t>′</w:t>
      </w:r>
      <w:r>
        <w:rPr>
          <w:rtl w:val="0"/>
          <w:lang w:val="en-US"/>
        </w:rPr>
        <w:t>D</w:t>
      </w:r>
      <w:r>
        <w:rPr>
          <w:rtl w:val="0"/>
          <w:lang w:val="en-US"/>
        </w:rPr>
        <w:t>′</w:t>
      </w:r>
      <w:r>
        <w:rPr>
          <w:rtl w:val="0"/>
          <w:lang w:val="en-US"/>
        </w:rPr>
        <w:t>P</w:t>
      </w:r>
      <w:r>
        <w:rPr>
          <w:rtl w:val="0"/>
          <w:lang w:val="en-US"/>
        </w:rPr>
        <w:t>′−</w:t>
      </w:r>
      <w:r>
        <w:rPr>
          <w:rtl w:val="0"/>
          <w:lang w:val="en-US"/>
        </w:rPr>
        <w:t>PDP=P</w:t>
      </w:r>
      <w:r>
        <w:rPr>
          <w:rtl w:val="0"/>
          <w:lang w:val="en-US"/>
        </w:rPr>
        <w:t>′</w:t>
      </w:r>
      <w:r>
        <w:rPr>
          <w:rtl w:val="0"/>
          <w:lang w:val="en-US"/>
        </w:rPr>
        <w:t>(D</w:t>
      </w:r>
      <w:r>
        <w:rPr>
          <w:rtl w:val="0"/>
          <w:lang w:val="en-US"/>
        </w:rPr>
        <w:t>′−</w:t>
      </w:r>
      <w:r>
        <w:rPr>
          <w:rtl w:val="0"/>
          <w:lang w:val="en-US"/>
        </w:rPr>
        <w:t>D)P</w:t>
      </w:r>
      <w:r>
        <w:rPr>
          <w:rtl w:val="0"/>
          <w:lang w:val="en-US"/>
        </w:rPr>
        <w:t>′</w:t>
      </w:r>
      <w:r>
        <w:rPr>
          <w:rtl w:val="0"/>
          <w:lang w:val="en-US"/>
        </w:rPr>
        <w:t>+(P</w:t>
      </w:r>
      <w:r>
        <w:rPr>
          <w:rtl w:val="0"/>
          <w:lang w:val="en-US"/>
        </w:rPr>
        <w:t>′−</w:t>
      </w:r>
      <w:r>
        <w:rPr>
          <w:rtl w:val="0"/>
          <w:lang w:val="en-US"/>
        </w:rPr>
        <w:t>P)DP</w:t>
      </w:r>
      <w:r>
        <w:rPr>
          <w:rtl w:val="0"/>
          <w:lang w:val="en-US"/>
        </w:rPr>
        <w:t>′</w:t>
      </w:r>
      <w:r>
        <w:rPr>
          <w:rtl w:val="0"/>
          <w:lang w:val="en-US"/>
        </w:rPr>
        <w:t>+PD(P</w:t>
      </w:r>
      <w:r>
        <w:rPr>
          <w:rtl w:val="0"/>
          <w:lang w:val="en-US"/>
        </w:rPr>
        <w:t>′−</w:t>
      </w:r>
      <w:r>
        <w:rPr>
          <w:rtl w:val="0"/>
          <w:lang w:val="en-US"/>
        </w:rPr>
        <w:t xml:space="preserve">P), whose norm is at most </w:t>
      </w:r>
      <w:r>
        <w:rPr>
          <w:rtl w:val="0"/>
          <w:lang w:val="en-US"/>
        </w:rPr>
        <w:t>‖</w:t>
      </w:r>
      <w:r>
        <w:rPr>
          <w:rtl w:val="0"/>
          <w:lang w:val="en-US"/>
        </w:rPr>
        <w:t>D</w:t>
      </w:r>
      <w:r>
        <w:rPr>
          <w:rtl w:val="0"/>
          <w:lang w:val="en-US"/>
        </w:rPr>
        <w:t>′−</w:t>
      </w:r>
      <w:r>
        <w:rPr>
          <w:rtl w:val="0"/>
          <w:lang w:val="en-US"/>
        </w:rPr>
        <w:t>D</w:t>
      </w:r>
      <w:r>
        <w:rPr>
          <w:rtl w:val="0"/>
          <w:lang w:val="en-US"/>
        </w:rPr>
        <w:t>‖</w:t>
      </w:r>
      <w:r>
        <w:rPr>
          <w:rtl w:val="0"/>
          <w:lang w:val="en-US"/>
        </w:rPr>
        <w:t>+2M</w:t>
      </w:r>
      <w:r>
        <w:rPr>
          <w:rtl w:val="0"/>
          <w:lang w:val="en-US"/>
        </w:rPr>
        <w:t>‖</w:t>
      </w:r>
      <w:r>
        <w:rPr>
          <w:rtl w:val="0"/>
          <w:lang w:val="en-US"/>
        </w:rPr>
        <w:t>P</w:t>
      </w:r>
      <w:r>
        <w:rPr>
          <w:rtl w:val="0"/>
          <w:lang w:val="en-US"/>
        </w:rPr>
        <w:t>′−</w:t>
      </w:r>
      <w:r>
        <w:rPr>
          <w:rtl w:val="0"/>
          <w:lang w:val="en-US"/>
        </w:rPr>
        <w:t>P</w:t>
      </w:r>
      <w:r>
        <w:rPr>
          <w:rtl w:val="0"/>
          <w:lang w:val="en-US"/>
        </w:rPr>
        <w:t>‖</w:t>
      </w:r>
      <w:r>
        <w:rPr>
          <w:rtl w:val="0"/>
          <w:lang w:val="en-US"/>
        </w:rPr>
        <w:t>. Write v=tr(PD)/r, v</w:t>
      </w:r>
      <w:r>
        <w:rPr>
          <w:rtl w:val="0"/>
          <w:lang w:val="en-US"/>
        </w:rPr>
        <w:t>′</w:t>
      </w:r>
      <w:r>
        <w:rPr>
          <w:rtl w:val="0"/>
          <w:lang w:val="en-US"/>
        </w:rPr>
        <w:t>=tr(P</w:t>
      </w:r>
      <w:r>
        <w:rPr>
          <w:rtl w:val="0"/>
          <w:lang w:val="en-US"/>
        </w:rPr>
        <w:t>′</w:t>
      </w:r>
      <w:r>
        <w:rPr>
          <w:rtl w:val="0"/>
          <w:lang w:val="en-US"/>
        </w:rPr>
        <w:t>D</w:t>
      </w:r>
      <w:r>
        <w:rPr>
          <w:rtl w:val="0"/>
          <w:lang w:val="en-US"/>
        </w:rPr>
        <w:t>′</w:t>
      </w:r>
      <w:r>
        <w:rPr>
          <w:rtl w:val="0"/>
          <w:lang w:val="en-US"/>
        </w:rPr>
        <w:t>)/r. Since |tr(P</w:t>
      </w:r>
      <w:r>
        <w:rPr>
          <w:rtl w:val="0"/>
          <w:lang w:val="en-US"/>
        </w:rPr>
        <w:t>′</w:t>
      </w:r>
      <w:r>
        <w:rPr>
          <w:rtl w:val="0"/>
          <w:lang w:val="en-US"/>
        </w:rPr>
        <w:t>(D</w:t>
      </w:r>
      <w:r>
        <w:rPr>
          <w:rtl w:val="0"/>
          <w:lang w:val="en-US"/>
        </w:rPr>
        <w:t>′−</w:t>
      </w:r>
      <w:r>
        <w:rPr>
          <w:rtl w:val="0"/>
          <w:lang w:val="en-US"/>
        </w:rPr>
        <w:t>D))|</w:t>
      </w:r>
      <w:r>
        <w:rPr>
          <w:rtl w:val="0"/>
          <w:lang w:val="en-US"/>
        </w:rPr>
        <w:t>≤</w:t>
      </w:r>
      <w:r>
        <w:rPr>
          <w:rtl w:val="0"/>
          <w:lang w:val="en-US"/>
        </w:rPr>
        <w:t>r</w:t>
      </w:r>
      <w:r>
        <w:rPr>
          <w:rtl w:val="0"/>
          <w:lang w:val="en-US"/>
        </w:rPr>
        <w:t>‖</w:t>
      </w:r>
      <w:r>
        <w:rPr>
          <w:rtl w:val="0"/>
          <w:lang w:val="en-US"/>
        </w:rPr>
        <w:t>D</w:t>
      </w:r>
      <w:r>
        <w:rPr>
          <w:rtl w:val="0"/>
          <w:lang w:val="en-US"/>
        </w:rPr>
        <w:t>′−</w:t>
      </w:r>
      <w:r>
        <w:rPr>
          <w:rtl w:val="0"/>
          <w:lang w:val="en-US"/>
        </w:rPr>
        <w:t>D</w:t>
      </w:r>
      <w:r>
        <w:rPr>
          <w:rtl w:val="0"/>
          <w:lang w:val="en-US"/>
        </w:rPr>
        <w:t xml:space="preserve">‖ </w:t>
      </w:r>
      <w:r>
        <w:rPr>
          <w:rtl w:val="0"/>
          <w:lang w:val="en-US"/>
        </w:rPr>
        <w:t>and the difference of two rank-r projections has rank at most 2r and nuclear norm at most 2r</w:t>
      </w:r>
      <w:r>
        <w:rPr>
          <w:rtl w:val="0"/>
          <w:lang w:val="en-US"/>
        </w:rPr>
        <w:t>‖</w:t>
      </w:r>
      <w:r>
        <w:rPr>
          <w:rtl w:val="0"/>
          <w:lang w:val="en-US"/>
        </w:rPr>
        <w:t>P</w:t>
      </w:r>
      <w:r>
        <w:rPr>
          <w:rtl w:val="0"/>
          <w:lang w:val="en-US"/>
        </w:rPr>
        <w:t>′−</w:t>
      </w:r>
      <w:r>
        <w:rPr>
          <w:rtl w:val="0"/>
          <w:lang w:val="en-US"/>
        </w:rPr>
        <w:t>P</w:t>
      </w:r>
      <w:r>
        <w:rPr>
          <w:rtl w:val="0"/>
          <w:lang w:val="en-US"/>
        </w:rPr>
        <w:t>‖</w:t>
      </w:r>
      <w:r>
        <w:rPr>
          <w:rtl w:val="0"/>
          <w:lang w:val="en-US"/>
        </w:rPr>
        <w:t>, we obtain |v</w:t>
      </w:r>
      <w:r>
        <w:rPr>
          <w:rtl w:val="0"/>
          <w:lang w:val="en-US"/>
        </w:rPr>
        <w:t>′−</w:t>
      </w:r>
      <w:r>
        <w:rPr>
          <w:rtl w:val="0"/>
          <w:lang w:val="en-US"/>
        </w:rPr>
        <w:t>v|</w:t>
      </w:r>
      <w:r>
        <w:rPr>
          <w:rtl w:val="0"/>
          <w:lang w:val="en-US"/>
        </w:rPr>
        <w:t>≤‖</w:t>
      </w:r>
      <w:r>
        <w:rPr>
          <w:rtl w:val="0"/>
          <w:lang w:val="en-US"/>
        </w:rPr>
        <w:t>D</w:t>
      </w:r>
      <w:r>
        <w:rPr>
          <w:rtl w:val="0"/>
          <w:lang w:val="en-US"/>
        </w:rPr>
        <w:t>′−</w:t>
      </w:r>
      <w:r>
        <w:rPr>
          <w:rtl w:val="0"/>
          <w:lang w:val="en-US"/>
        </w:rPr>
        <w:t>D</w:t>
      </w:r>
      <w:r>
        <w:rPr>
          <w:rtl w:val="0"/>
          <w:lang w:val="en-US"/>
        </w:rPr>
        <w:t>‖</w:t>
      </w:r>
      <w:r>
        <w:rPr>
          <w:rtl w:val="0"/>
          <w:lang w:val="en-US"/>
        </w:rPr>
        <w:t>+2M</w:t>
      </w:r>
      <w:r>
        <w:rPr>
          <w:rtl w:val="0"/>
          <w:lang w:val="en-US"/>
        </w:rPr>
        <w:t>‖</w:t>
      </w:r>
      <w:r>
        <w:rPr>
          <w:rtl w:val="0"/>
          <w:lang w:val="en-US"/>
        </w:rPr>
        <w:t>P</w:t>
      </w:r>
      <w:r>
        <w:rPr>
          <w:rtl w:val="0"/>
          <w:lang w:val="en-US"/>
        </w:rPr>
        <w:t>′−</w:t>
      </w:r>
      <w:r>
        <w:rPr>
          <w:rtl w:val="0"/>
          <w:lang w:val="en-US"/>
        </w:rPr>
        <w:t>P</w:t>
      </w:r>
      <w:r>
        <w:rPr>
          <w:rtl w:val="0"/>
          <w:lang w:val="en-US"/>
        </w:rPr>
        <w:t>‖</w:t>
      </w:r>
      <w:r>
        <w:rPr>
          <w:rtl w:val="0"/>
          <w:lang w:val="en-US"/>
        </w:rPr>
        <w:t>. Also |v|</w:t>
      </w:r>
      <w:r>
        <w:rPr>
          <w:rtl w:val="0"/>
          <w:lang w:val="en-US"/>
        </w:rPr>
        <w:t>≤</w:t>
      </w:r>
      <w:r>
        <w:rPr>
          <w:rtl w:val="0"/>
          <w:lang w:val="en-US"/>
        </w:rPr>
        <w:t xml:space="preserve">M. Consequently </w:t>
      </w:r>
      <w:r>
        <w:rPr>
          <w:rtl w:val="0"/>
          <w:lang w:val="en-US"/>
        </w:rPr>
        <w:t>‖</w:t>
      </w:r>
      <w:r>
        <w:rPr>
          <w:rtl w:val="0"/>
          <w:lang w:val="en-US"/>
        </w:rPr>
        <w:t>v</w:t>
      </w:r>
      <w:r>
        <w:rPr>
          <w:rtl w:val="0"/>
          <w:lang w:val="en-US"/>
        </w:rPr>
        <w:t>′</w:t>
      </w:r>
      <w:r>
        <w:rPr>
          <w:rtl w:val="0"/>
          <w:lang w:val="en-US"/>
        </w:rPr>
        <w:t>P</w:t>
      </w:r>
      <w:r>
        <w:rPr>
          <w:rtl w:val="0"/>
          <w:lang w:val="en-US"/>
        </w:rPr>
        <w:t>′−</w:t>
      </w:r>
      <w:r>
        <w:rPr>
          <w:rtl w:val="0"/>
          <w:lang w:val="en-US"/>
        </w:rPr>
        <w:t>vP</w:t>
      </w:r>
      <w:r>
        <w:rPr>
          <w:rtl w:val="0"/>
          <w:lang w:val="en-US"/>
        </w:rPr>
        <w:t>‖≤</w:t>
      </w:r>
      <w:r>
        <w:rPr>
          <w:rtl w:val="0"/>
          <w:lang w:val="en-US"/>
        </w:rPr>
        <w:t>|v</w:t>
      </w:r>
      <w:r>
        <w:rPr>
          <w:rtl w:val="0"/>
          <w:lang w:val="en-US"/>
        </w:rPr>
        <w:t>′−</w:t>
      </w:r>
      <w:r>
        <w:rPr>
          <w:rtl w:val="0"/>
          <w:lang w:val="en-US"/>
        </w:rPr>
        <w:t>v|+|v|</w:t>
      </w:r>
      <w:r>
        <w:rPr>
          <w:rtl w:val="0"/>
          <w:lang w:val="en-US"/>
        </w:rPr>
        <w:t>‖</w:t>
      </w:r>
      <w:r>
        <w:rPr>
          <w:rtl w:val="0"/>
          <w:lang w:val="en-US"/>
        </w:rPr>
        <w:t>P</w:t>
      </w:r>
      <w:r>
        <w:rPr>
          <w:rtl w:val="0"/>
          <w:lang w:val="en-US"/>
        </w:rPr>
        <w:t>′−</w:t>
      </w:r>
      <w:r>
        <w:rPr>
          <w:rtl w:val="0"/>
          <w:lang w:val="en-US"/>
        </w:rPr>
        <w:t>P</w:t>
      </w:r>
      <w:r>
        <w:rPr>
          <w:rtl w:val="0"/>
          <w:lang w:val="en-US"/>
        </w:rPr>
        <w:t>‖≤‖</w:t>
      </w:r>
      <w:r>
        <w:rPr>
          <w:rtl w:val="0"/>
          <w:lang w:val="en-US"/>
        </w:rPr>
        <w:t>D</w:t>
      </w:r>
      <w:r>
        <w:rPr>
          <w:rtl w:val="0"/>
          <w:lang w:val="en-US"/>
        </w:rPr>
        <w:t>′−</w:t>
      </w:r>
      <w:r>
        <w:rPr>
          <w:rtl w:val="0"/>
          <w:lang w:val="en-US"/>
        </w:rPr>
        <w:t>D</w:t>
      </w:r>
      <w:r>
        <w:rPr>
          <w:rtl w:val="0"/>
          <w:lang w:val="en-US"/>
        </w:rPr>
        <w:t>‖</w:t>
      </w:r>
      <w:r>
        <w:rPr>
          <w:rtl w:val="0"/>
          <w:lang w:val="en-US"/>
        </w:rPr>
        <w:t>+3M</w:t>
      </w:r>
      <w:r>
        <w:rPr>
          <w:rtl w:val="0"/>
          <w:lang w:val="en-US"/>
        </w:rPr>
        <w:t>‖</w:t>
      </w:r>
      <w:r>
        <w:rPr>
          <w:rtl w:val="0"/>
          <w:lang w:val="en-US"/>
        </w:rPr>
        <w:t>P</w:t>
      </w:r>
      <w:r>
        <w:rPr>
          <w:rtl w:val="0"/>
          <w:lang w:val="en-US"/>
        </w:rPr>
        <w:t>′−</w:t>
      </w:r>
      <w:r>
        <w:rPr>
          <w:rtl w:val="0"/>
          <w:lang w:val="en-US"/>
        </w:rPr>
        <w:t>P</w:t>
      </w:r>
      <w:r>
        <w:rPr>
          <w:rtl w:val="0"/>
          <w:lang w:val="en-US"/>
        </w:rPr>
        <w:t>‖</w:t>
      </w:r>
      <w:r>
        <w:rPr>
          <w:rtl w:val="0"/>
          <w:lang w:val="en-US"/>
        </w:rPr>
        <w:t xml:space="preserve">. Combine the two bounds. </w:t>
      </w:r>
      <w:r>
        <w:rPr>
          <w:rtl w:val="0"/>
          <w:lang w:val="en-US"/>
        </w:rPr>
        <w:t>□</w:t>
      </w:r>
    </w:p>
    <w:p>
      <w:pPr>
        <w:pStyle w:val="Normal.0"/>
        <w:spacing w:after="100" w:line="240" w:lineRule="atLeast"/>
      </w:pPr>
      <w:r>
        <w:rPr>
          <w:rtl w:val="0"/>
          <w:lang w:val="en-US"/>
        </w:rPr>
        <w:t>The bound is conservative rather than sharp. It is basis independent; r=1 has F</w:t>
      </w:r>
      <w:r>
        <w:rPr>
          <w:rtl w:val="0"/>
          <w:lang w:val="en-US"/>
        </w:rPr>
        <w:t>≡</w:t>
      </w:r>
      <w:r>
        <w:rPr>
          <w:rtl w:val="0"/>
          <w:lang w:val="en-US"/>
        </w:rPr>
        <w:t>0 but does not establish multisector universality. In a gapped fixed-rank stratum, a separate Davis</w:t>
      </w:r>
      <w:r>
        <w:rPr>
          <w:rtl w:val="0"/>
          <w:lang w:val="en-US"/>
        </w:rPr>
        <w:t>–</w:t>
      </w:r>
      <w:r>
        <w:rPr>
          <w:rtl w:val="0"/>
          <w:lang w:val="en-US"/>
        </w:rPr>
        <w:t xml:space="preserve">Kahan-type estimate may control </w:t>
      </w:r>
      <w:r>
        <w:rPr>
          <w:rtl w:val="0"/>
          <w:lang w:val="en-US"/>
        </w:rPr>
        <w:t>‖</w:t>
      </w:r>
      <w:r>
        <w:rPr>
          <w:rtl w:val="0"/>
          <w:lang w:val="en-US"/>
        </w:rPr>
        <w:t>P</w:t>
      </w:r>
      <w:r>
        <w:rPr>
          <w:rtl w:val="0"/>
          <w:lang w:val="en-US"/>
        </w:rPr>
        <w:t>′−</w:t>
      </w:r>
      <w:r>
        <w:rPr>
          <w:rtl w:val="0"/>
          <w:lang w:val="en-US"/>
        </w:rPr>
        <w:t>P</w:t>
      </w:r>
      <w:r>
        <w:rPr>
          <w:rtl w:val="0"/>
          <w:lang w:val="en-US"/>
        </w:rPr>
        <w:t xml:space="preserve">‖ </w:t>
      </w:r>
      <w:r>
        <w:rPr>
          <w:rtl w:val="0"/>
          <w:lang w:val="en-US"/>
        </w:rPr>
        <w:t xml:space="preserve">by the perturbation of the mass operator divided by its nonzero spectral gap. Gap closure invalidates this part of the argument. If the desired invariant is the dimensionless normalised defect </w:t>
      </w:r>
      <w:r>
        <w:rPr>
          <w:rtl w:val="0"/>
          <w:lang w:val="en-US"/>
        </w:rPr>
        <w:t>‖</w:t>
      </w:r>
      <w:r>
        <w:rPr>
          <w:rtl w:val="0"/>
          <w:lang w:val="en-US"/>
        </w:rPr>
        <w:t>F</w:t>
      </w:r>
      <w:r>
        <w:rPr>
          <w:rtl w:val="0"/>
          <w:lang w:val="en-US"/>
        </w:rPr>
        <w:t>‖</w:t>
      </w:r>
      <w:r>
        <w:rPr>
          <w:rtl w:val="0"/>
          <w:lang w:val="en-US"/>
        </w:rPr>
        <w:t>/v, one additionally needs a lower bound v</w:t>
      </w:r>
      <w:r>
        <w:rPr>
          <w:rtl w:val="0"/>
          <w:lang w:val="en-US"/>
        </w:rPr>
        <w:t>≥</w:t>
      </w:r>
      <w:r>
        <w:rPr>
          <w:rtl w:val="0"/>
          <w:lang w:val="en-US"/>
        </w:rPr>
        <w:t>v_min&gt;0, and the denominator variation must be accounted for explicitly.</w:t>
      </w:r>
    </w:p>
    <w:p>
      <w:pPr>
        <w:pStyle w:val="Normal.0"/>
        <w:spacing w:after="100" w:line="240" w:lineRule="atLeast"/>
      </w:pPr>
      <w:r>
        <w:rPr>
          <w:rtl w:val="0"/>
          <w:lang w:val="en-US"/>
        </w:rPr>
        <w:t xml:space="preserve">What this does and does not show. Under small perturbations of both D and the massless subspace, an already small cone defect stays small for a controlled finite step. It does not show that microscopic dynamics drives F toward zero. The time-reversible Hamiltonian obstruction to a genuine unrestricted attractor discussed in Part II </w:t>
      </w:r>
      <w:r>
        <w:rPr>
          <w:rtl w:val="0"/>
          <w:lang w:val="en-US"/>
        </w:rPr>
        <w:t>§</w:t>
      </w:r>
      <w:r>
        <w:rPr>
          <w:rtl w:val="0"/>
          <w:lang w:val="en-US"/>
        </w:rPr>
        <w:t>5.4 remains in force; a genuine selection mechanism must state its ensemble, conditioning, coarse-graining, or dissipation hypotheses.</w:t>
      </w:r>
    </w:p>
    <w:p>
      <w:pPr>
        <w:pStyle w:val="Заголовок 2"/>
        <w:spacing w:after="100" w:line="240" w:lineRule="atLeast"/>
      </w:pPr>
      <w:r>
        <w:rPr>
          <w:rtl w:val="0"/>
          <w:lang w:val="en-US"/>
        </w:rPr>
        <w:t>V.5. Time-reversal invariance and the missing origin of orientation</w:t>
      </w:r>
    </w:p>
    <w:p>
      <w:pPr>
        <w:pStyle w:val="Normal.0"/>
        <w:spacing w:after="100" w:line="240" w:lineRule="atLeast"/>
      </w:pPr>
      <w:r>
        <w:rPr>
          <w:rtl w:val="0"/>
          <w:lang w:val="en-US"/>
        </w:rPr>
        <w:t>“</w:t>
      </w:r>
      <w:r>
        <w:rPr>
          <w:rtl w:val="0"/>
          <w:lang w:val="en-US"/>
        </w:rPr>
        <w:t>Retarded</w:t>
      </w:r>
      <w:r>
        <w:rPr>
          <w:rtl w:val="0"/>
          <w:lang w:val="en-US"/>
        </w:rPr>
        <w:t xml:space="preserve">” </w:t>
      </w:r>
      <w:r>
        <w:rPr>
          <w:rtl w:val="0"/>
          <w:lang w:val="en-US"/>
        </w:rPr>
        <w:t>is a convention coupled to a preparation protocol; it is not a preferred future selected by an undirected graph. An internal time orientation requires a reversal-odd operational observable, a physically meaningful clock, and an asymmetric class of histories or states. The next lemma formalises a necessary obstruction that is logically distinct from causal-cone inheritance.</w:t>
      </w:r>
    </w:p>
    <w:p>
      <w:pPr>
        <w:pStyle w:val="Normal.0"/>
        <w:spacing w:after="100" w:line="240" w:lineRule="atLeast"/>
      </w:pPr>
      <w:r>
        <w:rPr>
          <w:rtl w:val="0"/>
          <w:lang w:val="en-US"/>
        </w:rPr>
        <w:t xml:space="preserve">THEOREM V.4 (stationary reversible ensembles cannot select a nonzero mean arrow). Let </w:t>
      </w:r>
      <w:r>
        <w:rPr>
          <w:rtl w:val="0"/>
          <w:lang w:val="en-US"/>
        </w:rPr>
        <w:t>Φ</w:t>
      </w:r>
      <w:r>
        <w:rPr>
          <w:rtl w:val="0"/>
          <w:lang w:val="en-US"/>
        </w:rPr>
        <w:t xml:space="preserve">ᵗ be an invertible measurable flow, </w:t>
      </w:r>
      <w:r>
        <w:rPr>
          <w:rtl w:val="0"/>
          <w:lang w:val="en-US"/>
        </w:rPr>
        <w:t xml:space="preserve">Θ </w:t>
      </w:r>
      <w:r>
        <w:rPr>
          <w:rtl w:val="0"/>
          <w:lang w:val="en-US"/>
        </w:rPr>
        <w:t xml:space="preserve">an involution satisfying </w:t>
      </w:r>
      <w:r>
        <w:rPr>
          <w:rtl w:val="0"/>
          <w:lang w:val="en-US"/>
        </w:rPr>
        <w:t>ΘΦ</w:t>
      </w:r>
      <w:r>
        <w:rPr>
          <w:rtl w:val="0"/>
          <w:lang w:val="en-US"/>
        </w:rPr>
        <w:t>ᵗ=</w:t>
      </w:r>
      <w:r>
        <w:rPr>
          <w:rtl w:val="0"/>
          <w:lang w:val="en-US"/>
        </w:rPr>
        <w:t>Φ</w:t>
      </w:r>
      <w:r>
        <w:rPr>
          <w:rtl w:val="0"/>
          <w:lang w:val="en-US"/>
        </w:rPr>
        <w:t>^(</w:t>
      </w:r>
      <w:r>
        <w:rPr>
          <w:rtl w:val="0"/>
          <w:lang w:val="en-US"/>
        </w:rPr>
        <w:t>−</w:t>
      </w:r>
      <w:r>
        <w:rPr>
          <w:rtl w:val="0"/>
          <w:lang w:val="en-US"/>
        </w:rPr>
        <w:t>t)</w:t>
      </w:r>
      <w:r>
        <w:rPr>
          <w:rtl w:val="0"/>
          <w:lang w:val="en-US"/>
        </w:rPr>
        <w:t>Θ</w:t>
      </w:r>
      <w:r>
        <w:rPr>
          <w:rtl w:val="0"/>
          <w:lang w:val="en-US"/>
        </w:rPr>
        <w:t xml:space="preserve">, and </w:t>
      </w:r>
      <w:r>
        <w:rPr>
          <w:rtl w:val="0"/>
          <w:lang w:val="en-US"/>
        </w:rPr>
        <w:t xml:space="preserve">μ </w:t>
      </w:r>
      <w:r>
        <w:rPr>
          <w:rtl w:val="0"/>
          <w:lang w:val="en-US"/>
        </w:rPr>
        <w:t xml:space="preserve">a probability measure invariant under both </w:t>
      </w:r>
      <w:r>
        <w:rPr>
          <w:rtl w:val="0"/>
          <w:lang w:val="en-US"/>
        </w:rPr>
        <w:t>Φ</w:t>
      </w:r>
      <w:r>
        <w:rPr>
          <w:rtl w:val="0"/>
          <w:lang w:val="en-US"/>
        </w:rPr>
        <w:t xml:space="preserve">ᵗ and </w:t>
      </w:r>
      <w:r>
        <w:rPr>
          <w:rtl w:val="0"/>
          <w:lang w:val="en-US"/>
        </w:rPr>
        <w:t>Θ</w:t>
      </w:r>
      <w:r>
        <w:rPr>
          <w:rtl w:val="0"/>
          <w:lang w:val="en-US"/>
        </w:rPr>
        <w:t>. If an integrable observable A is reversal-odd, A(</w:t>
      </w:r>
      <w:r>
        <w:rPr>
          <w:rtl w:val="0"/>
          <w:lang w:val="en-US"/>
        </w:rPr>
        <w:t>Θ</w:t>
      </w:r>
      <w:r>
        <w:rPr>
          <w:rtl w:val="0"/>
          <w:lang w:val="en-US"/>
        </w:rPr>
        <w:t>x)=</w:t>
      </w:r>
      <w:r>
        <w:rPr>
          <w:rtl w:val="0"/>
          <w:lang w:val="en-US"/>
        </w:rPr>
        <w:t>−</w:t>
      </w:r>
      <w:r>
        <w:rPr>
          <w:rtl w:val="0"/>
          <w:lang w:val="en-US"/>
        </w:rPr>
        <w:t>A(x), then for every t</w:t>
      </w:r>
    </w:p>
    <w:p>
      <w:pPr>
        <w:pStyle w:val="Normal.0"/>
        <w:spacing w:after="100" w:line="240" w:lineRule="atLeast"/>
        <w:jc w:val="center"/>
      </w:pPr>
      <w:r>
        <w:rPr>
          <w:rFonts w:ascii="Cambria Math" w:cs="Cambria Math" w:hAnsi="Cambria Math" w:eastAsia="Cambria Math"/>
          <w:sz w:val="18"/>
          <w:szCs w:val="18"/>
          <w:rtl w:val="0"/>
          <w:lang w:val="en-US"/>
        </w:rPr>
        <w:t>E_</w:t>
      </w:r>
      <w:r>
        <w:rPr>
          <w:rFonts w:ascii="Cambria Math" w:cs="Cambria Math" w:hAnsi="Cambria Math" w:eastAsia="Cambria Math"/>
          <w:sz w:val="18"/>
          <w:szCs w:val="18"/>
          <w:rtl w:val="0"/>
          <w:lang w:val="en-US"/>
        </w:rPr>
        <w:t>μ</w:t>
      </w:r>
      <w:r>
        <w:rPr>
          <w:rFonts w:ascii="Cambria Math" w:cs="Cambria Math" w:hAnsi="Cambria Math" w:eastAsia="Cambria Math"/>
          <w:sz w:val="18"/>
          <w:szCs w:val="18"/>
          <w:rtl w:val="0"/>
          <w:lang w:val="en-US"/>
        </w:rPr>
        <w:t>[A(</w:t>
      </w:r>
      <w:r>
        <w:rPr>
          <w:rFonts w:ascii="Cambria Math" w:cs="Cambria Math" w:hAnsi="Cambria Math" w:eastAsia="Cambria Math"/>
          <w:sz w:val="18"/>
          <w:szCs w:val="18"/>
          <w:rtl w:val="0"/>
          <w:lang w:val="en-US"/>
        </w:rPr>
        <w:t>Φ</w:t>
      </w:r>
      <w:r>
        <w:rPr>
          <w:rFonts w:ascii="Cambria Math" w:cs="Cambria Math" w:hAnsi="Cambria Math" w:eastAsia="Cambria Math"/>
          <w:sz w:val="18"/>
          <w:szCs w:val="18"/>
          <w:rtl w:val="0"/>
          <w:lang w:val="en-US"/>
        </w:rPr>
        <w:t>ᵗX)] = 0.     (V.7)</w:t>
      </w:r>
    </w:p>
    <w:p>
      <w:pPr>
        <w:pStyle w:val="Normal.0"/>
        <w:spacing w:after="100" w:line="240" w:lineRule="atLeast"/>
      </w:pPr>
      <w:r>
        <w:rPr>
          <w:rtl w:val="0"/>
          <w:lang w:val="en-US"/>
        </w:rPr>
        <w:t>Proof. By stationarity, the left-hand side is E_</w:t>
      </w:r>
      <w:r>
        <w:rPr>
          <w:rtl w:val="0"/>
          <w:lang w:val="en-US"/>
        </w:rPr>
        <w:t>μ</w:t>
      </w:r>
      <w:r>
        <w:rPr>
          <w:rtl w:val="0"/>
          <w:lang w:val="en-US"/>
        </w:rPr>
        <w:t xml:space="preserve">[A(X)]. By </w:t>
      </w:r>
      <w:r>
        <w:rPr>
          <w:rtl w:val="0"/>
          <w:lang w:val="en-US"/>
        </w:rPr>
        <w:t>Θ</w:t>
      </w:r>
      <w:r>
        <w:rPr>
          <w:rtl w:val="0"/>
          <w:lang w:val="en-US"/>
        </w:rPr>
        <w:t xml:space="preserve">-invariance of </w:t>
      </w:r>
      <w:r>
        <w:rPr>
          <w:rtl w:val="0"/>
          <w:lang w:val="en-US"/>
        </w:rPr>
        <w:t>μ</w:t>
      </w:r>
      <w:r>
        <w:rPr>
          <w:rtl w:val="0"/>
          <w:lang w:val="en-US"/>
        </w:rPr>
        <w:t>, E_</w:t>
      </w:r>
      <w:r>
        <w:rPr>
          <w:rtl w:val="0"/>
          <w:lang w:val="en-US"/>
        </w:rPr>
        <w:t>μ</w:t>
      </w:r>
      <w:r>
        <w:rPr>
          <w:rtl w:val="0"/>
          <w:lang w:val="en-US"/>
        </w:rPr>
        <w:t>[A(X)]=E_</w:t>
      </w:r>
      <w:r>
        <w:rPr>
          <w:rtl w:val="0"/>
          <w:lang w:val="en-US"/>
        </w:rPr>
        <w:t>μ</w:t>
      </w:r>
      <w:r>
        <w:rPr>
          <w:rtl w:val="0"/>
          <w:lang w:val="en-US"/>
        </w:rPr>
        <w:t>[A(</w:t>
      </w:r>
      <w:r>
        <w:rPr>
          <w:rtl w:val="0"/>
          <w:lang w:val="en-US"/>
        </w:rPr>
        <w:t>Θ</w:t>
      </w:r>
      <w:r>
        <w:rPr>
          <w:rtl w:val="0"/>
          <w:lang w:val="en-US"/>
        </w:rPr>
        <w:t>X)]=</w:t>
      </w:r>
      <w:r>
        <w:rPr>
          <w:rtl w:val="0"/>
          <w:lang w:val="en-US"/>
        </w:rPr>
        <w:t>−</w:t>
      </w:r>
      <w:r>
        <w:rPr>
          <w:rtl w:val="0"/>
          <w:lang w:val="en-US"/>
        </w:rPr>
        <w:t>E_</w:t>
      </w:r>
      <w:r>
        <w:rPr>
          <w:rtl w:val="0"/>
          <w:lang w:val="en-US"/>
        </w:rPr>
        <w:t>μ</w:t>
      </w:r>
      <w:r>
        <w:rPr>
          <w:rtl w:val="0"/>
          <w:lang w:val="en-US"/>
        </w:rPr>
        <w:t xml:space="preserve">[A(X)]. Thus the mean is zero. </w:t>
      </w:r>
      <w:r>
        <w:rPr>
          <w:rtl w:val="0"/>
          <w:lang w:val="en-US"/>
        </w:rPr>
        <w:t>□</w:t>
      </w:r>
    </w:p>
    <w:p>
      <w:pPr>
        <w:pStyle w:val="Normal.0"/>
        <w:spacing w:after="100" w:line="240" w:lineRule="atLeast"/>
      </w:pPr>
      <w:r>
        <w:rPr>
          <w:rtl w:val="0"/>
          <w:lang w:val="en-US"/>
        </w:rPr>
        <w:t xml:space="preserve">The statement requires both stationarity and reversal invariance of the preparation ensemble. An ensemble even under </w:t>
      </w:r>
      <w:r>
        <w:rPr>
          <w:rtl w:val="0"/>
          <w:lang w:val="en-US"/>
        </w:rPr>
        <w:t xml:space="preserve">Θ </w:t>
      </w:r>
      <w:r>
        <w:rPr>
          <w:rtl w:val="0"/>
          <w:lang w:val="en-US"/>
        </w:rPr>
        <w:t>but not stationary may exhibit a time-dependent nonzero odd expectation and does not satisfy the theorem. Likewise, the theorem concerns an odd observable</w:t>
      </w:r>
      <w:r>
        <w:rPr>
          <w:rtl w:val="0"/>
          <w:lang w:val="en-US"/>
        </w:rPr>
        <w:t>’</w:t>
      </w:r>
      <w:r>
        <w:rPr>
          <w:rtl w:val="0"/>
          <w:lang w:val="en-US"/>
        </w:rPr>
        <w:t>s ensemble mean: it does not forbid long-lived symmetry-broken sectors A</w:t>
      </w:r>
      <w:r>
        <w:rPr>
          <w:rtl w:val="0"/>
          <w:lang w:val="en-US"/>
        </w:rPr>
        <w:t>≈±</w:t>
      </w:r>
      <w:r>
        <w:rPr>
          <w:rtl w:val="0"/>
          <w:lang w:val="en-US"/>
        </w:rPr>
        <w:t>a conditional on a boundary condition or record. Such conditioning, not mere selection of a retarded solution, is a possible future mechanism to study.</w:t>
      </w:r>
    </w:p>
    <w:p>
      <w:pPr>
        <w:pStyle w:val="Normal.0"/>
        <w:spacing w:after="100" w:line="240" w:lineRule="atLeast"/>
      </w:pPr>
      <w:r>
        <w:rPr>
          <w:rtl w:val="0"/>
          <w:lang w:val="en-US"/>
        </w:rPr>
        <w:t>Proposed orientation falsifier. For a prepared internal clock/readout subsystem define a measurable orientation statistic A_T from two-sided records and its reversed value. Measure (i) stability of sign under local perturbations; (ii) scaling of its conditional lifetime; (iii) sensitivity to initial-state conditioning; (iv) whether unconditioned reversible stationary data average to zero; and (v) whether the sign agrees among sectors. Failure to obtain a reproducible sign under explicitly specified conditioning defeats the claimed mechanism, without refuting the already proved chain response limits.</w:t>
      </w:r>
    </w:p>
    <w:p>
      <w:pPr>
        <w:pStyle w:val="Заголовок 2"/>
        <w:spacing w:after="100" w:line="240" w:lineRule="atLeast"/>
      </w:pPr>
      <w:r>
        <w:rPr>
          <w:rtl w:val="0"/>
          <w:lang w:val="en-US"/>
        </w:rPr>
        <w:t>V.6. Reproducible finite-size chain diagnostic</w:t>
      </w:r>
    </w:p>
    <w:p>
      <w:pPr>
        <w:pStyle w:val="Normal.0"/>
        <w:spacing w:after="100" w:line="240" w:lineRule="atLeast"/>
      </w:pPr>
      <w:r>
        <w:rPr>
          <w:rtl w:val="0"/>
          <w:lang w:val="en-US"/>
        </w:rPr>
        <w:t>The following experiment is a fresh numerical diagnostic of the analytically controlled benchmark in Part II. It is not independent evidence for self-generated topology. Work on a cycle of circumference 1 with N evenly spaced sites, a=1/N, wave speed c=1, and the discretised wave equation q</w:t>
      </w:r>
      <w:r>
        <w:rPr>
          <w:rtl w:val="0"/>
          <w:lang w:val="en-US"/>
        </w:rPr>
        <w:t>̈</w:t>
      </w:r>
      <w:r>
        <w:rPr>
          <w:rtl w:val="0"/>
          <w:lang w:val="en-US"/>
        </w:rPr>
        <w:t>+(1/a</w:t>
      </w:r>
      <w:r>
        <w:rPr>
          <w:rtl w:val="0"/>
          <w:lang w:val="en-US"/>
        </w:rPr>
        <w:t>²</w:t>
      </w:r>
      <w:r>
        <w:rPr>
          <w:rtl w:val="0"/>
          <w:lang w:val="en-US"/>
        </w:rPr>
        <w:t>)L_cycle q=0. For a source velocity of unit integrated impulse at site 0, the density is G_N(t;j,0)=[sin(t</w:t>
      </w:r>
      <w:r>
        <w:rPr>
          <w:rtl w:val="0"/>
          <w:lang w:val="en-US"/>
        </w:rPr>
        <w:t>√</w:t>
      </w:r>
      <w:r>
        <w:rPr>
          <w:rtl w:val="0"/>
          <w:lang w:val="en-US"/>
        </w:rPr>
        <w:t>(L_cycle/a</w:t>
      </w:r>
      <w:r>
        <w:rPr>
          <w:rtl w:val="0"/>
          <w:lang w:val="en-US"/>
        </w:rPr>
        <w:t>²</w:t>
      </w:r>
      <w:r>
        <w:rPr>
          <w:rtl w:val="0"/>
          <w:lang w:val="en-US"/>
        </w:rPr>
        <w:t>))/</w:t>
      </w:r>
      <w:r>
        <w:rPr>
          <w:rtl w:val="0"/>
          <w:lang w:val="en-US"/>
        </w:rPr>
        <w:t>√</w:t>
      </w:r>
      <w:r>
        <w:rPr>
          <w:rtl w:val="0"/>
          <w:lang w:val="en-US"/>
        </w:rPr>
        <w:t>(L_cycle/a</w:t>
      </w:r>
      <w:r>
        <w:rPr>
          <w:rtl w:val="0"/>
          <w:lang w:val="en-US"/>
        </w:rPr>
        <w:t>²</w:t>
      </w:r>
      <w:r>
        <w:rPr>
          <w:rtl w:val="0"/>
          <w:lang w:val="en-US"/>
        </w:rPr>
        <w:t>)]_{j0}/a. The zero Fourier mode uses the continuous value t.</w:t>
      </w:r>
    </w:p>
    <w:p>
      <w:pPr>
        <w:pStyle w:val="Normal.0"/>
        <w:spacing w:after="100" w:line="240" w:lineRule="atLeast"/>
        <w:jc w:val="center"/>
      </w:pPr>
      <w:r>
        <w:rPr>
          <w:rFonts w:ascii="Cambria Math" w:cs="Cambria Math" w:hAnsi="Cambria Math" w:eastAsia="Cambria Math"/>
          <w:sz w:val="18"/>
          <w:szCs w:val="18"/>
          <w:rtl w:val="0"/>
          <w:lang w:val="en-US"/>
        </w:rPr>
        <w:t>ω</w:t>
      </w:r>
      <w:r>
        <w:rPr>
          <w:rFonts w:ascii="Cambria Math" w:cs="Cambria Math" w:hAnsi="Cambria Math" w:eastAsia="Cambria Math"/>
          <w:sz w:val="18"/>
          <w:szCs w:val="18"/>
          <w:rtl w:val="0"/>
          <w:lang w:val="en-US"/>
        </w:rPr>
        <w:t>_k = (2/a)|sin(</w:t>
      </w:r>
      <w:r>
        <w:rPr>
          <w:rFonts w:ascii="Cambria Math" w:cs="Cambria Math" w:hAnsi="Cambria Math" w:eastAsia="Cambria Math"/>
          <w:sz w:val="18"/>
          <w:szCs w:val="18"/>
          <w:rtl w:val="0"/>
          <w:lang w:val="en-US"/>
        </w:rPr>
        <w:t>π</w:t>
      </w:r>
      <w:r>
        <w:rPr>
          <w:rFonts w:ascii="Cambria Math" w:cs="Cambria Math" w:hAnsi="Cambria Math" w:eastAsia="Cambria Math"/>
          <w:sz w:val="18"/>
          <w:szCs w:val="18"/>
          <w:rtl w:val="0"/>
          <w:lang w:val="en-US"/>
        </w:rPr>
        <w:t xml:space="preserve">k/N)|,   G_N(t;j,0) = (1/aN) </w:t>
      </w:r>
      <w:r>
        <w:rPr>
          <w:rFonts w:ascii="Cambria Math" w:cs="Cambria Math" w:hAnsi="Cambria Math" w:eastAsia="Cambria Math"/>
          <w:sz w:val="18"/>
          <w:szCs w:val="18"/>
          <w:rtl w:val="0"/>
          <w:lang w:val="en-US"/>
        </w:rPr>
        <w:t xml:space="preserve">Σₖ </w:t>
      </w:r>
      <w:r>
        <w:rPr>
          <w:rFonts w:ascii="Cambria Math" w:cs="Cambria Math" w:hAnsi="Cambria Math" w:eastAsia="Cambria Math"/>
          <w:sz w:val="18"/>
          <w:szCs w:val="18"/>
          <w:rtl w:val="0"/>
          <w:lang w:val="en-US"/>
        </w:rPr>
        <w:t>exp(2</w:t>
      </w:r>
      <w:r>
        <w:rPr>
          <w:rFonts w:ascii="Cambria Math" w:cs="Cambria Math" w:hAnsi="Cambria Math" w:eastAsia="Cambria Math"/>
          <w:sz w:val="18"/>
          <w:szCs w:val="18"/>
          <w:rtl w:val="0"/>
          <w:lang w:val="en-US"/>
        </w:rPr>
        <w:t>π</w:t>
      </w:r>
      <w:r>
        <w:rPr>
          <w:rFonts w:ascii="Cambria Math" w:cs="Cambria Math" w:hAnsi="Cambria Math" w:eastAsia="Cambria Math"/>
          <w:sz w:val="18"/>
          <w:szCs w:val="18"/>
          <w:rtl w:val="0"/>
          <w:lang w:val="en-US"/>
        </w:rPr>
        <w:t>ikj/N) sin(t</w:t>
      </w:r>
      <w:r>
        <w:rPr>
          <w:rFonts w:ascii="Cambria Math" w:cs="Cambria Math" w:hAnsi="Cambria Math" w:eastAsia="Cambria Math"/>
          <w:sz w:val="18"/>
          <w:szCs w:val="18"/>
          <w:rtl w:val="0"/>
          <w:lang w:val="en-US"/>
        </w:rPr>
        <w:t>ω</w:t>
      </w:r>
      <w:r>
        <w:rPr>
          <w:rFonts w:ascii="Cambria Math" w:cs="Cambria Math" w:hAnsi="Cambria Math" w:eastAsia="Cambria Math"/>
          <w:sz w:val="18"/>
          <w:szCs w:val="18"/>
          <w:rtl w:val="0"/>
          <w:lang w:val="en-US"/>
        </w:rPr>
        <w:t>_k)/</w:t>
      </w:r>
      <w:r>
        <w:rPr>
          <w:rFonts w:ascii="Cambria Math" w:cs="Cambria Math" w:hAnsi="Cambria Math" w:eastAsia="Cambria Math"/>
          <w:sz w:val="18"/>
          <w:szCs w:val="18"/>
          <w:rtl w:val="0"/>
          <w:lang w:val="en-US"/>
        </w:rPr>
        <w:t>ω</w:t>
      </w:r>
      <w:r>
        <w:rPr>
          <w:rFonts w:ascii="Cambria Math" w:cs="Cambria Math" w:hAnsi="Cambria Math" w:eastAsia="Cambria Math"/>
          <w:sz w:val="18"/>
          <w:szCs w:val="18"/>
          <w:rtl w:val="0"/>
          <w:lang w:val="en-US"/>
        </w:rPr>
        <w:t>_k.    (V.8)</w:t>
      </w:r>
    </w:p>
    <w:p>
      <w:pPr>
        <w:pStyle w:val="Normal.0"/>
        <w:spacing w:after="100" w:line="240" w:lineRule="atLeast"/>
      </w:pPr>
      <w:r>
        <w:rPr>
          <w:rtl w:val="0"/>
          <w:lang w:val="en-US"/>
        </w:rPr>
        <w:t>At a fixed t=0.18, define the sampled spatial buffered exterior diagnostic E_N=max{|G_N(t;j,0)|:d_cycle(j,0)&gt;t+0.045}. This is not the supremum over the whole interval 0</w:t>
      </w:r>
      <w:r>
        <w:rPr>
          <w:rtl w:val="0"/>
          <w:lang w:val="en-US"/>
        </w:rPr>
        <w:t>≤</w:t>
      </w:r>
      <w:r>
        <w:rPr>
          <w:rtl w:val="0"/>
          <w:lang w:val="en-US"/>
        </w:rPr>
        <w:t>t</w:t>
      </w:r>
      <w:r>
        <w:rPr>
          <w:rtl w:val="0"/>
          <w:lang w:val="en-US"/>
        </w:rPr>
        <w:t>≤</w:t>
      </w:r>
      <w:r>
        <w:rPr>
          <w:rtl w:val="0"/>
          <w:lang w:val="en-US"/>
        </w:rPr>
        <w:t>T in Part II Theorem 2. The code uses a Fourier diagonalisation, the physically normalised density, and IEEE double precision. Small values near the floating-point noise floor require higher-precision confirmation before fitting asymptotic exponents.</w:t>
      </w:r>
    </w:p>
    <w:tbl>
      <w:tblPr>
        <w:tblW w:w="9524"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381"/>
        <w:gridCol w:w="2381"/>
        <w:gridCol w:w="2381"/>
        <w:gridCol w:w="2381"/>
      </w:tblGrid>
      <w:tr>
        <w:tblPrEx>
          <w:shd w:val="clear" w:color="auto" w:fill="4f81bd"/>
        </w:tblPrEx>
        <w:trPr>
          <w:trHeight w:val="210" w:hRule="atLeast"/>
          <w:tblHeader/>
        </w:trPr>
        <w:tc>
          <w:tcPr>
            <w:tcW w:type="dxa" w:w="2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df2f6"/>
            <w:tcMar>
              <w:top w:type="dxa" w:w="80"/>
              <w:left w:type="dxa" w:w="80"/>
              <w:bottom w:type="dxa" w:w="80"/>
              <w:right w:type="dxa" w:w="80"/>
            </w:tcMar>
            <w:vAlign w:val="center"/>
          </w:tcPr>
          <w:p>
            <w:pPr>
              <w:pStyle w:val="Normal.0"/>
              <w:spacing w:after="20"/>
            </w:pPr>
            <w:r>
              <w:rPr>
                <w:rFonts w:ascii="Aptos" w:cs="Aptos" w:hAnsi="Aptos" w:eastAsia="Aptos"/>
                <w:b w:val="1"/>
                <w:bCs w:val="1"/>
                <w:sz w:val="16"/>
                <w:szCs w:val="16"/>
                <w:rtl w:val="0"/>
                <w:lang w:val="en-US"/>
              </w:rPr>
              <w:t>N</w:t>
            </w:r>
          </w:p>
        </w:tc>
        <w:tc>
          <w:tcPr>
            <w:tcW w:type="dxa" w:w="2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df2f6"/>
            <w:tcMar>
              <w:top w:type="dxa" w:w="80"/>
              <w:left w:type="dxa" w:w="80"/>
              <w:bottom w:type="dxa" w:w="80"/>
              <w:right w:type="dxa" w:w="80"/>
            </w:tcMar>
            <w:vAlign w:val="center"/>
          </w:tcPr>
          <w:p>
            <w:pPr>
              <w:pStyle w:val="Normal.0"/>
              <w:spacing w:after="20"/>
            </w:pPr>
            <w:r>
              <w:rPr>
                <w:rFonts w:ascii="Aptos" w:cs="Aptos" w:hAnsi="Aptos" w:eastAsia="Aptos"/>
                <w:b w:val="1"/>
                <w:bCs w:val="1"/>
                <w:sz w:val="16"/>
                <w:szCs w:val="16"/>
                <w:rtl w:val="0"/>
                <w:lang w:val="en-US"/>
              </w:rPr>
              <w:t>a = 1/N</w:t>
            </w:r>
          </w:p>
        </w:tc>
        <w:tc>
          <w:tcPr>
            <w:tcW w:type="dxa" w:w="2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df2f6"/>
            <w:tcMar>
              <w:top w:type="dxa" w:w="80"/>
              <w:left w:type="dxa" w:w="80"/>
              <w:bottom w:type="dxa" w:w="80"/>
              <w:right w:type="dxa" w:w="80"/>
            </w:tcMar>
            <w:vAlign w:val="center"/>
          </w:tcPr>
          <w:p>
            <w:pPr>
              <w:pStyle w:val="Normal.0"/>
              <w:spacing w:after="20"/>
            </w:pPr>
            <w:r>
              <w:rPr>
                <w:rFonts w:ascii="Aptos" w:cs="Aptos" w:hAnsi="Aptos" w:eastAsia="Aptos"/>
                <w:b w:val="1"/>
                <w:bCs w:val="1"/>
                <w:sz w:val="16"/>
                <w:szCs w:val="16"/>
                <w:rtl w:val="0"/>
                <w:lang w:val="en-US"/>
              </w:rPr>
              <w:t>Exterior max E_N</w:t>
            </w:r>
          </w:p>
        </w:tc>
        <w:tc>
          <w:tcPr>
            <w:tcW w:type="dxa" w:w="23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df2f6"/>
            <w:tcMar>
              <w:top w:type="dxa" w:w="80"/>
              <w:left w:type="dxa" w:w="80"/>
              <w:bottom w:type="dxa" w:w="80"/>
              <w:right w:type="dxa" w:w="80"/>
            </w:tcMar>
            <w:vAlign w:val="center"/>
          </w:tcPr>
          <w:p>
            <w:pPr>
              <w:pStyle w:val="Normal.0"/>
              <w:spacing w:after="20"/>
            </w:pPr>
            <w:r>
              <w:rPr>
                <w:rFonts w:ascii="Aptos" w:cs="Aptos" w:hAnsi="Aptos" w:eastAsia="Aptos"/>
                <w:b w:val="1"/>
                <w:bCs w:val="1"/>
                <w:sz w:val="16"/>
                <w:szCs w:val="16"/>
                <w:rtl w:val="0"/>
                <w:lang w:val="en-US"/>
              </w:rPr>
              <w:t>Interior max (d&lt;t</w:t>
            </w:r>
            <w:r>
              <w:rPr>
                <w:rFonts w:ascii="Aptos" w:cs="Aptos" w:hAnsi="Aptos" w:eastAsia="Aptos"/>
                <w:b w:val="1"/>
                <w:bCs w:val="1"/>
                <w:sz w:val="16"/>
                <w:szCs w:val="16"/>
                <w:rtl w:val="0"/>
                <w:lang w:val="en-US"/>
              </w:rPr>
              <w:t>−</w:t>
            </w:r>
            <w:r>
              <w:rPr>
                <w:rFonts w:ascii="Aptos" w:cs="Aptos" w:hAnsi="Aptos" w:eastAsia="Aptos"/>
                <w:b w:val="1"/>
                <w:bCs w:val="1"/>
                <w:sz w:val="16"/>
                <w:szCs w:val="16"/>
                <w:rtl w:val="0"/>
                <w:lang w:val="en-US"/>
              </w:rPr>
              <w:t>buffer)</w:t>
            </w:r>
          </w:p>
        </w:tc>
      </w:tr>
      <w:tr>
        <w:tblPrEx>
          <w:shd w:val="clear" w:color="auto" w:fill="ced7e7"/>
        </w:tblPrEx>
        <w:trPr>
          <w:trHeight w:val="210" w:hRule="atLeast"/>
        </w:trPr>
        <w:tc>
          <w:tcPr>
            <w:tcW w:type="dxa" w:w="2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20"/>
            </w:pPr>
            <w:r>
              <w:rPr>
                <w:rFonts w:ascii="Aptos" w:cs="Aptos" w:hAnsi="Aptos" w:eastAsia="Aptos"/>
                <w:sz w:val="16"/>
                <w:szCs w:val="16"/>
                <w:rtl w:val="0"/>
                <w:lang w:val="en-US"/>
              </w:rPr>
              <w:t>32</w:t>
            </w:r>
          </w:p>
        </w:tc>
        <w:tc>
          <w:tcPr>
            <w:tcW w:type="dxa" w:w="2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20"/>
            </w:pPr>
            <w:r>
              <w:rPr>
                <w:rFonts w:ascii="Aptos" w:cs="Aptos" w:hAnsi="Aptos" w:eastAsia="Aptos"/>
                <w:sz w:val="16"/>
                <w:szCs w:val="16"/>
                <w:rtl w:val="0"/>
                <w:lang w:val="en-US"/>
              </w:rPr>
              <w:t>0.0312500</w:t>
            </w:r>
          </w:p>
        </w:tc>
        <w:tc>
          <w:tcPr>
            <w:tcW w:type="dxa" w:w="2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20"/>
            </w:pPr>
            <w:r>
              <w:rPr>
                <w:rFonts w:ascii="Aptos" w:cs="Aptos" w:hAnsi="Aptos" w:eastAsia="Aptos"/>
                <w:sz w:val="16"/>
                <w:szCs w:val="16"/>
                <w:rtl w:val="0"/>
                <w:lang w:val="en-US"/>
              </w:rPr>
              <w:t>0.00384584</w:t>
            </w:r>
          </w:p>
        </w:tc>
        <w:tc>
          <w:tcPr>
            <w:tcW w:type="dxa" w:w="23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20"/>
            </w:pPr>
            <w:r>
              <w:rPr>
                <w:rFonts w:ascii="Aptos" w:cs="Aptos" w:hAnsi="Aptos" w:eastAsia="Aptos"/>
                <w:sz w:val="16"/>
                <w:szCs w:val="16"/>
                <w:rtl w:val="0"/>
                <w:lang w:val="en-US"/>
              </w:rPr>
              <w:t>0.636927</w:t>
            </w:r>
          </w:p>
        </w:tc>
      </w:tr>
      <w:tr>
        <w:tblPrEx>
          <w:shd w:val="clear" w:color="auto" w:fill="ced7e7"/>
        </w:tblPrEx>
        <w:trPr>
          <w:trHeight w:val="210" w:hRule="atLeast"/>
        </w:trPr>
        <w:tc>
          <w:tcPr>
            <w:tcW w:type="dxa" w:w="2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20"/>
            </w:pPr>
            <w:r>
              <w:rPr>
                <w:rFonts w:ascii="Aptos" w:cs="Aptos" w:hAnsi="Aptos" w:eastAsia="Aptos"/>
                <w:sz w:val="16"/>
                <w:szCs w:val="16"/>
                <w:rtl w:val="0"/>
                <w:lang w:val="en-US"/>
              </w:rPr>
              <w:t>64</w:t>
            </w:r>
          </w:p>
        </w:tc>
        <w:tc>
          <w:tcPr>
            <w:tcW w:type="dxa" w:w="2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20"/>
            </w:pPr>
            <w:r>
              <w:rPr>
                <w:rFonts w:ascii="Aptos" w:cs="Aptos" w:hAnsi="Aptos" w:eastAsia="Aptos"/>
                <w:sz w:val="16"/>
                <w:szCs w:val="16"/>
                <w:rtl w:val="0"/>
                <w:lang w:val="en-US"/>
              </w:rPr>
              <w:t>0.0156250</w:t>
            </w:r>
          </w:p>
        </w:tc>
        <w:tc>
          <w:tcPr>
            <w:tcW w:type="dxa" w:w="2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20"/>
            </w:pPr>
            <w:r>
              <w:rPr>
                <w:rFonts w:ascii="Aptos" w:cs="Aptos" w:hAnsi="Aptos" w:eastAsia="Aptos"/>
                <w:sz w:val="16"/>
                <w:szCs w:val="16"/>
                <w:rtl w:val="0"/>
                <w:lang w:val="en-US"/>
              </w:rPr>
              <w:t>0.00134956</w:t>
            </w:r>
          </w:p>
        </w:tc>
        <w:tc>
          <w:tcPr>
            <w:tcW w:type="dxa" w:w="23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20"/>
            </w:pPr>
            <w:r>
              <w:rPr>
                <w:rFonts w:ascii="Aptos" w:cs="Aptos" w:hAnsi="Aptos" w:eastAsia="Aptos"/>
                <w:sz w:val="16"/>
                <w:szCs w:val="16"/>
                <w:rtl w:val="0"/>
                <w:lang w:val="en-US"/>
              </w:rPr>
              <w:t>0.57427</w:t>
            </w:r>
          </w:p>
        </w:tc>
      </w:tr>
      <w:tr>
        <w:tblPrEx>
          <w:shd w:val="clear" w:color="auto" w:fill="ced7e7"/>
        </w:tblPrEx>
        <w:trPr>
          <w:trHeight w:val="210" w:hRule="atLeast"/>
        </w:trPr>
        <w:tc>
          <w:tcPr>
            <w:tcW w:type="dxa" w:w="2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20"/>
            </w:pPr>
            <w:r>
              <w:rPr>
                <w:rFonts w:ascii="Aptos" w:cs="Aptos" w:hAnsi="Aptos" w:eastAsia="Aptos"/>
                <w:sz w:val="16"/>
                <w:szCs w:val="16"/>
                <w:rtl w:val="0"/>
                <w:lang w:val="en-US"/>
              </w:rPr>
              <w:t>128</w:t>
            </w:r>
          </w:p>
        </w:tc>
        <w:tc>
          <w:tcPr>
            <w:tcW w:type="dxa" w:w="2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20"/>
            </w:pPr>
            <w:r>
              <w:rPr>
                <w:rFonts w:ascii="Aptos" w:cs="Aptos" w:hAnsi="Aptos" w:eastAsia="Aptos"/>
                <w:sz w:val="16"/>
                <w:szCs w:val="16"/>
                <w:rtl w:val="0"/>
                <w:lang w:val="en-US"/>
              </w:rPr>
              <w:t>0.0078125</w:t>
            </w:r>
          </w:p>
        </w:tc>
        <w:tc>
          <w:tcPr>
            <w:tcW w:type="dxa" w:w="2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20"/>
            </w:pPr>
            <w:r>
              <w:rPr>
                <w:rFonts w:ascii="Aptos" w:cs="Aptos" w:hAnsi="Aptos" w:eastAsia="Aptos"/>
                <w:sz w:val="16"/>
                <w:szCs w:val="16"/>
                <w:rtl w:val="0"/>
                <w:lang w:val="en-US"/>
              </w:rPr>
              <w:t>0.000141216</w:t>
            </w:r>
          </w:p>
        </w:tc>
        <w:tc>
          <w:tcPr>
            <w:tcW w:type="dxa" w:w="23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20"/>
            </w:pPr>
            <w:r>
              <w:rPr>
                <w:rFonts w:ascii="Aptos" w:cs="Aptos" w:hAnsi="Aptos" w:eastAsia="Aptos"/>
                <w:sz w:val="16"/>
                <w:szCs w:val="16"/>
                <w:rtl w:val="0"/>
                <w:lang w:val="en-US"/>
              </w:rPr>
              <w:t>0.58021</w:t>
            </w:r>
          </w:p>
        </w:tc>
      </w:tr>
      <w:tr>
        <w:tblPrEx>
          <w:shd w:val="clear" w:color="auto" w:fill="ced7e7"/>
        </w:tblPrEx>
        <w:trPr>
          <w:trHeight w:val="210" w:hRule="atLeast"/>
        </w:trPr>
        <w:tc>
          <w:tcPr>
            <w:tcW w:type="dxa" w:w="2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20"/>
            </w:pPr>
            <w:r>
              <w:rPr>
                <w:rFonts w:ascii="Aptos" w:cs="Aptos" w:hAnsi="Aptos" w:eastAsia="Aptos"/>
                <w:sz w:val="16"/>
                <w:szCs w:val="16"/>
                <w:rtl w:val="0"/>
                <w:lang w:val="en-US"/>
              </w:rPr>
              <w:t>256</w:t>
            </w:r>
          </w:p>
        </w:tc>
        <w:tc>
          <w:tcPr>
            <w:tcW w:type="dxa" w:w="2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20"/>
            </w:pPr>
            <w:r>
              <w:rPr>
                <w:rFonts w:ascii="Aptos" w:cs="Aptos" w:hAnsi="Aptos" w:eastAsia="Aptos"/>
                <w:sz w:val="16"/>
                <w:szCs w:val="16"/>
                <w:rtl w:val="0"/>
                <w:lang w:val="en-US"/>
              </w:rPr>
              <w:t>0.0039062</w:t>
            </w:r>
          </w:p>
        </w:tc>
        <w:tc>
          <w:tcPr>
            <w:tcW w:type="dxa" w:w="2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20"/>
            </w:pPr>
            <w:r>
              <w:rPr>
                <w:rFonts w:ascii="Aptos" w:cs="Aptos" w:hAnsi="Aptos" w:eastAsia="Aptos"/>
                <w:sz w:val="16"/>
                <w:szCs w:val="16"/>
                <w:rtl w:val="0"/>
                <w:lang w:val="en-US"/>
              </w:rPr>
              <w:t>3.69068e-07</w:t>
            </w:r>
          </w:p>
        </w:tc>
        <w:tc>
          <w:tcPr>
            <w:tcW w:type="dxa" w:w="23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20"/>
            </w:pPr>
            <w:r>
              <w:rPr>
                <w:rFonts w:ascii="Aptos" w:cs="Aptos" w:hAnsi="Aptos" w:eastAsia="Aptos"/>
                <w:sz w:val="16"/>
                <w:szCs w:val="16"/>
                <w:rtl w:val="0"/>
                <w:lang w:val="en-US"/>
              </w:rPr>
              <w:t>0.567828</w:t>
            </w:r>
          </w:p>
        </w:tc>
      </w:tr>
      <w:tr>
        <w:tblPrEx>
          <w:shd w:val="clear" w:color="auto" w:fill="ced7e7"/>
        </w:tblPrEx>
        <w:trPr>
          <w:trHeight w:val="210" w:hRule="atLeast"/>
        </w:trPr>
        <w:tc>
          <w:tcPr>
            <w:tcW w:type="dxa" w:w="2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20"/>
            </w:pPr>
            <w:r>
              <w:rPr>
                <w:rFonts w:ascii="Aptos" w:cs="Aptos" w:hAnsi="Aptos" w:eastAsia="Aptos"/>
                <w:sz w:val="16"/>
                <w:szCs w:val="16"/>
                <w:rtl w:val="0"/>
                <w:lang w:val="en-US"/>
              </w:rPr>
              <w:t>512</w:t>
            </w:r>
          </w:p>
        </w:tc>
        <w:tc>
          <w:tcPr>
            <w:tcW w:type="dxa" w:w="2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20"/>
            </w:pPr>
            <w:r>
              <w:rPr>
                <w:rFonts w:ascii="Aptos" w:cs="Aptos" w:hAnsi="Aptos" w:eastAsia="Aptos"/>
                <w:sz w:val="16"/>
                <w:szCs w:val="16"/>
                <w:rtl w:val="0"/>
                <w:lang w:val="en-US"/>
              </w:rPr>
              <w:t>0.0019531</w:t>
            </w:r>
          </w:p>
        </w:tc>
        <w:tc>
          <w:tcPr>
            <w:tcW w:type="dxa" w:w="2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20"/>
            </w:pPr>
            <w:r>
              <w:rPr>
                <w:rFonts w:ascii="Aptos" w:cs="Aptos" w:hAnsi="Aptos" w:eastAsia="Aptos"/>
                <w:sz w:val="16"/>
                <w:szCs w:val="16"/>
                <w:rtl w:val="0"/>
                <w:lang w:val="en-US"/>
              </w:rPr>
              <w:t>3.34602e-12</w:t>
            </w:r>
          </w:p>
        </w:tc>
        <w:tc>
          <w:tcPr>
            <w:tcW w:type="dxa" w:w="23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20"/>
            </w:pPr>
            <w:r>
              <w:rPr>
                <w:rFonts w:ascii="Aptos" w:cs="Aptos" w:hAnsi="Aptos" w:eastAsia="Aptos"/>
                <w:sz w:val="16"/>
                <w:szCs w:val="16"/>
                <w:rtl w:val="0"/>
                <w:lang w:val="en-US"/>
              </w:rPr>
              <w:t>0.542747</w:t>
            </w:r>
          </w:p>
        </w:tc>
      </w:tr>
    </w:tbl>
    <w:p>
      <w:pPr>
        <w:pStyle w:val="Normal.0"/>
        <w:widowControl w:val="0"/>
        <w:spacing w:after="100" w:line="240" w:lineRule="atLeast"/>
        <w:ind w:firstLine="0"/>
        <w:jc w:val="center"/>
      </w:pPr>
    </w:p>
    <w:p>
      <w:pPr>
        <w:pStyle w:val="Normal.0"/>
        <w:spacing w:after="60" w:line="240" w:lineRule="atLeast"/>
        <w:jc w:val="center"/>
      </w:pPr>
      <w:r>
        <w:drawing>
          <wp:inline distT="0" distB="0" distL="0" distR="0">
            <wp:extent cx="5349241" cy="3334592"/>
            <wp:effectExtent l="0" t="0" r="0" b="0"/>
            <wp:docPr id="1073741835" name="officeArt object" descr="cycle_response.png"/>
            <wp:cNvGraphicFramePr/>
            <a:graphic xmlns:a="http://schemas.openxmlformats.org/drawingml/2006/main">
              <a:graphicData uri="http://schemas.openxmlformats.org/drawingml/2006/picture">
                <pic:pic xmlns:pic="http://schemas.openxmlformats.org/drawingml/2006/picture">
                  <pic:nvPicPr>
                    <pic:cNvPr id="1073741835" name="cycle_response.png" descr="cycle_response.png"/>
                    <pic:cNvPicPr>
                      <a:picLocks noChangeAspect="1"/>
                    </pic:cNvPicPr>
                  </pic:nvPicPr>
                  <pic:blipFill>
                    <a:blip r:embed="rId14">
                      <a:extLst/>
                    </a:blip>
                    <a:stretch>
                      <a:fillRect/>
                    </a:stretch>
                  </pic:blipFill>
                  <pic:spPr>
                    <a:xfrm>
                      <a:off x="0" y="0"/>
                      <a:ext cx="5349241" cy="3334592"/>
                    </a:xfrm>
                    <a:prstGeom prst="rect">
                      <a:avLst/>
                    </a:prstGeom>
                    <a:ln w="12700" cap="flat">
                      <a:noFill/>
                      <a:miter lim="400000"/>
                    </a:ln>
                    <a:effectLst/>
                  </pic:spPr>
                </pic:pic>
              </a:graphicData>
            </a:graphic>
          </wp:inline>
        </w:drawing>
      </w:r>
    </w:p>
    <w:p>
      <w:pPr>
        <w:pStyle w:val="Normal.0"/>
        <w:spacing w:after="100" w:line="240" w:lineRule="atLeast"/>
        <w:jc w:val="center"/>
      </w:pPr>
      <w:r>
        <w:rPr>
          <w:i w:val="1"/>
          <w:iCs w:val="1"/>
          <w:sz w:val="16"/>
          <w:szCs w:val="16"/>
          <w:rtl w:val="0"/>
          <w:lang w:val="en-US"/>
        </w:rPr>
        <w:t>Figure V.1. Sampled normalised retarded density at one fixed time; dashed marker d=ct, dotted marker d=ct+0.045. Near-front oscillations do not contradict buffered convergence.</w:t>
      </w:r>
    </w:p>
    <w:p>
      <w:pPr>
        <w:pStyle w:val="Normal.0"/>
        <w:spacing w:after="60" w:line="240" w:lineRule="atLeast"/>
        <w:jc w:val="center"/>
      </w:pPr>
      <w:r>
        <w:drawing>
          <wp:inline distT="0" distB="0" distL="0" distR="0">
            <wp:extent cx="5212080" cy="3267274"/>
            <wp:effectExtent l="0" t="0" r="0" b="0"/>
            <wp:docPr id="1073741836" name="officeArt object" descr="tail_scaling.png"/>
            <wp:cNvGraphicFramePr/>
            <a:graphic xmlns:a="http://schemas.openxmlformats.org/drawingml/2006/main">
              <a:graphicData uri="http://schemas.openxmlformats.org/drawingml/2006/picture">
                <pic:pic xmlns:pic="http://schemas.openxmlformats.org/drawingml/2006/picture">
                  <pic:nvPicPr>
                    <pic:cNvPr id="1073741836" name="tail_scaling.png" descr="tail_scaling.png"/>
                    <pic:cNvPicPr>
                      <a:picLocks noChangeAspect="1"/>
                    </pic:cNvPicPr>
                  </pic:nvPicPr>
                  <pic:blipFill>
                    <a:blip r:embed="rId15">
                      <a:extLst/>
                    </a:blip>
                    <a:stretch>
                      <a:fillRect/>
                    </a:stretch>
                  </pic:blipFill>
                  <pic:spPr>
                    <a:xfrm>
                      <a:off x="0" y="0"/>
                      <a:ext cx="5212080" cy="3267274"/>
                    </a:xfrm>
                    <a:prstGeom prst="rect">
                      <a:avLst/>
                    </a:prstGeom>
                    <a:ln w="12700" cap="flat">
                      <a:noFill/>
                      <a:miter lim="400000"/>
                    </a:ln>
                    <a:effectLst/>
                  </pic:spPr>
                </pic:pic>
              </a:graphicData>
            </a:graphic>
          </wp:inline>
        </w:drawing>
      </w:r>
    </w:p>
    <w:p>
      <w:pPr>
        <w:pStyle w:val="Normal.0"/>
        <w:spacing w:after="100" w:line="240" w:lineRule="atLeast"/>
        <w:jc w:val="center"/>
      </w:pPr>
      <w:r>
        <w:rPr>
          <w:i w:val="1"/>
          <w:iCs w:val="1"/>
          <w:sz w:val="16"/>
          <w:szCs w:val="16"/>
          <w:rtl w:val="0"/>
          <w:lang w:val="en-US"/>
        </w:rPr>
        <w:t xml:space="preserve">Figure V.2. Fixed-time sampled exterior maxima as N grows; analytically uniform-in-time control remains the existing theorem in Part II </w:t>
      </w:r>
      <w:r>
        <w:rPr>
          <w:i w:val="1"/>
          <w:iCs w:val="1"/>
          <w:sz w:val="16"/>
          <w:szCs w:val="16"/>
          <w:rtl w:val="0"/>
          <w:lang w:val="en-US"/>
        </w:rPr>
        <w:t>§</w:t>
      </w:r>
      <w:r>
        <w:rPr>
          <w:i w:val="1"/>
          <w:iCs w:val="1"/>
          <w:sz w:val="16"/>
          <w:szCs w:val="16"/>
          <w:rtl w:val="0"/>
          <w:lang w:val="en-US"/>
        </w:rPr>
        <w:t>3.4.</w:t>
      </w:r>
    </w:p>
    <w:p>
      <w:pPr>
        <w:pStyle w:val="Normal.0"/>
        <w:spacing w:after="100" w:line="240" w:lineRule="atLeast"/>
      </w:pPr>
      <w:r>
        <w:rPr>
          <w:rtl w:val="0"/>
          <w:lang w:val="en-US"/>
        </w:rPr>
        <w:t>The data exhibit a rapid decrease from about 3.85</w:t>
      </w:r>
      <w:r>
        <w:rPr>
          <w:rtl w:val="0"/>
          <w:lang w:val="en-US"/>
        </w:rPr>
        <w:t>×</w:t>
      </w:r>
      <w:r>
        <w:rPr>
          <w:rtl w:val="0"/>
          <w:lang w:val="en-US"/>
        </w:rPr>
        <w:t>10</w:t>
      </w:r>
      <w:r>
        <w:rPr>
          <w:rFonts w:ascii="Arial Unicode MS" w:cs="Arial Unicode MS" w:hAnsi="Arial Unicode MS" w:eastAsia="Arial Unicode MS" w:hint="default"/>
          <w:b w:val="0"/>
          <w:bCs w:val="0"/>
          <w:i w:val="0"/>
          <w:iCs w:val="0"/>
          <w:rtl w:val="0"/>
          <w:lang w:val="en-US"/>
        </w:rPr>
        <w:t>⁻</w:t>
      </w:r>
      <w:r>
        <w:rPr>
          <w:rtl w:val="0"/>
          <w:lang w:val="en-US"/>
        </w:rPr>
        <w:t xml:space="preserve">³ </w:t>
      </w:r>
      <w:r>
        <w:rPr>
          <w:rtl w:val="0"/>
          <w:lang w:val="en-US"/>
        </w:rPr>
        <w:t>at N=32 to 3.35</w:t>
      </w:r>
      <w:r>
        <w:rPr>
          <w:rtl w:val="0"/>
          <w:lang w:val="en-US"/>
        </w:rPr>
        <w:t>×</w:t>
      </w:r>
      <w:r>
        <w:rPr>
          <w:rtl w:val="0"/>
          <w:lang w:val="en-US"/>
        </w:rPr>
        <w:t>10</w:t>
      </w:r>
      <w:r>
        <w:rPr>
          <w:rFonts w:ascii="Arial Unicode MS" w:cs="Arial Unicode MS" w:hAnsi="Arial Unicode MS" w:eastAsia="Arial Unicode MS" w:hint="default"/>
          <w:b w:val="0"/>
          <w:bCs w:val="0"/>
          <w:i w:val="0"/>
          <w:iCs w:val="0"/>
          <w:rtl w:val="0"/>
          <w:lang w:val="en-US"/>
        </w:rPr>
        <w:t>⁻</w:t>
      </w:r>
      <w:r>
        <w:rPr>
          <w:rtl w:val="0"/>
          <w:lang w:val="en-US"/>
        </w:rPr>
        <w:t xml:space="preserve">¹² </w:t>
      </w:r>
      <w:r>
        <w:rPr>
          <w:rtl w:val="0"/>
          <w:lang w:val="en-US"/>
        </w:rPr>
        <w:t>at N=512 for the chosen buffer. Values depend on the buffer, time, model, impulse normalisation and numerical precision; these are not universal physical constants. A convincing finite-size demonstration of relationally selected geometry would require a separately generated random/dynamical graph ensemble, not merely refinement of this predetermined cycle.</w:t>
      </w:r>
    </w:p>
    <w:p>
      <w:pPr>
        <w:pStyle w:val="Normal.0"/>
        <w:spacing w:after="100" w:line="240" w:lineRule="atLeast"/>
      </w:pPr>
      <w:r>
        <w:rPr>
          <w:rtl w:val="0"/>
          <w:lang w:val="en-US"/>
        </w:rPr>
        <w:t>Reproducibility record: Python 3 with NumPy/Matplotlib; no stochastic seed is needed; the full script and CSV are supplied as separate files. Recompute after changing T, buffer and source normalisation; include off-front as well as near-front diagnostics. Part II already contains stronger analytic bounds on the continuum limit for this model.</w:t>
      </w:r>
    </w:p>
    <w:p>
      <w:pPr>
        <w:pStyle w:val="Заголовок 2"/>
        <w:spacing w:after="100" w:line="240" w:lineRule="atLeast"/>
      </w:pPr>
      <w:r>
        <w:rPr>
          <w:rtl w:val="0"/>
          <w:lang w:val="en-US"/>
        </w:rPr>
        <w:t>V.7. OpenAI Math catalogue: transfer audit rather than borrowed conclusions</w:t>
      </w:r>
    </w:p>
    <w:p>
      <w:pPr>
        <w:pStyle w:val="Normal.0"/>
        <w:spacing w:after="100" w:line="240" w:lineRule="atLeast"/>
      </w:pPr>
      <w:r>
        <w:rPr>
          <w:rtl w:val="0"/>
          <w:lang w:val="en-US"/>
        </w:rPr>
        <w:t>Repository screened: https://github.com/openai/math (catalogue and history read 12 October 2026). The public README at the time reports 719 manuscripts across 372 families; the collection itself warns that not all manuscripts are formalised and that unformalised arguments may contain problems. The history documents withdrawals and repairs on 7 October 2026. The relevant question for the present project is therefore which methods, counterexample families or verification practices transfer under explicitly new hypotheses, not whether these results have already proved our physical scenario.</w:t>
      </w:r>
    </w:p>
    <w:tbl>
      <w:tblPr>
        <w:tblW w:w="9525"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175"/>
        <w:gridCol w:w="3175"/>
        <w:gridCol w:w="3175"/>
      </w:tblGrid>
      <w:tr>
        <w:tblPrEx>
          <w:shd w:val="clear" w:color="auto" w:fill="4f81bd"/>
        </w:tblPrEx>
        <w:trPr>
          <w:trHeight w:val="426" w:hRule="atLeast"/>
          <w:tblHeader/>
        </w:trPr>
        <w:tc>
          <w:tcPr>
            <w:tcW w:type="dxa" w:w="31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df2f6"/>
            <w:tcMar>
              <w:top w:type="dxa" w:w="80"/>
              <w:left w:type="dxa" w:w="80"/>
              <w:bottom w:type="dxa" w:w="80"/>
              <w:right w:type="dxa" w:w="80"/>
            </w:tcMar>
            <w:vAlign w:val="center"/>
          </w:tcPr>
          <w:p>
            <w:pPr>
              <w:pStyle w:val="Normal.0"/>
              <w:spacing w:after="20"/>
            </w:pPr>
            <w:r>
              <w:rPr>
                <w:rFonts w:ascii="Aptos" w:cs="Aptos" w:hAnsi="Aptos" w:eastAsia="Aptos"/>
                <w:b w:val="1"/>
                <w:bCs w:val="1"/>
                <w:sz w:val="16"/>
                <w:szCs w:val="16"/>
                <w:rtl w:val="0"/>
                <w:lang w:val="en-US"/>
              </w:rPr>
              <w:t>OpenAI family</w:t>
            </w:r>
          </w:p>
        </w:tc>
        <w:tc>
          <w:tcPr>
            <w:tcW w:type="dxa" w:w="31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df2f6"/>
            <w:tcMar>
              <w:top w:type="dxa" w:w="80"/>
              <w:left w:type="dxa" w:w="80"/>
              <w:bottom w:type="dxa" w:w="80"/>
              <w:right w:type="dxa" w:w="80"/>
            </w:tcMar>
            <w:vAlign w:val="center"/>
          </w:tcPr>
          <w:p>
            <w:pPr>
              <w:pStyle w:val="Normal.0"/>
              <w:spacing w:after="20"/>
            </w:pPr>
            <w:r>
              <w:rPr>
                <w:rFonts w:ascii="Aptos" w:cs="Aptos" w:hAnsi="Aptos" w:eastAsia="Aptos"/>
                <w:b w:val="1"/>
                <w:bCs w:val="1"/>
                <w:sz w:val="16"/>
                <w:szCs w:val="16"/>
                <w:rtl w:val="0"/>
                <w:lang w:val="en-US"/>
              </w:rPr>
              <w:t>Candidate input</w:t>
            </w:r>
          </w:p>
        </w:tc>
        <w:tc>
          <w:tcPr>
            <w:tcW w:type="dxa" w:w="31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df2f6"/>
            <w:tcMar>
              <w:top w:type="dxa" w:w="80"/>
              <w:left w:type="dxa" w:w="80"/>
              <w:bottom w:type="dxa" w:w="80"/>
              <w:right w:type="dxa" w:w="80"/>
            </w:tcMar>
            <w:vAlign w:val="center"/>
          </w:tcPr>
          <w:p>
            <w:pPr>
              <w:pStyle w:val="Normal.0"/>
              <w:spacing w:after="20"/>
            </w:pPr>
            <w:r>
              <w:rPr>
                <w:rFonts w:ascii="Aptos" w:cs="Aptos" w:hAnsi="Aptos" w:eastAsia="Aptos"/>
                <w:b w:val="1"/>
                <w:bCs w:val="1"/>
                <w:sz w:val="16"/>
                <w:szCs w:val="16"/>
                <w:rtl w:val="0"/>
                <w:lang w:val="en-US"/>
              </w:rPr>
              <w:t>Permitted transfer / crucial non-implication</w:t>
            </w:r>
          </w:p>
        </w:tc>
      </w:tr>
      <w:tr>
        <w:tblPrEx>
          <w:shd w:val="clear" w:color="auto" w:fill="ced7e7"/>
        </w:tblPrEx>
        <w:trPr>
          <w:trHeight w:val="1073" w:hRule="atLeast"/>
        </w:trPr>
        <w:tc>
          <w:tcPr>
            <w:tcW w:type="dxa" w:w="31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20"/>
            </w:pPr>
            <w:r>
              <w:rPr>
                <w:rFonts w:ascii="Aptos" w:cs="Aptos" w:hAnsi="Aptos" w:eastAsia="Aptos"/>
                <w:sz w:val="16"/>
                <w:szCs w:val="16"/>
                <w:rtl w:val="0"/>
                <w:lang w:val="en-US"/>
              </w:rPr>
              <w:t>089</w:t>
            </w:r>
          </w:p>
        </w:tc>
        <w:tc>
          <w:tcPr>
            <w:tcW w:type="dxa" w:w="31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20"/>
            </w:pPr>
            <w:r>
              <w:rPr>
                <w:rFonts w:ascii="Aptos" w:cs="Aptos" w:hAnsi="Aptos" w:eastAsia="Aptos"/>
                <w:sz w:val="16"/>
                <w:szCs w:val="16"/>
                <w:rtl w:val="0"/>
                <w:lang w:val="en-US"/>
              </w:rPr>
              <w:t>Bounded-distortion L</w:t>
            </w:r>
            <w:r>
              <w:rPr>
                <w:rFonts w:ascii="Aptos" w:cs="Aptos" w:hAnsi="Aptos" w:eastAsia="Aptos"/>
                <w:sz w:val="16"/>
                <w:szCs w:val="16"/>
                <w:rtl w:val="0"/>
                <w:lang w:val="en-US"/>
              </w:rPr>
              <w:t xml:space="preserve">¹ </w:t>
            </w:r>
            <w:r>
              <w:rPr>
                <w:rFonts w:ascii="Aptos" w:cs="Aptos" w:hAnsi="Aptos" w:eastAsia="Aptos"/>
                <w:sz w:val="16"/>
                <w:szCs w:val="16"/>
                <w:rtl w:val="0"/>
                <w:lang w:val="en-US"/>
              </w:rPr>
              <w:t>embeddings of planar / bounded-treewidth graph metrics</w:t>
            </w:r>
          </w:p>
        </w:tc>
        <w:tc>
          <w:tcPr>
            <w:tcW w:type="dxa" w:w="31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20"/>
            </w:pPr>
            <w:r>
              <w:rPr>
                <w:rFonts w:ascii="Aptos" w:cs="Aptos" w:hAnsi="Aptos" w:eastAsia="Aptos"/>
                <w:sz w:val="16"/>
                <w:szCs w:val="16"/>
                <w:rtl w:val="0"/>
                <w:lang w:val="en-US"/>
              </w:rPr>
              <w:t>Use metric-distortion and flow-cut diagnostics as one test of candidate reconstructions. L</w:t>
            </w:r>
            <w:r>
              <w:rPr>
                <w:rFonts w:ascii="Aptos" w:cs="Aptos" w:hAnsi="Aptos" w:eastAsia="Aptos"/>
                <w:sz w:val="16"/>
                <w:szCs w:val="16"/>
                <w:rtl w:val="0"/>
                <w:lang w:val="en-US"/>
              </w:rPr>
              <w:t xml:space="preserve">¹ </w:t>
            </w:r>
            <w:r>
              <w:rPr>
                <w:rFonts w:ascii="Aptos" w:cs="Aptos" w:hAnsi="Aptos" w:eastAsia="Aptos"/>
                <w:sz w:val="16"/>
                <w:szCs w:val="16"/>
                <w:rtl w:val="0"/>
                <w:lang w:val="en-US"/>
              </w:rPr>
              <w:t xml:space="preserve">embedding </w:t>
            </w:r>
            <w:r>
              <w:rPr>
                <w:rFonts w:ascii="Aptos" w:cs="Aptos" w:hAnsi="Aptos" w:eastAsia="Aptos"/>
                <w:sz w:val="16"/>
                <w:szCs w:val="16"/>
                <w:rtl w:val="0"/>
                <w:lang w:val="en-US"/>
              </w:rPr>
              <w:t xml:space="preserve">≠ </w:t>
            </w:r>
            <w:r>
              <w:rPr>
                <w:rFonts w:ascii="Aptos" w:cs="Aptos" w:hAnsi="Aptos" w:eastAsia="Aptos"/>
                <w:sz w:val="16"/>
                <w:szCs w:val="16"/>
                <w:rtl w:val="0"/>
                <w:lang w:val="en-US"/>
              </w:rPr>
              <w:t>Lorentzian causality. Lean scope lists comparator statements [OA1].</w:t>
            </w:r>
          </w:p>
        </w:tc>
      </w:tr>
      <w:tr>
        <w:tblPrEx>
          <w:shd w:val="clear" w:color="auto" w:fill="ced7e7"/>
        </w:tblPrEx>
        <w:trPr>
          <w:trHeight w:val="1073" w:hRule="atLeast"/>
        </w:trPr>
        <w:tc>
          <w:tcPr>
            <w:tcW w:type="dxa" w:w="31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20"/>
            </w:pPr>
            <w:r>
              <w:rPr>
                <w:rFonts w:ascii="Aptos" w:cs="Aptos" w:hAnsi="Aptos" w:eastAsia="Aptos"/>
                <w:sz w:val="16"/>
                <w:szCs w:val="16"/>
                <w:rtl w:val="0"/>
                <w:lang w:val="en-US"/>
              </w:rPr>
              <w:t>131</w:t>
            </w:r>
          </w:p>
        </w:tc>
        <w:tc>
          <w:tcPr>
            <w:tcW w:type="dxa" w:w="31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20"/>
            </w:pPr>
            <w:r>
              <w:rPr>
                <w:rFonts w:ascii="Aptos" w:cs="Aptos" w:hAnsi="Aptos" w:eastAsia="Aptos"/>
                <w:sz w:val="16"/>
                <w:szCs w:val="16"/>
                <w:rtl w:val="0"/>
                <w:lang w:val="en-US"/>
              </w:rPr>
              <w:t>Polynomial mixing of degree-sequence graph-switch chains</w:t>
            </w:r>
          </w:p>
        </w:tc>
        <w:tc>
          <w:tcPr>
            <w:tcW w:type="dxa" w:w="31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20"/>
            </w:pPr>
            <w:r>
              <w:rPr>
                <w:rFonts w:ascii="Aptos" w:cs="Aptos" w:hAnsi="Aptos" w:eastAsia="Aptos"/>
                <w:sz w:val="16"/>
                <w:szCs w:val="16"/>
                <w:rtl w:val="0"/>
                <w:lang w:val="en-US"/>
              </w:rPr>
              <w:t>Construct permutation-invariant reference samplers; test whether well-mixed ensembles are local or nonlocal. Degree constraints + fast mixing do not imply geometric phase. Lean scope is limited [OA2].</w:t>
            </w:r>
          </w:p>
        </w:tc>
      </w:tr>
      <w:tr>
        <w:tblPrEx>
          <w:shd w:val="clear" w:color="auto" w:fill="ced7e7"/>
        </w:tblPrEx>
        <w:trPr>
          <w:trHeight w:val="858" w:hRule="atLeast"/>
        </w:trPr>
        <w:tc>
          <w:tcPr>
            <w:tcW w:type="dxa" w:w="31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20"/>
            </w:pPr>
            <w:r>
              <w:rPr>
                <w:rFonts w:ascii="Aptos" w:cs="Aptos" w:hAnsi="Aptos" w:eastAsia="Aptos"/>
                <w:sz w:val="16"/>
                <w:szCs w:val="16"/>
                <w:rtl w:val="0"/>
                <w:lang w:val="en-US"/>
              </w:rPr>
              <w:t>178</w:t>
            </w:r>
          </w:p>
        </w:tc>
        <w:tc>
          <w:tcPr>
            <w:tcW w:type="dxa" w:w="31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20"/>
            </w:pPr>
            <w:r>
              <w:rPr>
                <w:rFonts w:ascii="Aptos" w:cs="Aptos" w:hAnsi="Aptos" w:eastAsia="Aptos"/>
                <w:sz w:val="16"/>
                <w:szCs w:val="16"/>
                <w:rtl w:val="0"/>
                <w:lang w:val="en-US"/>
              </w:rPr>
              <w:t>Fixed-degree nonbipartite Ramanujan graph constructions</w:t>
            </w:r>
          </w:p>
        </w:tc>
        <w:tc>
          <w:tcPr>
            <w:tcW w:type="dxa" w:w="31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20"/>
            </w:pPr>
            <w:r>
              <w:rPr>
                <w:rFonts w:ascii="Aptos" w:cs="Aptos" w:hAnsi="Aptos" w:eastAsia="Aptos"/>
                <w:sz w:val="16"/>
                <w:szCs w:val="16"/>
                <w:rtl w:val="0"/>
                <w:lang w:val="en-US"/>
              </w:rPr>
              <w:t>Adversarial graph ensemble for Theorem V.2: spectral expander can be nonlocal. Do not assume its gap means continuum geometry [OA4].</w:t>
            </w:r>
          </w:p>
        </w:tc>
      </w:tr>
      <w:tr>
        <w:tblPrEx>
          <w:shd w:val="clear" w:color="auto" w:fill="ced7e7"/>
        </w:tblPrEx>
        <w:trPr>
          <w:trHeight w:val="1073" w:hRule="atLeast"/>
        </w:trPr>
        <w:tc>
          <w:tcPr>
            <w:tcW w:type="dxa" w:w="31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20"/>
            </w:pPr>
            <w:r>
              <w:rPr>
                <w:rFonts w:ascii="Aptos" w:cs="Aptos" w:hAnsi="Aptos" w:eastAsia="Aptos"/>
                <w:sz w:val="16"/>
                <w:szCs w:val="16"/>
                <w:rtl w:val="0"/>
                <w:lang w:val="en-US"/>
              </w:rPr>
              <w:t>186</w:t>
            </w:r>
          </w:p>
        </w:tc>
        <w:tc>
          <w:tcPr>
            <w:tcW w:type="dxa" w:w="31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20"/>
            </w:pPr>
            <w:r>
              <w:rPr>
                <w:rFonts w:ascii="Aptos" w:cs="Aptos" w:hAnsi="Aptos" w:eastAsia="Aptos"/>
                <w:sz w:val="16"/>
                <w:szCs w:val="16"/>
                <w:rtl w:val="0"/>
                <w:lang w:val="en-US"/>
              </w:rPr>
              <w:t>Sharp thresholds for relabeling-invariant graph properties</w:t>
            </w:r>
          </w:p>
        </w:tc>
        <w:tc>
          <w:tcPr>
            <w:tcW w:type="dxa" w:w="31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20"/>
            </w:pPr>
            <w:r>
              <w:rPr>
                <w:rFonts w:ascii="Aptos" w:cs="Aptos" w:hAnsi="Aptos" w:eastAsia="Aptos"/>
                <w:sz w:val="16"/>
                <w:szCs w:val="16"/>
                <w:rtl w:val="0"/>
                <w:lang w:val="en-US"/>
              </w:rPr>
              <w:t>Choose explicit structural indicators and test finite-size phase transitions of an ensemble. Sharp threshold is about a random graph law, not time evolution / physical causality. Lean scope [OA3].</w:t>
            </w:r>
          </w:p>
        </w:tc>
      </w:tr>
      <w:tr>
        <w:tblPrEx>
          <w:shd w:val="clear" w:color="auto" w:fill="ced7e7"/>
        </w:tblPrEx>
        <w:trPr>
          <w:trHeight w:val="858" w:hRule="atLeast"/>
        </w:trPr>
        <w:tc>
          <w:tcPr>
            <w:tcW w:type="dxa" w:w="31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20"/>
            </w:pPr>
            <w:r>
              <w:rPr>
                <w:rFonts w:ascii="Aptos" w:cs="Aptos" w:hAnsi="Aptos" w:eastAsia="Aptos"/>
                <w:sz w:val="16"/>
                <w:szCs w:val="16"/>
                <w:rtl w:val="0"/>
                <w:lang w:val="en-US"/>
              </w:rPr>
              <w:t>211</w:t>
            </w:r>
          </w:p>
        </w:tc>
        <w:tc>
          <w:tcPr>
            <w:tcW w:type="dxa" w:w="31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20"/>
            </w:pPr>
            <w:r>
              <w:rPr>
                <w:rFonts w:ascii="Aptos" w:cs="Aptos" w:hAnsi="Aptos" w:eastAsia="Aptos"/>
                <w:sz w:val="16"/>
                <w:szCs w:val="16"/>
                <w:rtl w:val="0"/>
                <w:lang w:val="en-US"/>
              </w:rPr>
              <w:t>Metric</w:t>
            </w:r>
            <w:r>
              <w:rPr>
                <w:rFonts w:ascii="Aptos" w:cs="Aptos" w:hAnsi="Aptos" w:eastAsia="Aptos"/>
                <w:sz w:val="16"/>
                <w:szCs w:val="16"/>
                <w:rtl w:val="0"/>
                <w:lang w:val="en-US"/>
              </w:rPr>
              <w:t>–</w:t>
            </w:r>
            <w:r>
              <w:rPr>
                <w:rFonts w:ascii="Aptos" w:cs="Aptos" w:hAnsi="Aptos" w:eastAsia="Aptos"/>
                <w:sz w:val="16"/>
                <w:szCs w:val="16"/>
                <w:rtl w:val="0"/>
                <w:lang w:val="en-US"/>
              </w:rPr>
              <w:t>measure, random-walk and spectral limits of random planar maps</w:t>
            </w:r>
          </w:p>
        </w:tc>
        <w:tc>
          <w:tcPr>
            <w:tcW w:type="dxa" w:w="31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20"/>
            </w:pPr>
            <w:r>
              <w:rPr>
                <w:rFonts w:ascii="Aptos" w:cs="Aptos" w:hAnsi="Aptos" w:eastAsia="Aptos"/>
                <w:sz w:val="16"/>
                <w:szCs w:val="16"/>
                <w:rtl w:val="0"/>
                <w:lang w:val="en-US"/>
              </w:rPr>
              <w:t>Model a joint convergence checklist: topology/metric + measure + diffusion + spectrum. Lean covers a particular q&gt;4 tree limit, not every companion claim [OA5].</w:t>
            </w:r>
          </w:p>
        </w:tc>
      </w:tr>
      <w:tr>
        <w:tblPrEx>
          <w:shd w:val="clear" w:color="auto" w:fill="ced7e7"/>
        </w:tblPrEx>
        <w:trPr>
          <w:trHeight w:val="858" w:hRule="atLeast"/>
        </w:trPr>
        <w:tc>
          <w:tcPr>
            <w:tcW w:type="dxa" w:w="31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20"/>
            </w:pPr>
            <w:r>
              <w:rPr>
                <w:rFonts w:ascii="Aptos" w:cs="Aptos" w:hAnsi="Aptos" w:eastAsia="Aptos"/>
                <w:sz w:val="16"/>
                <w:szCs w:val="16"/>
                <w:rtl w:val="0"/>
                <w:lang w:val="en-US"/>
              </w:rPr>
              <w:t>079</w:t>
            </w:r>
          </w:p>
        </w:tc>
        <w:tc>
          <w:tcPr>
            <w:tcW w:type="dxa" w:w="31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20"/>
            </w:pPr>
            <w:r>
              <w:rPr>
                <w:rFonts w:ascii="Aptos" w:cs="Aptos" w:hAnsi="Aptos" w:eastAsia="Aptos"/>
                <w:sz w:val="16"/>
                <w:szCs w:val="16"/>
                <w:rtl w:val="0"/>
                <w:lang w:val="en-US"/>
              </w:rPr>
              <w:t>Wave-equation local-smoothing estimates in Euclidean 3D</w:t>
            </w:r>
          </w:p>
        </w:tc>
        <w:tc>
          <w:tcPr>
            <w:tcW w:type="dxa" w:w="31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20"/>
            </w:pPr>
            <w:r>
              <w:rPr>
                <w:rFonts w:ascii="Aptos" w:cs="Aptos" w:hAnsi="Aptos" w:eastAsia="Aptos"/>
                <w:sz w:val="16"/>
                <w:szCs w:val="16"/>
                <w:rtl w:val="0"/>
                <w:lang w:val="en-US"/>
              </w:rPr>
              <w:t>Possible regularity toolkit only after an appropriate 3D continuum wave operator is established. It does not derive the operator from R [OA6].</w:t>
            </w:r>
          </w:p>
        </w:tc>
      </w:tr>
      <w:tr>
        <w:tblPrEx>
          <w:shd w:val="clear" w:color="auto" w:fill="ced7e7"/>
        </w:tblPrEx>
        <w:trPr>
          <w:trHeight w:val="858" w:hRule="atLeast"/>
        </w:trPr>
        <w:tc>
          <w:tcPr>
            <w:tcW w:type="dxa" w:w="31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20"/>
            </w:pPr>
            <w:r>
              <w:rPr>
                <w:rFonts w:ascii="Aptos" w:cs="Aptos" w:hAnsi="Aptos" w:eastAsia="Aptos"/>
                <w:sz w:val="16"/>
                <w:szCs w:val="16"/>
                <w:rtl w:val="0"/>
                <w:lang w:val="en-US"/>
              </w:rPr>
              <w:t>218</w:t>
            </w:r>
          </w:p>
        </w:tc>
        <w:tc>
          <w:tcPr>
            <w:tcW w:type="dxa" w:w="31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20"/>
            </w:pPr>
            <w:r>
              <w:rPr>
                <w:rFonts w:ascii="Aptos" w:cs="Aptos" w:hAnsi="Aptos" w:eastAsia="Aptos"/>
                <w:sz w:val="16"/>
                <w:szCs w:val="16"/>
                <w:rtl w:val="0"/>
                <w:lang w:val="en-US"/>
              </w:rPr>
              <w:t>Conformal universality of perturbed Ising critical models</w:t>
            </w:r>
          </w:p>
        </w:tc>
        <w:tc>
          <w:tcPr>
            <w:tcW w:type="dxa" w:w="31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20"/>
            </w:pPr>
            <w:r>
              <w:rPr>
                <w:rFonts w:ascii="Aptos" w:cs="Aptos" w:hAnsi="Aptos" w:eastAsia="Aptos"/>
                <w:sz w:val="16"/>
                <w:szCs w:val="16"/>
                <w:rtl w:val="0"/>
                <w:lang w:val="en-US"/>
              </w:rPr>
              <w:t>Example of asking whether a continuum universality class survives specified microscopic perturbations. No transfer of Lorentz/massless-sector claims [OA7].</w:t>
            </w:r>
          </w:p>
        </w:tc>
      </w:tr>
    </w:tbl>
    <w:p>
      <w:pPr>
        <w:pStyle w:val="Normal.0"/>
        <w:widowControl w:val="0"/>
        <w:spacing w:after="100" w:line="240" w:lineRule="atLeast"/>
        <w:ind w:firstLine="0"/>
        <w:jc w:val="center"/>
      </w:pPr>
    </w:p>
    <w:p>
      <w:pPr>
        <w:pStyle w:val="Normal.0"/>
        <w:spacing w:after="100" w:line="240" w:lineRule="atLeast"/>
      </w:pPr>
      <w:r>
        <w:rPr>
          <w:rtl w:val="0"/>
          <w:lang w:val="en-US"/>
        </w:rPr>
        <w:t xml:space="preserve">Priority ranking for this programme: high methodological relevance </w:t>
      </w:r>
      <w:r>
        <w:rPr>
          <w:rtl w:val="0"/>
          <w:lang w:val="en-US"/>
        </w:rPr>
        <w:t xml:space="preserve">— </w:t>
      </w:r>
      <w:r>
        <w:rPr>
          <w:rtl w:val="0"/>
          <w:lang w:val="en-US"/>
        </w:rPr>
        <w:t>211 (joint metric</w:t>
      </w:r>
      <w:r>
        <w:rPr>
          <w:rtl w:val="0"/>
          <w:lang w:val="en-US"/>
        </w:rPr>
        <w:t>–</w:t>
      </w:r>
      <w:r>
        <w:rPr>
          <w:rtl w:val="0"/>
          <w:lang w:val="en-US"/>
        </w:rPr>
        <w:t>measure</w:t>
      </w:r>
      <w:r>
        <w:rPr>
          <w:rtl w:val="0"/>
          <w:lang w:val="en-US"/>
        </w:rPr>
        <w:t>–</w:t>
      </w:r>
      <w:r>
        <w:rPr>
          <w:rtl w:val="0"/>
          <w:lang w:val="en-US"/>
        </w:rPr>
        <w:t>diffusion</w:t>
      </w:r>
      <w:r>
        <w:rPr>
          <w:rtl w:val="0"/>
          <w:lang w:val="en-US"/>
        </w:rPr>
        <w:t>–</w:t>
      </w:r>
      <w:r>
        <w:rPr>
          <w:rtl w:val="0"/>
          <w:lang w:val="en-US"/>
        </w:rPr>
        <w:t xml:space="preserve">spectrum limits), 089 (distortion tests), 178 (expander falsifier), 131 (relabeling-invariant graph baseline), 186 (phase-indicator threshold discipline). Conditional later relevance </w:t>
      </w:r>
      <w:r>
        <w:rPr>
          <w:rtl w:val="0"/>
          <w:lang w:val="en-US"/>
        </w:rPr>
        <w:t xml:space="preserve">— </w:t>
      </w:r>
      <w:r>
        <w:rPr>
          <w:rtl w:val="0"/>
          <w:lang w:val="en-US"/>
        </w:rPr>
        <w:t xml:space="preserve">079 (continuum wave regularity), 218 (stability of a specialised universality class). The full catalogue is not </w:t>
      </w:r>
      <w:r>
        <w:rPr>
          <w:rtl w:val="0"/>
          <w:lang w:val="en-US"/>
        </w:rPr>
        <w:t>“</w:t>
      </w:r>
      <w:r>
        <w:rPr>
          <w:rtl w:val="0"/>
          <w:lang w:val="en-US"/>
        </w:rPr>
        <w:t>all applicable</w:t>
      </w:r>
      <w:r>
        <w:rPr>
          <w:rtl w:val="0"/>
          <w:lang w:val="en-US"/>
        </w:rPr>
        <w:t>”</w:t>
      </w:r>
      <w:r>
        <w:rPr>
          <w:rtl w:val="0"/>
          <w:lang w:val="en-US"/>
        </w:rPr>
        <w:t>: most families concern unrelated mathematical problems, and importing them by title alone would reduce scientific precision.</w:t>
      </w:r>
    </w:p>
    <w:p>
      <w:pPr>
        <w:pStyle w:val="Normal.0"/>
        <w:spacing w:after="100" w:line="240" w:lineRule="atLeast"/>
      </w:pPr>
      <w:r>
        <w:rPr>
          <w:rtl w:val="0"/>
          <w:lang w:val="en-US"/>
        </w:rPr>
        <w:t>Formal verification programme. Select Theorems V.1</w:t>
      </w:r>
      <w:r>
        <w:rPr>
          <w:rtl w:val="0"/>
          <w:lang w:val="en-US"/>
        </w:rPr>
        <w:t>–</w:t>
      </w:r>
      <w:r>
        <w:rPr>
          <w:rtl w:val="0"/>
          <w:lang w:val="en-US"/>
        </w:rPr>
        <w:t xml:space="preserve">V.4 as a small Lean 4 / mathlib target: define a metric-space ball-support lemma and </w:t>
      </w:r>
      <w:r>
        <w:rPr>
          <w:rtl w:val="0"/>
          <w:lang w:val="en-US"/>
        </w:rPr>
        <w:t xml:space="preserve">ℓ¹ </w:t>
      </w:r>
      <w:r>
        <w:rPr>
          <w:rtl w:val="0"/>
          <w:lang w:val="en-US"/>
        </w:rPr>
        <w:t>matrix-product bound; prove the finite reversible Markov estimate; establish the trace/projection perturbation inequality; formalise the invariant-measure expectation cancellation. These new statements have NOT been formalised or independently peer reviewed in this deliverable. Their handwritten proofs should be checked by the authors before public scientific claims of priority.</w:t>
      </w:r>
    </w:p>
    <w:p>
      <w:pPr>
        <w:pStyle w:val="Заголовок 2"/>
        <w:spacing w:after="100" w:line="240" w:lineRule="atLeast"/>
      </w:pPr>
      <w:r>
        <w:rPr>
          <w:rtl w:val="0"/>
          <w:lang w:val="en-US"/>
        </w:rPr>
        <w:t>V.8. A concrete test harness for graph-phase selection and internal observers</w:t>
      </w:r>
    </w:p>
    <w:p>
      <w:pPr>
        <w:pStyle w:val="Normal.0"/>
        <w:spacing w:after="100" w:line="240" w:lineRule="atLeast"/>
      </w:pPr>
      <w:r>
        <w:rPr>
          <w:rtl w:val="0"/>
          <w:lang w:val="en-US"/>
        </w:rPr>
        <w:t xml:space="preserve">The decisive future model is not a prescribed cycle or planar map. Consider a finite complete set of potential edges with nonnegative weights w_ij=exp(y_ij), canonical relational momenta </w:t>
      </w:r>
      <w:r>
        <w:rPr>
          <w:rtl w:val="0"/>
          <w:lang w:val="en-US"/>
        </w:rPr>
        <w:t>Π</w:t>
      </w:r>
      <w:r>
        <w:rPr>
          <w:rtl w:val="0"/>
          <w:lang w:val="en-US"/>
        </w:rPr>
        <w:t xml:space="preserve">_ij, a closed Hamiltonian as in Part I </w:t>
      </w:r>
      <w:r>
        <w:rPr>
          <w:rtl w:val="0"/>
          <w:lang w:val="en-US"/>
        </w:rPr>
        <w:t>§</w:t>
      </w:r>
      <w:r>
        <w:rPr>
          <w:rtl w:val="0"/>
          <w:lang w:val="en-US"/>
        </w:rPr>
        <w:t xml:space="preserve">3, and a permutation-invariant potential. </w:t>
      </w:r>
    </w:p>
    <w:p>
      <w:pPr>
        <w:pStyle w:val="Normal.0"/>
        <w:spacing w:after="100" w:line="240" w:lineRule="atLeast"/>
      </w:pPr>
      <w:r>
        <w:rPr>
          <w:rtl w:val="0"/>
          <w:lang w:val="en-US"/>
        </w:rPr>
        <w:t>One illustrative candidate, not a derived law, is</w:t>
      </w:r>
    </w:p>
    <w:p>
      <w:pPr>
        <w:pStyle w:val="Normal.0"/>
        <w:spacing w:after="100" w:line="240" w:lineRule="atLeast"/>
        <w:jc w:val="center"/>
      </w:pPr>
      <w:r>
        <w:rPr>
          <w:rFonts w:ascii="Cambria Math" w:cs="Cambria Math" w:hAnsi="Cambria Math" w:eastAsia="Cambria Math"/>
          <w:sz w:val="18"/>
          <w:szCs w:val="18"/>
          <w:rtl w:val="0"/>
          <w:lang w:val="en-US"/>
        </w:rPr>
        <w:t>V_rel(W)=</w:t>
      </w:r>
      <w:r>
        <w:rPr>
          <w:rFonts w:ascii="Cambria Math" w:cs="Cambria Math" w:hAnsi="Cambria Math" w:eastAsia="Cambria Math"/>
          <w:sz w:val="18"/>
          <w:szCs w:val="18"/>
          <w:rtl w:val="0"/>
          <w:lang w:val="en-US"/>
        </w:rPr>
        <w:t>λ Σ</w:t>
      </w:r>
      <w:r>
        <w:rPr>
          <w:rFonts w:ascii="Cambria Math" w:cs="Cambria Math" w:hAnsi="Cambria Math" w:eastAsia="Cambria Math"/>
          <w:sz w:val="18"/>
          <w:szCs w:val="18"/>
          <w:rtl w:val="0"/>
          <w:lang w:val="en-US"/>
        </w:rPr>
        <w:t>_i (</w:t>
      </w:r>
      <w:r>
        <w:rPr>
          <w:rFonts w:ascii="Cambria Math" w:cs="Cambria Math" w:hAnsi="Cambria Math" w:eastAsia="Cambria Math"/>
          <w:sz w:val="18"/>
          <w:szCs w:val="18"/>
          <w:rtl w:val="0"/>
          <w:lang w:val="en-US"/>
        </w:rPr>
        <w:t>Σ</w:t>
      </w:r>
      <w:r>
        <w:rPr>
          <w:rFonts w:ascii="Cambria Math" w:cs="Cambria Math" w:hAnsi="Cambria Math" w:eastAsia="Cambria Math"/>
          <w:sz w:val="18"/>
          <w:szCs w:val="18"/>
          <w:rtl w:val="0"/>
          <w:lang w:val="en-US"/>
        </w:rPr>
        <w:t>_{j</w:t>
      </w:r>
      <w:r>
        <w:rPr>
          <w:rFonts w:ascii="Cambria Math" w:cs="Cambria Math" w:hAnsi="Cambria Math" w:eastAsia="Cambria Math"/>
          <w:sz w:val="18"/>
          <w:szCs w:val="18"/>
          <w:rtl w:val="0"/>
          <w:lang w:val="en-US"/>
        </w:rPr>
        <w:t>≠</w:t>
      </w:r>
      <w:r>
        <w:rPr>
          <w:rFonts w:ascii="Cambria Math" w:cs="Cambria Math" w:hAnsi="Cambria Math" w:eastAsia="Cambria Math"/>
          <w:sz w:val="18"/>
          <w:szCs w:val="18"/>
          <w:rtl w:val="0"/>
          <w:lang w:val="en-US"/>
        </w:rPr>
        <w:t>i}w_ij</w:t>
      </w:r>
      <w:r>
        <w:rPr>
          <w:rFonts w:ascii="Cambria Math" w:cs="Cambria Math" w:hAnsi="Cambria Math" w:eastAsia="Cambria Math"/>
          <w:sz w:val="18"/>
          <w:szCs w:val="18"/>
          <w:rtl w:val="0"/>
          <w:lang w:val="en-US"/>
        </w:rPr>
        <w:t>−</w:t>
      </w:r>
      <w:r>
        <w:rPr>
          <w:rFonts w:ascii="Cambria Math" w:cs="Cambria Math" w:hAnsi="Cambria Math" w:eastAsia="Cambria Math"/>
          <w:sz w:val="18"/>
          <w:szCs w:val="18"/>
          <w:rtl w:val="0"/>
          <w:lang w:val="en-US"/>
        </w:rPr>
        <w:t>k*)</w:t>
      </w:r>
      <w:r>
        <w:rPr>
          <w:rFonts w:ascii="Cambria Math" w:cs="Cambria Math" w:hAnsi="Cambria Math" w:eastAsia="Cambria Math"/>
          <w:sz w:val="18"/>
          <w:szCs w:val="18"/>
          <w:rtl w:val="0"/>
          <w:lang w:val="en-US"/>
        </w:rPr>
        <w:t xml:space="preserve">² </w:t>
      </w:r>
      <w:r>
        <w:rPr>
          <w:rFonts w:ascii="Cambria Math" w:cs="Cambria Math" w:hAnsi="Cambria Math" w:eastAsia="Cambria Math"/>
          <w:sz w:val="18"/>
          <w:szCs w:val="18"/>
          <w:rtl w:val="0"/>
          <w:lang w:val="en-US"/>
        </w:rPr>
        <w:t xml:space="preserve">+ </w:t>
      </w:r>
      <w:r>
        <w:rPr>
          <w:rFonts w:ascii="Cambria Math" w:cs="Cambria Math" w:hAnsi="Cambria Math" w:eastAsia="Cambria Math"/>
          <w:sz w:val="18"/>
          <w:szCs w:val="18"/>
          <w:rtl w:val="0"/>
          <w:lang w:val="en-US"/>
        </w:rPr>
        <w:t>κ Σ</w:t>
      </w:r>
      <w:r>
        <w:rPr>
          <w:rFonts w:ascii="Cambria Math" w:cs="Cambria Math" w:hAnsi="Cambria Math" w:eastAsia="Cambria Math"/>
          <w:sz w:val="18"/>
          <w:szCs w:val="18"/>
          <w:rtl w:val="0"/>
          <w:lang w:val="en-US"/>
        </w:rPr>
        <w:t>_{i&lt;j}w_ij</w:t>
      </w:r>
      <w:r>
        <w:rPr>
          <w:rFonts w:ascii="Cambria Math" w:cs="Cambria Math" w:hAnsi="Cambria Math" w:eastAsia="Cambria Math"/>
          <w:sz w:val="18"/>
          <w:szCs w:val="18"/>
          <w:rtl w:val="0"/>
          <w:lang w:val="en-US"/>
        </w:rPr>
        <w:t xml:space="preserve">² </w:t>
      </w:r>
      <w:r>
        <w:rPr>
          <w:rFonts w:ascii="Cambria Math" w:cs="Cambria Math" w:hAnsi="Cambria Math" w:eastAsia="Cambria Math"/>
          <w:sz w:val="18"/>
          <w:szCs w:val="18"/>
          <w:rtl w:val="0"/>
          <w:lang w:val="en-US"/>
        </w:rPr>
        <w:t xml:space="preserve">+ </w:t>
      </w:r>
      <w:r>
        <w:rPr>
          <w:rFonts w:ascii="Cambria Math" w:cs="Cambria Math" w:hAnsi="Cambria Math" w:eastAsia="Cambria Math"/>
          <w:sz w:val="18"/>
          <w:szCs w:val="18"/>
          <w:rtl w:val="0"/>
          <w:lang w:val="en-US"/>
        </w:rPr>
        <w:t>ξ Σ</w:t>
      </w:r>
      <w:r>
        <w:rPr>
          <w:rFonts w:ascii="Cambria Math" w:cs="Cambria Math" w:hAnsi="Cambria Math" w:eastAsia="Cambria Math"/>
          <w:sz w:val="18"/>
          <w:szCs w:val="18"/>
          <w:rtl w:val="0"/>
          <w:lang w:val="en-US"/>
        </w:rPr>
        <w:t>_{i&lt;j&lt;</w:t>
      </w:r>
      <w:r>
        <w:rPr>
          <w:rFonts w:ascii="Cambria Math" w:cs="Cambria Math" w:hAnsi="Cambria Math" w:eastAsia="Cambria Math"/>
          <w:sz w:val="18"/>
          <w:szCs w:val="18"/>
          <w:rtl w:val="0"/>
          <w:lang w:val="en-US"/>
        </w:rPr>
        <w:t>ℓ</w:t>
      </w:r>
      <w:r>
        <w:rPr>
          <w:rFonts w:ascii="Cambria Math" w:cs="Cambria Math" w:hAnsi="Cambria Math" w:eastAsia="Cambria Math"/>
          <w:sz w:val="18"/>
          <w:szCs w:val="18"/>
          <w:rtl w:val="0"/>
          <w:lang w:val="en-US"/>
        </w:rPr>
        <w:t>}w_ij w_j</w:t>
      </w:r>
      <w:r>
        <w:rPr>
          <w:rFonts w:ascii="Cambria Math" w:cs="Cambria Math" w:hAnsi="Cambria Math" w:eastAsia="Cambria Math"/>
          <w:sz w:val="18"/>
          <w:szCs w:val="18"/>
          <w:rtl w:val="0"/>
          <w:lang w:val="en-US"/>
        </w:rPr>
        <w:t xml:space="preserve">ℓ </w:t>
      </w:r>
      <w:r>
        <w:rPr>
          <w:rFonts w:ascii="Cambria Math" w:cs="Cambria Math" w:hAnsi="Cambria Math" w:eastAsia="Cambria Math"/>
          <w:sz w:val="18"/>
          <w:szCs w:val="18"/>
          <w:rtl w:val="0"/>
          <w:lang w:val="en-US"/>
        </w:rPr>
        <w:t>w_</w:t>
      </w:r>
      <w:r>
        <w:rPr>
          <w:rFonts w:ascii="Cambria Math" w:cs="Cambria Math" w:hAnsi="Cambria Math" w:eastAsia="Cambria Math"/>
          <w:sz w:val="18"/>
          <w:szCs w:val="18"/>
          <w:rtl w:val="0"/>
          <w:lang w:val="en-US"/>
        </w:rPr>
        <w:t>ℓ</w:t>
      </w:r>
      <w:r>
        <w:rPr>
          <w:rFonts w:ascii="Cambria Math" w:cs="Cambria Math" w:hAnsi="Cambria Math" w:eastAsia="Cambria Math"/>
          <w:sz w:val="18"/>
          <w:szCs w:val="18"/>
          <w:rtl w:val="0"/>
          <w:lang w:val="en-US"/>
        </w:rPr>
        <w:t xml:space="preserve">i,   </w:t>
      </w:r>
      <w:r>
        <w:rPr>
          <w:rFonts w:ascii="Cambria Math" w:cs="Cambria Math" w:hAnsi="Cambria Math" w:eastAsia="Cambria Math"/>
          <w:sz w:val="18"/>
          <w:szCs w:val="18"/>
          <w:rtl w:val="0"/>
          <w:lang w:val="en-US"/>
        </w:rPr>
        <w:t>λ</w:t>
      </w:r>
      <w:r>
        <w:rPr>
          <w:rFonts w:ascii="Cambria Math" w:cs="Cambria Math" w:hAnsi="Cambria Math" w:eastAsia="Cambria Math"/>
          <w:sz w:val="18"/>
          <w:szCs w:val="18"/>
          <w:rtl w:val="0"/>
          <w:lang w:val="en-US"/>
        </w:rPr>
        <w:t>,</w:t>
      </w:r>
      <w:r>
        <w:rPr>
          <w:rFonts w:ascii="Cambria Math" w:cs="Cambria Math" w:hAnsi="Cambria Math" w:eastAsia="Cambria Math"/>
          <w:sz w:val="18"/>
          <w:szCs w:val="18"/>
          <w:rtl w:val="0"/>
          <w:lang w:val="en-US"/>
        </w:rPr>
        <w:t>κ</w:t>
      </w:r>
      <w:r>
        <w:rPr>
          <w:rFonts w:ascii="Cambria Math" w:cs="Cambria Math" w:hAnsi="Cambria Math" w:eastAsia="Cambria Math"/>
          <w:sz w:val="18"/>
          <w:szCs w:val="18"/>
          <w:rtl w:val="0"/>
          <w:lang w:val="en-US"/>
        </w:rPr>
        <w:t>,</w:t>
      </w:r>
      <w:r>
        <w:rPr>
          <w:rFonts w:ascii="Cambria Math" w:cs="Cambria Math" w:hAnsi="Cambria Math" w:eastAsia="Cambria Math"/>
          <w:sz w:val="18"/>
          <w:szCs w:val="18"/>
          <w:rtl w:val="0"/>
          <w:lang w:val="en-US"/>
        </w:rPr>
        <w:t>ξ≥</w:t>
      </w:r>
      <w:r>
        <w:rPr>
          <w:rFonts w:ascii="Cambria Math" w:cs="Cambria Math" w:hAnsi="Cambria Math" w:eastAsia="Cambria Math"/>
          <w:sz w:val="18"/>
          <w:szCs w:val="18"/>
          <w:rtl w:val="0"/>
          <w:lang w:val="en-US"/>
        </w:rPr>
        <w:t>0.   (V.9)</w:t>
      </w:r>
    </w:p>
    <w:p>
      <w:pPr>
        <w:pStyle w:val="Normal.0"/>
        <w:spacing w:after="100" w:line="240" w:lineRule="atLeast"/>
      </w:pPr>
      <w:r>
        <w:rPr>
          <w:rtl w:val="0"/>
          <w:lang w:val="en-US"/>
        </w:rPr>
        <w:t xml:space="preserve">The coefficients and k* are model parameters rather than tuned physical constants. This bounded-below potential penalises degree heterogeneity, large weights, and triangles; it is label-invariant. It does NOT force connectedness, polynomial growth, 3D geometry, manifoldness, a stable massless bundle, or a common cone. The counterexamples in </w:t>
      </w:r>
      <w:r>
        <w:rPr>
          <w:rtl w:val="0"/>
          <w:lang w:val="en-US"/>
        </w:rPr>
        <w:t>§</w:t>
      </w:r>
      <w:r>
        <w:rPr>
          <w:rtl w:val="0"/>
          <w:lang w:val="en-US"/>
        </w:rPr>
        <w:t>V.3 show why a homogeneous bounded-degree regime could still be expander-like. For a closed Hamiltonian flow, volume preservation prevents an unrestricted positive-volume basin from contracting onto a lower-dimensional attractor. An equilibrium/stationary ensemble, conditional metastability or well-specified macroscopic projection is a different question.</w:t>
      </w:r>
    </w:p>
    <w:p>
      <w:pPr>
        <w:pStyle w:val="Normal.0"/>
        <w:spacing w:after="100" w:line="240" w:lineRule="atLeast"/>
      </w:pPr>
      <w:r>
        <w:rPr>
          <w:rtl w:val="0"/>
          <w:lang w:val="en-US"/>
        </w:rPr>
        <w:t>Minimum reproducible experiment on each size N: (a) initialise weights and momenta from multiple symmetric distributions; (b) numerically integrate the coupled field</w:t>
      </w:r>
      <w:r>
        <w:rPr>
          <w:rtl w:val="0"/>
          <w:lang w:val="en-US"/>
        </w:rPr>
        <w:t>–</w:t>
      </w:r>
      <w:r>
        <w:rPr>
          <w:rtl w:val="0"/>
          <w:lang w:val="en-US"/>
        </w:rPr>
        <w:t xml:space="preserve">weight Hamiltonian while checking energy drift and symplectic errors; (c) extract candidate sectors without using vertex labels or a target lattice; (d) measure degree and effective volume growth, mixing/gaps at multiple scales, diffusion/heat-trace plateaux, robustness of local reconstruction under small data changes, and the dimensionless common-cone defect; (e) test physical impulse response with measured </w:t>
      </w:r>
      <w:r>
        <w:rPr>
          <w:rtl w:val="0"/>
          <w:lang w:val="en-US"/>
        </w:rPr>
        <w:t>μ</w:t>
      </w:r>
      <w:r>
        <w:rPr>
          <w:rtl w:val="0"/>
          <w:lang w:val="en-US"/>
        </w:rPr>
        <w:t>_N and an independently justified distance; (f) pre-register collapse plots as N varies; (g) count failures rather than displaying only successful runs.</w:t>
      </w:r>
    </w:p>
    <w:p>
      <w:pPr>
        <w:pStyle w:val="Normal.0"/>
        <w:spacing w:after="100" w:line="240" w:lineRule="atLeast"/>
      </w:pPr>
      <w:r>
        <w:rPr>
          <w:rtl w:val="0"/>
          <w:lang w:val="en-US"/>
        </w:rPr>
        <w:t xml:space="preserve">Observer protocol. Choose a putative stable subsystem O with a bounded algebra of admissible manipulations and records. An internal clock is a record observable T_O strictly monotone only on the segment studied; its error and backreaction must be estimated. A source preparation s_x and detector D_y are operations available to O, not arbitrary mathematical vertices. The response </w:t>
      </w:r>
      <w:r>
        <w:rPr>
          <w:rtl w:val="0"/>
          <w:lang w:val="en-US"/>
        </w:rPr>
        <w:t>χ</w:t>
      </w:r>
      <w:r>
        <w:rPr>
          <w:rtl w:val="0"/>
          <w:lang w:val="en-US"/>
        </w:rPr>
        <w:t xml:space="preserve">_xy is estimated by a controlled source intervention and compared against a correlation without intervention. A distance observable and a local light-cone threshold must then be calibrated through independent operations; the graph edge metric cannot simply be substituted. This implements the conceptual observer condition from Part IV </w:t>
      </w:r>
      <w:r>
        <w:rPr>
          <w:rtl w:val="0"/>
          <w:lang w:val="en-US"/>
        </w:rPr>
        <w:t>§</w:t>
      </w:r>
      <w:r>
        <w:rPr>
          <w:rtl w:val="0"/>
          <w:lang w:val="en-US"/>
        </w:rPr>
        <w:t>7 without assuming an external physical clock has disappeared.</w:t>
      </w:r>
    </w:p>
    <w:p>
      <w:pPr>
        <w:pStyle w:val="Заголовок 2"/>
        <w:spacing w:after="100" w:line="240" w:lineRule="atLeast"/>
      </w:pPr>
      <w:r>
        <w:rPr>
          <w:rtl w:val="0"/>
          <w:lang w:val="en-US"/>
        </w:rPr>
        <w:t>V.9. Theorem-transition-falsifier matrix for the next standalone result</w:t>
      </w:r>
    </w:p>
    <w:tbl>
      <w:tblPr>
        <w:tblW w:w="9524"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381"/>
        <w:gridCol w:w="2381"/>
        <w:gridCol w:w="2381"/>
        <w:gridCol w:w="2381"/>
      </w:tblGrid>
      <w:tr>
        <w:tblPrEx>
          <w:shd w:val="clear" w:color="auto" w:fill="4f81bd"/>
        </w:tblPrEx>
        <w:trPr>
          <w:trHeight w:val="210" w:hRule="atLeast"/>
          <w:tblHeader/>
        </w:trPr>
        <w:tc>
          <w:tcPr>
            <w:tcW w:type="dxa" w:w="2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df2f6"/>
            <w:tcMar>
              <w:top w:type="dxa" w:w="80"/>
              <w:left w:type="dxa" w:w="80"/>
              <w:bottom w:type="dxa" w:w="80"/>
              <w:right w:type="dxa" w:w="80"/>
            </w:tcMar>
            <w:vAlign w:val="center"/>
          </w:tcPr>
          <w:p>
            <w:pPr>
              <w:pStyle w:val="Normal.0"/>
              <w:spacing w:after="20"/>
            </w:pPr>
            <w:r>
              <w:rPr>
                <w:rFonts w:ascii="Aptos" w:cs="Aptos" w:hAnsi="Aptos" w:eastAsia="Aptos"/>
                <w:b w:val="1"/>
                <w:bCs w:val="1"/>
                <w:sz w:val="16"/>
                <w:szCs w:val="16"/>
                <w:rtl w:val="0"/>
                <w:lang w:val="en-US"/>
              </w:rPr>
              <w:t>Transition</w:t>
            </w:r>
          </w:p>
        </w:tc>
        <w:tc>
          <w:tcPr>
            <w:tcW w:type="dxa" w:w="2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df2f6"/>
            <w:tcMar>
              <w:top w:type="dxa" w:w="80"/>
              <w:left w:type="dxa" w:w="80"/>
              <w:bottom w:type="dxa" w:w="80"/>
              <w:right w:type="dxa" w:w="80"/>
            </w:tcMar>
            <w:vAlign w:val="center"/>
          </w:tcPr>
          <w:p>
            <w:pPr>
              <w:pStyle w:val="Normal.0"/>
              <w:spacing w:after="20"/>
            </w:pPr>
            <w:r>
              <w:rPr>
                <w:rFonts w:ascii="Aptos" w:cs="Aptos" w:hAnsi="Aptos" w:eastAsia="Aptos"/>
                <w:b w:val="1"/>
                <w:bCs w:val="1"/>
                <w:sz w:val="16"/>
                <w:szCs w:val="16"/>
                <w:rtl w:val="0"/>
                <w:lang w:val="en-US"/>
              </w:rPr>
              <w:t>Present result</w:t>
            </w:r>
          </w:p>
        </w:tc>
        <w:tc>
          <w:tcPr>
            <w:tcW w:type="dxa" w:w="2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df2f6"/>
            <w:tcMar>
              <w:top w:type="dxa" w:w="80"/>
              <w:left w:type="dxa" w:w="80"/>
              <w:bottom w:type="dxa" w:w="80"/>
              <w:right w:type="dxa" w:w="80"/>
            </w:tcMar>
            <w:vAlign w:val="center"/>
          </w:tcPr>
          <w:p>
            <w:pPr>
              <w:pStyle w:val="Normal.0"/>
              <w:spacing w:after="20"/>
            </w:pPr>
            <w:r>
              <w:rPr>
                <w:rFonts w:ascii="Aptos" w:cs="Aptos" w:hAnsi="Aptos" w:eastAsia="Aptos"/>
                <w:b w:val="1"/>
                <w:bCs w:val="1"/>
                <w:sz w:val="16"/>
                <w:szCs w:val="16"/>
                <w:rtl w:val="0"/>
                <w:lang w:val="en-US"/>
              </w:rPr>
              <w:t>Needed closure</w:t>
            </w:r>
          </w:p>
        </w:tc>
        <w:tc>
          <w:tcPr>
            <w:tcW w:type="dxa" w:w="23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df2f6"/>
            <w:tcMar>
              <w:top w:type="dxa" w:w="80"/>
              <w:left w:type="dxa" w:w="80"/>
              <w:bottom w:type="dxa" w:w="80"/>
              <w:right w:type="dxa" w:w="80"/>
            </w:tcMar>
            <w:vAlign w:val="center"/>
          </w:tcPr>
          <w:p>
            <w:pPr>
              <w:pStyle w:val="Normal.0"/>
              <w:spacing w:after="20"/>
            </w:pPr>
            <w:r>
              <w:rPr>
                <w:rFonts w:ascii="Aptos" w:cs="Aptos" w:hAnsi="Aptos" w:eastAsia="Aptos"/>
                <w:b w:val="1"/>
                <w:bCs w:val="1"/>
                <w:sz w:val="16"/>
                <w:szCs w:val="16"/>
                <w:rtl w:val="0"/>
                <w:lang w:val="en-US"/>
              </w:rPr>
              <w:t>Falsifier</w:t>
            </w:r>
          </w:p>
        </w:tc>
      </w:tr>
      <w:tr>
        <w:tblPrEx>
          <w:shd w:val="clear" w:color="auto" w:fill="ced7e7"/>
        </w:tblPrEx>
        <w:trPr>
          <w:trHeight w:val="858" w:hRule="atLeast"/>
        </w:trPr>
        <w:tc>
          <w:tcPr>
            <w:tcW w:type="dxa" w:w="2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20"/>
            </w:pPr>
            <w:r>
              <w:rPr>
                <w:rFonts w:ascii="Aptos" w:cs="Aptos" w:hAnsi="Aptos" w:eastAsia="Aptos"/>
                <w:sz w:val="16"/>
                <w:szCs w:val="16"/>
                <w:rtl w:val="0"/>
                <w:lang w:val="en-US"/>
              </w:rPr>
              <w:t>T</w:t>
            </w:r>
            <w:r>
              <w:rPr>
                <w:rFonts w:ascii="Aptos" w:cs="Aptos" w:hAnsi="Aptos" w:eastAsia="Aptos"/>
                <w:sz w:val="16"/>
                <w:szCs w:val="16"/>
                <w:rtl w:val="0"/>
                <w:lang w:val="en-US"/>
              </w:rPr>
              <w:t>₁</w:t>
            </w:r>
            <w:r>
              <w:rPr>
                <w:rFonts w:ascii="Aptos" w:cs="Aptos" w:hAnsi="Aptos" w:eastAsia="Aptos"/>
                <w:sz w:val="16"/>
                <w:szCs w:val="16"/>
                <w:rtl w:val="0"/>
                <w:lang w:val="en-US"/>
              </w:rPr>
              <w:t xml:space="preserve">: R </w:t>
            </w:r>
            <w:r>
              <w:rPr>
                <w:rFonts w:ascii="Aptos" w:cs="Aptos" w:hAnsi="Aptos" w:eastAsia="Aptos"/>
                <w:sz w:val="16"/>
                <w:szCs w:val="16"/>
                <w:rtl w:val="0"/>
                <w:lang w:val="en-US"/>
              </w:rPr>
              <w:t xml:space="preserve">→ </w:t>
            </w:r>
            <w:r>
              <w:rPr>
                <w:rFonts w:ascii="Aptos" w:cs="Aptos" w:hAnsi="Aptos" w:eastAsia="Aptos"/>
                <w:sz w:val="16"/>
                <w:szCs w:val="16"/>
                <w:rtl w:val="0"/>
                <w:lang w:val="en-US"/>
              </w:rPr>
              <w:t>stable sectors</w:t>
            </w:r>
          </w:p>
        </w:tc>
        <w:tc>
          <w:tcPr>
            <w:tcW w:type="dxa" w:w="2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20"/>
            </w:pPr>
            <w:r>
              <w:rPr>
                <w:rFonts w:ascii="Aptos" w:cs="Aptos" w:hAnsi="Aptos" w:eastAsia="Aptos"/>
                <w:sz w:val="16"/>
                <w:szCs w:val="16"/>
                <w:rtl w:val="0"/>
                <w:lang w:val="en-US"/>
              </w:rPr>
              <w:t xml:space="preserve">E only when a prescribed weak-block spectral structure is assumed (I </w:t>
            </w:r>
            <w:r>
              <w:rPr>
                <w:rFonts w:ascii="Aptos" w:cs="Aptos" w:hAnsi="Aptos" w:eastAsia="Aptos"/>
                <w:sz w:val="16"/>
                <w:szCs w:val="16"/>
                <w:rtl w:val="0"/>
                <w:lang w:val="en-US"/>
              </w:rPr>
              <w:t>§</w:t>
            </w:r>
            <w:r>
              <w:rPr>
                <w:rFonts w:ascii="Aptos" w:cs="Aptos" w:hAnsi="Aptos" w:eastAsia="Aptos"/>
                <w:sz w:val="16"/>
                <w:szCs w:val="16"/>
                <w:rtl w:val="0"/>
                <w:lang w:val="en-US"/>
              </w:rPr>
              <w:t>4)</w:t>
            </w:r>
          </w:p>
        </w:tc>
        <w:tc>
          <w:tcPr>
            <w:tcW w:type="dxa" w:w="2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20"/>
            </w:pPr>
            <w:r>
              <w:rPr>
                <w:rFonts w:ascii="Aptos" w:cs="Aptos" w:hAnsi="Aptos" w:eastAsia="Aptos"/>
                <w:sz w:val="16"/>
                <w:szCs w:val="16"/>
                <w:rtl w:val="0"/>
                <w:lang w:val="en-US"/>
              </w:rPr>
              <w:t>Generate robust local sectors under permutation-equivariant dynamics; test initial-condition ensemble</w:t>
            </w:r>
          </w:p>
        </w:tc>
        <w:tc>
          <w:tcPr>
            <w:tcW w:type="dxa" w:w="23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20"/>
            </w:pPr>
            <w:r>
              <w:rPr>
                <w:rFonts w:ascii="Aptos" w:cs="Aptos" w:hAnsi="Aptos" w:eastAsia="Aptos"/>
                <w:sz w:val="16"/>
                <w:szCs w:val="16"/>
                <w:rtl w:val="0"/>
                <w:lang w:val="en-US"/>
              </w:rPr>
              <w:t>No persistent sector separation; unstable clustering; expander-only phase</w:t>
            </w:r>
          </w:p>
        </w:tc>
      </w:tr>
      <w:tr>
        <w:tblPrEx>
          <w:shd w:val="clear" w:color="auto" w:fill="ced7e7"/>
        </w:tblPrEx>
        <w:trPr>
          <w:trHeight w:val="642" w:hRule="atLeast"/>
        </w:trPr>
        <w:tc>
          <w:tcPr>
            <w:tcW w:type="dxa" w:w="2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20"/>
            </w:pPr>
            <w:r>
              <w:rPr>
                <w:rFonts w:ascii="Aptos" w:cs="Aptos" w:hAnsi="Aptos" w:eastAsia="Aptos"/>
                <w:sz w:val="16"/>
                <w:szCs w:val="16"/>
                <w:rtl w:val="0"/>
                <w:lang w:val="en-US"/>
              </w:rPr>
              <w:t>T</w:t>
            </w:r>
            <w:r>
              <w:rPr>
                <w:rFonts w:ascii="Aptos" w:cs="Aptos" w:hAnsi="Aptos" w:eastAsia="Aptos"/>
                <w:sz w:val="16"/>
                <w:szCs w:val="16"/>
                <w:rtl w:val="0"/>
                <w:lang w:val="en-US"/>
              </w:rPr>
              <w:t>₂</w:t>
            </w:r>
            <w:r>
              <w:rPr>
                <w:rFonts w:ascii="Aptos" w:cs="Aptos" w:hAnsi="Aptos" w:eastAsia="Aptos"/>
                <w:sz w:val="16"/>
                <w:szCs w:val="16"/>
                <w:rtl w:val="0"/>
                <w:lang w:val="en-US"/>
              </w:rPr>
              <w:t xml:space="preserve">: sectors </w:t>
            </w:r>
            <w:r>
              <w:rPr>
                <w:rFonts w:ascii="Aptos" w:cs="Aptos" w:hAnsi="Aptos" w:eastAsia="Aptos"/>
                <w:sz w:val="16"/>
                <w:szCs w:val="16"/>
                <w:rtl w:val="0"/>
                <w:lang w:val="en-US"/>
              </w:rPr>
              <w:t xml:space="preserve">→ </w:t>
            </w:r>
            <w:r>
              <w:rPr>
                <w:rFonts w:ascii="Aptos" w:cs="Aptos" w:hAnsi="Aptos" w:eastAsia="Aptos"/>
                <w:sz w:val="16"/>
                <w:szCs w:val="16"/>
                <w:rtl w:val="0"/>
                <w:lang w:val="en-US"/>
              </w:rPr>
              <w:t>local reconstruction</w:t>
            </w:r>
          </w:p>
        </w:tc>
        <w:tc>
          <w:tcPr>
            <w:tcW w:type="dxa" w:w="2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20"/>
            </w:pPr>
            <w:r>
              <w:rPr>
                <w:rFonts w:ascii="Aptos" w:cs="Aptos" w:hAnsi="Aptos" w:eastAsia="Aptos"/>
                <w:sz w:val="16"/>
                <w:szCs w:val="16"/>
                <w:rtl w:val="0"/>
                <w:lang w:val="en-US"/>
              </w:rPr>
              <w:t xml:space="preserve">C/E for controlled chains and specified maps (II </w:t>
            </w:r>
            <w:r>
              <w:rPr>
                <w:rFonts w:ascii="Aptos" w:cs="Aptos" w:hAnsi="Aptos" w:eastAsia="Aptos"/>
                <w:sz w:val="16"/>
                <w:szCs w:val="16"/>
                <w:rtl w:val="0"/>
                <w:lang w:val="en-US"/>
              </w:rPr>
              <w:t>§§</w:t>
            </w:r>
            <w:r>
              <w:rPr>
                <w:rFonts w:ascii="Aptos" w:cs="Aptos" w:hAnsi="Aptos" w:eastAsia="Aptos"/>
                <w:sz w:val="16"/>
                <w:szCs w:val="16"/>
                <w:rtl w:val="0"/>
                <w:lang w:val="en-US"/>
              </w:rPr>
              <w:t>2</w:t>
            </w:r>
            <w:r>
              <w:rPr>
                <w:rFonts w:ascii="Aptos" w:cs="Aptos" w:hAnsi="Aptos" w:eastAsia="Aptos"/>
                <w:sz w:val="16"/>
                <w:szCs w:val="16"/>
                <w:rtl w:val="0"/>
                <w:lang w:val="en-US"/>
              </w:rPr>
              <w:t>–</w:t>
            </w:r>
            <w:r>
              <w:rPr>
                <w:rFonts w:ascii="Aptos" w:cs="Aptos" w:hAnsi="Aptos" w:eastAsia="Aptos"/>
                <w:sz w:val="16"/>
                <w:szCs w:val="16"/>
                <w:rtl w:val="0"/>
                <w:lang w:val="en-US"/>
              </w:rPr>
              <w:t>4); V.1 preservation</w:t>
            </w:r>
          </w:p>
        </w:tc>
        <w:tc>
          <w:tcPr>
            <w:tcW w:type="dxa" w:w="2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20"/>
            </w:pPr>
            <w:r>
              <w:rPr>
                <w:rFonts w:ascii="Aptos" w:cs="Aptos" w:hAnsi="Aptos" w:eastAsia="Aptos"/>
                <w:sz w:val="16"/>
                <w:szCs w:val="16"/>
                <w:rtl w:val="0"/>
                <w:lang w:val="en-US"/>
              </w:rPr>
              <w:t xml:space="preserve">Show local B_N and physical </w:t>
            </w:r>
            <w:r>
              <w:rPr>
                <w:rFonts w:ascii="Aptos" w:cs="Aptos" w:hAnsi="Aptos" w:eastAsia="Aptos"/>
                <w:sz w:val="16"/>
                <w:szCs w:val="16"/>
                <w:rtl w:val="0"/>
                <w:lang w:val="en-US"/>
              </w:rPr>
              <w:t>μ</w:t>
            </w:r>
            <w:r>
              <w:rPr>
                <w:rFonts w:ascii="Aptos" w:cs="Aptos" w:hAnsi="Aptos" w:eastAsia="Aptos"/>
                <w:sz w:val="16"/>
                <w:szCs w:val="16"/>
                <w:rtl w:val="0"/>
                <w:lang w:val="en-US"/>
              </w:rPr>
              <w:t>_N arise from selected phase with uniform constants</w:t>
            </w:r>
          </w:p>
        </w:tc>
        <w:tc>
          <w:tcPr>
            <w:tcW w:type="dxa" w:w="23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20"/>
            </w:pPr>
            <w:r>
              <w:rPr>
                <w:rFonts w:ascii="Aptos" w:cs="Aptos" w:hAnsi="Aptos" w:eastAsia="Aptos"/>
                <w:sz w:val="16"/>
                <w:szCs w:val="16"/>
                <w:rtl w:val="0"/>
                <w:lang w:val="en-US"/>
              </w:rPr>
              <w:t>Embedding changes observables / locality depends on nonlocal projector</w:t>
            </w:r>
          </w:p>
        </w:tc>
      </w:tr>
      <w:tr>
        <w:tblPrEx>
          <w:shd w:val="clear" w:color="auto" w:fill="ced7e7"/>
        </w:tblPrEx>
        <w:trPr>
          <w:trHeight w:val="858" w:hRule="atLeast"/>
        </w:trPr>
        <w:tc>
          <w:tcPr>
            <w:tcW w:type="dxa" w:w="2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20"/>
            </w:pPr>
            <w:r>
              <w:rPr>
                <w:rFonts w:ascii="Aptos" w:cs="Aptos" w:hAnsi="Aptos" w:eastAsia="Aptos"/>
                <w:sz w:val="16"/>
                <w:szCs w:val="16"/>
                <w:rtl w:val="0"/>
                <w:lang w:val="en-US"/>
              </w:rPr>
              <w:t>T</w:t>
            </w:r>
            <w:r>
              <w:rPr>
                <w:rFonts w:ascii="Aptos" w:cs="Aptos" w:hAnsi="Aptos" w:eastAsia="Aptos"/>
                <w:sz w:val="16"/>
                <w:szCs w:val="16"/>
                <w:rtl w:val="0"/>
                <w:lang w:val="en-US"/>
              </w:rPr>
              <w:t>₃</w:t>
            </w:r>
            <w:r>
              <w:rPr>
                <w:rFonts w:ascii="Aptos" w:cs="Aptos" w:hAnsi="Aptos" w:eastAsia="Aptos"/>
                <w:sz w:val="16"/>
                <w:szCs w:val="16"/>
                <w:rtl w:val="0"/>
                <w:lang w:val="en-US"/>
              </w:rPr>
              <w:t xml:space="preserve">: local dynamics </w:t>
            </w:r>
            <w:r>
              <w:rPr>
                <w:rFonts w:ascii="Aptos" w:cs="Aptos" w:hAnsi="Aptos" w:eastAsia="Aptos"/>
                <w:sz w:val="16"/>
                <w:szCs w:val="16"/>
                <w:rtl w:val="0"/>
                <w:lang w:val="en-US"/>
              </w:rPr>
              <w:t xml:space="preserve">→ </w:t>
            </w:r>
            <w:r>
              <w:rPr>
                <w:rFonts w:ascii="Aptos" w:cs="Aptos" w:hAnsi="Aptos" w:eastAsia="Aptos"/>
                <w:sz w:val="16"/>
                <w:szCs w:val="16"/>
                <w:rtl w:val="0"/>
                <w:lang w:val="en-US"/>
              </w:rPr>
              <w:t>shared cone</w:t>
            </w:r>
          </w:p>
        </w:tc>
        <w:tc>
          <w:tcPr>
            <w:tcW w:type="dxa" w:w="2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20"/>
            </w:pPr>
            <w:r>
              <w:rPr>
                <w:rFonts w:ascii="Aptos" w:cs="Aptos" w:hAnsi="Aptos" w:eastAsia="Aptos"/>
                <w:sz w:val="16"/>
                <w:szCs w:val="16"/>
                <w:rtl w:val="0"/>
                <w:lang w:val="en-US"/>
              </w:rPr>
              <w:t>E criterion F=0, stability bound V.3; origin not shown</w:t>
            </w:r>
          </w:p>
        </w:tc>
        <w:tc>
          <w:tcPr>
            <w:tcW w:type="dxa" w:w="2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20"/>
            </w:pPr>
            <w:r>
              <w:rPr>
                <w:rFonts w:ascii="Aptos" w:cs="Aptos" w:hAnsi="Aptos" w:eastAsia="Aptos"/>
                <w:sz w:val="16"/>
                <w:szCs w:val="16"/>
                <w:rtl w:val="0"/>
                <w:lang w:val="en-US"/>
              </w:rPr>
              <w:t>Derive scalar D_00 in multiple independently identifiable sectors; prove stability</w:t>
            </w:r>
          </w:p>
        </w:tc>
        <w:tc>
          <w:tcPr>
            <w:tcW w:type="dxa" w:w="23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20"/>
            </w:pPr>
            <w:r>
              <w:rPr>
                <w:rFonts w:ascii="Aptos" w:cs="Aptos" w:hAnsi="Aptos" w:eastAsia="Aptos"/>
                <w:sz w:val="16"/>
                <w:szCs w:val="16"/>
                <w:rtl w:val="0"/>
                <w:lang w:val="en-US"/>
              </w:rPr>
              <w:t>Δ</w:t>
            </w:r>
            <w:r>
              <w:rPr>
                <w:rFonts w:ascii="Aptos" w:cs="Aptos" w:hAnsi="Aptos" w:eastAsia="Aptos"/>
                <w:sz w:val="16"/>
                <w:szCs w:val="16"/>
                <w:rtl w:val="0"/>
                <w:lang w:val="en-US"/>
              </w:rPr>
              <w:t>_D stays bounded away from zero; gap closes; sectors split</w:t>
            </w:r>
          </w:p>
        </w:tc>
      </w:tr>
      <w:tr>
        <w:tblPrEx>
          <w:shd w:val="clear" w:color="auto" w:fill="ced7e7"/>
        </w:tblPrEx>
        <w:trPr>
          <w:trHeight w:val="650" w:hRule="atLeast"/>
        </w:trPr>
        <w:tc>
          <w:tcPr>
            <w:tcW w:type="dxa" w:w="2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20"/>
            </w:pPr>
            <w:r>
              <w:rPr>
                <w:rFonts w:ascii="Aptos" w:cs="Aptos" w:hAnsi="Aptos" w:eastAsia="Aptos"/>
                <w:sz w:val="16"/>
                <w:szCs w:val="16"/>
                <w:rtl w:val="0"/>
                <w:lang w:val="en-US"/>
              </w:rPr>
              <w:t>T</w:t>
            </w:r>
            <w:r>
              <w:rPr>
                <w:rFonts w:ascii="Aptos" w:cs="Aptos" w:hAnsi="Aptos" w:eastAsia="Aptos"/>
                <w:sz w:val="16"/>
                <w:szCs w:val="16"/>
                <w:rtl w:val="0"/>
                <w:lang w:val="en-US"/>
              </w:rPr>
              <w:t>₄</w:t>
            </w:r>
            <w:r>
              <w:rPr>
                <w:rFonts w:ascii="Aptos" w:cs="Aptos" w:hAnsi="Aptos" w:eastAsia="Aptos"/>
                <w:sz w:val="16"/>
                <w:szCs w:val="16"/>
                <w:rtl w:val="0"/>
                <w:lang w:val="en-US"/>
              </w:rPr>
              <w:t xml:space="preserve">: response </w:t>
            </w:r>
            <w:r>
              <w:rPr>
                <w:rFonts w:ascii="Aptos" w:cs="Aptos" w:hAnsi="Aptos" w:eastAsia="Aptos"/>
                <w:sz w:val="16"/>
                <w:szCs w:val="16"/>
                <w:rtl w:val="0"/>
                <w:lang w:val="en-US"/>
              </w:rPr>
              <w:t xml:space="preserve">→ </w:t>
            </w:r>
            <w:r>
              <w:rPr>
                <w:rFonts w:ascii="Aptos" w:cs="Aptos" w:hAnsi="Aptos" w:eastAsia="Aptos"/>
                <w:sz w:val="16"/>
                <w:szCs w:val="16"/>
                <w:rtl w:val="0"/>
                <w:lang w:val="en-US"/>
              </w:rPr>
              <w:t>effective microcausality</w:t>
            </w:r>
          </w:p>
        </w:tc>
        <w:tc>
          <w:tcPr>
            <w:tcW w:type="dxa" w:w="2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20"/>
            </w:pPr>
            <w:r>
              <w:rPr>
                <w:rFonts w:ascii="Aptos" w:cs="Aptos" w:hAnsi="Aptos" w:eastAsia="Aptos"/>
                <w:sz w:val="16"/>
                <w:szCs w:val="16"/>
                <w:rtl w:val="0"/>
                <w:lang w:val="en-US"/>
              </w:rPr>
              <w:t xml:space="preserve">E for full prescribed chain limit and Weyl algebra (II </w:t>
            </w:r>
            <w:r>
              <w:rPr>
                <w:rFonts w:ascii="Aptos" w:cs="Aptos" w:hAnsi="Aptos" w:eastAsia="Aptos"/>
                <w:sz w:val="16"/>
                <w:szCs w:val="16"/>
                <w:rtl w:val="0"/>
                <w:lang w:val="en-US"/>
              </w:rPr>
              <w:t>§</w:t>
            </w:r>
            <w:r>
              <w:rPr>
                <w:rFonts w:ascii="Aptos" w:cs="Aptos" w:hAnsi="Aptos" w:eastAsia="Aptos"/>
                <w:sz w:val="16"/>
                <w:szCs w:val="16"/>
                <w:rtl w:val="0"/>
                <w:lang w:val="en-US"/>
              </w:rPr>
              <w:t xml:space="preserve">3; III </w:t>
            </w:r>
            <w:r>
              <w:rPr>
                <w:rFonts w:ascii="Aptos" w:cs="Aptos" w:hAnsi="Aptos" w:eastAsia="Aptos"/>
                <w:sz w:val="16"/>
                <w:szCs w:val="16"/>
                <w:rtl w:val="0"/>
                <w:lang w:val="en-US"/>
              </w:rPr>
              <w:t>§</w:t>
            </w:r>
            <w:r>
              <w:rPr>
                <w:rFonts w:ascii="Aptos" w:cs="Aptos" w:hAnsi="Aptos" w:eastAsia="Aptos"/>
                <w:sz w:val="16"/>
                <w:szCs w:val="16"/>
                <w:rtl w:val="0"/>
                <w:lang w:val="en-US"/>
              </w:rPr>
              <w:t>5)</w:t>
            </w:r>
          </w:p>
        </w:tc>
        <w:tc>
          <w:tcPr>
            <w:tcW w:type="dxa" w:w="2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20"/>
            </w:pPr>
            <w:r>
              <w:rPr>
                <w:rFonts w:ascii="Aptos" w:cs="Aptos" w:hAnsi="Aptos" w:eastAsia="Aptos"/>
                <w:sz w:val="16"/>
                <w:szCs w:val="16"/>
                <w:rtl w:val="0"/>
                <w:lang w:val="en-US"/>
              </w:rPr>
              <w:t xml:space="preserve">Prove </w:t>
            </w:r>
            <w:r>
              <w:rPr>
                <w:rFonts w:ascii="Aptos" w:cs="Aptos" w:hAnsi="Aptos" w:eastAsia="Aptos"/>
                <w:sz w:val="16"/>
                <w:szCs w:val="16"/>
                <w:rtl w:val="0"/>
                <w:lang w:val="en-US"/>
              </w:rPr>
              <w:t>ε</w:t>
            </w:r>
            <w:r>
              <w:rPr>
                <w:rFonts w:ascii="Aptos" w:cs="Aptos" w:hAnsi="Aptos" w:eastAsia="Aptos"/>
                <w:sz w:val="16"/>
                <w:szCs w:val="16"/>
                <w:rtl w:val="0"/>
                <w:lang w:val="en-US"/>
              </w:rPr>
              <w:t>_N(T,</w:t>
            </w:r>
            <w:r>
              <w:rPr>
                <w:rFonts w:ascii="Aptos" w:cs="Aptos" w:hAnsi="Aptos" w:eastAsia="Aptos"/>
                <w:sz w:val="16"/>
                <w:szCs w:val="16"/>
                <w:rtl w:val="0"/>
                <w:lang w:val="en-US"/>
              </w:rPr>
              <w:t>δ</w:t>
            </w:r>
            <w:r>
              <w:rPr>
                <w:rFonts w:ascii="Aptos" w:cs="Aptos" w:hAnsi="Aptos" w:eastAsia="Aptos"/>
                <w:sz w:val="16"/>
                <w:szCs w:val="16"/>
                <w:rtl w:val="0"/>
                <w:lang w:val="en-US"/>
              </w:rPr>
              <w:t>)</w:t>
            </w:r>
            <w:r>
              <w:rPr>
                <w:rFonts w:ascii="Aptos" w:cs="Aptos" w:hAnsi="Aptos" w:eastAsia="Aptos"/>
                <w:sz w:val="16"/>
                <w:szCs w:val="16"/>
                <w:rtl w:val="0"/>
                <w:lang w:val="en-US"/>
              </w:rPr>
              <w:t>→</w:t>
            </w:r>
            <w:r>
              <w:rPr>
                <w:rFonts w:ascii="Aptos" w:cs="Aptos" w:hAnsi="Aptos" w:eastAsia="Aptos"/>
                <w:sz w:val="16"/>
                <w:szCs w:val="16"/>
                <w:rtl w:val="0"/>
                <w:lang w:val="en-US"/>
              </w:rPr>
              <w:t>0 with generated geometry and local operations</w:t>
            </w:r>
          </w:p>
        </w:tc>
        <w:tc>
          <w:tcPr>
            <w:tcW w:type="dxa" w:w="23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20"/>
            </w:pPr>
            <w:r>
              <w:rPr>
                <w:rFonts w:ascii="Aptos" w:cs="Aptos" w:hAnsi="Aptos" w:eastAsia="Aptos"/>
                <w:sz w:val="16"/>
                <w:szCs w:val="16"/>
                <w:rtl w:val="0"/>
                <w:lang w:val="en-US"/>
              </w:rPr>
              <w:t xml:space="preserve">Properly normalised exterior tails persist at fixed </w:t>
            </w:r>
            <w:r>
              <w:rPr>
                <w:rFonts w:ascii="Aptos" w:cs="Aptos" w:hAnsi="Aptos" w:eastAsia="Aptos"/>
                <w:sz w:val="16"/>
                <w:szCs w:val="16"/>
                <w:rtl w:val="0"/>
                <w:lang w:val="en-US"/>
              </w:rPr>
              <w:t>δ</w:t>
            </w:r>
          </w:p>
        </w:tc>
      </w:tr>
      <w:tr>
        <w:tblPrEx>
          <w:shd w:val="clear" w:color="auto" w:fill="ced7e7"/>
        </w:tblPrEx>
        <w:trPr>
          <w:trHeight w:val="642" w:hRule="atLeast"/>
        </w:trPr>
        <w:tc>
          <w:tcPr>
            <w:tcW w:type="dxa" w:w="2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20"/>
            </w:pPr>
            <w:r>
              <w:rPr>
                <w:rFonts w:ascii="Aptos" w:cs="Aptos" w:hAnsi="Aptos" w:eastAsia="Aptos"/>
                <w:sz w:val="16"/>
                <w:szCs w:val="16"/>
                <w:rtl w:val="0"/>
                <w:lang w:val="en-US"/>
              </w:rPr>
              <w:t>T</w:t>
            </w:r>
            <w:r>
              <w:rPr>
                <w:rFonts w:ascii="Aptos" w:cs="Aptos" w:hAnsi="Aptos" w:eastAsia="Aptos"/>
                <w:sz w:val="16"/>
                <w:szCs w:val="16"/>
                <w:rtl w:val="0"/>
                <w:lang w:val="en-US"/>
              </w:rPr>
              <w:t>₅</w:t>
            </w:r>
            <w:r>
              <w:rPr>
                <w:rFonts w:ascii="Aptos" w:cs="Aptos" w:hAnsi="Aptos" w:eastAsia="Aptos"/>
                <w:sz w:val="16"/>
                <w:szCs w:val="16"/>
                <w:rtl w:val="0"/>
                <w:lang w:val="en-US"/>
              </w:rPr>
              <w:t xml:space="preserve">: two-sided cone </w:t>
            </w:r>
            <w:r>
              <w:rPr>
                <w:rFonts w:ascii="Aptos" w:cs="Aptos" w:hAnsi="Aptos" w:eastAsia="Aptos"/>
                <w:sz w:val="16"/>
                <w:szCs w:val="16"/>
                <w:rtl w:val="0"/>
                <w:lang w:val="en-US"/>
              </w:rPr>
              <w:t xml:space="preserve">→ </w:t>
            </w:r>
            <w:r>
              <w:rPr>
                <w:rFonts w:ascii="Aptos" w:cs="Aptos" w:hAnsi="Aptos" w:eastAsia="Aptos"/>
                <w:sz w:val="16"/>
                <w:szCs w:val="16"/>
                <w:rtl w:val="0"/>
                <w:lang w:val="en-US"/>
              </w:rPr>
              <w:t>future orientation</w:t>
            </w:r>
          </w:p>
        </w:tc>
        <w:tc>
          <w:tcPr>
            <w:tcW w:type="dxa" w:w="2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20"/>
            </w:pPr>
            <w:r>
              <w:rPr>
                <w:rFonts w:ascii="Aptos" w:cs="Aptos" w:hAnsi="Aptos" w:eastAsia="Aptos"/>
                <w:sz w:val="16"/>
                <w:szCs w:val="16"/>
                <w:rtl w:val="0"/>
                <w:lang w:val="en-US"/>
              </w:rPr>
              <w:t>N under stationary reversible symmetric ensemble (V.4)</w:t>
            </w:r>
          </w:p>
        </w:tc>
        <w:tc>
          <w:tcPr>
            <w:tcW w:type="dxa" w:w="2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20"/>
            </w:pPr>
            <w:r>
              <w:rPr>
                <w:rFonts w:ascii="Aptos" w:cs="Aptos" w:hAnsi="Aptos" w:eastAsia="Aptos"/>
                <w:sz w:val="16"/>
                <w:szCs w:val="16"/>
                <w:rtl w:val="0"/>
                <w:lang w:val="en-US"/>
              </w:rPr>
              <w:t>Demonstrate clock, conditioning, records, stable reversal-odd statistic</w:t>
            </w:r>
          </w:p>
        </w:tc>
        <w:tc>
          <w:tcPr>
            <w:tcW w:type="dxa" w:w="23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20"/>
            </w:pPr>
            <w:r>
              <w:rPr>
                <w:rFonts w:ascii="Aptos" w:cs="Aptos" w:hAnsi="Aptos" w:eastAsia="Aptos"/>
                <w:sz w:val="16"/>
                <w:szCs w:val="16"/>
                <w:rtl w:val="0"/>
                <w:lang w:val="en-US"/>
              </w:rPr>
              <w:t>No stable sign / only convention-dependent retarded label</w:t>
            </w:r>
          </w:p>
        </w:tc>
      </w:tr>
      <w:tr>
        <w:tblPrEx>
          <w:shd w:val="clear" w:color="auto" w:fill="ced7e7"/>
        </w:tblPrEx>
        <w:trPr>
          <w:trHeight w:val="858" w:hRule="atLeast"/>
        </w:trPr>
        <w:tc>
          <w:tcPr>
            <w:tcW w:type="dxa" w:w="2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20"/>
            </w:pPr>
            <w:r>
              <w:rPr>
                <w:rFonts w:ascii="Aptos" w:cs="Aptos" w:hAnsi="Aptos" w:eastAsia="Aptos"/>
                <w:sz w:val="16"/>
                <w:szCs w:val="16"/>
                <w:rtl w:val="0"/>
                <w:lang w:val="en-US"/>
              </w:rPr>
              <w:t>T</w:t>
            </w:r>
            <w:r>
              <w:rPr>
                <w:rFonts w:ascii="Aptos" w:cs="Aptos" w:hAnsi="Aptos" w:eastAsia="Aptos"/>
                <w:sz w:val="16"/>
                <w:szCs w:val="16"/>
                <w:rtl w:val="0"/>
                <w:lang w:val="en-US"/>
              </w:rPr>
              <w:t>₆</w:t>
            </w:r>
            <w:r>
              <w:rPr>
                <w:rFonts w:ascii="Aptos" w:cs="Aptos" w:hAnsi="Aptos" w:eastAsia="Aptos"/>
                <w:sz w:val="16"/>
                <w:szCs w:val="16"/>
                <w:rtl w:val="0"/>
                <w:lang w:val="en-US"/>
              </w:rPr>
              <w:t xml:space="preserve">: effective cone </w:t>
            </w:r>
            <w:r>
              <w:rPr>
                <w:rFonts w:ascii="Aptos" w:cs="Aptos" w:hAnsi="Aptos" w:eastAsia="Aptos"/>
                <w:sz w:val="16"/>
                <w:szCs w:val="16"/>
                <w:rtl w:val="0"/>
                <w:lang w:val="en-US"/>
              </w:rPr>
              <w:t xml:space="preserve">→ </w:t>
            </w:r>
            <w:r>
              <w:rPr>
                <w:rFonts w:ascii="Aptos" w:cs="Aptos" w:hAnsi="Aptos" w:eastAsia="Aptos"/>
                <w:sz w:val="16"/>
                <w:szCs w:val="16"/>
                <w:rtl w:val="0"/>
                <w:lang w:val="en-US"/>
              </w:rPr>
              <w:t>physical metric &amp; matter</w:t>
            </w:r>
          </w:p>
        </w:tc>
        <w:tc>
          <w:tcPr>
            <w:tcW w:type="dxa" w:w="2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20"/>
            </w:pPr>
            <w:r>
              <w:rPr>
                <w:rFonts w:ascii="Aptos" w:cs="Aptos" w:hAnsi="Aptos" w:eastAsia="Aptos"/>
                <w:sz w:val="16"/>
                <w:szCs w:val="16"/>
                <w:rtl w:val="0"/>
                <w:lang w:val="en-US"/>
              </w:rPr>
              <w:t>C in Maxwell control sector (IV); no emergent gauge model</w:t>
            </w:r>
          </w:p>
        </w:tc>
        <w:tc>
          <w:tcPr>
            <w:tcW w:type="dxa" w:w="2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20"/>
            </w:pPr>
            <w:r>
              <w:rPr>
                <w:rFonts w:ascii="Aptos" w:cs="Aptos" w:hAnsi="Aptos" w:eastAsia="Aptos"/>
                <w:sz w:val="16"/>
                <w:szCs w:val="16"/>
                <w:rtl w:val="0"/>
                <w:lang w:val="en-US"/>
              </w:rPr>
              <w:t>Build gauge-reduced sectors, stress tensor and state reconstruction; independent observable loops</w:t>
            </w:r>
          </w:p>
        </w:tc>
        <w:tc>
          <w:tcPr>
            <w:tcW w:type="dxa" w:w="23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20"/>
            </w:pPr>
            <w:r>
              <w:rPr>
                <w:rFonts w:ascii="Aptos" w:cs="Aptos" w:hAnsi="Aptos" w:eastAsia="Aptos"/>
                <w:sz w:val="16"/>
                <w:szCs w:val="16"/>
                <w:rtl w:val="0"/>
                <w:lang w:val="en-US"/>
              </w:rPr>
              <w:t>Gauge mismatch, incompatible optical velocities, energy/pressure failure</w:t>
            </w:r>
          </w:p>
        </w:tc>
      </w:tr>
    </w:tbl>
    <w:p>
      <w:pPr>
        <w:pStyle w:val="Заголовок 2"/>
        <w:widowControl w:val="0"/>
        <w:spacing w:after="100" w:line="240" w:lineRule="atLeast"/>
        <w:jc w:val="center"/>
      </w:pPr>
    </w:p>
    <w:p>
      <w:pPr>
        <w:pStyle w:val="Normal.0"/>
        <w:spacing w:after="100" w:line="240" w:lineRule="atLeast"/>
      </w:pPr>
      <w:r>
        <w:rPr>
          <w:rtl w:val="0"/>
          <w:lang w:val="en-US"/>
        </w:rPr>
        <w:t xml:space="preserve">Suggested </w:t>
      </w:r>
      <w:r>
        <w:rPr>
          <w:rtl w:val="0"/>
          <w:lang w:val="en-US"/>
        </w:rPr>
        <w:t>“</w:t>
      </w:r>
      <w:r>
        <w:rPr>
          <w:rtl w:val="0"/>
          <w:lang w:val="en-US"/>
        </w:rPr>
        <w:t>next headline theorem</w:t>
      </w:r>
      <w:r>
        <w:rPr>
          <w:rtl w:val="0"/>
          <w:lang w:val="en-US"/>
        </w:rPr>
        <w:t xml:space="preserve">” </w:t>
      </w:r>
      <w:r>
        <w:rPr>
          <w:rtl w:val="0"/>
          <w:lang w:val="en-US"/>
        </w:rPr>
        <w:t>with honest quantifiers: Exhibit a specified permutation-equivariant stochastic or closed relational model and a nonvanishing family of initial conditions/typical states for which local reconstructions of bounded operational radius, measures, stable massless sectors, a common positive compressed form, and buffered retarded response estimates exist uniformly in N. If orientation is included, make the conditioning explicit. This statement is still a target, not an achieved theorem.</w:t>
      </w:r>
    </w:p>
    <w:p>
      <w:pPr>
        <w:pStyle w:val="Заголовок 2"/>
        <w:spacing w:after="100" w:line="240" w:lineRule="atLeast"/>
      </w:pPr>
      <w:r>
        <w:rPr>
          <w:rtl w:val="0"/>
          <w:lang w:val="en-US"/>
        </w:rPr>
        <w:t>V.10. Interface to Maxwell, quantum observables and gravity: what cannot be skipped</w:t>
      </w:r>
    </w:p>
    <w:p>
      <w:pPr>
        <w:pStyle w:val="Normal.0"/>
        <w:spacing w:after="100" w:line="240" w:lineRule="atLeast"/>
      </w:pPr>
      <w:r>
        <w:rPr>
          <w:rtl w:val="0"/>
          <w:lang w:val="en-US"/>
        </w:rPr>
        <w:t>The Part IV Maxwell action links null characteristics, stress-energy, radiation pressure, and gauge-reduced quantum response only after a Lorentzian metric, physical electromagnetic field variables, gauge structure, state and boundaries are already supplied. It is a valuable consistency closure test of a candidate effective sector, not a microscopic derivation. An admissible bridge from new graph dynamics must specify the effective algebra, positivity, gauge kernel/quotient, energy density relative to a physical measure, state regularity and the operational source/readout procedures. A scalar linear wave passing the cone test is insufficient.</w:t>
      </w:r>
    </w:p>
    <w:p>
      <w:pPr>
        <w:pStyle w:val="Normal.0"/>
        <w:spacing w:after="100" w:line="240" w:lineRule="atLeast"/>
      </w:pPr>
      <w:r>
        <w:rPr>
          <w:rtl w:val="0"/>
          <w:lang w:val="en-US"/>
        </w:rPr>
        <w:t>An effective conformal cone determines neither the overall metric factor nor cosmological expansion, vacuum energy, pressure, gravitational dynamics, or a unique topology. Covariant gravitational equations, local constraints and coupling to a stress tensor remain independent interface conditions; a sum of link energies is not automatically a physical spacetime energy density. S</w:t>
      </w:r>
      <w:r>
        <w:rPr>
          <w:rtl w:val="0"/>
          <w:lang w:val="en-US"/>
        </w:rPr>
        <w:t xml:space="preserve">³ </w:t>
      </w:r>
      <w:r>
        <w:rPr>
          <w:rtl w:val="0"/>
          <w:lang w:val="en-US"/>
        </w:rPr>
        <w:t>and other compact geometries stay optional controls until a phase-selection argument supplies them. The programme must avoid turning reconstruction hypotheses into hidden microscopic axioms.</w:t>
      </w:r>
    </w:p>
    <w:p>
      <w:pPr>
        <w:pStyle w:val="Заголовок 2"/>
        <w:spacing w:after="100" w:line="240" w:lineRule="atLeast"/>
      </w:pPr>
      <w:r>
        <w:rPr>
          <w:rtl w:val="0"/>
          <w:lang w:val="en-US"/>
        </w:rPr>
        <w:t>V.11. Version-3 evidence register and conclusion</w:t>
      </w:r>
    </w:p>
    <w:tbl>
      <w:tblPr>
        <w:tblW w:w="9525"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175"/>
        <w:gridCol w:w="3175"/>
        <w:gridCol w:w="3175"/>
      </w:tblGrid>
      <w:tr>
        <w:tblPrEx>
          <w:shd w:val="clear" w:color="auto" w:fill="4f81bd"/>
        </w:tblPrEx>
        <w:trPr>
          <w:trHeight w:val="210" w:hRule="atLeast"/>
          <w:tblHeader/>
        </w:trPr>
        <w:tc>
          <w:tcPr>
            <w:tcW w:type="dxa" w:w="31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df2f6"/>
            <w:tcMar>
              <w:top w:type="dxa" w:w="80"/>
              <w:left w:type="dxa" w:w="80"/>
              <w:bottom w:type="dxa" w:w="80"/>
              <w:right w:type="dxa" w:w="80"/>
            </w:tcMar>
            <w:vAlign w:val="center"/>
          </w:tcPr>
          <w:p>
            <w:pPr>
              <w:pStyle w:val="Normal.0"/>
              <w:spacing w:after="20"/>
            </w:pPr>
            <w:r>
              <w:rPr>
                <w:rFonts w:ascii="Aptos" w:cs="Aptos" w:hAnsi="Aptos" w:eastAsia="Aptos"/>
                <w:b w:val="1"/>
                <w:bCs w:val="1"/>
                <w:sz w:val="16"/>
                <w:szCs w:val="16"/>
                <w:rtl w:val="0"/>
                <w:lang w:val="en-US"/>
              </w:rPr>
              <w:t>Claim</w:t>
            </w:r>
          </w:p>
        </w:tc>
        <w:tc>
          <w:tcPr>
            <w:tcW w:type="dxa" w:w="31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df2f6"/>
            <w:tcMar>
              <w:top w:type="dxa" w:w="80"/>
              <w:left w:type="dxa" w:w="80"/>
              <w:bottom w:type="dxa" w:w="80"/>
              <w:right w:type="dxa" w:w="80"/>
            </w:tcMar>
            <w:vAlign w:val="center"/>
          </w:tcPr>
          <w:p>
            <w:pPr>
              <w:pStyle w:val="Normal.0"/>
              <w:spacing w:after="20"/>
            </w:pPr>
            <w:r>
              <w:rPr>
                <w:rFonts w:ascii="Aptos" w:cs="Aptos" w:hAnsi="Aptos" w:eastAsia="Aptos"/>
                <w:b w:val="1"/>
                <w:bCs w:val="1"/>
                <w:sz w:val="16"/>
                <w:szCs w:val="16"/>
                <w:rtl w:val="0"/>
                <w:lang w:val="en-US"/>
              </w:rPr>
              <w:t>Status</w:t>
            </w:r>
          </w:p>
        </w:tc>
        <w:tc>
          <w:tcPr>
            <w:tcW w:type="dxa" w:w="31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df2f6"/>
            <w:tcMar>
              <w:top w:type="dxa" w:w="80"/>
              <w:left w:type="dxa" w:w="80"/>
              <w:bottom w:type="dxa" w:w="80"/>
              <w:right w:type="dxa" w:w="80"/>
            </w:tcMar>
            <w:vAlign w:val="center"/>
          </w:tcPr>
          <w:p>
            <w:pPr>
              <w:pStyle w:val="Normal.0"/>
              <w:spacing w:after="20"/>
            </w:pPr>
            <w:r>
              <w:rPr>
                <w:rFonts w:ascii="Aptos" w:cs="Aptos" w:hAnsi="Aptos" w:eastAsia="Aptos"/>
                <w:b w:val="1"/>
                <w:bCs w:val="1"/>
                <w:sz w:val="16"/>
                <w:szCs w:val="16"/>
                <w:rtl w:val="0"/>
                <w:lang w:val="en-US"/>
              </w:rPr>
              <w:t>Evidence / limitation</w:t>
            </w:r>
          </w:p>
        </w:tc>
      </w:tr>
      <w:tr>
        <w:tblPrEx>
          <w:shd w:val="clear" w:color="auto" w:fill="ced7e7"/>
        </w:tblPrEx>
        <w:trPr>
          <w:trHeight w:val="426" w:hRule="atLeast"/>
        </w:trPr>
        <w:tc>
          <w:tcPr>
            <w:tcW w:type="dxa" w:w="31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20"/>
            </w:pPr>
            <w:r>
              <w:rPr>
                <w:rFonts w:ascii="Aptos" w:cs="Aptos" w:hAnsi="Aptos" w:eastAsia="Aptos"/>
                <w:sz w:val="16"/>
                <w:szCs w:val="16"/>
                <w:rtl w:val="0"/>
                <w:lang w:val="en-US"/>
              </w:rPr>
              <w:t>Normalised exterior decay on prescribed chains</w:t>
            </w:r>
          </w:p>
        </w:tc>
        <w:tc>
          <w:tcPr>
            <w:tcW w:type="dxa" w:w="31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20"/>
            </w:pPr>
            <w:r>
              <w:rPr>
                <w:rFonts w:ascii="Aptos" w:cs="Aptos" w:hAnsi="Aptos" w:eastAsia="Aptos"/>
                <w:sz w:val="16"/>
                <w:szCs w:val="16"/>
                <w:rtl w:val="0"/>
                <w:lang w:val="en-US"/>
              </w:rPr>
              <w:t>E from base</w:t>
            </w:r>
          </w:p>
        </w:tc>
        <w:tc>
          <w:tcPr>
            <w:tcW w:type="dxa" w:w="31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20"/>
            </w:pPr>
            <w:r>
              <w:rPr>
                <w:rFonts w:ascii="Aptos" w:cs="Aptos" w:hAnsi="Aptos" w:eastAsia="Aptos"/>
                <w:sz w:val="16"/>
                <w:szCs w:val="16"/>
                <w:rtl w:val="0"/>
                <w:lang w:val="en-US"/>
              </w:rPr>
              <w:t>Part II Theorem 2 and Part III quantum controls; assumed chain geometry</w:t>
            </w:r>
          </w:p>
        </w:tc>
      </w:tr>
      <w:tr>
        <w:tblPrEx>
          <w:shd w:val="clear" w:color="auto" w:fill="ced7e7"/>
        </w:tblPrEx>
        <w:trPr>
          <w:trHeight w:val="447" w:hRule="atLeast"/>
        </w:trPr>
        <w:tc>
          <w:tcPr>
            <w:tcW w:type="dxa" w:w="31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20"/>
            </w:pPr>
            <w:r>
              <w:rPr>
                <w:rFonts w:ascii="Aptos" w:cs="Aptos" w:hAnsi="Aptos" w:eastAsia="Aptos"/>
                <w:sz w:val="16"/>
                <w:szCs w:val="16"/>
                <w:rtl w:val="0"/>
                <w:lang w:val="en-US"/>
              </w:rPr>
              <w:t>V.1 locality inheritance</w:t>
            </w:r>
          </w:p>
        </w:tc>
        <w:tc>
          <w:tcPr>
            <w:tcW w:type="dxa" w:w="31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20"/>
            </w:pPr>
            <w:r>
              <w:rPr>
                <w:rFonts w:ascii="Aptos" w:cs="Aptos" w:hAnsi="Aptos" w:eastAsia="Aptos"/>
                <w:sz w:val="16"/>
                <w:szCs w:val="16"/>
                <w:rtl w:val="0"/>
                <w:lang w:val="en-US"/>
              </w:rPr>
              <w:t>V mathematical</w:t>
            </w:r>
          </w:p>
        </w:tc>
        <w:tc>
          <w:tcPr>
            <w:tcW w:type="dxa" w:w="31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20"/>
            </w:pPr>
            <w:r>
              <w:rPr>
                <w:rFonts w:ascii="Aptos" w:cs="Aptos" w:hAnsi="Aptos" w:eastAsia="Aptos"/>
                <w:sz w:val="16"/>
                <w:szCs w:val="16"/>
                <w:rtl w:val="0"/>
                <w:lang w:val="en-US"/>
              </w:rPr>
              <w:t xml:space="preserve">Direct finite </w:t>
            </w:r>
            <w:r>
              <w:rPr>
                <w:rFonts w:ascii="Aptos" w:cs="Aptos" w:hAnsi="Aptos" w:eastAsia="Aptos"/>
                <w:sz w:val="16"/>
                <w:szCs w:val="16"/>
                <w:rtl w:val="0"/>
                <w:lang w:val="en-US"/>
              </w:rPr>
              <w:t xml:space="preserve">ℓ¹ </w:t>
            </w:r>
            <w:r>
              <w:rPr>
                <w:rFonts w:ascii="Aptos" w:cs="Aptos" w:hAnsi="Aptos" w:eastAsia="Aptos"/>
                <w:sz w:val="16"/>
                <w:szCs w:val="16"/>
                <w:rtl w:val="0"/>
                <w:lang w:val="en-US"/>
              </w:rPr>
              <w:t>support proof; conditional on original exterior estimate</w:t>
            </w:r>
          </w:p>
        </w:tc>
      </w:tr>
      <w:tr>
        <w:tblPrEx>
          <w:shd w:val="clear" w:color="auto" w:fill="ced7e7"/>
        </w:tblPrEx>
        <w:trPr>
          <w:trHeight w:val="426" w:hRule="atLeast"/>
        </w:trPr>
        <w:tc>
          <w:tcPr>
            <w:tcW w:type="dxa" w:w="31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20"/>
            </w:pPr>
            <w:r>
              <w:rPr>
                <w:rFonts w:ascii="Aptos" w:cs="Aptos" w:hAnsi="Aptos" w:eastAsia="Aptos"/>
                <w:sz w:val="16"/>
                <w:szCs w:val="16"/>
                <w:rtl w:val="0"/>
                <w:lang w:val="en-US"/>
              </w:rPr>
              <w:t>V.2 gap/growth obstruction</w:t>
            </w:r>
          </w:p>
        </w:tc>
        <w:tc>
          <w:tcPr>
            <w:tcW w:type="dxa" w:w="31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20"/>
            </w:pPr>
            <w:r>
              <w:rPr>
                <w:rFonts w:ascii="Aptos" w:cs="Aptos" w:hAnsi="Aptos" w:eastAsia="Aptos"/>
                <w:sz w:val="16"/>
                <w:szCs w:val="16"/>
                <w:rtl w:val="0"/>
                <w:lang w:val="en-US"/>
              </w:rPr>
              <w:t>V mathematical</w:t>
            </w:r>
          </w:p>
        </w:tc>
        <w:tc>
          <w:tcPr>
            <w:tcW w:type="dxa" w:w="31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20"/>
            </w:pPr>
            <w:r>
              <w:rPr>
                <w:rFonts w:ascii="Aptos" w:cs="Aptos" w:hAnsi="Aptos" w:eastAsia="Aptos"/>
                <w:sz w:val="16"/>
                <w:szCs w:val="16"/>
                <w:rtl w:val="0"/>
                <w:lang w:val="en-US"/>
              </w:rPr>
              <w:t>Lazy-walk spectral-gap proof for fixed-degree graph family</w:t>
            </w:r>
          </w:p>
        </w:tc>
      </w:tr>
      <w:tr>
        <w:tblPrEx>
          <w:shd w:val="clear" w:color="auto" w:fill="ced7e7"/>
        </w:tblPrEx>
        <w:trPr>
          <w:trHeight w:val="426" w:hRule="atLeast"/>
        </w:trPr>
        <w:tc>
          <w:tcPr>
            <w:tcW w:type="dxa" w:w="31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20"/>
            </w:pPr>
            <w:r>
              <w:rPr>
                <w:rFonts w:ascii="Aptos" w:cs="Aptos" w:hAnsi="Aptos" w:eastAsia="Aptos"/>
                <w:sz w:val="16"/>
                <w:szCs w:val="16"/>
                <w:rtl w:val="0"/>
                <w:lang w:val="en-US"/>
              </w:rPr>
              <w:t>V.3 cone-defect stability</w:t>
            </w:r>
          </w:p>
        </w:tc>
        <w:tc>
          <w:tcPr>
            <w:tcW w:type="dxa" w:w="31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20"/>
            </w:pPr>
            <w:r>
              <w:rPr>
                <w:rFonts w:ascii="Aptos" w:cs="Aptos" w:hAnsi="Aptos" w:eastAsia="Aptos"/>
                <w:sz w:val="16"/>
                <w:szCs w:val="16"/>
                <w:rtl w:val="0"/>
                <w:lang w:val="en-US"/>
              </w:rPr>
              <w:t>V mathematical</w:t>
            </w:r>
          </w:p>
        </w:tc>
        <w:tc>
          <w:tcPr>
            <w:tcW w:type="dxa" w:w="31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20"/>
            </w:pPr>
            <w:r>
              <w:rPr>
                <w:rFonts w:ascii="Aptos" w:cs="Aptos" w:hAnsi="Aptos" w:eastAsia="Aptos"/>
                <w:sz w:val="16"/>
                <w:szCs w:val="16"/>
                <w:rtl w:val="0"/>
                <w:lang w:val="en-US"/>
              </w:rPr>
              <w:t>Finite-dimensional trace/projector norm estimate</w:t>
            </w:r>
          </w:p>
        </w:tc>
      </w:tr>
      <w:tr>
        <w:tblPrEx>
          <w:shd w:val="clear" w:color="auto" w:fill="ced7e7"/>
        </w:tblPrEx>
        <w:trPr>
          <w:trHeight w:val="426" w:hRule="atLeast"/>
        </w:trPr>
        <w:tc>
          <w:tcPr>
            <w:tcW w:type="dxa" w:w="31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20"/>
            </w:pPr>
            <w:r>
              <w:rPr>
                <w:rFonts w:ascii="Aptos" w:cs="Aptos" w:hAnsi="Aptos" w:eastAsia="Aptos"/>
                <w:sz w:val="16"/>
                <w:szCs w:val="16"/>
                <w:rtl w:val="0"/>
                <w:lang w:val="en-US"/>
              </w:rPr>
              <w:t>V.4 stationary orientation no-go</w:t>
            </w:r>
          </w:p>
        </w:tc>
        <w:tc>
          <w:tcPr>
            <w:tcW w:type="dxa" w:w="31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20"/>
            </w:pPr>
            <w:r>
              <w:rPr>
                <w:rFonts w:ascii="Aptos" w:cs="Aptos" w:hAnsi="Aptos" w:eastAsia="Aptos"/>
                <w:sz w:val="16"/>
                <w:szCs w:val="16"/>
                <w:rtl w:val="0"/>
                <w:lang w:val="en-US"/>
              </w:rPr>
              <w:t>V mathematical</w:t>
            </w:r>
          </w:p>
        </w:tc>
        <w:tc>
          <w:tcPr>
            <w:tcW w:type="dxa" w:w="31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20"/>
            </w:pPr>
            <w:r>
              <w:rPr>
                <w:rFonts w:ascii="Aptos" w:cs="Aptos" w:hAnsi="Aptos" w:eastAsia="Aptos"/>
                <w:sz w:val="16"/>
                <w:szCs w:val="16"/>
                <w:rtl w:val="0"/>
                <w:lang w:val="en-US"/>
              </w:rPr>
              <w:t>Stationary + reversal invariant ensemble; no claim for nonstationary states</w:t>
            </w:r>
          </w:p>
        </w:tc>
      </w:tr>
      <w:tr>
        <w:tblPrEx>
          <w:shd w:val="clear" w:color="auto" w:fill="ced7e7"/>
        </w:tblPrEx>
        <w:trPr>
          <w:trHeight w:val="426" w:hRule="atLeast"/>
        </w:trPr>
        <w:tc>
          <w:tcPr>
            <w:tcW w:type="dxa" w:w="31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20"/>
            </w:pPr>
            <w:r>
              <w:rPr>
                <w:rFonts w:ascii="Aptos" w:cs="Aptos" w:hAnsi="Aptos" w:eastAsia="Aptos"/>
                <w:sz w:val="16"/>
                <w:szCs w:val="16"/>
                <w:rtl w:val="0"/>
                <w:lang w:val="en-US"/>
              </w:rPr>
              <w:t>Cycle N=32</w:t>
            </w:r>
            <w:r>
              <w:rPr>
                <w:rFonts w:ascii="Aptos" w:cs="Aptos" w:hAnsi="Aptos" w:eastAsia="Aptos"/>
                <w:sz w:val="16"/>
                <w:szCs w:val="16"/>
                <w:rtl w:val="0"/>
                <w:lang w:val="en-US"/>
              </w:rPr>
              <w:t>…</w:t>
            </w:r>
            <w:r>
              <w:rPr>
                <w:rFonts w:ascii="Aptos" w:cs="Aptos" w:hAnsi="Aptos" w:eastAsia="Aptos"/>
                <w:sz w:val="16"/>
                <w:szCs w:val="16"/>
                <w:rtl w:val="0"/>
                <w:lang w:val="en-US"/>
              </w:rPr>
              <w:t>512 numerical control</w:t>
            </w:r>
          </w:p>
        </w:tc>
        <w:tc>
          <w:tcPr>
            <w:tcW w:type="dxa" w:w="31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20"/>
            </w:pPr>
            <w:r>
              <w:rPr>
                <w:rFonts w:ascii="Aptos" w:cs="Aptos" w:hAnsi="Aptos" w:eastAsia="Aptos"/>
                <w:sz w:val="16"/>
                <w:szCs w:val="16"/>
                <w:rtl w:val="0"/>
                <w:lang w:val="en-US"/>
              </w:rPr>
              <w:t>Numerically checked</w:t>
            </w:r>
          </w:p>
        </w:tc>
        <w:tc>
          <w:tcPr>
            <w:tcW w:type="dxa" w:w="31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20"/>
            </w:pPr>
            <w:r>
              <w:rPr>
                <w:rFonts w:ascii="Aptos" w:cs="Aptos" w:hAnsi="Aptos" w:eastAsia="Aptos"/>
                <w:sz w:val="16"/>
                <w:szCs w:val="16"/>
                <w:rtl w:val="0"/>
                <w:lang w:val="en-US"/>
              </w:rPr>
              <w:t>One fixed time and one buffer; source code/CSV supplied</w:t>
            </w:r>
          </w:p>
        </w:tc>
      </w:tr>
      <w:tr>
        <w:tblPrEx>
          <w:shd w:val="clear" w:color="auto" w:fill="ced7e7"/>
        </w:tblPrEx>
        <w:trPr>
          <w:trHeight w:val="426" w:hRule="atLeast"/>
        </w:trPr>
        <w:tc>
          <w:tcPr>
            <w:tcW w:type="dxa" w:w="31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20"/>
            </w:pPr>
            <w:r>
              <w:rPr>
                <w:rFonts w:ascii="Aptos" w:cs="Aptos" w:hAnsi="Aptos" w:eastAsia="Aptos"/>
                <w:sz w:val="16"/>
                <w:szCs w:val="16"/>
                <w:rtl w:val="0"/>
                <w:lang w:val="en-US"/>
              </w:rPr>
              <w:t>Selected OpenAI Math mathematical results</w:t>
            </w:r>
          </w:p>
        </w:tc>
        <w:tc>
          <w:tcPr>
            <w:tcW w:type="dxa" w:w="31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20"/>
            </w:pPr>
            <w:r>
              <w:rPr>
                <w:rFonts w:ascii="Aptos" w:cs="Aptos" w:hAnsi="Aptos" w:eastAsia="Aptos"/>
                <w:sz w:val="16"/>
                <w:szCs w:val="16"/>
                <w:rtl w:val="0"/>
                <w:lang w:val="en-US"/>
              </w:rPr>
              <w:t>External leads</w:t>
            </w:r>
          </w:p>
        </w:tc>
        <w:tc>
          <w:tcPr>
            <w:tcW w:type="dxa" w:w="31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20"/>
            </w:pPr>
            <w:r>
              <w:rPr>
                <w:rFonts w:ascii="Aptos" w:cs="Aptos" w:hAnsi="Aptos" w:eastAsia="Aptos"/>
                <w:sz w:val="16"/>
                <w:szCs w:val="16"/>
                <w:rtl w:val="0"/>
                <w:lang w:val="en-US"/>
              </w:rPr>
              <w:t>Scope checked against catalogue; not a derivation of the physical model</w:t>
            </w:r>
          </w:p>
        </w:tc>
      </w:tr>
      <w:tr>
        <w:tblPrEx>
          <w:shd w:val="clear" w:color="auto" w:fill="ced7e7"/>
        </w:tblPrEx>
        <w:trPr>
          <w:trHeight w:val="426" w:hRule="atLeast"/>
        </w:trPr>
        <w:tc>
          <w:tcPr>
            <w:tcW w:type="dxa" w:w="31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20"/>
            </w:pPr>
            <w:r>
              <w:rPr>
                <w:rFonts w:ascii="Aptos" w:cs="Aptos" w:hAnsi="Aptos" w:eastAsia="Aptos"/>
                <w:sz w:val="16"/>
                <w:szCs w:val="16"/>
                <w:rtl w:val="0"/>
                <w:lang w:val="en-US"/>
              </w:rPr>
              <w:t>Stable geometry selected from neutral data</w:t>
            </w:r>
          </w:p>
        </w:tc>
        <w:tc>
          <w:tcPr>
            <w:tcW w:type="dxa" w:w="31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20"/>
            </w:pPr>
            <w:r>
              <w:rPr>
                <w:rFonts w:ascii="Aptos" w:cs="Aptos" w:hAnsi="Aptos" w:eastAsia="Aptos"/>
                <w:sz w:val="16"/>
                <w:szCs w:val="16"/>
                <w:rtl w:val="0"/>
                <w:lang w:val="en-US"/>
              </w:rPr>
              <w:t>O</w:t>
            </w:r>
          </w:p>
        </w:tc>
        <w:tc>
          <w:tcPr>
            <w:tcW w:type="dxa" w:w="31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20"/>
            </w:pPr>
            <w:r>
              <w:rPr>
                <w:rFonts w:ascii="Aptos" w:cs="Aptos" w:hAnsi="Aptos" w:eastAsia="Aptos"/>
                <w:sz w:val="16"/>
                <w:szCs w:val="16"/>
                <w:rtl w:val="0"/>
                <w:lang w:val="en-US"/>
              </w:rPr>
              <w:t>Requires actual permutation-equivariant phase law and scaling</w:t>
            </w:r>
          </w:p>
        </w:tc>
      </w:tr>
      <w:tr>
        <w:tblPrEx>
          <w:shd w:val="clear" w:color="auto" w:fill="ced7e7"/>
        </w:tblPrEx>
        <w:trPr>
          <w:trHeight w:val="426" w:hRule="atLeast"/>
        </w:trPr>
        <w:tc>
          <w:tcPr>
            <w:tcW w:type="dxa" w:w="31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20"/>
            </w:pPr>
            <w:r>
              <w:rPr>
                <w:rFonts w:ascii="Aptos" w:cs="Aptos" w:hAnsi="Aptos" w:eastAsia="Aptos"/>
                <w:sz w:val="16"/>
                <w:szCs w:val="16"/>
                <w:rtl w:val="0"/>
                <w:lang w:val="en-US"/>
              </w:rPr>
              <w:t>Common multisector cone dynamically enforced</w:t>
            </w:r>
          </w:p>
        </w:tc>
        <w:tc>
          <w:tcPr>
            <w:tcW w:type="dxa" w:w="31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20"/>
            </w:pPr>
            <w:r>
              <w:rPr>
                <w:rFonts w:ascii="Aptos" w:cs="Aptos" w:hAnsi="Aptos" w:eastAsia="Aptos"/>
                <w:sz w:val="16"/>
                <w:szCs w:val="16"/>
                <w:rtl w:val="0"/>
                <w:lang w:val="en-US"/>
              </w:rPr>
              <w:t>O</w:t>
            </w:r>
          </w:p>
        </w:tc>
        <w:tc>
          <w:tcPr>
            <w:tcW w:type="dxa" w:w="31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20"/>
            </w:pPr>
            <w:r>
              <w:rPr>
                <w:rFonts w:ascii="Aptos" w:cs="Aptos" w:hAnsi="Aptos" w:eastAsia="Aptos"/>
                <w:sz w:val="16"/>
                <w:szCs w:val="16"/>
                <w:rtl w:val="0"/>
                <w:lang w:val="en-US"/>
              </w:rPr>
              <w:t>Compression equality is a criterion; no general selection theorem</w:t>
            </w:r>
          </w:p>
        </w:tc>
      </w:tr>
      <w:tr>
        <w:tblPrEx>
          <w:shd w:val="clear" w:color="auto" w:fill="ced7e7"/>
        </w:tblPrEx>
        <w:trPr>
          <w:trHeight w:val="426" w:hRule="atLeast"/>
        </w:trPr>
        <w:tc>
          <w:tcPr>
            <w:tcW w:type="dxa" w:w="31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20"/>
            </w:pPr>
            <w:r>
              <w:rPr>
                <w:rFonts w:ascii="Aptos" w:cs="Aptos" w:hAnsi="Aptos" w:eastAsia="Aptos"/>
                <w:sz w:val="16"/>
                <w:szCs w:val="16"/>
                <w:rtl w:val="0"/>
                <w:lang w:val="en-US"/>
              </w:rPr>
              <w:t>Preferred future and full causal order</w:t>
            </w:r>
          </w:p>
        </w:tc>
        <w:tc>
          <w:tcPr>
            <w:tcW w:type="dxa" w:w="31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20"/>
            </w:pPr>
            <w:r>
              <w:rPr>
                <w:rFonts w:ascii="Aptos" w:cs="Aptos" w:hAnsi="Aptos" w:eastAsia="Aptos"/>
                <w:sz w:val="16"/>
                <w:szCs w:val="16"/>
                <w:rtl w:val="0"/>
                <w:lang w:val="en-US"/>
              </w:rPr>
              <w:t>O</w:t>
            </w:r>
          </w:p>
        </w:tc>
        <w:tc>
          <w:tcPr>
            <w:tcW w:type="dxa" w:w="31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20"/>
            </w:pPr>
            <w:r>
              <w:rPr>
                <w:rFonts w:ascii="Aptos" w:cs="Aptos" w:hAnsi="Aptos" w:eastAsia="Aptos"/>
                <w:sz w:val="16"/>
                <w:szCs w:val="16"/>
                <w:rtl w:val="0"/>
                <w:lang w:val="en-US"/>
              </w:rPr>
              <w:t>Reversal breaking/conditioning and global regularity unproved</w:t>
            </w:r>
          </w:p>
        </w:tc>
      </w:tr>
      <w:tr>
        <w:tblPrEx>
          <w:shd w:val="clear" w:color="auto" w:fill="ced7e7"/>
        </w:tblPrEx>
        <w:trPr>
          <w:trHeight w:val="426" w:hRule="atLeast"/>
        </w:trPr>
        <w:tc>
          <w:tcPr>
            <w:tcW w:type="dxa" w:w="31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20"/>
            </w:pPr>
            <w:r>
              <w:rPr>
                <w:rFonts w:ascii="Aptos" w:cs="Aptos" w:hAnsi="Aptos" w:eastAsia="Aptos"/>
                <w:sz w:val="16"/>
                <w:szCs w:val="16"/>
                <w:rtl w:val="0"/>
                <w:lang w:val="en-US"/>
              </w:rPr>
              <w:t>Emergent electromagnetism and gravity</w:t>
            </w:r>
          </w:p>
        </w:tc>
        <w:tc>
          <w:tcPr>
            <w:tcW w:type="dxa" w:w="31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20"/>
            </w:pPr>
            <w:r>
              <w:rPr>
                <w:rFonts w:ascii="Aptos" w:cs="Aptos" w:hAnsi="Aptos" w:eastAsia="Aptos"/>
                <w:sz w:val="16"/>
                <w:szCs w:val="16"/>
                <w:rtl w:val="0"/>
                <w:lang w:val="en-US"/>
              </w:rPr>
              <w:t>O</w:t>
            </w:r>
          </w:p>
        </w:tc>
        <w:tc>
          <w:tcPr>
            <w:tcW w:type="dxa" w:w="31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20"/>
            </w:pPr>
            <w:r>
              <w:rPr>
                <w:rFonts w:ascii="Aptos" w:cs="Aptos" w:hAnsi="Aptos" w:eastAsia="Aptos"/>
                <w:sz w:val="16"/>
                <w:szCs w:val="16"/>
                <w:rtl w:val="0"/>
                <w:lang w:val="en-US"/>
              </w:rPr>
              <w:t>Maxwell control is conditional; no derivation from R</w:t>
            </w:r>
          </w:p>
        </w:tc>
      </w:tr>
    </w:tbl>
    <w:p>
      <w:pPr>
        <w:pStyle w:val="Заголовок 2"/>
        <w:widowControl w:val="0"/>
        <w:spacing w:after="100" w:line="240" w:lineRule="atLeast"/>
        <w:jc w:val="center"/>
      </w:pPr>
    </w:p>
    <w:p>
      <w:pPr>
        <w:pStyle w:val="Normal.0"/>
        <w:spacing w:after="100" w:line="240" w:lineRule="atLeast"/>
      </w:pPr>
    </w:p>
    <w:p>
      <w:pPr>
        <w:pStyle w:val="Normal.0"/>
        <w:spacing w:after="60" w:line="240" w:lineRule="atLeast"/>
      </w:pPr>
      <w:r>
        <w:rPr>
          <w:rtl w:val="0"/>
          <w:lang w:val="en-US"/>
        </w:rPr>
        <w:t>Version 3.0 therefore makes a controlled but nontrivial change in the research programme: it promotes locality from a qualitative reconstruction label to a quantitative support-and-norm budget; supplies a spectral diagnostic capable of rejecting geometrically inappropriate graph phases; supplies a robust perturbation bound for common-cone data; and isolates a necessary asymmetry for time orientation. None of these statements should be interpreted as discovery of a universal causal geometry in arbitrary finite relational systems. The immediate scientific objective is a model-selected phase with independently measurable geometry and a sequence of uniform estimates, rather than adding further philosophical identifications.</w:t>
      </w:r>
    </w:p>
    <w:p>
      <w:pPr>
        <w:pStyle w:val="Заголовок 2"/>
        <w:spacing w:after="60" w:line="240" w:lineRule="atLeast"/>
      </w:pPr>
      <w:r>
        <w:rPr>
          <w:rtl w:val="0"/>
          <w:lang w:val="en-US"/>
        </w:rPr>
        <w:t>Part V references and verification sources</w:t>
      </w:r>
    </w:p>
    <w:p>
      <w:pPr>
        <w:pStyle w:val="Normal.0"/>
        <w:spacing w:after="60" w:line="240" w:lineRule="atLeast"/>
      </w:pPr>
      <w:r>
        <w:rPr>
          <w:sz w:val="16"/>
          <w:szCs w:val="16"/>
          <w:rtl w:val="0"/>
          <w:lang w:val="en-US"/>
        </w:rPr>
        <w:t>[OA0] OpenAI, Math repository, README, CONTENTS.md and history.md (consulted 12 October 2026). https://github.com/openai/math ; https://github.com/openai/math/blob/main/history.md</w:t>
      </w:r>
    </w:p>
    <w:p>
      <w:pPr>
        <w:pStyle w:val="Normal.0"/>
        <w:spacing w:after="100" w:line="240" w:lineRule="atLeast"/>
      </w:pPr>
      <w:r>
        <w:rPr>
          <w:sz w:val="16"/>
          <w:szCs w:val="16"/>
          <w:rtl w:val="0"/>
          <w:lang w:val="en-US"/>
        </w:rPr>
        <w:t>[OA1] OpenAI, family 089, L</w:t>
      </w:r>
      <w:r>
        <w:rPr>
          <w:sz w:val="16"/>
          <w:szCs w:val="16"/>
          <w:rtl w:val="0"/>
          <w:lang w:val="en-US"/>
        </w:rPr>
        <w:t xml:space="preserve">¹ </w:t>
      </w:r>
      <w:r>
        <w:rPr>
          <w:sz w:val="16"/>
          <w:szCs w:val="16"/>
          <w:rtl w:val="0"/>
          <w:lang w:val="en-US"/>
        </w:rPr>
        <w:t>embeddings of planar and bounded-treewidth graph metrics. https://github.com/openai/math/blob/main/lean/docs/089.md</w:t>
      </w:r>
    </w:p>
    <w:p>
      <w:pPr>
        <w:pStyle w:val="Normal.0"/>
        <w:spacing w:after="100" w:line="240" w:lineRule="atLeast"/>
      </w:pPr>
      <w:r>
        <w:rPr>
          <w:sz w:val="16"/>
          <w:szCs w:val="16"/>
          <w:rtl w:val="0"/>
          <w:lang w:val="en-US"/>
        </w:rPr>
        <w:t>[OA2] OpenAI, family 131, polynomial mixing of graph-switch chains. https://github.com/openai/math/blob/main/lean/docs/131.md</w:t>
      </w:r>
    </w:p>
    <w:p>
      <w:pPr>
        <w:pStyle w:val="Normal.0"/>
        <w:spacing w:after="100" w:line="240" w:lineRule="atLeast"/>
      </w:pPr>
      <w:r>
        <w:rPr>
          <w:sz w:val="16"/>
          <w:szCs w:val="16"/>
          <w:rtl w:val="0"/>
          <w:lang w:val="en-US"/>
        </w:rPr>
        <w:t>[OA3] OpenAI, family 186, graph-property sharp thresholds. https://github.com/openai/math/blob/main/lean/docs/186.md</w:t>
      </w:r>
    </w:p>
    <w:p>
      <w:pPr>
        <w:pStyle w:val="Normal.0"/>
        <w:spacing w:after="100" w:line="240" w:lineRule="atLeast"/>
      </w:pPr>
      <w:r>
        <w:rPr>
          <w:sz w:val="16"/>
          <w:szCs w:val="16"/>
          <w:rtl w:val="0"/>
          <w:lang w:val="en-US"/>
        </w:rPr>
        <w:t>[OA4] OpenAI, family 178, deterministic nonbipartite Ramanujan graphs of fixed degree. https://github.com/openai/math/blob/main/CONTENTS.md</w:t>
      </w:r>
    </w:p>
    <w:p>
      <w:pPr>
        <w:pStyle w:val="Normal.0"/>
        <w:spacing w:after="100" w:line="240" w:lineRule="atLeast"/>
      </w:pPr>
      <w:r>
        <w:rPr>
          <w:sz w:val="16"/>
          <w:szCs w:val="16"/>
          <w:rtl w:val="0"/>
          <w:lang w:val="en-US"/>
        </w:rPr>
        <w:t>[OA5] OpenAI, family 211, geometric limits and spectral/diffusion results for random planar maps; the cited Lean scope is explicitly narrower than the whole family. https://github.com/openai/math/blob/main/lean/docs/211.md</w:t>
      </w:r>
    </w:p>
    <w:p>
      <w:pPr>
        <w:pStyle w:val="Normal.0"/>
        <w:spacing w:after="100" w:line="240" w:lineRule="atLeast"/>
      </w:pPr>
      <w:r>
        <w:rPr>
          <w:sz w:val="16"/>
          <w:szCs w:val="16"/>
          <w:rtl w:val="0"/>
          <w:lang w:val="en-US"/>
        </w:rPr>
        <w:t>[OA6] OpenAI, family 079, local smoothing for the three-dimensional Euclidean wave equation. https://github.com/openai/math/blob/main/CONTENTS.md</w:t>
      </w:r>
    </w:p>
    <w:p>
      <w:pPr>
        <w:pStyle w:val="Normal.0"/>
        <w:spacing w:after="100" w:line="240" w:lineRule="atLeast"/>
      </w:pPr>
      <w:r>
        <w:rPr>
          <w:sz w:val="16"/>
          <w:szCs w:val="16"/>
          <w:rtl w:val="0"/>
          <w:lang w:val="en-US"/>
        </w:rPr>
        <w:t>[OA7] OpenAI, family 218, perturbative conformal universality for Ising models. https://github.com/openai/math/blob/main/CONTENTS.md</w:t>
      </w:r>
    </w:p>
    <w:p>
      <w:pPr>
        <w:pStyle w:val="Заголовок 2"/>
        <w:spacing w:line="240" w:lineRule="atLeast"/>
      </w:pPr>
      <w:r>
        <w:rPr>
          <w:rtl w:val="0"/>
          <w:lang w:val="en-US"/>
        </w:rPr>
        <w:t>Appendix A. Proof of the Spectral Bound</w:t>
      </w:r>
    </w:p>
    <w:p>
      <w:pPr>
        <w:pStyle w:val="Normal.0"/>
        <w:spacing w:after="80" w:line="240" w:lineRule="atLeast"/>
        <w:ind w:firstLine="0"/>
      </w:pPr>
      <w:r>
        <w:rPr>
          <w:sz w:val="22"/>
          <w:szCs w:val="22"/>
          <w:rtl w:val="0"/>
          <w:lang w:val="en-US"/>
        </w:rPr>
        <w:t>By the min</w:t>
      </w:r>
      <w:r>
        <w:rPr>
          <w:sz w:val="22"/>
          <w:szCs w:val="22"/>
          <w:rtl w:val="0"/>
          <w:lang w:val="en-US"/>
        </w:rPr>
        <w:t>–</w:t>
      </w:r>
      <w:r>
        <w:rPr>
          <w:sz w:val="22"/>
          <w:szCs w:val="22"/>
          <w:rtl w:val="0"/>
          <w:lang w:val="en-US"/>
        </w:rPr>
        <w:t>max principle, the first r eigenvalues of L = L</w:t>
      </w:r>
      <w:r>
        <w:rPr>
          <w:rFonts w:ascii="Arial Unicode MS" w:cs="Arial Unicode MS" w:hAnsi="Arial Unicode MS" w:eastAsia="Arial Unicode MS" w:hint="default"/>
          <w:b w:val="0"/>
          <w:bCs w:val="0"/>
          <w:i w:val="0"/>
          <w:iCs w:val="0"/>
          <w:sz w:val="22"/>
          <w:szCs w:val="22"/>
          <w:rtl w:val="0"/>
          <w:lang w:val="en-US"/>
        </w:rPr>
        <w:t>₀</w:t>
      </w:r>
      <w:r>
        <w:rPr>
          <w:sz w:val="22"/>
          <w:szCs w:val="22"/>
          <w:rtl w:val="0"/>
          <w:lang w:val="en-US"/>
        </w:rPr>
        <w:t xml:space="preserve"> </w:t>
      </w:r>
      <w:r>
        <w:rPr>
          <w:sz w:val="22"/>
          <w:szCs w:val="22"/>
          <w:rtl w:val="0"/>
          <w:lang w:val="en-US"/>
        </w:rPr>
        <w:t xml:space="preserve">+ E are at most </w:t>
      </w:r>
      <w:r>
        <w:rPr>
          <w:sz w:val="22"/>
          <w:szCs w:val="22"/>
          <w:rtl w:val="0"/>
          <w:lang w:val="en-US"/>
        </w:rPr>
        <w:t>ε</w:t>
      </w:r>
      <w:r>
        <w:rPr>
          <w:sz w:val="22"/>
          <w:szCs w:val="22"/>
          <w:rtl w:val="0"/>
          <w:lang w:val="en-US"/>
        </w:rPr>
        <w:t>: it suffices to restrict the quadratic form of L to the r-dimensional ker L</w:t>
      </w:r>
      <w:r>
        <w:rPr>
          <w:rFonts w:ascii="Arial Unicode MS" w:cs="Arial Unicode MS" w:hAnsi="Arial Unicode MS" w:eastAsia="Arial Unicode MS" w:hint="default"/>
          <w:b w:val="0"/>
          <w:bCs w:val="0"/>
          <w:i w:val="0"/>
          <w:iCs w:val="0"/>
          <w:sz w:val="22"/>
          <w:szCs w:val="22"/>
          <w:rtl w:val="0"/>
          <w:lang w:val="en-US"/>
        </w:rPr>
        <w:t>₀</w:t>
      </w:r>
      <w:r>
        <w:rPr>
          <w:sz w:val="22"/>
          <w:szCs w:val="22"/>
          <w:rtl w:val="0"/>
          <w:lang w:val="en-US"/>
        </w:rPr>
        <w:t xml:space="preserve">. Since E </w:t>
      </w:r>
      <w:r>
        <w:rPr>
          <w:sz w:val="22"/>
          <w:szCs w:val="22"/>
          <w:rtl w:val="0"/>
          <w:lang w:val="en-US"/>
        </w:rPr>
        <w:t xml:space="preserve">≥ </w:t>
      </w:r>
      <w:r>
        <w:rPr>
          <w:sz w:val="22"/>
          <w:szCs w:val="22"/>
          <w:rtl w:val="0"/>
          <w:lang w:val="en-US"/>
        </w:rPr>
        <w:t>0, the remaining eigenvalues are no smaller than the corresponding eigenvalues of L</w:t>
      </w:r>
      <w:r>
        <w:rPr>
          <w:rFonts w:ascii="Arial Unicode MS" w:cs="Arial Unicode MS" w:hAnsi="Arial Unicode MS" w:eastAsia="Arial Unicode MS" w:hint="default"/>
          <w:b w:val="0"/>
          <w:bCs w:val="0"/>
          <w:i w:val="0"/>
          <w:iCs w:val="0"/>
          <w:sz w:val="22"/>
          <w:szCs w:val="22"/>
          <w:rtl w:val="0"/>
          <w:lang w:val="en-US"/>
        </w:rPr>
        <w:t>₀</w:t>
      </w:r>
      <w:r>
        <w:rPr>
          <w:sz w:val="22"/>
          <w:szCs w:val="22"/>
          <w:rtl w:val="0"/>
          <w:lang w:val="en-US"/>
        </w:rPr>
        <w:t xml:space="preserve"> </w:t>
      </w:r>
      <w:r>
        <w:rPr>
          <w:sz w:val="22"/>
          <w:szCs w:val="22"/>
          <w:rtl w:val="0"/>
          <w:lang w:val="en-US"/>
        </w:rPr>
        <w:t xml:space="preserve">and are therefore at least </w:t>
      </w:r>
      <w:r>
        <w:rPr>
          <w:sz w:val="22"/>
          <w:szCs w:val="22"/>
          <w:rtl w:val="0"/>
          <w:lang w:val="en-US"/>
        </w:rPr>
        <w:t>γ</w:t>
      </w:r>
      <w:r>
        <w:rPr>
          <w:sz w:val="22"/>
          <w:szCs w:val="22"/>
          <w:rtl w:val="0"/>
          <w:lang w:val="en-US"/>
        </w:rPr>
        <w:t xml:space="preserve">. For </w:t>
      </w:r>
      <w:r>
        <w:rPr>
          <w:sz w:val="22"/>
          <w:szCs w:val="22"/>
          <w:rtl w:val="0"/>
          <w:lang w:val="en-US"/>
        </w:rPr>
        <w:t xml:space="preserve">ε </w:t>
      </w:r>
      <w:r>
        <w:rPr>
          <w:sz w:val="22"/>
          <w:szCs w:val="22"/>
          <w:rtl w:val="0"/>
          <w:lang w:val="en-US"/>
        </w:rPr>
        <w:t xml:space="preserve">&lt; </w:t>
      </w:r>
      <w:r>
        <w:rPr>
          <w:sz w:val="22"/>
          <w:szCs w:val="22"/>
          <w:rtl w:val="0"/>
          <w:lang w:val="en-US"/>
        </w:rPr>
        <w:t>γ</w:t>
      </w:r>
      <w:r>
        <w:rPr>
          <w:sz w:val="22"/>
          <w:szCs w:val="22"/>
          <w:rtl w:val="0"/>
          <w:lang w:val="en-US"/>
        </w:rPr>
        <w:t>/2 the spectral split is unambiguous.</w:t>
      </w:r>
    </w:p>
    <w:p>
      <w:pPr>
        <w:pStyle w:val="Normal.0"/>
        <w:spacing w:after="80" w:line="240" w:lineRule="atLeast"/>
      </w:pPr>
      <w:r>
        <w:rPr>
          <w:sz w:val="22"/>
          <w:szCs w:val="22"/>
          <w:rtl w:val="0"/>
          <w:lang w:val="en-US"/>
        </w:rPr>
        <w:t>Let F contain orthonormal eigenvectors spanning the low subspace of L, so that LF = F</w:t>
      </w:r>
      <w:r>
        <w:rPr>
          <w:sz w:val="22"/>
          <w:szCs w:val="22"/>
          <w:rtl w:val="0"/>
          <w:lang w:val="en-US"/>
        </w:rPr>
        <w:t xml:space="preserve">Λ </w:t>
      </w:r>
      <w:r>
        <w:rPr>
          <w:sz w:val="22"/>
          <w:szCs w:val="22"/>
          <w:rtl w:val="0"/>
          <w:lang w:val="en-US"/>
        </w:rPr>
        <w:t xml:space="preserve">and 0 </w:t>
      </w:r>
      <w:r>
        <w:rPr>
          <w:sz w:val="22"/>
          <w:szCs w:val="22"/>
          <w:rtl w:val="0"/>
          <w:lang w:val="en-US"/>
        </w:rPr>
        <w:t>≤ Λ ≤ ε</w:t>
      </w:r>
      <w:r>
        <w:rPr>
          <w:sz w:val="22"/>
          <w:szCs w:val="22"/>
          <w:rtl w:val="0"/>
          <w:lang w:val="en-US"/>
        </w:rPr>
        <w:t>I. On the orthogonal complement of ker L</w:t>
      </w:r>
      <w:r>
        <w:rPr>
          <w:rFonts w:ascii="Arial Unicode MS" w:cs="Arial Unicode MS" w:hAnsi="Arial Unicode MS" w:eastAsia="Arial Unicode MS" w:hint="default"/>
          <w:b w:val="0"/>
          <w:bCs w:val="0"/>
          <w:i w:val="0"/>
          <w:iCs w:val="0"/>
          <w:sz w:val="22"/>
          <w:szCs w:val="22"/>
          <w:rtl w:val="0"/>
          <w:lang w:val="en-US"/>
        </w:rPr>
        <w:t>₀</w:t>
      </w:r>
      <w:r>
        <w:rPr>
          <w:sz w:val="22"/>
          <w:szCs w:val="22"/>
          <w:rtl w:val="0"/>
          <w:lang w:val="en-US"/>
        </w:rPr>
        <w:t xml:space="preserve"> </w:t>
      </w:r>
      <w:r>
        <w:rPr>
          <w:sz w:val="22"/>
          <w:szCs w:val="22"/>
          <w:rtl w:val="0"/>
          <w:lang w:val="en-US"/>
        </w:rPr>
        <w:t>define B</w:t>
      </w:r>
      <w:r>
        <w:rPr>
          <w:rFonts w:ascii="Arial Unicode MS" w:cs="Arial Unicode MS" w:hAnsi="Arial Unicode MS" w:eastAsia="Arial Unicode MS" w:hint="default"/>
          <w:b w:val="0"/>
          <w:bCs w:val="0"/>
          <w:i w:val="0"/>
          <w:iCs w:val="0"/>
          <w:sz w:val="22"/>
          <w:szCs w:val="22"/>
          <w:rtl w:val="0"/>
          <w:lang w:val="en-US"/>
        </w:rPr>
        <w:t>₀</w:t>
      </w:r>
      <w:r>
        <w:rPr>
          <w:sz w:val="22"/>
          <w:szCs w:val="22"/>
          <w:rtl w:val="0"/>
          <w:lang w:val="en-US"/>
        </w:rPr>
        <w:t xml:space="preserve"> </w:t>
      </w:r>
      <w:r>
        <w:rPr>
          <w:sz w:val="22"/>
          <w:szCs w:val="22"/>
          <w:rtl w:val="0"/>
          <w:lang w:val="en-US"/>
        </w:rPr>
        <w:t xml:space="preserve">= (I </w:t>
      </w:r>
      <w:r>
        <w:rPr>
          <w:sz w:val="22"/>
          <w:szCs w:val="22"/>
          <w:rtl w:val="0"/>
          <w:lang w:val="en-US"/>
        </w:rPr>
        <w:t xml:space="preserve">− </w:t>
      </w:r>
      <w:r>
        <w:rPr>
          <w:sz w:val="22"/>
          <w:szCs w:val="22"/>
          <w:rtl w:val="0"/>
          <w:lang w:val="en-US"/>
        </w:rPr>
        <w:t>P</w:t>
      </w:r>
      <w:r>
        <w:rPr>
          <w:rFonts w:ascii="Arial Unicode MS" w:cs="Arial Unicode MS" w:hAnsi="Arial Unicode MS" w:eastAsia="Arial Unicode MS" w:hint="default"/>
          <w:b w:val="0"/>
          <w:bCs w:val="0"/>
          <w:i w:val="0"/>
          <w:iCs w:val="0"/>
          <w:sz w:val="22"/>
          <w:szCs w:val="22"/>
          <w:rtl w:val="0"/>
          <w:lang w:val="en-US"/>
        </w:rPr>
        <w:t>₀</w:t>
      </w:r>
      <w:r>
        <w:rPr>
          <w:sz w:val="22"/>
          <w:szCs w:val="22"/>
          <w:rtl w:val="0"/>
          <w:lang w:val="en-US"/>
        </w:rPr>
        <w:t>)L</w:t>
      </w:r>
      <w:r>
        <w:rPr>
          <w:rFonts w:ascii="Arial Unicode MS" w:cs="Arial Unicode MS" w:hAnsi="Arial Unicode MS" w:eastAsia="Arial Unicode MS" w:hint="default"/>
          <w:b w:val="0"/>
          <w:bCs w:val="0"/>
          <w:i w:val="0"/>
          <w:iCs w:val="0"/>
          <w:sz w:val="22"/>
          <w:szCs w:val="22"/>
          <w:rtl w:val="0"/>
          <w:lang w:val="en-US"/>
        </w:rPr>
        <w:t>₀</w:t>
      </w:r>
      <w:r>
        <w:rPr>
          <w:sz w:val="22"/>
          <w:szCs w:val="22"/>
          <w:rtl w:val="0"/>
          <w:lang w:val="en-US"/>
        </w:rPr>
        <w:t xml:space="preserve">(I </w:t>
      </w:r>
      <w:r>
        <w:rPr>
          <w:sz w:val="22"/>
          <w:szCs w:val="22"/>
          <w:rtl w:val="0"/>
          <w:lang w:val="en-US"/>
        </w:rPr>
        <w:t xml:space="preserve">− </w:t>
      </w:r>
      <w:r>
        <w:rPr>
          <w:sz w:val="22"/>
          <w:szCs w:val="22"/>
          <w:rtl w:val="0"/>
          <w:lang w:val="en-US"/>
        </w:rPr>
        <w:t>P</w:t>
      </w:r>
      <w:r>
        <w:rPr>
          <w:rFonts w:ascii="Arial Unicode MS" w:cs="Arial Unicode MS" w:hAnsi="Arial Unicode MS" w:eastAsia="Arial Unicode MS" w:hint="default"/>
          <w:b w:val="0"/>
          <w:bCs w:val="0"/>
          <w:i w:val="0"/>
          <w:iCs w:val="0"/>
          <w:sz w:val="22"/>
          <w:szCs w:val="22"/>
          <w:rtl w:val="0"/>
          <w:lang w:val="en-US"/>
        </w:rPr>
        <w:t>₀</w:t>
      </w:r>
      <w:r>
        <w:rPr>
          <w:sz w:val="22"/>
          <w:szCs w:val="22"/>
          <w:rtl w:val="0"/>
          <w:lang w:val="en-US"/>
        </w:rPr>
        <w:t>), restricted to that complement. Then B</w:t>
      </w:r>
      <w:r>
        <w:rPr>
          <w:rFonts w:ascii="Arial Unicode MS" w:cs="Arial Unicode MS" w:hAnsi="Arial Unicode MS" w:eastAsia="Arial Unicode MS" w:hint="default"/>
          <w:b w:val="0"/>
          <w:bCs w:val="0"/>
          <w:i w:val="0"/>
          <w:iCs w:val="0"/>
          <w:sz w:val="22"/>
          <w:szCs w:val="22"/>
          <w:rtl w:val="0"/>
          <w:lang w:val="en-US"/>
        </w:rPr>
        <w:t>₀</w:t>
      </w:r>
      <w:r>
        <w:rPr>
          <w:sz w:val="22"/>
          <w:szCs w:val="22"/>
          <w:rtl w:val="0"/>
          <w:lang w:val="en-US"/>
        </w:rPr>
        <w:t xml:space="preserve"> ≥ γ</w:t>
      </w:r>
      <w:r>
        <w:rPr>
          <w:sz w:val="22"/>
          <w:szCs w:val="22"/>
          <w:rtl w:val="0"/>
          <w:lang w:val="en-US"/>
        </w:rPr>
        <w:t xml:space="preserve">I. The matrix K = (I </w:t>
      </w:r>
      <w:r>
        <w:rPr>
          <w:sz w:val="22"/>
          <w:szCs w:val="22"/>
          <w:rtl w:val="0"/>
          <w:lang w:val="en-US"/>
        </w:rPr>
        <w:t xml:space="preserve">− </w:t>
      </w:r>
      <w:r>
        <w:rPr>
          <w:sz w:val="22"/>
          <w:szCs w:val="22"/>
          <w:rtl w:val="0"/>
          <w:lang w:val="en-US"/>
        </w:rPr>
        <w:t>P</w:t>
      </w:r>
      <w:r>
        <w:rPr>
          <w:rFonts w:ascii="Arial Unicode MS" w:cs="Arial Unicode MS" w:hAnsi="Arial Unicode MS" w:eastAsia="Arial Unicode MS" w:hint="default"/>
          <w:b w:val="0"/>
          <w:bCs w:val="0"/>
          <w:i w:val="0"/>
          <w:iCs w:val="0"/>
          <w:sz w:val="22"/>
          <w:szCs w:val="22"/>
          <w:rtl w:val="0"/>
          <w:lang w:val="en-US"/>
        </w:rPr>
        <w:t>₀</w:t>
      </w:r>
      <w:r>
        <w:rPr>
          <w:sz w:val="22"/>
          <w:szCs w:val="22"/>
          <w:rtl w:val="0"/>
          <w:lang w:val="en-US"/>
        </w:rPr>
        <w:t>)F satisfies the Sylvester equation</w:t>
      </w:r>
    </w:p>
    <w:tbl>
      <w:tblPr>
        <w:tblW w:w="9411"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8846"/>
        <w:gridCol w:w="565"/>
      </w:tblGrid>
      <w:tr>
        <w:tblPrEx>
          <w:shd w:val="clear" w:color="auto" w:fill="ced7e7"/>
        </w:tblPrEx>
        <w:trPr>
          <w:trHeight w:val="241" w:hRule="atLeast"/>
        </w:trPr>
        <w:tc>
          <w:tcPr>
            <w:tcW w:type="dxa" w:w="8846"/>
            <w:tcBorders>
              <w:top w:val="nil"/>
              <w:left w:val="nil"/>
              <w:bottom w:val="nil"/>
              <w:right w:val="nil"/>
            </w:tcBorders>
            <w:shd w:val="clear" w:color="auto" w:fill="auto"/>
            <w:tcMar>
              <w:top w:type="dxa" w:w="80"/>
              <w:left w:type="dxa" w:w="80"/>
              <w:bottom w:type="dxa" w:w="80"/>
              <w:right w:type="dxa" w:w="80"/>
            </w:tcMar>
            <w:vAlign w:val="top"/>
          </w:tcPr>
          <w:p>
            <w:pPr>
              <w:pStyle w:val="Equation"/>
              <w:keepLines w:val="1"/>
              <w:spacing w:after="40"/>
              <w:ind w:firstLine="0"/>
            </w:pPr>
            <w:r>
              <w:rPr>
                <w:rFonts w:ascii="Times New Roman" w:hAnsi="Times New Roman"/>
                <w:sz w:val="18"/>
                <w:szCs w:val="18"/>
                <w:rtl w:val="0"/>
                <w:lang w:val="en-US"/>
              </w:rPr>
              <w:t>B</w:t>
            </w:r>
            <w:r>
              <w:rPr>
                <w:rFonts w:ascii="Arial Unicode MS" w:cs="Arial Unicode MS" w:hAnsi="Arial Unicode MS" w:eastAsia="Arial Unicode MS" w:hint="default"/>
                <w:b w:val="0"/>
                <w:bCs w:val="0"/>
                <w:i w:val="0"/>
                <w:iCs w:val="0"/>
                <w:sz w:val="18"/>
                <w:szCs w:val="18"/>
                <w:rtl w:val="0"/>
                <w:lang w:val="en-US"/>
              </w:rPr>
              <w:t>₀</w:t>
            </w:r>
            <w:r>
              <w:rPr>
                <w:rFonts w:ascii="Times New Roman" w:hAnsi="Times New Roman"/>
                <w:sz w:val="18"/>
                <w:szCs w:val="18"/>
                <w:rtl w:val="0"/>
                <w:lang w:val="en-US"/>
              </w:rPr>
              <w:t xml:space="preserve">K </w:t>
            </w:r>
            <w:r>
              <w:rPr>
                <w:rFonts w:ascii="Times New Roman" w:hAnsi="Times New Roman" w:hint="default"/>
                <w:sz w:val="18"/>
                <w:szCs w:val="18"/>
                <w:rtl w:val="0"/>
                <w:lang w:val="en-US"/>
              </w:rPr>
              <w:t xml:space="preserve">− </w:t>
            </w:r>
            <w:r>
              <w:rPr>
                <w:rFonts w:ascii="Times New Roman" w:hAnsi="Times New Roman"/>
                <w:sz w:val="18"/>
                <w:szCs w:val="18"/>
                <w:rtl w:val="0"/>
                <w:lang w:val="en-US"/>
              </w:rPr>
              <w:t>K</w:t>
            </w:r>
            <w:r>
              <w:rPr>
                <w:rFonts w:ascii="Times New Roman" w:hAnsi="Times New Roman" w:hint="default"/>
                <w:sz w:val="18"/>
                <w:szCs w:val="18"/>
                <w:rtl w:val="0"/>
                <w:lang w:val="en-US"/>
              </w:rPr>
              <w:t xml:space="preserve">Λ </w:t>
            </w:r>
            <w:r>
              <w:rPr>
                <w:rFonts w:ascii="Times New Roman" w:hAnsi="Times New Roman"/>
                <w:sz w:val="18"/>
                <w:szCs w:val="18"/>
                <w:rtl w:val="0"/>
                <w:lang w:val="en-US"/>
              </w:rPr>
              <w:t xml:space="preserve">= </w:t>
            </w:r>
            <w:r>
              <w:rPr>
                <w:rFonts w:ascii="Times New Roman" w:hAnsi="Times New Roman" w:hint="default"/>
                <w:sz w:val="18"/>
                <w:szCs w:val="18"/>
                <w:rtl w:val="0"/>
                <w:lang w:val="en-US"/>
              </w:rPr>
              <w:t>−</w:t>
            </w:r>
            <w:r>
              <w:rPr>
                <w:rFonts w:ascii="Times New Roman" w:hAnsi="Times New Roman"/>
                <w:sz w:val="18"/>
                <w:szCs w:val="18"/>
                <w:rtl w:val="0"/>
                <w:lang w:val="en-US"/>
              </w:rPr>
              <w:t xml:space="preserve">(I </w:t>
            </w:r>
            <w:r>
              <w:rPr>
                <w:rFonts w:ascii="Times New Roman" w:hAnsi="Times New Roman" w:hint="default"/>
                <w:sz w:val="18"/>
                <w:szCs w:val="18"/>
                <w:rtl w:val="0"/>
                <w:lang w:val="en-US"/>
              </w:rPr>
              <w:t xml:space="preserve">− </w:t>
            </w:r>
            <w:r>
              <w:rPr>
                <w:rFonts w:ascii="Times New Roman" w:hAnsi="Times New Roman"/>
                <w:sz w:val="18"/>
                <w:szCs w:val="18"/>
                <w:rtl w:val="0"/>
                <w:lang w:val="en-US"/>
              </w:rPr>
              <w:t>P</w:t>
            </w:r>
            <w:r>
              <w:rPr>
                <w:rFonts w:ascii="Arial Unicode MS" w:cs="Arial Unicode MS" w:hAnsi="Arial Unicode MS" w:eastAsia="Arial Unicode MS" w:hint="default"/>
                <w:b w:val="0"/>
                <w:bCs w:val="0"/>
                <w:i w:val="0"/>
                <w:iCs w:val="0"/>
                <w:sz w:val="18"/>
                <w:szCs w:val="18"/>
                <w:rtl w:val="0"/>
                <w:lang w:val="en-US"/>
              </w:rPr>
              <w:t>₀</w:t>
            </w:r>
            <w:r>
              <w:rPr>
                <w:rFonts w:ascii="Times New Roman" w:hAnsi="Times New Roman"/>
                <w:sz w:val="18"/>
                <w:szCs w:val="18"/>
                <w:rtl w:val="0"/>
                <w:lang w:val="en-US"/>
              </w:rPr>
              <w:t>)EF.</w:t>
            </w:r>
          </w:p>
        </w:tc>
        <w:tc>
          <w:tcPr>
            <w:tcW w:type="dxa" w:w="565"/>
            <w:tcBorders>
              <w:top w:val="nil"/>
              <w:left w:val="nil"/>
              <w:bottom w:val="nil"/>
              <w:right w:val="nil"/>
            </w:tcBorders>
            <w:shd w:val="clear" w:color="auto" w:fill="auto"/>
            <w:tcMar>
              <w:top w:type="dxa" w:w="80"/>
              <w:left w:type="dxa" w:w="80"/>
              <w:bottom w:type="dxa" w:w="80"/>
              <w:right w:type="dxa" w:w="80"/>
            </w:tcMar>
            <w:vAlign w:val="top"/>
          </w:tcPr>
          <w:p>
            <w:pPr>
              <w:pStyle w:val="Normal.0"/>
              <w:keepLines w:val="1"/>
              <w:spacing w:after="40" w:line="240" w:lineRule="auto"/>
              <w:ind w:firstLine="0"/>
              <w:jc w:val="right"/>
            </w:pPr>
            <w:r>
              <w:rPr>
                <w:sz w:val="18"/>
                <w:szCs w:val="18"/>
                <w:rtl w:val="0"/>
                <w:lang w:val="en-US"/>
              </w:rPr>
              <w:t>(A1)</w:t>
            </w:r>
          </w:p>
        </w:tc>
      </w:tr>
    </w:tbl>
    <w:p>
      <w:pPr>
        <w:pStyle w:val="Normal.0"/>
        <w:widowControl w:val="0"/>
        <w:spacing w:after="80" w:line="240" w:lineRule="atLeast"/>
        <w:ind w:firstLine="0"/>
        <w:jc w:val="center"/>
      </w:pPr>
    </w:p>
    <w:p>
      <w:pPr>
        <w:pStyle w:val="Normal.0"/>
        <w:spacing w:after="80" w:line="240" w:lineRule="atLeast"/>
      </w:pPr>
      <w:r>
        <w:rPr>
          <w:sz w:val="22"/>
          <w:szCs w:val="22"/>
          <w:rtl w:val="0"/>
          <w:lang w:val="en-US"/>
        </w:rPr>
        <w:t>Spectral separation gives the integral representation</w:t>
      </w:r>
    </w:p>
    <w:tbl>
      <w:tblPr>
        <w:tblW w:w="9411"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8846"/>
        <w:gridCol w:w="565"/>
      </w:tblGrid>
      <w:tr>
        <w:tblPrEx>
          <w:shd w:val="clear" w:color="auto" w:fill="ced7e7"/>
        </w:tblPrEx>
        <w:trPr>
          <w:trHeight w:val="241" w:hRule="atLeast"/>
        </w:trPr>
        <w:tc>
          <w:tcPr>
            <w:tcW w:type="dxa" w:w="8846"/>
            <w:tcBorders>
              <w:top w:val="nil"/>
              <w:left w:val="nil"/>
              <w:bottom w:val="nil"/>
              <w:right w:val="nil"/>
            </w:tcBorders>
            <w:shd w:val="clear" w:color="auto" w:fill="auto"/>
            <w:tcMar>
              <w:top w:type="dxa" w:w="80"/>
              <w:left w:type="dxa" w:w="80"/>
              <w:bottom w:type="dxa" w:w="80"/>
              <w:right w:type="dxa" w:w="80"/>
            </w:tcMar>
            <w:vAlign w:val="top"/>
          </w:tcPr>
          <w:p>
            <w:pPr>
              <w:pStyle w:val="Equation"/>
              <w:keepLines w:val="1"/>
              <w:spacing w:after="40"/>
              <w:ind w:firstLine="0"/>
            </w:pPr>
            <w:r>
              <w:rPr>
                <w:rFonts w:ascii="Times New Roman" w:hAnsi="Times New Roman"/>
                <w:sz w:val="18"/>
                <w:szCs w:val="18"/>
                <w:rtl w:val="0"/>
                <w:lang w:val="en-US"/>
              </w:rPr>
              <w:t xml:space="preserve">K = </w:t>
            </w:r>
            <w:r>
              <w:rPr>
                <w:rFonts w:ascii="Times New Roman" w:hAnsi="Times New Roman" w:hint="default"/>
                <w:sz w:val="18"/>
                <w:szCs w:val="18"/>
                <w:rtl w:val="0"/>
                <w:lang w:val="en-US"/>
              </w:rPr>
              <w:t>−∫</w:t>
            </w:r>
            <w:r>
              <w:rPr>
                <w:rFonts w:ascii="Arial Unicode MS" w:cs="Arial Unicode MS" w:hAnsi="Arial Unicode MS" w:eastAsia="Arial Unicode MS" w:hint="default"/>
                <w:b w:val="0"/>
                <w:bCs w:val="0"/>
                <w:i w:val="0"/>
                <w:iCs w:val="0"/>
                <w:sz w:val="18"/>
                <w:szCs w:val="18"/>
                <w:rtl w:val="0"/>
                <w:lang w:val="en-US"/>
              </w:rPr>
              <w:t>₀</w:t>
            </w:r>
            <w:r>
              <w:rPr>
                <w:rFonts w:ascii="Times New Roman" w:hAnsi="Times New Roman" w:hint="default"/>
                <w:sz w:val="18"/>
                <w:szCs w:val="18"/>
                <w:rtl w:val="0"/>
                <w:lang w:val="en-US"/>
              </w:rPr>
              <w:t xml:space="preserve">∞ </w:t>
            </w:r>
            <w:r>
              <w:rPr>
                <w:rFonts w:ascii="Times New Roman" w:hAnsi="Times New Roman"/>
                <w:sz w:val="18"/>
                <w:szCs w:val="18"/>
                <w:rtl w:val="0"/>
                <w:lang w:val="en-US"/>
              </w:rPr>
              <w:t>exp(</w:t>
            </w:r>
            <w:r>
              <w:rPr>
                <w:rFonts w:ascii="Times New Roman" w:hAnsi="Times New Roman" w:hint="default"/>
                <w:sz w:val="18"/>
                <w:szCs w:val="18"/>
                <w:rtl w:val="0"/>
                <w:lang w:val="en-US"/>
              </w:rPr>
              <w:t>−</w:t>
            </w:r>
            <w:r>
              <w:rPr>
                <w:rFonts w:ascii="Times New Roman" w:hAnsi="Times New Roman"/>
                <w:sz w:val="18"/>
                <w:szCs w:val="18"/>
                <w:rtl w:val="0"/>
                <w:lang w:val="en-US"/>
              </w:rPr>
              <w:t>tB</w:t>
            </w:r>
            <w:r>
              <w:rPr>
                <w:rFonts w:ascii="Arial Unicode MS" w:cs="Arial Unicode MS" w:hAnsi="Arial Unicode MS" w:eastAsia="Arial Unicode MS" w:hint="default"/>
                <w:b w:val="0"/>
                <w:bCs w:val="0"/>
                <w:i w:val="0"/>
                <w:iCs w:val="0"/>
                <w:sz w:val="18"/>
                <w:szCs w:val="18"/>
                <w:rtl w:val="0"/>
                <w:lang w:val="en-US"/>
              </w:rPr>
              <w:t>₀</w:t>
            </w:r>
            <w:r>
              <w:rPr>
                <w:rFonts w:ascii="Times New Roman" w:hAnsi="Times New Roman"/>
                <w:sz w:val="18"/>
                <w:szCs w:val="18"/>
                <w:rtl w:val="0"/>
                <w:lang w:val="en-US"/>
              </w:rPr>
              <w:t xml:space="preserve">)(I </w:t>
            </w:r>
            <w:r>
              <w:rPr>
                <w:rFonts w:ascii="Times New Roman" w:hAnsi="Times New Roman" w:hint="default"/>
                <w:sz w:val="18"/>
                <w:szCs w:val="18"/>
                <w:rtl w:val="0"/>
                <w:lang w:val="en-US"/>
              </w:rPr>
              <w:t xml:space="preserve">− </w:t>
            </w:r>
            <w:r>
              <w:rPr>
                <w:rFonts w:ascii="Times New Roman" w:hAnsi="Times New Roman"/>
                <w:sz w:val="18"/>
                <w:szCs w:val="18"/>
                <w:rtl w:val="0"/>
                <w:lang w:val="en-US"/>
              </w:rPr>
              <w:t>P</w:t>
            </w:r>
            <w:r>
              <w:rPr>
                <w:rFonts w:ascii="Arial Unicode MS" w:cs="Arial Unicode MS" w:hAnsi="Arial Unicode MS" w:eastAsia="Arial Unicode MS" w:hint="default"/>
                <w:b w:val="0"/>
                <w:bCs w:val="0"/>
                <w:i w:val="0"/>
                <w:iCs w:val="0"/>
                <w:sz w:val="18"/>
                <w:szCs w:val="18"/>
                <w:rtl w:val="0"/>
                <w:lang w:val="en-US"/>
              </w:rPr>
              <w:t>₀</w:t>
            </w:r>
            <w:r>
              <w:rPr>
                <w:rFonts w:ascii="Times New Roman" w:hAnsi="Times New Roman"/>
                <w:sz w:val="18"/>
                <w:szCs w:val="18"/>
                <w:rtl w:val="0"/>
                <w:lang w:val="en-US"/>
              </w:rPr>
              <w:t>)EF exp(t</w:t>
            </w:r>
            <w:r>
              <w:rPr>
                <w:rFonts w:ascii="Times New Roman" w:hAnsi="Times New Roman" w:hint="default"/>
                <w:sz w:val="18"/>
                <w:szCs w:val="18"/>
                <w:rtl w:val="0"/>
                <w:lang w:val="en-US"/>
              </w:rPr>
              <w:t>Λ</w:t>
            </w:r>
            <w:r>
              <w:rPr>
                <w:rFonts w:ascii="Times New Roman" w:hAnsi="Times New Roman"/>
                <w:sz w:val="18"/>
                <w:szCs w:val="18"/>
                <w:rtl w:val="0"/>
                <w:lang w:val="en-US"/>
              </w:rPr>
              <w:t>)dt.</w:t>
            </w:r>
          </w:p>
        </w:tc>
        <w:tc>
          <w:tcPr>
            <w:tcW w:type="dxa" w:w="565"/>
            <w:tcBorders>
              <w:top w:val="nil"/>
              <w:left w:val="nil"/>
              <w:bottom w:val="nil"/>
              <w:right w:val="nil"/>
            </w:tcBorders>
            <w:shd w:val="clear" w:color="auto" w:fill="auto"/>
            <w:tcMar>
              <w:top w:type="dxa" w:w="80"/>
              <w:left w:type="dxa" w:w="80"/>
              <w:bottom w:type="dxa" w:w="80"/>
              <w:right w:type="dxa" w:w="80"/>
            </w:tcMar>
            <w:vAlign w:val="top"/>
          </w:tcPr>
          <w:p>
            <w:pPr>
              <w:pStyle w:val="Normal.0"/>
              <w:keepLines w:val="1"/>
              <w:spacing w:after="40" w:line="240" w:lineRule="auto"/>
              <w:ind w:firstLine="0"/>
              <w:jc w:val="right"/>
            </w:pPr>
            <w:r>
              <w:rPr>
                <w:sz w:val="18"/>
                <w:szCs w:val="18"/>
                <w:rtl w:val="0"/>
                <w:lang w:val="en-US"/>
              </w:rPr>
              <w:t>(A2)</w:t>
            </w:r>
          </w:p>
        </w:tc>
      </w:tr>
    </w:tbl>
    <w:p>
      <w:pPr>
        <w:pStyle w:val="Normal.0"/>
        <w:widowControl w:val="0"/>
        <w:spacing w:after="80" w:line="240" w:lineRule="atLeast"/>
        <w:ind w:firstLine="0"/>
        <w:jc w:val="center"/>
      </w:pPr>
    </w:p>
    <w:p>
      <w:pPr>
        <w:pStyle w:val="Normal.0"/>
        <w:spacing w:after="80" w:line="240" w:lineRule="atLeast"/>
      </w:pPr>
      <w:r>
        <w:rPr>
          <w:sz w:val="22"/>
          <w:szCs w:val="22"/>
          <w:rtl w:val="0"/>
          <w:lang w:val="en-US"/>
        </w:rPr>
        <w:t>It can be verified by direct differentiation of the integrand. Therefore</w:t>
      </w:r>
    </w:p>
    <w:tbl>
      <w:tblPr>
        <w:tblW w:w="9411"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8846"/>
        <w:gridCol w:w="565"/>
      </w:tblGrid>
      <w:tr>
        <w:tblPrEx>
          <w:shd w:val="clear" w:color="auto" w:fill="ced7e7"/>
        </w:tblPrEx>
        <w:trPr>
          <w:trHeight w:val="241" w:hRule="atLeast"/>
        </w:trPr>
        <w:tc>
          <w:tcPr>
            <w:tcW w:type="dxa" w:w="8846"/>
            <w:tcBorders>
              <w:top w:val="nil"/>
              <w:left w:val="nil"/>
              <w:bottom w:val="nil"/>
              <w:right w:val="nil"/>
            </w:tcBorders>
            <w:shd w:val="clear" w:color="auto" w:fill="auto"/>
            <w:tcMar>
              <w:top w:type="dxa" w:w="80"/>
              <w:left w:type="dxa" w:w="80"/>
              <w:bottom w:type="dxa" w:w="80"/>
              <w:right w:type="dxa" w:w="80"/>
            </w:tcMar>
            <w:vAlign w:val="top"/>
          </w:tcPr>
          <w:p>
            <w:pPr>
              <w:pStyle w:val="Equation"/>
              <w:keepLines w:val="1"/>
              <w:spacing w:after="40"/>
              <w:ind w:firstLine="0"/>
            </w:pPr>
            <w:r>
              <w:rPr>
                <w:rFonts w:ascii="Times New Roman" w:hAnsi="Times New Roman" w:hint="default"/>
                <w:sz w:val="18"/>
                <w:szCs w:val="18"/>
                <w:rtl w:val="0"/>
                <w:lang w:val="en-US"/>
              </w:rPr>
              <w:t>‖</w:t>
            </w:r>
            <w:r>
              <w:rPr>
                <w:rFonts w:ascii="Times New Roman" w:hAnsi="Times New Roman"/>
                <w:sz w:val="18"/>
                <w:szCs w:val="18"/>
                <w:rtl w:val="0"/>
                <w:lang w:val="en-US"/>
              </w:rPr>
              <w:t>K</w:t>
            </w:r>
            <w:r>
              <w:rPr>
                <w:rFonts w:ascii="Times New Roman" w:hAnsi="Times New Roman" w:hint="default"/>
                <w:sz w:val="18"/>
                <w:szCs w:val="18"/>
                <w:rtl w:val="0"/>
                <w:lang w:val="en-US"/>
              </w:rPr>
              <w:t>‖ ≤ ε∫</w:t>
            </w:r>
            <w:r>
              <w:rPr>
                <w:rFonts w:ascii="Arial Unicode MS" w:cs="Arial Unicode MS" w:hAnsi="Arial Unicode MS" w:eastAsia="Arial Unicode MS" w:hint="default"/>
                <w:b w:val="0"/>
                <w:bCs w:val="0"/>
                <w:i w:val="0"/>
                <w:iCs w:val="0"/>
                <w:sz w:val="18"/>
                <w:szCs w:val="18"/>
                <w:rtl w:val="0"/>
                <w:lang w:val="en-US"/>
              </w:rPr>
              <w:t>₀</w:t>
            </w:r>
            <w:r>
              <w:rPr>
                <w:rFonts w:ascii="Times New Roman" w:hAnsi="Times New Roman" w:hint="default"/>
                <w:sz w:val="18"/>
                <w:szCs w:val="18"/>
                <w:rtl w:val="0"/>
                <w:lang w:val="en-US"/>
              </w:rPr>
              <w:t xml:space="preserve">∞ </w:t>
            </w:r>
            <w:r>
              <w:rPr>
                <w:rFonts w:ascii="Times New Roman" w:hAnsi="Times New Roman"/>
                <w:sz w:val="18"/>
                <w:szCs w:val="18"/>
                <w:rtl w:val="0"/>
                <w:lang w:val="en-US"/>
              </w:rPr>
              <w:t>exp[</w:t>
            </w:r>
            <w:r>
              <w:rPr>
                <w:rFonts w:ascii="Times New Roman" w:hAnsi="Times New Roman" w:hint="default"/>
                <w:sz w:val="18"/>
                <w:szCs w:val="18"/>
                <w:rtl w:val="0"/>
                <w:lang w:val="en-US"/>
              </w:rPr>
              <w:t>−</w:t>
            </w:r>
            <w:r>
              <w:rPr>
                <w:rFonts w:ascii="Times New Roman" w:hAnsi="Times New Roman"/>
                <w:sz w:val="18"/>
                <w:szCs w:val="18"/>
                <w:rtl w:val="0"/>
                <w:lang w:val="en-US"/>
              </w:rPr>
              <w:t>(</w:t>
            </w:r>
            <w:r>
              <w:rPr>
                <w:rFonts w:ascii="Times New Roman" w:hAnsi="Times New Roman" w:hint="default"/>
                <w:sz w:val="18"/>
                <w:szCs w:val="18"/>
                <w:rtl w:val="0"/>
                <w:lang w:val="en-US"/>
              </w:rPr>
              <w:t>γ − ε</w:t>
            </w:r>
            <w:r>
              <w:rPr>
                <w:rFonts w:ascii="Times New Roman" w:hAnsi="Times New Roman"/>
                <w:sz w:val="18"/>
                <w:szCs w:val="18"/>
                <w:rtl w:val="0"/>
                <w:lang w:val="en-US"/>
              </w:rPr>
              <w:t xml:space="preserve">)t]dt = </w:t>
            </w:r>
            <w:r>
              <w:rPr>
                <w:rFonts w:ascii="Times New Roman" w:hAnsi="Times New Roman" w:hint="default"/>
                <w:sz w:val="18"/>
                <w:szCs w:val="18"/>
                <w:rtl w:val="0"/>
                <w:lang w:val="en-US"/>
              </w:rPr>
              <w:t>ε</w:t>
            </w:r>
            <w:r>
              <w:rPr>
                <w:rFonts w:ascii="Times New Roman" w:hAnsi="Times New Roman"/>
                <w:sz w:val="18"/>
                <w:szCs w:val="18"/>
                <w:rtl w:val="0"/>
                <w:lang w:val="en-US"/>
              </w:rPr>
              <w:t>/(</w:t>
            </w:r>
            <w:r>
              <w:rPr>
                <w:rFonts w:ascii="Times New Roman" w:hAnsi="Times New Roman" w:hint="default"/>
                <w:sz w:val="18"/>
                <w:szCs w:val="18"/>
                <w:rtl w:val="0"/>
                <w:lang w:val="en-US"/>
              </w:rPr>
              <w:t>γ − ε</w:t>
            </w:r>
            <w:r>
              <w:rPr>
                <w:rFonts w:ascii="Times New Roman" w:hAnsi="Times New Roman"/>
                <w:sz w:val="18"/>
                <w:szCs w:val="18"/>
                <w:rtl w:val="0"/>
                <w:lang w:val="en-US"/>
              </w:rPr>
              <w:t>).</w:t>
            </w:r>
          </w:p>
        </w:tc>
        <w:tc>
          <w:tcPr>
            <w:tcW w:type="dxa" w:w="565"/>
            <w:tcBorders>
              <w:top w:val="nil"/>
              <w:left w:val="nil"/>
              <w:bottom w:val="nil"/>
              <w:right w:val="nil"/>
            </w:tcBorders>
            <w:shd w:val="clear" w:color="auto" w:fill="auto"/>
            <w:tcMar>
              <w:top w:type="dxa" w:w="80"/>
              <w:left w:type="dxa" w:w="80"/>
              <w:bottom w:type="dxa" w:w="80"/>
              <w:right w:type="dxa" w:w="80"/>
            </w:tcMar>
            <w:vAlign w:val="top"/>
          </w:tcPr>
          <w:p>
            <w:pPr>
              <w:pStyle w:val="Normal.0"/>
              <w:keepLines w:val="1"/>
              <w:spacing w:after="40" w:line="240" w:lineRule="auto"/>
              <w:ind w:firstLine="0"/>
              <w:jc w:val="right"/>
            </w:pPr>
            <w:r>
              <w:rPr>
                <w:sz w:val="18"/>
                <w:szCs w:val="18"/>
                <w:rtl w:val="0"/>
                <w:lang w:val="en-US"/>
              </w:rPr>
              <w:t>(A3)</w:t>
            </w:r>
          </w:p>
        </w:tc>
      </w:tr>
    </w:tbl>
    <w:p>
      <w:pPr>
        <w:pStyle w:val="Normal.0"/>
        <w:widowControl w:val="0"/>
        <w:spacing w:after="80" w:line="240" w:lineRule="atLeast"/>
        <w:ind w:firstLine="0"/>
        <w:jc w:val="center"/>
      </w:pPr>
    </w:p>
    <w:p>
      <w:pPr>
        <w:pStyle w:val="Normal.0"/>
        <w:spacing w:after="80" w:line="240" w:lineRule="atLeast"/>
      </w:pPr>
      <w:r>
        <w:rPr>
          <w:sz w:val="22"/>
          <w:szCs w:val="22"/>
          <w:rtl w:val="0"/>
          <w:lang w:val="en-US"/>
        </w:rPr>
        <w:t xml:space="preserve">For orthogonal projectors of the same finite rank, </w:t>
      </w:r>
      <w:r>
        <w:rPr>
          <w:sz w:val="22"/>
          <w:szCs w:val="22"/>
          <w:rtl w:val="0"/>
          <w:lang w:val="en-US"/>
        </w:rPr>
        <w:t>‖</w:t>
      </w:r>
      <w:r>
        <w:rPr>
          <w:sz w:val="22"/>
          <w:szCs w:val="22"/>
          <w:rtl w:val="0"/>
          <w:lang w:val="en-US"/>
        </w:rPr>
        <w:t xml:space="preserve">P </w:t>
      </w:r>
      <w:r>
        <w:rPr>
          <w:sz w:val="22"/>
          <w:szCs w:val="22"/>
          <w:rtl w:val="0"/>
          <w:lang w:val="en-US"/>
        </w:rPr>
        <w:t xml:space="preserve">− </w:t>
      </w:r>
      <w:r>
        <w:rPr>
          <w:sz w:val="22"/>
          <w:szCs w:val="22"/>
          <w:rtl w:val="0"/>
          <w:lang w:val="en-US"/>
        </w:rPr>
        <w:t>P</w:t>
      </w:r>
      <w:r>
        <w:rPr>
          <w:rFonts w:ascii="Arial Unicode MS" w:cs="Arial Unicode MS" w:hAnsi="Arial Unicode MS" w:eastAsia="Arial Unicode MS" w:hint="default"/>
          <w:b w:val="0"/>
          <w:bCs w:val="0"/>
          <w:i w:val="0"/>
          <w:iCs w:val="0"/>
          <w:sz w:val="22"/>
          <w:szCs w:val="22"/>
          <w:rtl w:val="0"/>
          <w:lang w:val="en-US"/>
        </w:rPr>
        <w:t>₀</w:t>
      </w:r>
      <w:r>
        <w:rPr>
          <w:sz w:val="22"/>
          <w:szCs w:val="22"/>
          <w:rtl w:val="0"/>
          <w:lang w:val="en-US"/>
        </w:rPr>
        <w:t xml:space="preserve">‖ </w:t>
      </w:r>
      <w:r>
        <w:rPr>
          <w:sz w:val="22"/>
          <w:szCs w:val="22"/>
          <w:rtl w:val="0"/>
          <w:lang w:val="en-US"/>
        </w:rPr>
        <w:t xml:space="preserve">= </w:t>
      </w:r>
      <w:r>
        <w:rPr>
          <w:sz w:val="22"/>
          <w:szCs w:val="22"/>
          <w:rtl w:val="0"/>
          <w:lang w:val="en-US"/>
        </w:rPr>
        <w:t>‖</w:t>
      </w:r>
      <w:r>
        <w:rPr>
          <w:sz w:val="22"/>
          <w:szCs w:val="22"/>
          <w:rtl w:val="0"/>
          <w:lang w:val="en-US"/>
        </w:rPr>
        <w:t xml:space="preserve">(I </w:t>
      </w:r>
      <w:r>
        <w:rPr>
          <w:sz w:val="22"/>
          <w:szCs w:val="22"/>
          <w:rtl w:val="0"/>
          <w:lang w:val="en-US"/>
        </w:rPr>
        <w:t xml:space="preserve">− </w:t>
      </w:r>
      <w:r>
        <w:rPr>
          <w:sz w:val="22"/>
          <w:szCs w:val="22"/>
          <w:rtl w:val="0"/>
          <w:lang w:val="en-US"/>
        </w:rPr>
        <w:t>P</w:t>
      </w:r>
      <w:r>
        <w:rPr>
          <w:rFonts w:ascii="Arial Unicode MS" w:cs="Arial Unicode MS" w:hAnsi="Arial Unicode MS" w:eastAsia="Arial Unicode MS" w:hint="default"/>
          <w:b w:val="0"/>
          <w:bCs w:val="0"/>
          <w:i w:val="0"/>
          <w:iCs w:val="0"/>
          <w:sz w:val="22"/>
          <w:szCs w:val="22"/>
          <w:rtl w:val="0"/>
          <w:lang w:val="en-US"/>
        </w:rPr>
        <w:t>₀</w:t>
      </w:r>
      <w:r>
        <w:rPr>
          <w:sz w:val="22"/>
          <w:szCs w:val="22"/>
          <w:rtl w:val="0"/>
          <w:lang w:val="en-US"/>
        </w:rPr>
        <w:t>)F</w:t>
      </w:r>
      <w:r>
        <w:rPr>
          <w:sz w:val="22"/>
          <w:szCs w:val="22"/>
          <w:rtl w:val="0"/>
          <w:lang w:val="en-US"/>
        </w:rPr>
        <w:t>‖</w:t>
      </w:r>
      <w:r>
        <w:rPr>
          <w:sz w:val="22"/>
          <w:szCs w:val="22"/>
          <w:rtl w:val="0"/>
          <w:lang w:val="en-US"/>
        </w:rPr>
        <w:t xml:space="preserve">, which gives Eq. (12). The estimate uses the operator norm. It does not require a separate choice of eigenvector orientation and remains meaningful when the low levels are degenerate. </w:t>
      </w:r>
      <w:r>
        <w:rPr>
          <w:sz w:val="22"/>
          <w:szCs w:val="22"/>
          <w:rtl w:val="0"/>
          <w:lang w:val="en-US"/>
        </w:rPr>
        <w:t>□</w:t>
      </w:r>
    </w:p>
    <w:p>
      <w:pPr>
        <w:pStyle w:val="Заголовок 2"/>
        <w:spacing w:line="240" w:lineRule="atLeast"/>
      </w:pPr>
      <w:r>
        <w:rPr>
          <w:rtl w:val="0"/>
          <w:lang w:val="en-US"/>
        </w:rPr>
        <w:t>Appendix B. Second-Branch Coefficient and Infrared Elimination</w:t>
      </w:r>
    </w:p>
    <w:p>
      <w:pPr>
        <w:pStyle w:val="Normal.0"/>
        <w:spacing w:after="80" w:line="240" w:lineRule="atLeast"/>
        <w:ind w:firstLine="0"/>
      </w:pPr>
      <w:r>
        <w:rPr>
          <w:sz w:val="22"/>
          <w:szCs w:val="22"/>
          <w:rtl w:val="0"/>
          <w:lang w:val="en-US"/>
        </w:rPr>
        <w:t>In the two-component model, the normalized matrix T has orthonormal eigenvectors</w:t>
      </w:r>
    </w:p>
    <w:tbl>
      <w:tblPr>
        <w:tblW w:w="9411"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8846"/>
        <w:gridCol w:w="565"/>
      </w:tblGrid>
      <w:tr>
        <w:tblPrEx>
          <w:shd w:val="clear" w:color="auto" w:fill="ced7e7"/>
        </w:tblPrEx>
        <w:trPr>
          <w:trHeight w:val="241" w:hRule="atLeast"/>
        </w:trPr>
        <w:tc>
          <w:tcPr>
            <w:tcW w:type="dxa" w:w="8846"/>
            <w:tcBorders>
              <w:top w:val="nil"/>
              <w:left w:val="nil"/>
              <w:bottom w:val="nil"/>
              <w:right w:val="nil"/>
            </w:tcBorders>
            <w:shd w:val="clear" w:color="auto" w:fill="auto"/>
            <w:tcMar>
              <w:top w:type="dxa" w:w="80"/>
              <w:left w:type="dxa" w:w="80"/>
              <w:bottom w:type="dxa" w:w="80"/>
              <w:right w:type="dxa" w:w="80"/>
            </w:tcMar>
            <w:vAlign w:val="top"/>
          </w:tcPr>
          <w:p>
            <w:pPr>
              <w:pStyle w:val="Equation"/>
              <w:keepLines w:val="1"/>
              <w:spacing w:after="40"/>
              <w:ind w:firstLine="0"/>
            </w:pPr>
            <w:r>
              <w:rPr>
                <w:rFonts w:ascii="Times New Roman" w:hAnsi="Times New Roman"/>
                <w:sz w:val="18"/>
                <w:szCs w:val="18"/>
                <w:rtl w:val="0"/>
                <w:lang w:val="en-US"/>
              </w:rPr>
              <w:t>z</w:t>
            </w:r>
            <w:r>
              <w:rPr>
                <w:rFonts w:ascii="Arial Unicode MS" w:cs="Arial Unicode MS" w:hAnsi="Arial Unicode MS" w:eastAsia="Arial Unicode MS" w:hint="default"/>
                <w:b w:val="0"/>
                <w:bCs w:val="0"/>
                <w:i w:val="0"/>
                <w:iCs w:val="0"/>
                <w:sz w:val="18"/>
                <w:szCs w:val="18"/>
                <w:rtl w:val="0"/>
                <w:lang w:val="en-US"/>
              </w:rPr>
              <w:t>₀</w:t>
            </w:r>
            <w:r>
              <w:rPr>
                <w:rFonts w:ascii="Times New Roman" w:hAnsi="Times New Roman"/>
                <w:sz w:val="18"/>
                <w:szCs w:val="18"/>
                <w:rtl w:val="0"/>
                <w:lang w:val="en-US"/>
              </w:rPr>
              <w:t xml:space="preserve"> </w:t>
            </w:r>
            <w:r>
              <w:rPr>
                <w:rFonts w:ascii="Times New Roman" w:hAnsi="Times New Roman"/>
                <w:sz w:val="18"/>
                <w:szCs w:val="18"/>
                <w:rtl w:val="0"/>
                <w:lang w:val="en-US"/>
              </w:rPr>
              <w:t>= (</w:t>
            </w:r>
            <w:r>
              <w:rPr>
                <w:rFonts w:ascii="Times New Roman" w:hAnsi="Times New Roman" w:hint="default"/>
                <w:sz w:val="18"/>
                <w:szCs w:val="18"/>
                <w:rtl w:val="0"/>
                <w:lang w:val="en-US"/>
              </w:rPr>
              <w:t>√</w:t>
            </w:r>
            <w:r>
              <w:rPr>
                <w:rFonts w:ascii="Times New Roman" w:hAnsi="Times New Roman"/>
                <w:sz w:val="18"/>
                <w:szCs w:val="18"/>
                <w:rtl w:val="0"/>
                <w:lang w:val="en-US"/>
              </w:rPr>
              <w:t>a</w:t>
            </w:r>
            <w:r>
              <w:rPr>
                <w:rFonts w:ascii="Arial Unicode MS" w:cs="Arial Unicode MS" w:hAnsi="Arial Unicode MS" w:eastAsia="Arial Unicode MS" w:hint="default"/>
                <w:b w:val="0"/>
                <w:bCs w:val="0"/>
                <w:i w:val="0"/>
                <w:iCs w:val="0"/>
                <w:sz w:val="18"/>
                <w:szCs w:val="18"/>
                <w:rtl w:val="0"/>
                <w:lang w:val="en-US"/>
              </w:rPr>
              <w:t>₁</w:t>
            </w:r>
            <w:r>
              <w:rPr>
                <w:rFonts w:ascii="Times New Roman" w:hAnsi="Times New Roman"/>
                <w:sz w:val="18"/>
                <w:szCs w:val="18"/>
                <w:rtl w:val="0"/>
                <w:lang w:val="en-US"/>
              </w:rPr>
              <w:t>,</w:t>
            </w:r>
            <w:r>
              <w:rPr>
                <w:rFonts w:ascii="Times New Roman" w:hAnsi="Times New Roman" w:hint="default"/>
                <w:sz w:val="18"/>
                <w:szCs w:val="18"/>
                <w:rtl w:val="0"/>
                <w:lang w:val="en-US"/>
              </w:rPr>
              <w:t>√</w:t>
            </w:r>
            <w:r>
              <w:rPr>
                <w:rFonts w:ascii="Times New Roman" w:hAnsi="Times New Roman"/>
                <w:sz w:val="18"/>
                <w:szCs w:val="18"/>
                <w:rtl w:val="0"/>
                <w:lang w:val="en-US"/>
              </w:rPr>
              <w:t>a</w:t>
            </w:r>
            <w:r>
              <w:rPr>
                <w:rFonts w:ascii="Arial Unicode MS" w:cs="Arial Unicode MS" w:hAnsi="Arial Unicode MS" w:eastAsia="Arial Unicode MS" w:hint="default"/>
                <w:b w:val="0"/>
                <w:bCs w:val="0"/>
                <w:i w:val="0"/>
                <w:iCs w:val="0"/>
                <w:sz w:val="18"/>
                <w:szCs w:val="18"/>
                <w:rtl w:val="0"/>
                <w:lang w:val="en-US"/>
              </w:rPr>
              <w:t>₂</w:t>
            </w:r>
            <w:r>
              <w:rPr>
                <w:rFonts w:ascii="Times New Roman" w:hAnsi="Times New Roman"/>
                <w:sz w:val="18"/>
                <w:szCs w:val="18"/>
                <w:rtl w:val="0"/>
                <w:lang w:val="en-US"/>
              </w:rPr>
              <w:t>)ᵀ/</w:t>
            </w:r>
            <w:r>
              <w:rPr>
                <w:rFonts w:ascii="Times New Roman" w:hAnsi="Times New Roman" w:hint="default"/>
                <w:sz w:val="18"/>
                <w:szCs w:val="18"/>
                <w:rtl w:val="0"/>
                <w:lang w:val="en-US"/>
              </w:rPr>
              <w:t>√</w:t>
            </w:r>
            <w:r>
              <w:rPr>
                <w:rFonts w:ascii="Times New Roman" w:hAnsi="Times New Roman"/>
                <w:sz w:val="18"/>
                <w:szCs w:val="18"/>
                <w:rtl w:val="0"/>
                <w:lang w:val="en-US"/>
              </w:rPr>
              <w:t>(a</w:t>
            </w:r>
            <w:r>
              <w:rPr>
                <w:rFonts w:ascii="Arial Unicode MS" w:cs="Arial Unicode MS" w:hAnsi="Arial Unicode MS" w:eastAsia="Arial Unicode MS" w:hint="default"/>
                <w:b w:val="0"/>
                <w:bCs w:val="0"/>
                <w:i w:val="0"/>
                <w:iCs w:val="0"/>
                <w:sz w:val="18"/>
                <w:szCs w:val="18"/>
                <w:rtl w:val="0"/>
                <w:lang w:val="en-US"/>
              </w:rPr>
              <w:t>₁</w:t>
            </w:r>
            <w:r>
              <w:rPr>
                <w:rFonts w:ascii="Times New Roman" w:hAnsi="Times New Roman"/>
                <w:sz w:val="18"/>
                <w:szCs w:val="18"/>
                <w:rtl w:val="0"/>
                <w:lang w:val="en-US"/>
              </w:rPr>
              <w:t xml:space="preserve"> </w:t>
            </w:r>
            <w:r>
              <w:rPr>
                <w:rFonts w:ascii="Times New Roman" w:hAnsi="Times New Roman"/>
                <w:sz w:val="18"/>
                <w:szCs w:val="18"/>
                <w:rtl w:val="0"/>
                <w:lang w:val="en-US"/>
              </w:rPr>
              <w:t>+ a</w:t>
            </w:r>
            <w:r>
              <w:rPr>
                <w:rFonts w:ascii="Arial Unicode MS" w:cs="Arial Unicode MS" w:hAnsi="Arial Unicode MS" w:eastAsia="Arial Unicode MS" w:hint="default"/>
                <w:b w:val="0"/>
                <w:bCs w:val="0"/>
                <w:i w:val="0"/>
                <w:iCs w:val="0"/>
                <w:sz w:val="18"/>
                <w:szCs w:val="18"/>
                <w:rtl w:val="0"/>
                <w:lang w:val="en-US"/>
              </w:rPr>
              <w:t>₂</w:t>
            </w:r>
            <w:r>
              <w:rPr>
                <w:rFonts w:ascii="Times New Roman" w:hAnsi="Times New Roman"/>
                <w:sz w:val="18"/>
                <w:szCs w:val="18"/>
                <w:rtl w:val="0"/>
                <w:lang w:val="en-US"/>
              </w:rPr>
              <w:t>),     z</w:t>
            </w:r>
            <w:r>
              <w:rPr>
                <w:rFonts w:ascii="Arial Unicode MS" w:cs="Arial Unicode MS" w:hAnsi="Arial Unicode MS" w:eastAsia="Arial Unicode MS" w:hint="default"/>
                <w:b w:val="0"/>
                <w:bCs w:val="0"/>
                <w:i w:val="0"/>
                <w:iCs w:val="0"/>
                <w:sz w:val="18"/>
                <w:szCs w:val="18"/>
                <w:rtl w:val="0"/>
                <w:lang w:val="en-US"/>
              </w:rPr>
              <w:t>₁</w:t>
            </w:r>
            <w:r>
              <w:rPr>
                <w:rFonts w:ascii="Times New Roman" w:hAnsi="Times New Roman"/>
                <w:sz w:val="18"/>
                <w:szCs w:val="18"/>
                <w:rtl w:val="0"/>
                <w:lang w:val="en-US"/>
              </w:rPr>
              <w:t xml:space="preserve"> </w:t>
            </w:r>
            <w:r>
              <w:rPr>
                <w:rFonts w:ascii="Times New Roman" w:hAnsi="Times New Roman"/>
                <w:sz w:val="18"/>
                <w:szCs w:val="18"/>
                <w:rtl w:val="0"/>
                <w:lang w:val="en-US"/>
              </w:rPr>
              <w:t>= (</w:t>
            </w:r>
            <w:r>
              <w:rPr>
                <w:rFonts w:ascii="Times New Roman" w:hAnsi="Times New Roman" w:hint="default"/>
                <w:sz w:val="18"/>
                <w:szCs w:val="18"/>
                <w:rtl w:val="0"/>
                <w:lang w:val="en-US"/>
              </w:rPr>
              <w:t>√</w:t>
            </w:r>
            <w:r>
              <w:rPr>
                <w:rFonts w:ascii="Times New Roman" w:hAnsi="Times New Roman"/>
                <w:sz w:val="18"/>
                <w:szCs w:val="18"/>
                <w:rtl w:val="0"/>
                <w:lang w:val="en-US"/>
              </w:rPr>
              <w:t>a</w:t>
            </w:r>
            <w:r>
              <w:rPr>
                <w:rFonts w:ascii="Arial Unicode MS" w:cs="Arial Unicode MS" w:hAnsi="Arial Unicode MS" w:eastAsia="Arial Unicode MS" w:hint="default"/>
                <w:b w:val="0"/>
                <w:bCs w:val="0"/>
                <w:i w:val="0"/>
                <w:iCs w:val="0"/>
                <w:sz w:val="18"/>
                <w:szCs w:val="18"/>
                <w:rtl w:val="0"/>
                <w:lang w:val="en-US"/>
              </w:rPr>
              <w:t>₂</w:t>
            </w:r>
            <w:r>
              <w:rPr>
                <w:rFonts w:ascii="Times New Roman" w:hAnsi="Times New Roman"/>
                <w:sz w:val="18"/>
                <w:szCs w:val="18"/>
                <w:rtl w:val="0"/>
                <w:lang w:val="en-US"/>
              </w:rPr>
              <w:t>,</w:t>
            </w:r>
            <w:r>
              <w:rPr>
                <w:rFonts w:ascii="Times New Roman" w:hAnsi="Times New Roman" w:hint="default"/>
                <w:sz w:val="18"/>
                <w:szCs w:val="18"/>
                <w:rtl w:val="0"/>
                <w:lang w:val="en-US"/>
              </w:rPr>
              <w:t>−√</w:t>
            </w:r>
            <w:r>
              <w:rPr>
                <w:rFonts w:ascii="Times New Roman" w:hAnsi="Times New Roman"/>
                <w:sz w:val="18"/>
                <w:szCs w:val="18"/>
                <w:rtl w:val="0"/>
                <w:lang w:val="en-US"/>
              </w:rPr>
              <w:t>a</w:t>
            </w:r>
            <w:r>
              <w:rPr>
                <w:rFonts w:ascii="Arial Unicode MS" w:cs="Arial Unicode MS" w:hAnsi="Arial Unicode MS" w:eastAsia="Arial Unicode MS" w:hint="default"/>
                <w:b w:val="0"/>
                <w:bCs w:val="0"/>
                <w:i w:val="0"/>
                <w:iCs w:val="0"/>
                <w:sz w:val="18"/>
                <w:szCs w:val="18"/>
                <w:rtl w:val="0"/>
                <w:lang w:val="en-US"/>
              </w:rPr>
              <w:t>₁</w:t>
            </w:r>
            <w:r>
              <w:rPr>
                <w:rFonts w:ascii="Times New Roman" w:hAnsi="Times New Roman"/>
                <w:sz w:val="18"/>
                <w:szCs w:val="18"/>
                <w:rtl w:val="0"/>
                <w:lang w:val="en-US"/>
              </w:rPr>
              <w:t>)ᵀ/</w:t>
            </w:r>
            <w:r>
              <w:rPr>
                <w:rFonts w:ascii="Times New Roman" w:hAnsi="Times New Roman" w:hint="default"/>
                <w:sz w:val="18"/>
                <w:szCs w:val="18"/>
                <w:rtl w:val="0"/>
                <w:lang w:val="en-US"/>
              </w:rPr>
              <w:t>√</w:t>
            </w:r>
            <w:r>
              <w:rPr>
                <w:rFonts w:ascii="Times New Roman" w:hAnsi="Times New Roman"/>
                <w:sz w:val="18"/>
                <w:szCs w:val="18"/>
                <w:rtl w:val="0"/>
                <w:lang w:val="en-US"/>
              </w:rPr>
              <w:t>(a</w:t>
            </w:r>
            <w:r>
              <w:rPr>
                <w:rFonts w:ascii="Arial Unicode MS" w:cs="Arial Unicode MS" w:hAnsi="Arial Unicode MS" w:eastAsia="Arial Unicode MS" w:hint="default"/>
                <w:b w:val="0"/>
                <w:bCs w:val="0"/>
                <w:i w:val="0"/>
                <w:iCs w:val="0"/>
                <w:sz w:val="18"/>
                <w:szCs w:val="18"/>
                <w:rtl w:val="0"/>
                <w:lang w:val="en-US"/>
              </w:rPr>
              <w:t>₁</w:t>
            </w:r>
            <w:r>
              <w:rPr>
                <w:rFonts w:ascii="Times New Roman" w:hAnsi="Times New Roman"/>
                <w:sz w:val="18"/>
                <w:szCs w:val="18"/>
                <w:rtl w:val="0"/>
                <w:lang w:val="en-US"/>
              </w:rPr>
              <w:t xml:space="preserve"> </w:t>
            </w:r>
            <w:r>
              <w:rPr>
                <w:rFonts w:ascii="Times New Roman" w:hAnsi="Times New Roman"/>
                <w:sz w:val="18"/>
                <w:szCs w:val="18"/>
                <w:rtl w:val="0"/>
                <w:lang w:val="en-US"/>
              </w:rPr>
              <w:t>+ a</w:t>
            </w:r>
            <w:r>
              <w:rPr>
                <w:rFonts w:ascii="Arial Unicode MS" w:cs="Arial Unicode MS" w:hAnsi="Arial Unicode MS" w:eastAsia="Arial Unicode MS" w:hint="default"/>
                <w:b w:val="0"/>
                <w:bCs w:val="0"/>
                <w:i w:val="0"/>
                <w:iCs w:val="0"/>
                <w:sz w:val="18"/>
                <w:szCs w:val="18"/>
                <w:rtl w:val="0"/>
                <w:lang w:val="en-US"/>
              </w:rPr>
              <w:t>₂</w:t>
            </w:r>
            <w:r>
              <w:rPr>
                <w:rFonts w:ascii="Times New Roman" w:hAnsi="Times New Roman"/>
                <w:sz w:val="18"/>
                <w:szCs w:val="18"/>
                <w:rtl w:val="0"/>
                <w:lang w:val="en-US"/>
              </w:rPr>
              <w:t>).</w:t>
            </w:r>
          </w:p>
        </w:tc>
        <w:tc>
          <w:tcPr>
            <w:tcW w:type="dxa" w:w="565"/>
            <w:tcBorders>
              <w:top w:val="nil"/>
              <w:left w:val="nil"/>
              <w:bottom w:val="nil"/>
              <w:right w:val="nil"/>
            </w:tcBorders>
            <w:shd w:val="clear" w:color="auto" w:fill="auto"/>
            <w:tcMar>
              <w:top w:type="dxa" w:w="80"/>
              <w:left w:type="dxa" w:w="80"/>
              <w:bottom w:type="dxa" w:w="80"/>
              <w:right w:type="dxa" w:w="80"/>
            </w:tcMar>
            <w:vAlign w:val="top"/>
          </w:tcPr>
          <w:p>
            <w:pPr>
              <w:pStyle w:val="Normal.0"/>
              <w:keepLines w:val="1"/>
              <w:spacing w:after="40" w:line="240" w:lineRule="auto"/>
              <w:ind w:firstLine="0"/>
              <w:jc w:val="right"/>
            </w:pPr>
            <w:r>
              <w:rPr>
                <w:sz w:val="18"/>
                <w:szCs w:val="18"/>
                <w:rtl w:val="0"/>
                <w:lang w:val="en-US"/>
              </w:rPr>
              <w:t>(B1)</w:t>
            </w:r>
          </w:p>
        </w:tc>
      </w:tr>
    </w:tbl>
    <w:p>
      <w:pPr>
        <w:pStyle w:val="Normal.0"/>
        <w:widowControl w:val="0"/>
        <w:spacing w:after="80" w:line="240" w:lineRule="atLeast"/>
        <w:ind w:firstLine="0"/>
        <w:jc w:val="center"/>
      </w:pPr>
    </w:p>
    <w:p>
      <w:pPr>
        <w:pStyle w:val="Normal.0"/>
        <w:spacing w:after="80" w:line="240" w:lineRule="atLeast"/>
      </w:pPr>
      <w:r>
        <w:rPr>
          <w:sz w:val="22"/>
          <w:szCs w:val="22"/>
          <w:rtl w:val="0"/>
          <w:lang w:val="en-US"/>
        </w:rPr>
        <w:t>The first has eigenvalue 0 and the second eigenvalue g</w:t>
      </w:r>
      <w:r>
        <w:rPr>
          <w:rFonts w:ascii="Arial Unicode MS" w:cs="Arial Unicode MS" w:hAnsi="Arial Unicode MS" w:eastAsia="Arial Unicode MS" w:hint="default"/>
          <w:b w:val="0"/>
          <w:bCs w:val="0"/>
          <w:i w:val="0"/>
          <w:iCs w:val="0"/>
          <w:sz w:val="22"/>
          <w:szCs w:val="22"/>
          <w:rtl w:val="0"/>
          <w:lang w:val="en-US"/>
        </w:rPr>
        <w:t>₀</w:t>
      </w:r>
      <w:r>
        <w:rPr>
          <w:sz w:val="22"/>
          <w:szCs w:val="22"/>
          <w:rtl w:val="0"/>
          <w:lang w:val="en-US"/>
        </w:rPr>
        <w:t xml:space="preserve">² </w:t>
      </w:r>
      <w:r>
        <w:rPr>
          <w:sz w:val="22"/>
          <w:szCs w:val="22"/>
          <w:rtl w:val="0"/>
          <w:lang w:val="en-US"/>
        </w:rPr>
        <w:t>from Eq. (25). For D = diag(b</w:t>
      </w:r>
      <w:r>
        <w:rPr>
          <w:rFonts w:ascii="Arial Unicode MS" w:cs="Arial Unicode MS" w:hAnsi="Arial Unicode MS" w:eastAsia="Arial Unicode MS" w:hint="default"/>
          <w:b w:val="0"/>
          <w:bCs w:val="0"/>
          <w:i w:val="0"/>
          <w:iCs w:val="0"/>
          <w:sz w:val="22"/>
          <w:szCs w:val="22"/>
          <w:rtl w:val="0"/>
          <w:lang w:val="en-US"/>
        </w:rPr>
        <w:t>₁</w:t>
      </w:r>
      <w:r>
        <w:rPr>
          <w:sz w:val="22"/>
          <w:szCs w:val="22"/>
          <w:rtl w:val="0"/>
          <w:lang w:val="en-US"/>
        </w:rPr>
        <w:t>/a</w:t>
      </w:r>
      <w:r>
        <w:rPr>
          <w:rFonts w:ascii="Arial Unicode MS" w:cs="Arial Unicode MS" w:hAnsi="Arial Unicode MS" w:eastAsia="Arial Unicode MS" w:hint="default"/>
          <w:b w:val="0"/>
          <w:bCs w:val="0"/>
          <w:i w:val="0"/>
          <w:iCs w:val="0"/>
          <w:sz w:val="22"/>
          <w:szCs w:val="22"/>
          <w:rtl w:val="0"/>
          <w:lang w:val="en-US"/>
        </w:rPr>
        <w:t>₁</w:t>
      </w:r>
      <w:r>
        <w:rPr>
          <w:sz w:val="22"/>
          <w:szCs w:val="22"/>
          <w:rtl w:val="0"/>
          <w:lang w:val="en-US"/>
        </w:rPr>
        <w:t>,b</w:t>
      </w:r>
      <w:r>
        <w:rPr>
          <w:rFonts w:ascii="Arial Unicode MS" w:cs="Arial Unicode MS" w:hAnsi="Arial Unicode MS" w:eastAsia="Arial Unicode MS" w:hint="default"/>
          <w:b w:val="0"/>
          <w:bCs w:val="0"/>
          <w:i w:val="0"/>
          <w:iCs w:val="0"/>
          <w:sz w:val="22"/>
          <w:szCs w:val="22"/>
          <w:rtl w:val="0"/>
          <w:lang w:val="en-US"/>
        </w:rPr>
        <w:t>₂</w:t>
      </w:r>
      <w:r>
        <w:rPr>
          <w:sz w:val="22"/>
          <w:szCs w:val="22"/>
          <w:rtl w:val="0"/>
          <w:lang w:val="en-US"/>
        </w:rPr>
        <w:t>/a</w:t>
      </w:r>
      <w:r>
        <w:rPr>
          <w:rFonts w:ascii="Arial Unicode MS" w:cs="Arial Unicode MS" w:hAnsi="Arial Unicode MS" w:eastAsia="Arial Unicode MS" w:hint="default"/>
          <w:b w:val="0"/>
          <w:bCs w:val="0"/>
          <w:i w:val="0"/>
          <w:iCs w:val="0"/>
          <w:sz w:val="22"/>
          <w:szCs w:val="22"/>
          <w:rtl w:val="0"/>
          <w:lang w:val="en-US"/>
        </w:rPr>
        <w:t>₂</w:t>
      </w:r>
      <w:r>
        <w:rPr>
          <w:sz w:val="22"/>
          <w:szCs w:val="22"/>
          <w:rtl w:val="0"/>
          <w:lang w:val="en-US"/>
        </w:rPr>
        <w:t>),</w:t>
      </w:r>
    </w:p>
    <w:tbl>
      <w:tblPr>
        <w:tblW w:w="9411"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8846"/>
        <w:gridCol w:w="565"/>
      </w:tblGrid>
      <w:tr>
        <w:tblPrEx>
          <w:shd w:val="clear" w:color="auto" w:fill="ced7e7"/>
        </w:tblPrEx>
        <w:trPr>
          <w:trHeight w:val="241" w:hRule="atLeast"/>
        </w:trPr>
        <w:tc>
          <w:tcPr>
            <w:tcW w:type="dxa" w:w="8846"/>
            <w:tcBorders>
              <w:top w:val="nil"/>
              <w:left w:val="nil"/>
              <w:bottom w:val="nil"/>
              <w:right w:val="nil"/>
            </w:tcBorders>
            <w:shd w:val="clear" w:color="auto" w:fill="auto"/>
            <w:tcMar>
              <w:top w:type="dxa" w:w="80"/>
              <w:left w:type="dxa" w:w="80"/>
              <w:bottom w:type="dxa" w:w="80"/>
              <w:right w:type="dxa" w:w="80"/>
            </w:tcMar>
            <w:vAlign w:val="top"/>
          </w:tcPr>
          <w:p>
            <w:pPr>
              <w:pStyle w:val="Equation"/>
              <w:keepLines w:val="1"/>
              <w:spacing w:after="40"/>
              <w:ind w:firstLine="0"/>
            </w:pPr>
            <w:r>
              <w:rPr>
                <w:rFonts w:ascii="Times New Roman" w:hAnsi="Times New Roman"/>
                <w:sz w:val="18"/>
                <w:szCs w:val="18"/>
                <w:rtl w:val="0"/>
                <w:lang w:val="en-US"/>
              </w:rPr>
              <w:t>z</w:t>
            </w:r>
            <w:r>
              <w:rPr>
                <w:rFonts w:ascii="Arial Unicode MS" w:cs="Arial Unicode MS" w:hAnsi="Arial Unicode MS" w:eastAsia="Arial Unicode MS" w:hint="default"/>
                <w:b w:val="0"/>
                <w:bCs w:val="0"/>
                <w:i w:val="0"/>
                <w:iCs w:val="0"/>
                <w:sz w:val="18"/>
                <w:szCs w:val="18"/>
                <w:rtl w:val="0"/>
                <w:lang w:val="en-US"/>
              </w:rPr>
              <w:t>₀</w:t>
            </w:r>
            <w:r>
              <w:rPr>
                <w:rFonts w:ascii="Times New Roman" w:hAnsi="Times New Roman"/>
                <w:sz w:val="18"/>
                <w:szCs w:val="18"/>
                <w:rtl w:val="0"/>
                <w:lang w:val="en-US"/>
              </w:rPr>
              <w:t>ᵀDz</w:t>
            </w:r>
            <w:r>
              <w:rPr>
                <w:rFonts w:ascii="Arial Unicode MS" w:cs="Arial Unicode MS" w:hAnsi="Arial Unicode MS" w:eastAsia="Arial Unicode MS" w:hint="default"/>
                <w:b w:val="0"/>
                <w:bCs w:val="0"/>
                <w:i w:val="0"/>
                <w:iCs w:val="0"/>
                <w:sz w:val="18"/>
                <w:szCs w:val="18"/>
                <w:rtl w:val="0"/>
                <w:lang w:val="en-US"/>
              </w:rPr>
              <w:t>₀</w:t>
            </w:r>
            <w:r>
              <w:rPr>
                <w:rFonts w:ascii="Times New Roman" w:hAnsi="Times New Roman"/>
                <w:sz w:val="18"/>
                <w:szCs w:val="18"/>
                <w:rtl w:val="0"/>
                <w:lang w:val="en-US"/>
              </w:rPr>
              <w:t xml:space="preserve"> </w:t>
            </w:r>
            <w:r>
              <w:rPr>
                <w:rFonts w:ascii="Times New Roman" w:hAnsi="Times New Roman"/>
                <w:sz w:val="18"/>
                <w:szCs w:val="18"/>
                <w:rtl w:val="0"/>
                <w:lang w:val="en-US"/>
              </w:rPr>
              <w:t>= (b</w:t>
            </w:r>
            <w:r>
              <w:rPr>
                <w:rFonts w:ascii="Arial Unicode MS" w:cs="Arial Unicode MS" w:hAnsi="Arial Unicode MS" w:eastAsia="Arial Unicode MS" w:hint="default"/>
                <w:b w:val="0"/>
                <w:bCs w:val="0"/>
                <w:i w:val="0"/>
                <w:iCs w:val="0"/>
                <w:sz w:val="18"/>
                <w:szCs w:val="18"/>
                <w:rtl w:val="0"/>
                <w:lang w:val="en-US"/>
              </w:rPr>
              <w:t>₁</w:t>
            </w:r>
            <w:r>
              <w:rPr>
                <w:rFonts w:ascii="Times New Roman" w:hAnsi="Times New Roman"/>
                <w:sz w:val="18"/>
                <w:szCs w:val="18"/>
                <w:rtl w:val="0"/>
                <w:lang w:val="en-US"/>
              </w:rPr>
              <w:t xml:space="preserve"> </w:t>
            </w:r>
            <w:r>
              <w:rPr>
                <w:rFonts w:ascii="Times New Roman" w:hAnsi="Times New Roman"/>
                <w:sz w:val="18"/>
                <w:szCs w:val="18"/>
                <w:rtl w:val="0"/>
                <w:lang w:val="en-US"/>
              </w:rPr>
              <w:t>+ b</w:t>
            </w:r>
            <w:r>
              <w:rPr>
                <w:rFonts w:ascii="Arial Unicode MS" w:cs="Arial Unicode MS" w:hAnsi="Arial Unicode MS" w:eastAsia="Arial Unicode MS" w:hint="default"/>
                <w:b w:val="0"/>
                <w:bCs w:val="0"/>
                <w:i w:val="0"/>
                <w:iCs w:val="0"/>
                <w:sz w:val="18"/>
                <w:szCs w:val="18"/>
                <w:rtl w:val="0"/>
                <w:lang w:val="en-US"/>
              </w:rPr>
              <w:t>₂</w:t>
            </w:r>
            <w:r>
              <w:rPr>
                <w:rFonts w:ascii="Times New Roman" w:hAnsi="Times New Roman"/>
                <w:sz w:val="18"/>
                <w:szCs w:val="18"/>
                <w:rtl w:val="0"/>
                <w:lang w:val="en-US"/>
              </w:rPr>
              <w:t>)/(a</w:t>
            </w:r>
            <w:r>
              <w:rPr>
                <w:rFonts w:ascii="Arial Unicode MS" w:cs="Arial Unicode MS" w:hAnsi="Arial Unicode MS" w:eastAsia="Arial Unicode MS" w:hint="default"/>
                <w:b w:val="0"/>
                <w:bCs w:val="0"/>
                <w:i w:val="0"/>
                <w:iCs w:val="0"/>
                <w:sz w:val="18"/>
                <w:szCs w:val="18"/>
                <w:rtl w:val="0"/>
                <w:lang w:val="en-US"/>
              </w:rPr>
              <w:t>₁</w:t>
            </w:r>
            <w:r>
              <w:rPr>
                <w:rFonts w:ascii="Times New Roman" w:hAnsi="Times New Roman"/>
                <w:sz w:val="18"/>
                <w:szCs w:val="18"/>
                <w:rtl w:val="0"/>
                <w:lang w:val="en-US"/>
              </w:rPr>
              <w:t xml:space="preserve"> </w:t>
            </w:r>
            <w:r>
              <w:rPr>
                <w:rFonts w:ascii="Times New Roman" w:hAnsi="Times New Roman"/>
                <w:sz w:val="18"/>
                <w:szCs w:val="18"/>
                <w:rtl w:val="0"/>
                <w:lang w:val="en-US"/>
              </w:rPr>
              <w:t>+ a</w:t>
            </w:r>
            <w:r>
              <w:rPr>
                <w:rFonts w:ascii="Arial Unicode MS" w:cs="Arial Unicode MS" w:hAnsi="Arial Unicode MS" w:eastAsia="Arial Unicode MS" w:hint="default"/>
                <w:b w:val="0"/>
                <w:bCs w:val="0"/>
                <w:i w:val="0"/>
                <w:iCs w:val="0"/>
                <w:sz w:val="18"/>
                <w:szCs w:val="18"/>
                <w:rtl w:val="0"/>
                <w:lang w:val="en-US"/>
              </w:rPr>
              <w:t>₂</w:t>
            </w:r>
            <w:r>
              <w:rPr>
                <w:rFonts w:ascii="Times New Roman" w:hAnsi="Times New Roman"/>
                <w:sz w:val="18"/>
                <w:szCs w:val="18"/>
                <w:rtl w:val="0"/>
                <w:lang w:val="en-US"/>
              </w:rPr>
              <w:t>),</w:t>
            </w:r>
          </w:p>
        </w:tc>
        <w:tc>
          <w:tcPr>
            <w:tcW w:type="dxa" w:w="565"/>
            <w:tcBorders>
              <w:top w:val="nil"/>
              <w:left w:val="nil"/>
              <w:bottom w:val="nil"/>
              <w:right w:val="nil"/>
            </w:tcBorders>
            <w:shd w:val="clear" w:color="auto" w:fill="auto"/>
            <w:tcMar>
              <w:top w:type="dxa" w:w="80"/>
              <w:left w:type="dxa" w:w="80"/>
              <w:bottom w:type="dxa" w:w="80"/>
              <w:right w:type="dxa" w:w="80"/>
            </w:tcMar>
            <w:vAlign w:val="top"/>
          </w:tcPr>
          <w:p>
            <w:pPr>
              <w:pStyle w:val="Normal.0"/>
              <w:keepLines w:val="1"/>
              <w:spacing w:after="40" w:line="240" w:lineRule="auto"/>
              <w:ind w:firstLine="0"/>
              <w:jc w:val="right"/>
            </w:pPr>
            <w:r>
              <w:rPr>
                <w:sz w:val="18"/>
                <w:szCs w:val="18"/>
                <w:rtl w:val="0"/>
                <w:lang w:val="en-US"/>
              </w:rPr>
              <w:t>(B2)</w:t>
            </w:r>
          </w:p>
        </w:tc>
      </w:tr>
      <w:tr>
        <w:tblPrEx>
          <w:shd w:val="clear" w:color="auto" w:fill="ced7e7"/>
        </w:tblPrEx>
        <w:trPr>
          <w:trHeight w:val="241" w:hRule="atLeast"/>
        </w:trPr>
        <w:tc>
          <w:tcPr>
            <w:tcW w:type="dxa" w:w="8846"/>
            <w:tcBorders>
              <w:top w:val="nil"/>
              <w:left w:val="nil"/>
              <w:bottom w:val="nil"/>
              <w:right w:val="nil"/>
            </w:tcBorders>
            <w:shd w:val="clear" w:color="auto" w:fill="auto"/>
            <w:tcMar>
              <w:top w:type="dxa" w:w="80"/>
              <w:left w:type="dxa" w:w="80"/>
              <w:bottom w:type="dxa" w:w="80"/>
              <w:right w:type="dxa" w:w="80"/>
            </w:tcMar>
            <w:vAlign w:val="top"/>
          </w:tcPr>
          <w:p>
            <w:pPr>
              <w:pStyle w:val="Equation"/>
              <w:keepLines w:val="1"/>
              <w:spacing w:after="40"/>
              <w:ind w:firstLine="0"/>
            </w:pPr>
            <w:r>
              <w:rPr>
                <w:rFonts w:ascii="Times New Roman" w:hAnsi="Times New Roman"/>
                <w:sz w:val="18"/>
                <w:szCs w:val="18"/>
                <w:rtl w:val="0"/>
                <w:lang w:val="en-US"/>
              </w:rPr>
              <w:t>z</w:t>
            </w:r>
            <w:r>
              <w:rPr>
                <w:rFonts w:ascii="Arial Unicode MS" w:cs="Arial Unicode MS" w:hAnsi="Arial Unicode MS" w:eastAsia="Arial Unicode MS" w:hint="default"/>
                <w:b w:val="0"/>
                <w:bCs w:val="0"/>
                <w:i w:val="0"/>
                <w:iCs w:val="0"/>
                <w:sz w:val="18"/>
                <w:szCs w:val="18"/>
                <w:rtl w:val="0"/>
                <w:lang w:val="en-US"/>
              </w:rPr>
              <w:t>₁</w:t>
            </w:r>
            <w:r>
              <w:rPr>
                <w:rFonts w:ascii="Times New Roman" w:hAnsi="Times New Roman"/>
                <w:sz w:val="18"/>
                <w:szCs w:val="18"/>
                <w:rtl w:val="0"/>
                <w:lang w:val="en-US"/>
              </w:rPr>
              <w:t>ᵀDz</w:t>
            </w:r>
            <w:r>
              <w:rPr>
                <w:rFonts w:ascii="Arial Unicode MS" w:cs="Arial Unicode MS" w:hAnsi="Arial Unicode MS" w:eastAsia="Arial Unicode MS" w:hint="default"/>
                <w:b w:val="0"/>
                <w:bCs w:val="0"/>
                <w:i w:val="0"/>
                <w:iCs w:val="0"/>
                <w:sz w:val="18"/>
                <w:szCs w:val="18"/>
                <w:rtl w:val="0"/>
                <w:lang w:val="en-US"/>
              </w:rPr>
              <w:t>₀</w:t>
            </w:r>
            <w:r>
              <w:rPr>
                <w:rFonts w:ascii="Times New Roman" w:hAnsi="Times New Roman"/>
                <w:sz w:val="18"/>
                <w:szCs w:val="18"/>
                <w:rtl w:val="0"/>
                <w:lang w:val="en-US"/>
              </w:rPr>
              <w:t xml:space="preserve"> </w:t>
            </w:r>
            <w:r>
              <w:rPr>
                <w:rFonts w:ascii="Times New Roman" w:hAnsi="Times New Roman"/>
                <w:sz w:val="18"/>
                <w:szCs w:val="18"/>
                <w:rtl w:val="0"/>
                <w:lang w:val="en-US"/>
              </w:rPr>
              <w:t>= (a</w:t>
            </w:r>
            <w:r>
              <w:rPr>
                <w:rFonts w:ascii="Arial Unicode MS" w:cs="Arial Unicode MS" w:hAnsi="Arial Unicode MS" w:eastAsia="Arial Unicode MS" w:hint="default"/>
                <w:b w:val="0"/>
                <w:bCs w:val="0"/>
                <w:i w:val="0"/>
                <w:iCs w:val="0"/>
                <w:sz w:val="18"/>
                <w:szCs w:val="18"/>
                <w:rtl w:val="0"/>
                <w:lang w:val="en-US"/>
              </w:rPr>
              <w:t>₂</w:t>
            </w:r>
            <w:r>
              <w:rPr>
                <w:rFonts w:ascii="Times New Roman" w:hAnsi="Times New Roman"/>
                <w:sz w:val="18"/>
                <w:szCs w:val="18"/>
                <w:rtl w:val="0"/>
                <w:lang w:val="en-US"/>
              </w:rPr>
              <w:t>b</w:t>
            </w:r>
            <w:r>
              <w:rPr>
                <w:rFonts w:ascii="Arial Unicode MS" w:cs="Arial Unicode MS" w:hAnsi="Arial Unicode MS" w:eastAsia="Arial Unicode MS" w:hint="default"/>
                <w:b w:val="0"/>
                <w:bCs w:val="0"/>
                <w:i w:val="0"/>
                <w:iCs w:val="0"/>
                <w:sz w:val="18"/>
                <w:szCs w:val="18"/>
                <w:rtl w:val="0"/>
                <w:lang w:val="en-US"/>
              </w:rPr>
              <w:t>₁</w:t>
            </w:r>
            <w:r>
              <w:rPr>
                <w:rFonts w:ascii="Times New Roman" w:hAnsi="Times New Roman" w:hint="default"/>
                <w:sz w:val="18"/>
                <w:szCs w:val="18"/>
                <w:rtl w:val="0"/>
                <w:lang w:val="en-US"/>
              </w:rPr>
              <w:t xml:space="preserve"> − </w:t>
            </w:r>
            <w:r>
              <w:rPr>
                <w:rFonts w:ascii="Times New Roman" w:hAnsi="Times New Roman"/>
                <w:sz w:val="18"/>
                <w:szCs w:val="18"/>
                <w:rtl w:val="0"/>
                <w:lang w:val="en-US"/>
              </w:rPr>
              <w:t>a</w:t>
            </w:r>
            <w:r>
              <w:rPr>
                <w:rFonts w:ascii="Arial Unicode MS" w:cs="Arial Unicode MS" w:hAnsi="Arial Unicode MS" w:eastAsia="Arial Unicode MS" w:hint="default"/>
                <w:b w:val="0"/>
                <w:bCs w:val="0"/>
                <w:i w:val="0"/>
                <w:iCs w:val="0"/>
                <w:sz w:val="18"/>
                <w:szCs w:val="18"/>
                <w:rtl w:val="0"/>
                <w:lang w:val="en-US"/>
              </w:rPr>
              <w:t>₁</w:t>
            </w:r>
            <w:r>
              <w:rPr>
                <w:rFonts w:ascii="Times New Roman" w:hAnsi="Times New Roman"/>
                <w:sz w:val="18"/>
                <w:szCs w:val="18"/>
                <w:rtl w:val="0"/>
                <w:lang w:val="en-US"/>
              </w:rPr>
              <w:t>b</w:t>
            </w:r>
            <w:r>
              <w:rPr>
                <w:rFonts w:ascii="Arial Unicode MS" w:cs="Arial Unicode MS" w:hAnsi="Arial Unicode MS" w:eastAsia="Arial Unicode MS" w:hint="default"/>
                <w:b w:val="0"/>
                <w:bCs w:val="0"/>
                <w:i w:val="0"/>
                <w:iCs w:val="0"/>
                <w:sz w:val="18"/>
                <w:szCs w:val="18"/>
                <w:rtl w:val="0"/>
                <w:lang w:val="en-US"/>
              </w:rPr>
              <w:t>₂</w:t>
            </w:r>
            <w:r>
              <w:rPr>
                <w:rFonts w:ascii="Times New Roman" w:hAnsi="Times New Roman"/>
                <w:sz w:val="18"/>
                <w:szCs w:val="18"/>
                <w:rtl w:val="0"/>
                <w:lang w:val="en-US"/>
              </w:rPr>
              <w:t>)/[</w:t>
            </w:r>
            <w:r>
              <w:rPr>
                <w:rFonts w:ascii="Times New Roman" w:hAnsi="Times New Roman" w:hint="default"/>
                <w:sz w:val="18"/>
                <w:szCs w:val="18"/>
                <w:rtl w:val="0"/>
                <w:lang w:val="en-US"/>
              </w:rPr>
              <w:t>√</w:t>
            </w:r>
            <w:r>
              <w:rPr>
                <w:rFonts w:ascii="Times New Roman" w:hAnsi="Times New Roman"/>
                <w:sz w:val="18"/>
                <w:szCs w:val="18"/>
                <w:rtl w:val="0"/>
                <w:lang w:val="en-US"/>
              </w:rPr>
              <w:t>(a</w:t>
            </w:r>
            <w:r>
              <w:rPr>
                <w:rFonts w:ascii="Arial Unicode MS" w:cs="Arial Unicode MS" w:hAnsi="Arial Unicode MS" w:eastAsia="Arial Unicode MS" w:hint="default"/>
                <w:b w:val="0"/>
                <w:bCs w:val="0"/>
                <w:i w:val="0"/>
                <w:iCs w:val="0"/>
                <w:sz w:val="18"/>
                <w:szCs w:val="18"/>
                <w:rtl w:val="0"/>
                <w:lang w:val="en-US"/>
              </w:rPr>
              <w:t>₁</w:t>
            </w:r>
            <w:r>
              <w:rPr>
                <w:rFonts w:ascii="Times New Roman" w:hAnsi="Times New Roman"/>
                <w:sz w:val="18"/>
                <w:szCs w:val="18"/>
                <w:rtl w:val="0"/>
                <w:lang w:val="en-US"/>
              </w:rPr>
              <w:t>a</w:t>
            </w:r>
            <w:r>
              <w:rPr>
                <w:rFonts w:ascii="Arial Unicode MS" w:cs="Arial Unicode MS" w:hAnsi="Arial Unicode MS" w:eastAsia="Arial Unicode MS" w:hint="default"/>
                <w:b w:val="0"/>
                <w:bCs w:val="0"/>
                <w:i w:val="0"/>
                <w:iCs w:val="0"/>
                <w:sz w:val="18"/>
                <w:szCs w:val="18"/>
                <w:rtl w:val="0"/>
                <w:lang w:val="en-US"/>
              </w:rPr>
              <w:t>₂</w:t>
            </w:r>
            <w:r>
              <w:rPr>
                <w:rFonts w:ascii="Times New Roman" w:hAnsi="Times New Roman"/>
                <w:sz w:val="18"/>
                <w:szCs w:val="18"/>
                <w:rtl w:val="0"/>
                <w:lang w:val="en-US"/>
              </w:rPr>
              <w:t>)(a</w:t>
            </w:r>
            <w:r>
              <w:rPr>
                <w:rFonts w:ascii="Arial Unicode MS" w:cs="Arial Unicode MS" w:hAnsi="Arial Unicode MS" w:eastAsia="Arial Unicode MS" w:hint="default"/>
                <w:b w:val="0"/>
                <w:bCs w:val="0"/>
                <w:i w:val="0"/>
                <w:iCs w:val="0"/>
                <w:sz w:val="18"/>
                <w:szCs w:val="18"/>
                <w:rtl w:val="0"/>
                <w:lang w:val="en-US"/>
              </w:rPr>
              <w:t>₁</w:t>
            </w:r>
            <w:r>
              <w:rPr>
                <w:rFonts w:ascii="Times New Roman" w:hAnsi="Times New Roman"/>
                <w:sz w:val="18"/>
                <w:szCs w:val="18"/>
                <w:rtl w:val="0"/>
                <w:lang w:val="en-US"/>
              </w:rPr>
              <w:t xml:space="preserve"> </w:t>
            </w:r>
            <w:r>
              <w:rPr>
                <w:rFonts w:ascii="Times New Roman" w:hAnsi="Times New Roman"/>
                <w:sz w:val="18"/>
                <w:szCs w:val="18"/>
                <w:rtl w:val="0"/>
                <w:lang w:val="en-US"/>
              </w:rPr>
              <w:t>+ a</w:t>
            </w:r>
            <w:r>
              <w:rPr>
                <w:rFonts w:ascii="Arial Unicode MS" w:cs="Arial Unicode MS" w:hAnsi="Arial Unicode MS" w:eastAsia="Arial Unicode MS" w:hint="default"/>
                <w:b w:val="0"/>
                <w:bCs w:val="0"/>
                <w:i w:val="0"/>
                <w:iCs w:val="0"/>
                <w:sz w:val="18"/>
                <w:szCs w:val="18"/>
                <w:rtl w:val="0"/>
                <w:lang w:val="en-US"/>
              </w:rPr>
              <w:t>₂</w:t>
            </w:r>
            <w:r>
              <w:rPr>
                <w:rFonts w:ascii="Times New Roman" w:hAnsi="Times New Roman"/>
                <w:sz w:val="18"/>
                <w:szCs w:val="18"/>
                <w:rtl w:val="0"/>
                <w:lang w:val="en-US"/>
              </w:rPr>
              <w:t>)].</w:t>
            </w:r>
          </w:p>
        </w:tc>
        <w:tc>
          <w:tcPr>
            <w:tcW w:type="dxa" w:w="565"/>
            <w:tcBorders>
              <w:top w:val="nil"/>
              <w:left w:val="nil"/>
              <w:bottom w:val="nil"/>
              <w:right w:val="nil"/>
            </w:tcBorders>
            <w:shd w:val="clear" w:color="auto" w:fill="auto"/>
            <w:tcMar>
              <w:top w:type="dxa" w:w="80"/>
              <w:left w:type="dxa" w:w="80"/>
              <w:bottom w:type="dxa" w:w="80"/>
              <w:right w:type="dxa" w:w="80"/>
            </w:tcMar>
            <w:vAlign w:val="top"/>
          </w:tcPr>
          <w:p>
            <w:pPr>
              <w:pStyle w:val="Normal.0"/>
              <w:keepLines w:val="1"/>
              <w:spacing w:after="40" w:line="240" w:lineRule="auto"/>
              <w:ind w:firstLine="0"/>
              <w:jc w:val="right"/>
            </w:pPr>
            <w:r>
              <w:rPr>
                <w:sz w:val="18"/>
                <w:szCs w:val="18"/>
                <w:rtl w:val="0"/>
                <w:lang w:val="en-US"/>
              </w:rPr>
              <w:t>(B3)</w:t>
            </w:r>
          </w:p>
        </w:tc>
      </w:tr>
    </w:tbl>
    <w:p>
      <w:pPr>
        <w:pStyle w:val="Normal.0"/>
        <w:widowControl w:val="0"/>
        <w:spacing w:after="80" w:line="240" w:lineRule="atLeast"/>
        <w:ind w:firstLine="0"/>
        <w:jc w:val="center"/>
      </w:pPr>
    </w:p>
    <w:p>
      <w:pPr>
        <w:pStyle w:val="Normal.0"/>
        <w:spacing w:after="80" w:line="240" w:lineRule="atLeast"/>
      </w:pPr>
      <w:r>
        <w:rPr>
          <w:sz w:val="22"/>
          <w:szCs w:val="22"/>
          <w:rtl w:val="0"/>
          <w:lang w:val="en-US"/>
        </w:rPr>
        <w:t xml:space="preserve">Second-order perturbation theory gives </w:t>
      </w:r>
      <w:r>
        <w:rPr>
          <w:sz w:val="22"/>
          <w:szCs w:val="22"/>
          <w:rtl w:val="0"/>
          <w:lang w:val="en-US"/>
        </w:rPr>
        <w:t>−</w:t>
      </w:r>
      <w:r>
        <w:rPr>
          <w:sz w:val="22"/>
          <w:szCs w:val="22"/>
          <w:rtl w:val="0"/>
          <w:lang w:val="en-US"/>
        </w:rPr>
        <w:t>|z</w:t>
      </w:r>
      <w:r>
        <w:rPr>
          <w:rFonts w:ascii="Arial Unicode MS" w:cs="Arial Unicode MS" w:hAnsi="Arial Unicode MS" w:eastAsia="Arial Unicode MS" w:hint="default"/>
          <w:b w:val="0"/>
          <w:bCs w:val="0"/>
          <w:i w:val="0"/>
          <w:iCs w:val="0"/>
          <w:sz w:val="22"/>
          <w:szCs w:val="22"/>
          <w:rtl w:val="0"/>
          <w:lang w:val="en-US"/>
        </w:rPr>
        <w:t>₁</w:t>
      </w:r>
      <w:r>
        <w:rPr>
          <w:sz w:val="22"/>
          <w:szCs w:val="22"/>
          <w:rtl w:val="0"/>
          <w:lang w:val="en-US"/>
        </w:rPr>
        <w:t>ᵀDz</w:t>
      </w:r>
      <w:r>
        <w:rPr>
          <w:rFonts w:ascii="Arial Unicode MS" w:cs="Arial Unicode MS" w:hAnsi="Arial Unicode MS" w:eastAsia="Arial Unicode MS" w:hint="default"/>
          <w:b w:val="0"/>
          <w:bCs w:val="0"/>
          <w:i w:val="0"/>
          <w:iCs w:val="0"/>
          <w:sz w:val="22"/>
          <w:szCs w:val="22"/>
          <w:rtl w:val="0"/>
          <w:lang w:val="en-US"/>
        </w:rPr>
        <w:t>₀</w:t>
      </w:r>
      <w:r>
        <w:rPr>
          <w:sz w:val="22"/>
          <w:szCs w:val="22"/>
          <w:rtl w:val="0"/>
          <w:lang w:val="en-US"/>
        </w:rPr>
        <w:t>|</w:t>
      </w:r>
      <w:r>
        <w:rPr>
          <w:sz w:val="22"/>
          <w:szCs w:val="22"/>
          <w:rtl w:val="0"/>
          <w:lang w:val="en-US"/>
        </w:rPr>
        <w:t>²ν²</w:t>
      </w:r>
      <w:r>
        <w:rPr>
          <w:sz w:val="22"/>
          <w:szCs w:val="22"/>
          <w:rtl w:val="0"/>
          <w:lang w:val="en-US"/>
        </w:rPr>
        <w:t>/g</w:t>
      </w:r>
      <w:r>
        <w:rPr>
          <w:rFonts w:ascii="Arial Unicode MS" w:cs="Arial Unicode MS" w:hAnsi="Arial Unicode MS" w:eastAsia="Arial Unicode MS" w:hint="default"/>
          <w:b w:val="0"/>
          <w:bCs w:val="0"/>
          <w:i w:val="0"/>
          <w:iCs w:val="0"/>
          <w:sz w:val="22"/>
          <w:szCs w:val="22"/>
          <w:rtl w:val="0"/>
          <w:lang w:val="en-US"/>
        </w:rPr>
        <w:t>₀</w:t>
      </w:r>
      <w:r>
        <w:rPr>
          <w:sz w:val="22"/>
          <w:szCs w:val="22"/>
          <w:rtl w:val="0"/>
          <w:lang w:val="en-US"/>
        </w:rPr>
        <w:t>²</w:t>
      </w:r>
      <w:r>
        <w:rPr>
          <w:sz w:val="22"/>
          <w:szCs w:val="22"/>
          <w:rtl w:val="0"/>
          <w:lang w:val="en-US"/>
        </w:rPr>
        <w:t>. Substitution of Eqs. (25) and (B3) yields K in Eq. (27). Equation (37) is the multicomponent analogue of the same calculation. For r &gt; 1, D</w:t>
      </w:r>
      <w:r>
        <w:rPr>
          <w:rFonts w:ascii="Arial Unicode MS" w:cs="Arial Unicode MS" w:hAnsi="Arial Unicode MS" w:eastAsia="Arial Unicode MS" w:hint="default"/>
          <w:b w:val="0"/>
          <w:bCs w:val="0"/>
          <w:i w:val="0"/>
          <w:iCs w:val="0"/>
          <w:sz w:val="22"/>
          <w:szCs w:val="22"/>
          <w:rtl w:val="0"/>
          <w:lang w:val="en-US"/>
        </w:rPr>
        <w:t>₀₀</w:t>
      </w:r>
      <w:r>
        <w:rPr>
          <w:sz w:val="22"/>
          <w:szCs w:val="22"/>
          <w:rtl w:val="0"/>
          <w:lang w:val="en-US"/>
        </w:rPr>
        <w:t xml:space="preserve"> </w:t>
      </w:r>
      <w:r>
        <w:rPr>
          <w:sz w:val="22"/>
          <w:szCs w:val="22"/>
          <w:rtl w:val="0"/>
          <w:lang w:val="en-US"/>
        </w:rPr>
        <w:t>is diagonalized before applying a nondegenerate correction; within a degenerate sector, the compressed second-order matrix must be diagonalized.</w:t>
      </w:r>
    </w:p>
    <w:p>
      <w:pPr>
        <w:pStyle w:val="Normal.0"/>
        <w:spacing w:after="80" w:line="240" w:lineRule="atLeast"/>
      </w:pPr>
      <w:r>
        <w:rPr>
          <w:sz w:val="22"/>
          <w:szCs w:val="22"/>
          <w:rtl w:val="0"/>
          <w:lang w:val="en-US"/>
        </w:rPr>
        <w:t xml:space="preserve">Eliminating gapped coordinates is an infrared change of description. The exact inverse block in Eq. (36) depends on </w:t>
      </w:r>
      <w:r>
        <w:rPr>
          <w:sz w:val="22"/>
          <w:szCs w:val="22"/>
          <w:rtl w:val="0"/>
          <w:lang w:val="en-US"/>
        </w:rPr>
        <w:t xml:space="preserve">ω </w:t>
      </w:r>
      <w:r>
        <w:rPr>
          <w:sz w:val="22"/>
          <w:szCs w:val="22"/>
          <w:rtl w:val="0"/>
          <w:lang w:val="en-US"/>
        </w:rPr>
        <w:t xml:space="preserve">and therefore corresponds, in general, to an effective kernel that is nonlocal in time. A local two-derivative action arises only as the beginning of an expansion in </w:t>
      </w:r>
      <w:r>
        <w:rPr>
          <w:sz w:val="22"/>
          <w:szCs w:val="22"/>
          <w:rtl w:val="0"/>
          <w:lang w:val="en-US"/>
        </w:rPr>
        <w:t>ν</w:t>
      </w:r>
      <w:r>
        <w:rPr>
          <w:sz w:val="22"/>
          <w:szCs w:val="22"/>
          <w:rtl w:val="0"/>
          <w:lang w:val="en-US"/>
        </w:rPr>
        <w:t>/g</w:t>
      </w:r>
      <w:r>
        <w:rPr>
          <w:sz w:val="22"/>
          <w:szCs w:val="22"/>
          <w:rtl w:val="0"/>
          <w:lang w:val="en-US"/>
        </w:rPr>
        <w:t xml:space="preserve">² </w:t>
      </w:r>
      <w:r>
        <w:rPr>
          <w:sz w:val="22"/>
          <w:szCs w:val="22"/>
          <w:rtl w:val="0"/>
          <w:lang w:val="en-US"/>
        </w:rPr>
        <w:t xml:space="preserve">and </w:t>
      </w:r>
      <w:r>
        <w:rPr>
          <w:sz w:val="22"/>
          <w:szCs w:val="22"/>
          <w:rtl w:val="0"/>
          <w:lang w:val="en-US"/>
        </w:rPr>
        <w:t>ω²</w:t>
      </w:r>
      <w:r>
        <w:rPr>
          <w:sz w:val="22"/>
          <w:szCs w:val="22"/>
          <w:rtl w:val="0"/>
          <w:lang w:val="en-US"/>
        </w:rPr>
        <w:t>/g</w:t>
      </w:r>
      <w:r>
        <w:rPr>
          <w:sz w:val="22"/>
          <w:szCs w:val="22"/>
          <w:rtl w:val="0"/>
          <w:lang w:val="en-US"/>
        </w:rPr>
        <w:t>²</w:t>
      </w:r>
      <w:r>
        <w:rPr>
          <w:sz w:val="22"/>
          <w:szCs w:val="22"/>
          <w:rtl w:val="0"/>
          <w:lang w:val="en-US"/>
        </w:rPr>
        <w:t>. It cannot be used to determine signal fronts, which require control over arbitrarily high frequencies.</w:t>
      </w:r>
    </w:p>
    <w:p>
      <w:pPr>
        <w:pStyle w:val="Normal.0"/>
        <w:spacing w:after="80" w:line="240" w:lineRule="atLeast"/>
      </w:pPr>
    </w:p>
    <w:p>
      <w:pPr>
        <w:pStyle w:val="Заголовок 2"/>
        <w:spacing w:line="240" w:lineRule="atLeast"/>
      </w:pPr>
      <w:r>
        <w:rPr>
          <w:rtl w:val="0"/>
          <w:lang w:val="en-US"/>
        </w:rPr>
        <w:t>Appendix C. Finite algebraic controls and reproducibility</w:t>
      </w:r>
    </w:p>
    <w:p>
      <w:pPr>
        <w:pStyle w:val="Текстовый блок"/>
        <w:spacing w:line="240" w:lineRule="atLeast"/>
      </w:pPr>
      <w:r>
        <w:rPr>
          <w:rtl w:val="0"/>
          <w:lang w:val="en-US"/>
        </w:rPr>
        <w:t>No simulation or numerical fit is needed for the arguments. The source contains the standard-library Python script reproduce_light_closure.py in a filecontents* block. LaTeX can extract it on compilation; it can also be copied directly from that block and run with Python</w:t>
      </w:r>
      <w:r>
        <w:rPr>
          <w:rtl w:val="0"/>
          <w:lang w:val="en-US"/>
        </w:rPr>
        <w:t> </w:t>
      </w:r>
      <w:r>
        <w:rPr>
          <w:rtl w:val="0"/>
          <w:lang w:val="en-US"/>
        </w:rPr>
        <w:t>3. It compares field-tensor pressure with packet momentum bookkeeping, checks polarisation-independent null stress, calibrated field rescaling, moving-mirror energy balance, two-photon invariant mass, and the oscillatory field-energy example.</w:t>
      </w:r>
    </w:p>
    <w:p>
      <w:pPr>
        <w:pStyle w:val="Текстовый блок"/>
        <w:spacing w:line="240" w:lineRule="atLeast"/>
      </w:pPr>
      <w:r>
        <w:rPr>
          <w:rtl w:val="0"/>
          <w:lang w:val="en-US"/>
        </w:rPr>
        <w:t xml:space="preserve">The antipodal directions </w:t>
      </w:r>
      <m:oMath>
        <m:r>
          <m:t>{±</m:t>
        </m:r>
        <m:sSub>
          <m:e>
            <m:r>
              <m:t>e</m:t>
            </m:r>
          </m:e>
          <m:sub>
            <m:r>
              <m:t>i</m:t>
            </m:r>
          </m:sub>
        </m:sSub>
        <m:sSubSup>
          <m:e>
            <m:r>
              <m:t>}</m:t>
            </m:r>
          </m:e>
          <m:sub>
            <m:r>
              <m:t>i=1</m:t>
            </m:r>
          </m:sub>
          <m:sup>
            <m:r>
              <m:t>d</m:t>
            </m:r>
          </m:sup>
        </m:sSubSup>
      </m:oMath>
      <w:r>
        <w:rPr>
          <w:rtl w:val="0"/>
          <w:lang w:val="en-US"/>
        </w:rPr>
        <w:t xml:space="preserve">, each weighted </w:t>
      </w:r>
      <m:oMath>
        <m:r>
          <m:t>1/</m:t>
        </m:r>
        <m:d>
          <m:e>
            <m:r>
              <m:t>2d</m:t>
            </m:r>
          </m:e>
        </m:d>
      </m:oMath>
      <w:r>
        <w:rPr>
          <w:rtl w:val="0"/>
          <w:lang w:val="en-US"/>
        </w:rPr>
        <w:t>, integrate angular second moments exactly. They are a finite quadrature for this moment, not a rotationally invariant gas at all higher moments. The following table consists of analytic values; the embedded code provides small independent algebraic checks.</w:t>
      </w:r>
    </w:p>
    <w:tbl>
      <w:tblPr>
        <w:tblW w:w="7920"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960"/>
        <w:gridCol w:w="3960"/>
      </w:tblGrid>
      <w:tr>
        <w:tblPrEx>
          <w:shd w:val="clear" w:color="auto" w:fill="ced7e7"/>
        </w:tblPrEx>
        <w:trPr>
          <w:trHeight w:val="210" w:hRule="atLeast"/>
        </w:trPr>
        <w:tc>
          <w:tcPr>
            <w:tcW w:type="dxa" w:w="3960"/>
            <w:tcBorders>
              <w:top w:val="single" w:color="777777" w:sz="8" w:space="0" w:shadow="0" w:frame="0"/>
              <w:left w:val="nil"/>
              <w:bottom w:val="single" w:color="777777" w:sz="6" w:space="0" w:shadow="0" w:frame="0"/>
              <w:right w:val="nil"/>
            </w:tcBorders>
            <w:shd w:val="clear" w:color="auto" w:fill="auto"/>
            <w:tcMar>
              <w:top w:type="dxa" w:w="80"/>
              <w:left w:type="dxa" w:w="80"/>
              <w:bottom w:type="dxa" w:w="80"/>
              <w:right w:type="dxa" w:w="80"/>
            </w:tcMar>
            <w:vAlign w:val="top"/>
          </w:tcPr>
          <w:p>
            <w:pPr>
              <w:pStyle w:val="Compact"/>
              <w:spacing w:after="40" w:line="240" w:lineRule="auto"/>
            </w:pPr>
            <w:r>
              <w:rPr>
                <w:rFonts w:ascii="Times New Roman" w:hAnsi="Times New Roman"/>
                <w:b w:val="1"/>
                <w:bCs w:val="1"/>
                <w:sz w:val="18"/>
                <w:szCs w:val="18"/>
                <w:rtl w:val="0"/>
                <w:lang w:val="en-US"/>
              </w:rPr>
              <w:t>Control</w:t>
            </w:r>
          </w:p>
        </w:tc>
        <w:tc>
          <w:tcPr>
            <w:tcW w:type="dxa" w:w="3960"/>
            <w:tcBorders>
              <w:top w:val="single" w:color="777777" w:sz="8" w:space="0" w:shadow="0" w:frame="0"/>
              <w:left w:val="nil"/>
              <w:bottom w:val="single" w:color="777777" w:sz="6" w:space="0" w:shadow="0" w:frame="0"/>
              <w:right w:val="nil"/>
            </w:tcBorders>
            <w:shd w:val="clear" w:color="auto" w:fill="auto"/>
            <w:tcMar>
              <w:top w:type="dxa" w:w="80"/>
              <w:left w:type="dxa" w:w="80"/>
              <w:bottom w:type="dxa" w:w="80"/>
              <w:right w:type="dxa" w:w="80"/>
            </w:tcMar>
            <w:vAlign w:val="top"/>
          </w:tcPr>
          <w:p>
            <w:pPr>
              <w:pStyle w:val="Compact"/>
              <w:spacing w:after="40" w:line="240" w:lineRule="auto"/>
            </w:pPr>
            <w:r>
              <w:rPr>
                <w:rFonts w:ascii="Times New Roman" w:hAnsi="Times New Roman"/>
                <w:b w:val="1"/>
                <w:bCs w:val="1"/>
                <w:sz w:val="18"/>
                <w:szCs w:val="18"/>
                <w:rtl w:val="0"/>
                <w:lang w:val="en-US"/>
              </w:rPr>
              <w:t>Result</w:t>
            </w:r>
          </w:p>
        </w:tc>
      </w:tr>
      <w:tr>
        <w:tblPrEx>
          <w:shd w:val="clear" w:color="auto" w:fill="ced7e7"/>
        </w:tblPrEx>
        <w:trPr>
          <w:trHeight w:val="261" w:hRule="atLeast"/>
        </w:trPr>
        <w:tc>
          <w:tcPr>
            <w:tcW w:type="dxa" w:w="3960"/>
            <w:tcBorders>
              <w:top w:val="single" w:color="777777" w:sz="6" w:space="0" w:shadow="0" w:frame="0"/>
              <w:left w:val="nil"/>
              <w:bottom w:val="nil"/>
              <w:right w:val="nil"/>
            </w:tcBorders>
            <w:shd w:val="clear" w:color="auto" w:fill="auto"/>
            <w:tcMar>
              <w:top w:type="dxa" w:w="80"/>
              <w:left w:type="dxa" w:w="80"/>
              <w:bottom w:type="dxa" w:w="80"/>
              <w:right w:type="dxa" w:w="80"/>
            </w:tcMar>
            <w:vAlign w:val="top"/>
          </w:tcPr>
          <w:p>
            <w:pPr>
              <w:pStyle w:val="Compact"/>
              <w:spacing w:after="40" w:line="240" w:lineRule="auto"/>
            </w:pPr>
            <w:r>
              <w:rPr>
                <w:rFonts w:ascii="Times New Roman" w:hAnsi="Times New Roman"/>
                <w:sz w:val="18"/>
                <w:szCs w:val="18"/>
                <w:rtl w:val="0"/>
                <w:lang w:val="en-US"/>
              </w:rPr>
              <w:t>Normal absorption; normal ideal reflection</w:t>
            </w:r>
          </w:p>
        </w:tc>
        <w:tc>
          <w:tcPr>
            <w:tcW w:type="dxa" w:w="3960"/>
            <w:tcBorders>
              <w:top w:val="single" w:color="777777" w:sz="6" w:space="0" w:shadow="0" w:frame="0"/>
              <w:left w:val="nil"/>
              <w:bottom w:val="nil"/>
              <w:right w:val="nil"/>
            </w:tcBorders>
            <w:shd w:val="clear" w:color="auto" w:fill="auto"/>
            <w:tcMar>
              <w:top w:type="dxa" w:w="80"/>
              <w:left w:type="dxa" w:w="80"/>
              <w:bottom w:type="dxa" w:w="80"/>
              <w:right w:type="dxa" w:w="80"/>
            </w:tcMar>
            <w:vAlign w:val="top"/>
          </w:tcPr>
          <w:p>
            <w:pPr>
              <w:pStyle w:val="Compact"/>
              <w:spacing w:after="40" w:line="240" w:lineRule="auto"/>
            </w:pPr>
            <m:oMath>
              <m:r>
                <m:t>cP/I=1</m:t>
              </m:r>
            </m:oMath>
            <w:r>
              <w:rPr>
                <w:rFonts w:ascii="Times New Roman" w:hAnsi="Times New Roman"/>
                <w:sz w:val="18"/>
                <w:szCs w:val="18"/>
                <w:rtl w:val="0"/>
                <w:lang w:val="en-US"/>
              </w:rPr>
              <w:t xml:space="preserve">; </w:t>
            </w:r>
            <m:oMath>
              <m:r>
                <m:t>cP/I=2</m:t>
              </m:r>
            </m:oMath>
            <w:r>
              <w:rPr>
                <w:rFonts w:ascii="Times New Roman" w:hAnsi="Times New Roman"/>
                <w:sz w:val="18"/>
                <w:szCs w:val="18"/>
                <w:rtl w:val="0"/>
                <w:lang w:val="en-US"/>
              </w:rPr>
              <w:t>.</w:t>
            </w:r>
          </w:p>
        </w:tc>
      </w:tr>
      <w:tr>
        <w:tblPrEx>
          <w:shd w:val="clear" w:color="auto" w:fill="ced7e7"/>
        </w:tblPrEx>
        <w:trPr>
          <w:trHeight w:val="515" w:hRule="atLeast"/>
        </w:trPr>
        <w:tc>
          <w:tcPr>
            <w:tcW w:type="dxa" w:w="3960"/>
            <w:tcBorders>
              <w:top w:val="nil"/>
              <w:left w:val="nil"/>
              <w:bottom w:val="nil"/>
              <w:right w:val="nil"/>
            </w:tcBorders>
            <w:shd w:val="clear" w:color="auto" w:fill="auto"/>
            <w:tcMar>
              <w:top w:type="dxa" w:w="80"/>
              <w:left w:type="dxa" w:w="80"/>
              <w:bottom w:type="dxa" w:w="80"/>
              <w:right w:type="dxa" w:w="80"/>
            </w:tcMar>
            <w:vAlign w:val="top"/>
          </w:tcPr>
          <w:p>
            <w:pPr>
              <w:pStyle w:val="Compact"/>
              <w:spacing w:after="40" w:line="240" w:lineRule="auto"/>
            </w:pPr>
            <w:r>
              <w:rPr>
                <w:rFonts w:ascii="Times New Roman" w:hAnsi="Times New Roman"/>
                <w:sz w:val="18"/>
                <w:szCs w:val="18"/>
                <w:rtl w:val="0"/>
                <w:lang w:val="en-US"/>
              </w:rPr>
              <w:t xml:space="preserve">Absorption </w:t>
            </w:r>
            <m:oMath>
              <m:r>
                <m:t>1/5</m:t>
              </m:r>
            </m:oMath>
            <w:r>
              <w:rPr>
                <w:rFonts w:ascii="Times New Roman" w:hAnsi="Times New Roman"/>
                <w:sz w:val="18"/>
                <w:szCs w:val="18"/>
                <w:rtl w:val="0"/>
                <w:lang w:val="en-US"/>
              </w:rPr>
              <w:t xml:space="preserve">, reflection </w:t>
            </w:r>
            <m:oMath>
              <m:r>
                <m:t>1/2</m:t>
              </m:r>
            </m:oMath>
            <w:r>
              <w:rPr>
                <w:rFonts w:ascii="Times New Roman" w:hAnsi="Times New Roman"/>
                <w:sz w:val="18"/>
                <w:szCs w:val="18"/>
                <w:rtl w:val="0"/>
                <w:lang w:val="en-US"/>
              </w:rPr>
              <w:t xml:space="preserve">, transmission </w:t>
            </w:r>
            <m:oMath>
              <m:r>
                <m:t>3/10</m:t>
              </m:r>
            </m:oMath>
            <w:r>
              <w:rPr>
                <w:rFonts w:ascii="Times New Roman" w:hAnsi="Times New Roman"/>
                <w:sz w:val="18"/>
                <w:szCs w:val="18"/>
                <w:rtl w:val="0"/>
                <w:lang w:val="en-US"/>
              </w:rPr>
              <w:t xml:space="preserve"> at </w:t>
            </w:r>
            <m:oMath>
              <m:r>
                <m:t>θ=π/3</m:t>
              </m:r>
            </m:oMath>
          </w:p>
        </w:tc>
        <w:tc>
          <w:tcPr>
            <w:tcW w:type="dxa" w:w="3960"/>
            <w:tcBorders>
              <w:top w:val="nil"/>
              <w:left w:val="nil"/>
              <w:bottom w:val="nil"/>
              <w:right w:val="nil"/>
            </w:tcBorders>
            <w:shd w:val="clear" w:color="auto" w:fill="auto"/>
            <w:tcMar>
              <w:top w:type="dxa" w:w="80"/>
              <w:left w:type="dxa" w:w="80"/>
              <w:bottom w:type="dxa" w:w="80"/>
              <w:right w:type="dxa" w:w="80"/>
            </w:tcMar>
            <w:vAlign w:val="top"/>
          </w:tcPr>
          <w:p>
            <w:pPr>
              <w:pStyle w:val="Compact"/>
              <w:spacing w:after="40" w:line="240" w:lineRule="auto"/>
            </w:pPr>
            <m:oMath>
              <m:r>
                <m:t>cP/I=</m:t>
              </m:r>
              <m:d>
                <m:e>
                  <m:r>
                    <m:t>1/5+1</m:t>
                  </m:r>
                </m:e>
              </m:d>
              <m:r>
                <m:t>/4=3/10</m:t>
              </m:r>
            </m:oMath>
            <w:r>
              <w:rPr>
                <w:rFonts w:ascii="Times New Roman" w:hAnsi="Times New Roman"/>
                <w:sz w:val="18"/>
                <w:szCs w:val="18"/>
                <w:rtl w:val="0"/>
                <w:lang w:val="en-US"/>
              </w:rPr>
              <w:t>.</w:t>
            </w:r>
          </w:p>
        </w:tc>
      </w:tr>
      <w:tr>
        <w:tblPrEx>
          <w:shd w:val="clear" w:color="auto" w:fill="ced7e7"/>
        </w:tblPrEx>
        <w:trPr>
          <w:trHeight w:val="308" w:hRule="atLeast"/>
        </w:trPr>
        <w:tc>
          <w:tcPr>
            <w:tcW w:type="dxa" w:w="3960"/>
            <w:tcBorders>
              <w:top w:val="nil"/>
              <w:left w:val="nil"/>
              <w:bottom w:val="nil"/>
              <w:right w:val="nil"/>
            </w:tcBorders>
            <w:shd w:val="clear" w:color="auto" w:fill="auto"/>
            <w:tcMar>
              <w:top w:type="dxa" w:w="80"/>
              <w:left w:type="dxa" w:w="80"/>
              <w:bottom w:type="dxa" w:w="80"/>
              <w:right w:type="dxa" w:w="80"/>
            </w:tcMar>
            <w:vAlign w:val="top"/>
          </w:tcPr>
          <w:p>
            <w:pPr>
              <w:pStyle w:val="Compact"/>
              <w:spacing w:after="40" w:line="240" w:lineRule="auto"/>
            </w:pPr>
            <w:r>
              <w:rPr>
                <w:rFonts w:ascii="Times New Roman" w:hAnsi="Times New Roman"/>
                <w:sz w:val="18"/>
                <w:szCs w:val="18"/>
                <w:rtl w:val="0"/>
                <w:lang w:val="en-US"/>
              </w:rPr>
              <w:t xml:space="preserve">Receding mirror, </w:t>
            </w:r>
            <m:oMath>
              <m:r>
                <m:t>β=1/5</m:t>
              </m:r>
            </m:oMath>
          </w:p>
        </w:tc>
        <w:tc>
          <w:tcPr>
            <w:tcW w:type="dxa" w:w="3960"/>
            <w:tcBorders>
              <w:top w:val="nil"/>
              <w:left w:val="nil"/>
              <w:bottom w:val="nil"/>
              <w:right w:val="nil"/>
            </w:tcBorders>
            <w:shd w:val="clear" w:color="auto" w:fill="auto"/>
            <w:tcMar>
              <w:top w:type="dxa" w:w="80"/>
              <w:left w:type="dxa" w:w="80"/>
              <w:bottom w:type="dxa" w:w="80"/>
              <w:right w:type="dxa" w:w="80"/>
            </w:tcMar>
            <w:vAlign w:val="top"/>
          </w:tcPr>
          <w:p>
            <w:pPr>
              <w:pStyle w:val="Compact"/>
              <w:spacing w:after="40" w:line="240" w:lineRule="auto"/>
            </w:pPr>
            <m:oMath>
              <m:sSub>
                <m:e>
                  <m:r>
                    <m:t>q</m:t>
                  </m:r>
                </m:e>
                <m:sub>
                  <m:r>
                    <m:t>β</m:t>
                  </m:r>
                </m:sub>
              </m:sSub>
              <m:r>
                <m:t>=2/3</m:t>
              </m:r>
            </m:oMath>
            <w:r>
              <w:rPr>
                <w:rFonts w:ascii="Times New Roman" w:hAnsi="Times New Roman"/>
                <w:sz w:val="18"/>
                <w:szCs w:val="18"/>
                <w:rtl w:val="0"/>
                <w:lang w:val="en-US"/>
              </w:rPr>
              <w:t xml:space="preserve">; </w:t>
            </w:r>
            <m:oMath>
              <m:r>
                <m:t>cP/I=4/3</m:t>
              </m:r>
            </m:oMath>
            <w:r>
              <w:rPr>
                <w:rFonts w:ascii="Times New Roman" w:hAnsi="Times New Roman"/>
                <w:sz w:val="18"/>
                <w:szCs w:val="18"/>
                <w:rtl w:val="0"/>
                <w:lang w:val="en-US"/>
              </w:rPr>
              <w:t>.</w:t>
            </w:r>
          </w:p>
        </w:tc>
      </w:tr>
      <w:tr>
        <w:tblPrEx>
          <w:shd w:val="clear" w:color="auto" w:fill="ced7e7"/>
        </w:tblPrEx>
        <w:trPr>
          <w:trHeight w:val="265" w:hRule="atLeast"/>
        </w:trPr>
        <w:tc>
          <w:tcPr>
            <w:tcW w:type="dxa" w:w="3960"/>
            <w:tcBorders>
              <w:top w:val="nil"/>
              <w:left w:val="nil"/>
              <w:bottom w:val="nil"/>
              <w:right w:val="nil"/>
            </w:tcBorders>
            <w:shd w:val="clear" w:color="auto" w:fill="auto"/>
            <w:tcMar>
              <w:top w:type="dxa" w:w="80"/>
              <w:left w:type="dxa" w:w="80"/>
              <w:bottom w:type="dxa" w:w="80"/>
              <w:right w:type="dxa" w:w="80"/>
            </w:tcMar>
            <w:vAlign w:val="top"/>
          </w:tcPr>
          <w:p>
            <w:pPr>
              <w:pStyle w:val="Compact"/>
              <w:spacing w:after="40" w:line="240" w:lineRule="auto"/>
            </w:pPr>
            <w:r>
              <w:rPr>
                <w:rFonts w:ascii="Times New Roman" w:hAnsi="Times New Roman"/>
                <w:sz w:val="18"/>
                <w:szCs w:val="18"/>
                <w:rtl w:val="0"/>
                <w:lang w:val="en-US"/>
              </w:rPr>
              <w:t xml:space="preserve">Isotropic second moment in </w:t>
            </w:r>
            <m:oMath>
              <m:r>
                <m:t>d=2,3,4,5</m:t>
              </m:r>
            </m:oMath>
          </w:p>
        </w:tc>
        <w:tc>
          <w:tcPr>
            <w:tcW w:type="dxa" w:w="3960"/>
            <w:tcBorders>
              <w:top w:val="nil"/>
              <w:left w:val="nil"/>
              <w:bottom w:val="nil"/>
              <w:right w:val="nil"/>
            </w:tcBorders>
            <w:shd w:val="clear" w:color="auto" w:fill="auto"/>
            <w:tcMar>
              <w:top w:type="dxa" w:w="80"/>
              <w:left w:type="dxa" w:w="80"/>
              <w:bottom w:type="dxa" w:w="80"/>
              <w:right w:type="dxa" w:w="80"/>
            </w:tcMar>
            <w:vAlign w:val="top"/>
          </w:tcPr>
          <w:p>
            <w:pPr>
              <w:pStyle w:val="Compact"/>
              <w:spacing w:after="40" w:line="240" w:lineRule="auto"/>
            </w:pPr>
            <m:oMath>
              <m:r>
                <m:t>p/u=1/2,1/3,1/4,1/5</m:t>
              </m:r>
            </m:oMath>
            <w:r>
              <w:rPr>
                <w:rFonts w:ascii="Times New Roman" w:hAnsi="Times New Roman"/>
                <w:sz w:val="18"/>
                <w:szCs w:val="18"/>
                <w:rtl w:val="0"/>
                <w:lang w:val="en-US"/>
              </w:rPr>
              <w:t>.</w:t>
            </w:r>
          </w:p>
        </w:tc>
      </w:tr>
      <w:tr>
        <w:tblPrEx>
          <w:shd w:val="clear" w:color="auto" w:fill="ced7e7"/>
        </w:tblPrEx>
        <w:trPr>
          <w:trHeight w:val="314" w:hRule="atLeast"/>
        </w:trPr>
        <w:tc>
          <w:tcPr>
            <w:tcW w:type="dxa" w:w="3960"/>
            <w:tcBorders>
              <w:top w:val="nil"/>
              <w:left w:val="nil"/>
              <w:bottom w:val="nil"/>
              <w:right w:val="nil"/>
            </w:tcBorders>
            <w:shd w:val="clear" w:color="auto" w:fill="auto"/>
            <w:tcMar>
              <w:top w:type="dxa" w:w="80"/>
              <w:left w:type="dxa" w:w="80"/>
              <w:bottom w:type="dxa" w:w="80"/>
              <w:right w:type="dxa" w:w="80"/>
            </w:tcMar>
            <w:vAlign w:val="top"/>
          </w:tcPr>
          <w:p>
            <w:pPr>
              <w:pStyle w:val="Compact"/>
              <w:spacing w:after="40" w:line="240" w:lineRule="auto"/>
            </w:pPr>
            <w:r>
              <w:rPr>
                <w:rFonts w:ascii="Times New Roman" w:hAnsi="Times New Roman"/>
                <w:sz w:val="18"/>
                <w:szCs w:val="18"/>
                <w:rtl w:val="0"/>
                <w:lang w:val="en-US"/>
              </w:rPr>
              <w:t xml:space="preserve">Two equal-energy photons, </w:t>
            </w:r>
            <m:oMath>
              <m:r>
                <m:t>ϑ=0,π/2,π</m:t>
              </m:r>
            </m:oMath>
          </w:p>
        </w:tc>
        <w:tc>
          <w:tcPr>
            <w:tcW w:type="dxa" w:w="3960"/>
            <w:tcBorders>
              <w:top w:val="nil"/>
              <w:left w:val="nil"/>
              <w:bottom w:val="nil"/>
              <w:right w:val="nil"/>
            </w:tcBorders>
            <w:shd w:val="clear" w:color="auto" w:fill="auto"/>
            <w:tcMar>
              <w:top w:type="dxa" w:w="80"/>
              <w:left w:type="dxa" w:w="80"/>
              <w:bottom w:type="dxa" w:w="80"/>
              <w:right w:type="dxa" w:w="80"/>
            </w:tcMar>
            <w:vAlign w:val="top"/>
          </w:tcPr>
          <w:p>
            <w:pPr>
              <w:pStyle w:val="Compact"/>
              <w:spacing w:after="40" w:line="240" w:lineRule="auto"/>
            </w:pPr>
            <m:oMath>
              <m:r>
                <m:t>M</m:t>
              </m:r>
              <m:sSup>
                <m:e>
                  <m:r>
                    <m:t>c</m:t>
                  </m:r>
                </m:e>
                <m:sup>
                  <m:r>
                    <m:t>2</m:t>
                  </m:r>
                </m:sup>
              </m:sSup>
              <m:r>
                <m:t>/E=0,</m:t>
              </m:r>
              <m:rad>
                <m:radPr>
                  <m:degHide m:val="on"/>
                </m:radPr>
                <m:deg/>
                <m:e>
                  <m:r>
                    <m:t>2</m:t>
                  </m:r>
                </m:e>
              </m:rad>
              <m:r>
                <m:t>,2</m:t>
              </m:r>
            </m:oMath>
            <w:r>
              <w:rPr>
                <w:rFonts w:ascii="Times New Roman" w:hAnsi="Times New Roman"/>
                <w:sz w:val="18"/>
                <w:szCs w:val="18"/>
                <w:rtl w:val="0"/>
                <w:lang w:val="en-US"/>
              </w:rPr>
              <w:t>.</w:t>
            </w:r>
          </w:p>
        </w:tc>
      </w:tr>
      <w:tr>
        <w:tblPrEx>
          <w:shd w:val="clear" w:color="auto" w:fill="ced7e7"/>
        </w:tblPrEx>
        <w:trPr>
          <w:trHeight w:val="562" w:hRule="atLeast"/>
        </w:trPr>
        <w:tc>
          <w:tcPr>
            <w:tcW w:type="dxa" w:w="3960"/>
            <w:tcBorders>
              <w:top w:val="nil"/>
              <w:left w:val="nil"/>
              <w:bottom w:val="nil"/>
              <w:right w:val="nil"/>
            </w:tcBorders>
            <w:shd w:val="clear" w:color="auto" w:fill="auto"/>
            <w:tcMar>
              <w:top w:type="dxa" w:w="80"/>
              <w:left w:type="dxa" w:w="80"/>
              <w:bottom w:type="dxa" w:w="80"/>
              <w:right w:type="dxa" w:w="80"/>
            </w:tcMar>
            <w:vAlign w:val="top"/>
          </w:tcPr>
          <w:p>
            <w:pPr>
              <w:pStyle w:val="Compact"/>
              <w:spacing w:after="40" w:line="240" w:lineRule="auto"/>
            </w:pPr>
            <m:oMath>
              <m:sSub>
                <m:e>
                  <m:r>
                    <m:t>A</m:t>
                  </m:r>
                </m:e>
                <m:sub>
                  <m:r>
                    <m:t>y</m:t>
                  </m:r>
                </m:sub>
              </m:sSub>
              <m:r>
                <m:t>=</m:t>
              </m:r>
              <m:r>
                <m:rPr>
                  <m:sty m:val="p"/>
                </m:rPr>
                <m:t>sin</m:t>
              </m:r>
              <m:r>
                <m:t>n</m:t>
              </m:r>
              <m:d>
                <m:e>
                  <m:r>
                    <m:t>z−t</m:t>
                  </m:r>
                </m:e>
              </m:d>
              <m:r>
                <m:t>/n</m:t>
              </m:r>
            </m:oMath>
            <w:r>
              <w:rPr>
                <w:rFonts w:ascii="Times New Roman" w:hAnsi="Times New Roman"/>
                <w:sz w:val="18"/>
                <w:szCs w:val="18"/>
                <w:rtl w:val="0"/>
                <w:lang w:val="en-US"/>
              </w:rPr>
              <w:t xml:space="preserve"> over a full phase period, </w:t>
            </w:r>
            <m:oMath>
              <m:r>
                <m:t>c=γ=1</m:t>
              </m:r>
            </m:oMath>
          </w:p>
        </w:tc>
        <w:tc>
          <w:tcPr>
            <w:tcW w:type="dxa" w:w="3960"/>
            <w:tcBorders>
              <w:top w:val="nil"/>
              <w:left w:val="nil"/>
              <w:bottom w:val="nil"/>
              <w:right w:val="nil"/>
            </w:tcBorders>
            <w:shd w:val="clear" w:color="auto" w:fill="auto"/>
            <w:tcMar>
              <w:top w:type="dxa" w:w="80"/>
              <w:left w:type="dxa" w:w="80"/>
              <w:bottom w:type="dxa" w:w="80"/>
              <w:right w:type="dxa" w:w="80"/>
            </w:tcMar>
            <w:vAlign w:val="top"/>
          </w:tcPr>
          <w:p>
            <w:pPr>
              <w:pStyle w:val="Compact"/>
              <w:spacing w:after="40" w:line="240" w:lineRule="auto"/>
            </w:pPr>
            <m:oMath>
              <m:r>
                <m:t>⟨</m:t>
              </m:r>
              <m:sSubSup>
                <m:e>
                  <m:r>
                    <m:t>A</m:t>
                  </m:r>
                </m:e>
                <m:sub>
                  <m:r>
                    <m:t>y</m:t>
                  </m:r>
                </m:sub>
                <m:sup>
                  <m:r>
                    <m:t>2</m:t>
                  </m:r>
                </m:sup>
              </m:sSubSup>
              <m:r>
                <m:t>⟩=1/</m:t>
              </m:r>
              <m:d>
                <m:e>
                  <m:r>
                    <m:t>2</m:t>
                  </m:r>
                  <m:sSup>
                    <m:e>
                      <m:r>
                        <m:t>n</m:t>
                      </m:r>
                    </m:e>
                    <m:sup>
                      <m:r>
                        <m:t>2</m:t>
                      </m:r>
                    </m:sup>
                  </m:sSup>
                </m:e>
              </m:d>
            </m:oMath>
            <w:r>
              <w:rPr>
                <w:rFonts w:ascii="Times New Roman" w:hAnsi="Times New Roman"/>
                <w:sz w:val="18"/>
                <w:szCs w:val="18"/>
                <w:rtl w:val="0"/>
                <w:lang w:val="en-US"/>
              </w:rPr>
              <w:t xml:space="preserve">; </w:t>
            </w:r>
            <m:oMath>
              <m:r>
                <m:t>⟨u⟩=⟨</m:t>
              </m:r>
              <m:sSub>
                <m:e>
                  <m:r>
                    <m:t>Π</m:t>
                  </m:r>
                </m:e>
                <m:sub>
                  <m:r>
                    <m:t>zz</m:t>
                  </m:r>
                </m:sub>
              </m:sSub>
              <m:r>
                <m:t>⟩=1/2</m:t>
              </m:r>
            </m:oMath>
            <w:r>
              <w:rPr>
                <w:rFonts w:ascii="Times New Roman" w:hAnsi="Times New Roman"/>
                <w:sz w:val="18"/>
                <w:szCs w:val="18"/>
                <w:rtl w:val="0"/>
                <w:lang w:val="en-US"/>
              </w:rPr>
              <w:t>.</w:t>
            </w:r>
          </w:p>
        </w:tc>
      </w:tr>
      <w:tr>
        <w:tblPrEx>
          <w:shd w:val="clear" w:color="auto" w:fill="ced7e7"/>
        </w:tblPrEx>
        <w:trPr>
          <w:trHeight w:val="314" w:hRule="atLeast"/>
        </w:trPr>
        <w:tc>
          <w:tcPr>
            <w:tcW w:type="dxa" w:w="3960"/>
            <w:tcBorders>
              <w:top w:val="nil"/>
              <w:left w:val="nil"/>
              <w:bottom w:val="single" w:color="777777" w:sz="8" w:space="0" w:shadow="0" w:frame="0"/>
              <w:right w:val="nil"/>
            </w:tcBorders>
            <w:shd w:val="clear" w:color="auto" w:fill="auto"/>
            <w:tcMar>
              <w:top w:type="dxa" w:w="80"/>
              <w:left w:type="dxa" w:w="80"/>
              <w:bottom w:type="dxa" w:w="80"/>
              <w:right w:type="dxa" w:w="80"/>
            </w:tcMar>
            <w:vAlign w:val="top"/>
          </w:tcPr>
          <w:p>
            <w:pPr>
              <w:pStyle w:val="Compact"/>
              <w:spacing w:after="40" w:line="240" w:lineRule="auto"/>
            </w:pPr>
            <m:oMath>
              <m:sSub>
                <m:e>
                  <m:r>
                    <m:t>F</m:t>
                  </m:r>
                </m:e>
                <m:sub>
                  <m:r>
                    <m:t>2</m:t>
                  </m:r>
                </m:sub>
              </m:sSub>
              <m:r>
                <m:t>=</m:t>
              </m:r>
              <m:sSub>
                <m:e>
                  <m:r>
                    <m:t>F</m:t>
                  </m:r>
                </m:e>
                <m:sub>
                  <m:r>
                    <m:t>1</m:t>
                  </m:r>
                </m:sub>
              </m:sSub>
              <m:r>
                <m:t>/</m:t>
              </m:r>
              <m:rad>
                <m:radPr>
                  <m:degHide m:val="on"/>
                </m:radPr>
                <m:deg/>
                <m:e>
                  <m:r>
                    <m:t>7</m:t>
                  </m:r>
                </m:e>
              </m:rad>
            </m:oMath>
            <w:r>
              <w:rPr>
                <w:rFonts w:ascii="Times New Roman" w:hAnsi="Times New Roman"/>
                <w:sz w:val="18"/>
                <w:szCs w:val="18"/>
                <w:rtl w:val="0"/>
                <w:lang w:val="en-US"/>
              </w:rPr>
              <w:t xml:space="preserve">, </w:t>
            </w:r>
            <m:oMath>
              <m:sSub>
                <m:e>
                  <m:r>
                    <m:t>γ</m:t>
                  </m:r>
                </m:e>
                <m:sub>
                  <m:r>
                    <m:t>2</m:t>
                  </m:r>
                </m:sub>
              </m:sSub>
              <m:r>
                <m:t>=7</m:t>
              </m:r>
              <m:sSub>
                <m:e>
                  <m:r>
                    <m:t>γ</m:t>
                  </m:r>
                </m:e>
                <m:sub>
                  <m:r>
                    <m:t>1</m:t>
                  </m:r>
                </m:sub>
              </m:sSub>
            </m:oMath>
          </w:p>
        </w:tc>
        <w:tc>
          <w:tcPr>
            <w:tcW w:type="dxa" w:w="3960"/>
            <w:tcBorders>
              <w:top w:val="nil"/>
              <w:left w:val="nil"/>
              <w:bottom w:val="single" w:color="777777" w:sz="8" w:space="0" w:shadow="0" w:frame="0"/>
              <w:right w:val="nil"/>
            </w:tcBorders>
            <w:shd w:val="clear" w:color="auto" w:fill="auto"/>
            <w:tcMar>
              <w:top w:type="dxa" w:w="80"/>
              <w:left w:type="dxa" w:w="80"/>
              <w:bottom w:type="dxa" w:w="80"/>
              <w:right w:type="dxa" w:w="80"/>
            </w:tcMar>
            <w:vAlign w:val="top"/>
          </w:tcPr>
          <w:p>
            <w:pPr>
              <w:pStyle w:val="Compact"/>
              <w:spacing w:after="40" w:line="240" w:lineRule="auto"/>
            </w:pPr>
            <m:oMath>
              <m:sSub>
                <m:e>
                  <m:r>
                    <m:t>T</m:t>
                  </m:r>
                </m:e>
                <m:sub>
                  <m:r>
                    <m:t>2</m:t>
                  </m:r>
                </m:sub>
              </m:sSub>
              <m:r>
                <m:t>=</m:t>
              </m:r>
              <m:sSub>
                <m:e>
                  <m:r>
                    <m:t>T</m:t>
                  </m:r>
                </m:e>
                <m:sub>
                  <m:r>
                    <m:t>1</m:t>
                  </m:r>
                </m:sub>
              </m:sSub>
            </m:oMath>
            <w:r>
              <w:rPr>
                <w:rFonts w:ascii="Times New Roman" w:hAnsi="Times New Roman"/>
                <w:sz w:val="18"/>
                <w:szCs w:val="18"/>
                <w:rtl w:val="0"/>
                <w:lang w:val="en-US"/>
              </w:rPr>
              <w:t xml:space="preserve"> component by component.</w:t>
            </w:r>
          </w:p>
        </w:tc>
      </w:tr>
    </w:tbl>
    <w:p>
      <w:pPr>
        <w:pStyle w:val="Текстовый блок"/>
        <w:widowControl w:val="0"/>
        <w:spacing w:line="240" w:lineRule="atLeast"/>
        <w:jc w:val="center"/>
      </w:pPr>
    </w:p>
    <w:p>
      <w:pPr>
        <w:pStyle w:val="Текстовый блок"/>
        <w:spacing w:line="240" w:lineRule="atLeast"/>
      </w:pPr>
      <w:r>
        <w:rPr>
          <w:rtl w:val="0"/>
          <w:lang w:val="en-US"/>
        </w:rPr>
        <w:t>These calculations are neither experimental evidence nor substitutes for the propositions. All graphs have been replaced by informative tables so the manuscript has no external graphical dependencies.</w:t>
      </w:r>
      <w:bookmarkEnd w:id="66"/>
    </w:p>
    <w:p>
      <w:pPr>
        <w:pStyle w:val="Normal.0"/>
        <w:spacing w:after="80" w:line="240" w:lineRule="atLeast"/>
      </w:pPr>
      <w:bookmarkStart w:name="references" w:id="67"/>
    </w:p>
    <w:p>
      <w:pPr>
        <w:pStyle w:val="Заголовок 2"/>
        <w:spacing w:line="240" w:lineRule="atLeast"/>
      </w:pPr>
      <w:r>
        <w:rPr>
          <w:rtl w:val="0"/>
          <w:lang w:val="fr-FR"/>
        </w:rPr>
        <w:t>References</w:t>
      </w:r>
    </w:p>
    <w:p>
      <w:pPr>
        <w:pStyle w:val="Reference"/>
        <w:spacing w:line="240" w:lineRule="atLeast"/>
      </w:pPr>
      <w:r>
        <w:rPr>
          <w:color w:val="000000"/>
          <w:u w:color="000000"/>
          <w:rtl w:val="0"/>
          <w:lang w:val="en-US"/>
        </w:rPr>
        <w:t>[1] Malament, D. B. The class of continuous timelike curves determines the topology of spacetime. Journal of Mathematical Physics 18, 1399</w:t>
      </w:r>
      <w:r>
        <w:rPr>
          <w:color w:val="000000"/>
          <w:u w:color="000000"/>
          <w:rtl w:val="0"/>
          <w:lang w:val="en-US"/>
        </w:rPr>
        <w:t>–</w:t>
      </w:r>
      <w:r>
        <w:rPr>
          <w:color w:val="000000"/>
          <w:u w:color="000000"/>
          <w:rtl w:val="0"/>
          <w:lang w:val="en-US"/>
        </w:rPr>
        <w:t>1404 (1977). DOI: 10.1063/1.523436. https://doi.org/10.1063/1.523436</w:t>
      </w:r>
    </w:p>
    <w:p>
      <w:pPr>
        <w:pStyle w:val="Reference"/>
        <w:spacing w:line="240" w:lineRule="atLeast"/>
      </w:pPr>
      <w:r>
        <w:rPr>
          <w:color w:val="000000"/>
          <w:u w:color="000000"/>
          <w:rtl w:val="0"/>
          <w:lang w:val="en-US"/>
        </w:rPr>
        <w:t>[2] Surya, S. The causal set approach to quantum gravity. Living Reviews in Relativity 22, 5 (2019). DOI: 10.1007/s41114-019-0023-1. https://arxiv.org/abs/1903.11544</w:t>
      </w:r>
    </w:p>
    <w:p>
      <w:pPr>
        <w:pStyle w:val="Reference"/>
        <w:spacing w:line="240" w:lineRule="atLeast"/>
      </w:pPr>
      <w:r>
        <w:rPr>
          <w:color w:val="000000"/>
          <w:u w:color="000000"/>
          <w:rtl w:val="0"/>
          <w:lang w:val="en-US"/>
        </w:rPr>
        <w:t>[3] Konopka, T.; Markopoulou, F.; Severini, S. Quantum Graphity: a model of emergent locality. Physical Review D 77, 104029 (2008). DOI: 10.1103/PhysRevD.77.104029. https://arxiv.org/abs/0801.0861</w:t>
      </w:r>
    </w:p>
    <w:p>
      <w:pPr>
        <w:pStyle w:val="Reference"/>
        <w:spacing w:line="240" w:lineRule="atLeast"/>
      </w:pPr>
      <w:r>
        <w:rPr>
          <w:color w:val="000000"/>
          <w:u w:color="000000"/>
          <w:rtl w:val="0"/>
          <w:lang w:val="en-US"/>
        </w:rPr>
        <w:t>[4] Anber, M. M.; Donoghue, J. F. The emergence of a universal limiting speed. Physical Review D 83, 105027 (2011). DOI: 10.1103/PhysRevD.83.105027. https://arxiv.org/abs/1102.0789</w:t>
      </w:r>
    </w:p>
    <w:p>
      <w:pPr>
        <w:pStyle w:val="Reference"/>
        <w:spacing w:line="240" w:lineRule="atLeast"/>
      </w:pPr>
      <w:r>
        <w:rPr>
          <w:color w:val="000000"/>
          <w:u w:color="000000"/>
          <w:rtl w:val="0"/>
          <w:lang w:val="en-US"/>
        </w:rPr>
        <w:t>[5] Bednik, G.; Pujol</w:t>
      </w:r>
      <w:r>
        <w:rPr>
          <w:color w:val="000000"/>
          <w:u w:color="000000"/>
          <w:rtl w:val="0"/>
          <w:lang w:val="en-US"/>
        </w:rPr>
        <w:t>à</w:t>
      </w:r>
      <w:r>
        <w:rPr>
          <w:color w:val="000000"/>
          <w:u w:color="000000"/>
          <w:rtl w:val="0"/>
          <w:lang w:val="en-US"/>
        </w:rPr>
        <w:t>s, O.; Sibiryakov, S. Emergent Lorentz invariance from Strong Dynamics: Holographic examples. Journal of High Energy Physics 11 (2013), 064. DOI: 10.1007/JHEP11(2013)064. https://arxiv.org/abs/1305.0011</w:t>
      </w:r>
    </w:p>
    <w:p>
      <w:pPr>
        <w:pStyle w:val="Reference"/>
        <w:spacing w:line="240" w:lineRule="atLeast"/>
      </w:pPr>
      <w:r>
        <w:rPr>
          <w:color w:val="000000"/>
          <w:u w:color="000000"/>
          <w:rtl w:val="0"/>
          <w:lang w:val="en-US"/>
        </w:rPr>
        <w:t>[6] Visser, M.; Weinfurtner, S. Massive Klein</w:t>
      </w:r>
      <w:r>
        <w:rPr>
          <w:color w:val="000000"/>
          <w:u w:color="000000"/>
          <w:rtl w:val="0"/>
          <w:lang w:val="en-US"/>
        </w:rPr>
        <w:t>–</w:t>
      </w:r>
      <w:r>
        <w:rPr>
          <w:color w:val="000000"/>
          <w:u w:color="000000"/>
          <w:rtl w:val="0"/>
          <w:lang w:val="en-US"/>
        </w:rPr>
        <w:t>Gordon equation from a BEC-based analogue spacetime. Physical Review D 72, 044020 (2005). DOI: 10.1103/PhysRevD.72.044020. https://arxiv.org/abs/gr-qc/0506029</w:t>
      </w:r>
    </w:p>
    <w:p>
      <w:pPr>
        <w:pStyle w:val="Reference"/>
        <w:spacing w:line="240" w:lineRule="atLeast"/>
      </w:pPr>
      <w:r>
        <w:rPr>
          <w:color w:val="000000"/>
          <w:u w:color="000000"/>
          <w:rtl w:val="0"/>
          <w:lang w:val="en-US"/>
        </w:rPr>
        <w:t>[7] Van Raamsdonk, M. Building up spacetime with quantum entanglement. General Relativity and Gravitation 42, 2323</w:t>
      </w:r>
      <w:r>
        <w:rPr>
          <w:color w:val="000000"/>
          <w:u w:color="000000"/>
          <w:rtl w:val="0"/>
          <w:lang w:val="en-US"/>
        </w:rPr>
        <w:t>–</w:t>
      </w:r>
      <w:r>
        <w:rPr>
          <w:color w:val="000000"/>
          <w:u w:color="000000"/>
          <w:rtl w:val="0"/>
          <w:lang w:val="en-US"/>
        </w:rPr>
        <w:t>2329 (2010); arXiv v2, 2025. DOI: 10.1007/s10714-010-1034-0. https://arxiv.org/abs/1005.3035</w:t>
      </w:r>
    </w:p>
    <w:p>
      <w:pPr>
        <w:pStyle w:val="Reference"/>
        <w:spacing w:line="240" w:lineRule="atLeast"/>
      </w:pPr>
      <w:r>
        <w:rPr>
          <w:color w:val="000000"/>
          <w:u w:color="000000"/>
          <w:rtl w:val="0"/>
          <w:lang w:val="en-US"/>
        </w:rPr>
        <w:t>[8] Nachtergaele, B.; Raz, H.; Schlein, B.; Sims, R. Lieb</w:t>
      </w:r>
      <w:r>
        <w:rPr>
          <w:color w:val="000000"/>
          <w:u w:color="000000"/>
          <w:rtl w:val="0"/>
          <w:lang w:val="en-US"/>
        </w:rPr>
        <w:t>–</w:t>
      </w:r>
      <w:r>
        <w:rPr>
          <w:color w:val="000000"/>
          <w:u w:color="000000"/>
          <w:rtl w:val="0"/>
          <w:lang w:val="en-US"/>
        </w:rPr>
        <w:t>Robinson Bounds for Harmonic and Anharmonic Lattice Systems. Communications in Mathematical Physics 286, 1073</w:t>
      </w:r>
      <w:r>
        <w:rPr>
          <w:color w:val="000000"/>
          <w:u w:color="000000"/>
          <w:rtl w:val="0"/>
          <w:lang w:val="en-US"/>
        </w:rPr>
        <w:t>–</w:t>
      </w:r>
      <w:r>
        <w:rPr>
          <w:color w:val="000000"/>
          <w:u w:color="000000"/>
          <w:rtl w:val="0"/>
          <w:lang w:val="en-US"/>
        </w:rPr>
        <w:t>1098 (2009). DOI: 10.1007/s00220-008-0630-2. https://arxiv.org/abs/0712.3820</w:t>
      </w:r>
    </w:p>
    <w:p>
      <w:pPr>
        <w:pStyle w:val="Reference"/>
        <w:spacing w:line="240" w:lineRule="atLeast"/>
      </w:pPr>
      <w:r>
        <w:rPr>
          <w:color w:val="000000"/>
          <w:u w:color="000000"/>
          <w:rtl w:val="0"/>
          <w:lang w:val="en-US"/>
        </w:rPr>
        <w:t>[9] Rhyno, B.; Lapierre, B.; Vishveshwara, S.; Najafi, K.; Chitra, R. Observing quantum many-body dynamics in emergent curved spacetime using programmable quantum processors. Preprint, arXiv:2602.15524v2 (2026). https://arxiv.org/abs/2602.15524v2</w:t>
      </w:r>
    </w:p>
    <w:p>
      <w:pPr>
        <w:pStyle w:val="Reference"/>
        <w:spacing w:line="240" w:lineRule="atLeast"/>
      </w:pPr>
      <w:r>
        <w:rPr>
          <w:color w:val="000000"/>
          <w:u w:color="000000"/>
          <w:rtl w:val="0"/>
          <w:lang w:val="en-US"/>
        </w:rPr>
        <w:t>[10] Jacobson, T. Thermodynamics of Spacetime: The Einstein Equation of State. Physical Review Letters 75, 1260</w:t>
      </w:r>
      <w:r>
        <w:rPr>
          <w:color w:val="000000"/>
          <w:u w:color="000000"/>
          <w:rtl w:val="0"/>
          <w:lang w:val="en-US"/>
        </w:rPr>
        <w:t>–</w:t>
      </w:r>
      <w:r>
        <w:rPr>
          <w:color w:val="000000"/>
          <w:u w:color="000000"/>
          <w:rtl w:val="0"/>
          <w:lang w:val="en-US"/>
        </w:rPr>
        <w:t>1263 (1995). DOI: 10.1103/PhysRevLett.75.1260. https://arxiv.org/abs/gr-qc/9504004</w:t>
      </w:r>
    </w:p>
    <w:p>
      <w:pPr>
        <w:pStyle w:val="Reference"/>
        <w:spacing w:line="240" w:lineRule="atLeast"/>
      </w:pPr>
      <w:r>
        <w:rPr>
          <w:color w:val="000000"/>
          <w:u w:color="000000"/>
          <w:rtl w:val="0"/>
          <w:lang w:val="en-US"/>
        </w:rPr>
        <w:t>[11] Brown, J. D.; York, J. W. Quasilocal Energy and Conserved Charges Derived from the Gravitational Action. Physical Review D 47, 1407</w:t>
      </w:r>
      <w:r>
        <w:rPr>
          <w:color w:val="000000"/>
          <w:u w:color="000000"/>
          <w:rtl w:val="0"/>
          <w:lang w:val="en-US"/>
        </w:rPr>
        <w:t>–</w:t>
      </w:r>
      <w:r>
        <w:rPr>
          <w:color w:val="000000"/>
          <w:u w:color="000000"/>
          <w:rtl w:val="0"/>
          <w:lang w:val="en-US"/>
        </w:rPr>
        <w:t>1419 (1993). DOI: 10.1103/PhysRevD.47.1407. https://arxiv.org/abs/gr-qc/9209012</w:t>
      </w:r>
    </w:p>
    <w:p>
      <w:pPr>
        <w:pStyle w:val="Reference"/>
        <w:spacing w:line="240" w:lineRule="atLeast"/>
      </w:pPr>
      <w:r>
        <w:rPr>
          <w:color w:val="000000"/>
          <w:u w:color="000000"/>
          <w:rtl w:val="0"/>
          <w:lang w:val="en-US"/>
        </w:rPr>
        <w:t>[12] Collins, J.; Perez, A.; Sudarsky, D.; Urrutia, L.; Vucetich, H. Lorentz invariance and quantum gravity: an additional fine-tuning problem? Physical Review Letters 93, 191301 (2004). DOI: 10.1103/PhysRevLett.93.191301. https://arxiv.org/abs/gr-qc/0403053</w:t>
      </w:r>
    </w:p>
    <w:p>
      <w:pPr>
        <w:pStyle w:val="Reference"/>
        <w:spacing w:line="240" w:lineRule="atLeast"/>
        <w:rPr>
          <w:rStyle w:val="Нет"/>
          <w:color w:val="000000"/>
          <w:u w:color="000000"/>
        </w:rPr>
      </w:pPr>
      <w:r>
        <w:rPr>
          <w:color w:val="000000"/>
          <w:u w:color="000000"/>
          <w:rtl w:val="0"/>
          <w:lang w:val="en-US"/>
        </w:rPr>
        <w:t>[13] Kosteleck</w:t>
      </w:r>
      <w:r>
        <w:rPr>
          <w:color w:val="000000"/>
          <w:u w:color="000000"/>
          <w:rtl w:val="0"/>
          <w:lang w:val="en-US"/>
        </w:rPr>
        <w:t>ý</w:t>
      </w:r>
      <w:r>
        <w:rPr>
          <w:color w:val="000000"/>
          <w:u w:color="000000"/>
          <w:rtl w:val="0"/>
          <w:lang w:val="en-US"/>
        </w:rPr>
        <w:t>, V. A.; Russell, N. Data Tables for Lorentz and CPT Violation. Reviews of Modern Physics 83, 11</w:t>
      </w:r>
      <w:r>
        <w:rPr>
          <w:color w:val="000000"/>
          <w:u w:color="000000"/>
          <w:rtl w:val="0"/>
          <w:lang w:val="en-US"/>
        </w:rPr>
        <w:t>–</w:t>
      </w:r>
      <w:r>
        <w:rPr>
          <w:color w:val="000000"/>
          <w:u w:color="000000"/>
          <w:rtl w:val="0"/>
          <w:lang w:val="en-US"/>
        </w:rPr>
        <w:t xml:space="preserve">31 (2011); 2026 update, arXiv:0801.0287v19. DOI: 10.1103/RevModPhys.83.11. </w:t>
      </w:r>
      <w:r>
        <w:rPr>
          <w:rStyle w:val="Hyperlink.0"/>
        </w:rPr>
        <w:fldChar w:fldCharType="begin" w:fldLock="0"/>
      </w:r>
      <w:r>
        <w:rPr>
          <w:rStyle w:val="Hyperlink.0"/>
        </w:rPr>
        <w:instrText xml:space="preserve"> HYPERLINK "https://arxiv.org/abs/0801.0287v19"</w:instrText>
      </w:r>
      <w:r>
        <w:rPr>
          <w:rStyle w:val="Hyperlink.0"/>
        </w:rPr>
        <w:fldChar w:fldCharType="separate" w:fldLock="0"/>
      </w:r>
      <w:r>
        <w:rPr>
          <w:rStyle w:val="Hyperlink.0"/>
          <w:rtl w:val="0"/>
          <w:lang w:val="en-US"/>
        </w:rPr>
        <w:t>https://arxiv.org/abs/0801.0287v19</w:t>
      </w:r>
      <w:r>
        <w:rPr/>
        <w:fldChar w:fldCharType="end" w:fldLock="0"/>
      </w:r>
    </w:p>
    <w:p>
      <w:pPr>
        <w:pStyle w:val="Reference"/>
        <w:spacing w:line="240" w:lineRule="atLeast"/>
      </w:pPr>
      <w:r>
        <w:rPr>
          <w:rStyle w:val="Нет"/>
          <w:color w:val="000000"/>
          <w:u w:color="000000"/>
          <w:shd w:val="clear" w:color="auto" w:fill="ffffff"/>
          <w:rtl w:val="0"/>
          <w:lang w:val="en-US"/>
        </w:rPr>
        <w:t>[14] LIGO Scientific Collaboration; Virgo Collaboration; Fermi Gamma-Ray Burst Monitor; INTEGRAL. Gravitational Waves and Gamma-rays from a Binary Neutron Star Merger: GW170817 and GRB 170817A. Astrophysical Journal Letters 848, L13 (2017). DOI: 10.3847/2041-8213/aa920c. https://arxiv.org/abs/1710.05834</w:t>
      </w:r>
    </w:p>
    <w:p>
      <w:pPr>
        <w:pStyle w:val="Reference"/>
        <w:spacing w:line="240" w:lineRule="atLeast"/>
      </w:pPr>
      <w:r>
        <w:rPr>
          <w:rStyle w:val="Нет"/>
          <w:rtl w:val="0"/>
          <w:lang w:val="en-US"/>
        </w:rPr>
        <w:t>[15] Preece A., Batenin B. Pregeometric Relational Dynamics and Universal Causal Structure: Spectral Constraints and Conditions for a Common Low-Energy Cone. First preprint, author-supplied manuscript (2026).</w:t>
      </w:r>
    </w:p>
    <w:p>
      <w:pPr>
        <w:pStyle w:val="Reference"/>
        <w:spacing w:line="240" w:lineRule="atLeast"/>
      </w:pPr>
      <w:r>
        <w:rPr>
          <w:rStyle w:val="Нет"/>
          <w:rtl w:val="0"/>
          <w:lang w:val="en-US"/>
        </w:rPr>
        <w:t>[16] Kuwae K., Shioya T. Convergence of spectral structures: a functional analytic theory and its applications to spectral geometry. Communications in Analysis and Geometry 11, 599</w:t>
      </w:r>
      <w:r>
        <w:rPr>
          <w:rStyle w:val="Нет"/>
          <w:rtl w:val="0"/>
          <w:lang w:val="en-US"/>
        </w:rPr>
        <w:t>–</w:t>
      </w:r>
      <w:r>
        <w:rPr>
          <w:rStyle w:val="Нет"/>
          <w:rtl w:val="0"/>
          <w:lang w:val="en-US"/>
        </w:rPr>
        <w:t xml:space="preserve">673 (2003). DOI: 10.4310/CAG.2003.v11.n4.a1. </w:t>
      </w:r>
      <w:r>
        <w:rPr>
          <w:rStyle w:val="Hyperlink.1"/>
        </w:rPr>
        <w:fldChar w:fldCharType="begin" w:fldLock="0"/>
      </w:r>
      <w:r>
        <w:rPr>
          <w:rStyle w:val="Hyperlink.1"/>
        </w:rPr>
        <w:instrText xml:space="preserve"> HYPERLINK "https://doi.org/10.4310/CAG.2003.v11.n4.a1"</w:instrText>
      </w:r>
      <w:r>
        <w:rPr>
          <w:rStyle w:val="Hyperlink.1"/>
        </w:rPr>
        <w:fldChar w:fldCharType="separate" w:fldLock="0"/>
      </w:r>
      <w:r>
        <w:rPr>
          <w:rStyle w:val="Hyperlink.1"/>
          <w:rtl w:val="0"/>
          <w:lang w:val="en-US"/>
        </w:rPr>
        <w:t>https://doi.org/10.4310/CAG.2003.v11.n4.a1</w:t>
      </w:r>
      <w:r>
        <w:rPr/>
        <w:fldChar w:fldCharType="end" w:fldLock="0"/>
      </w:r>
    </w:p>
    <w:p>
      <w:pPr>
        <w:pStyle w:val="Reference"/>
        <w:spacing w:line="240" w:lineRule="atLeast"/>
      </w:pPr>
      <w:r>
        <w:rPr>
          <w:rStyle w:val="Нет"/>
          <w:rtl w:val="0"/>
          <w:lang w:val="en-US"/>
        </w:rPr>
        <w:t>[17] Teschl G. Ordinary Differential Equations and Dynamical Systems. Graduate Studies in Mathematics 140, American Mathematical Society (2012), Section 8.3. Author</w:t>
      </w:r>
      <w:r>
        <w:rPr>
          <w:rStyle w:val="Нет"/>
          <w:rtl w:val="0"/>
          <w:lang w:val="en-US"/>
        </w:rPr>
        <w:t>’</w:t>
      </w:r>
      <w:r>
        <w:rPr>
          <w:rStyle w:val="Нет"/>
          <w:rtl w:val="0"/>
          <w:lang w:val="en-US"/>
        </w:rPr>
        <w:t xml:space="preserve">s authorised preliminary version. </w:t>
      </w:r>
      <w:r>
        <w:rPr>
          <w:rStyle w:val="Hyperlink.1"/>
        </w:rPr>
        <w:fldChar w:fldCharType="begin" w:fldLock="0"/>
      </w:r>
      <w:r>
        <w:rPr>
          <w:rStyle w:val="Hyperlink.1"/>
        </w:rPr>
        <w:instrText xml:space="preserve"> HYPERLINK "https://www.mat.univie.ac.at/~gerald/ftp/book-ode/ode.pdf"</w:instrText>
      </w:r>
      <w:r>
        <w:rPr>
          <w:rStyle w:val="Hyperlink.1"/>
        </w:rPr>
        <w:fldChar w:fldCharType="separate" w:fldLock="0"/>
      </w:r>
      <w:r>
        <w:rPr>
          <w:rStyle w:val="Hyperlink.1"/>
          <w:rtl w:val="0"/>
          <w:lang w:val="en-US"/>
        </w:rPr>
        <w:t>https://www.mat.univie.ac.at/~gerald/ftp/book-ode/ode.pdf</w:t>
      </w:r>
      <w:r>
        <w:rPr/>
        <w:fldChar w:fldCharType="end" w:fldLock="0"/>
      </w:r>
    </w:p>
    <w:p>
      <w:pPr>
        <w:pStyle w:val="Reference"/>
        <w:keepLines w:val="1"/>
        <w:spacing w:line="240" w:lineRule="atLeast"/>
      </w:pPr>
      <w:r>
        <w:rPr>
          <w:rStyle w:val="Нет"/>
          <w:rtl w:val="0"/>
          <w:lang w:val="en-US"/>
        </w:rPr>
        <w:t xml:space="preserve">[18] Bureau International des Poids et Mesures. </w:t>
      </w:r>
      <w:r>
        <w:rPr>
          <w:rStyle w:val="Нет"/>
          <w:i w:val="1"/>
          <w:iCs w:val="1"/>
          <w:rtl w:val="0"/>
          <w:lang w:val="en-US"/>
        </w:rPr>
        <w:t>The International System of Units (SI)</w:t>
      </w:r>
      <w:r>
        <w:rPr>
          <w:rStyle w:val="Нет"/>
          <w:rtl w:val="0"/>
          <w:lang w:val="en-US"/>
        </w:rPr>
        <w:t xml:space="preserve">, 9th edition (2019), version 4.01, June 2026, Sections 2.3.1 and 2.3.6. DOI: </w:t>
      </w:r>
      <w:r>
        <w:rPr>
          <w:rStyle w:val="Hyperlink.2"/>
        </w:rPr>
        <w:fldChar w:fldCharType="begin" w:fldLock="0"/>
      </w:r>
      <w:r>
        <w:rPr>
          <w:rStyle w:val="Hyperlink.2"/>
        </w:rPr>
        <w:instrText xml:space="preserve"> HYPERLINK "https://doi.org/10.59161/AUEZ1291"</w:instrText>
      </w:r>
      <w:r>
        <w:rPr>
          <w:rStyle w:val="Hyperlink.2"/>
        </w:rPr>
        <w:fldChar w:fldCharType="separate" w:fldLock="0"/>
      </w:r>
      <w:r>
        <w:rPr>
          <w:rStyle w:val="Hyperlink.2"/>
          <w:rtl w:val="0"/>
          <w:lang w:val="en-US"/>
        </w:rPr>
        <w:t>10.59161/AUEZ1291</w:t>
      </w:r>
      <w:r>
        <w:rPr/>
        <w:fldChar w:fldCharType="end" w:fldLock="0"/>
      </w:r>
      <w:r>
        <w:rPr>
          <w:rStyle w:val="Нет"/>
          <w:rtl w:val="0"/>
          <w:lang w:val="en-US"/>
        </w:rPr>
        <w:t xml:space="preserve">. </w:t>
      </w:r>
      <w:r>
        <w:rPr>
          <w:rStyle w:val="Hyperlink.2"/>
        </w:rPr>
        <w:fldChar w:fldCharType="begin" w:fldLock="0"/>
      </w:r>
      <w:r>
        <w:rPr>
          <w:rStyle w:val="Hyperlink.2"/>
        </w:rPr>
        <w:instrText xml:space="preserve"> HYPERLINK "https://www.bipm.org/documents/20126/41483022/SI-Brochure-9-EN.pdf"</w:instrText>
      </w:r>
      <w:r>
        <w:rPr>
          <w:rStyle w:val="Hyperlink.2"/>
        </w:rPr>
        <w:fldChar w:fldCharType="separate" w:fldLock="0"/>
      </w:r>
      <w:r>
        <w:rPr>
          <w:rStyle w:val="Hyperlink.2"/>
          <w:rtl w:val="0"/>
          <w:lang w:val="en-US"/>
        </w:rPr>
        <w:t>Official brochure</w:t>
      </w:r>
      <w:r>
        <w:rPr/>
        <w:fldChar w:fldCharType="end" w:fldLock="0"/>
      </w:r>
      <w:r>
        <w:rPr>
          <w:rStyle w:val="Нет"/>
          <w:rtl w:val="0"/>
          <w:lang w:val="en-US"/>
        </w:rPr>
        <w:t>.</w:t>
      </w:r>
    </w:p>
    <w:p>
      <w:pPr>
        <w:pStyle w:val="Reference"/>
        <w:keepLines w:val="1"/>
        <w:spacing w:line="240" w:lineRule="atLeast"/>
      </w:pPr>
      <w:r>
        <w:rPr>
          <w:rStyle w:val="Нет"/>
          <w:rtl w:val="0"/>
          <w:lang w:val="en-US"/>
        </w:rPr>
        <w:t xml:space="preserve">[19] M. J. Duff, L. B. Okun and G. Veneziano. Trialogue on the number of fundamental constants. </w:t>
      </w:r>
      <w:r>
        <w:rPr>
          <w:rStyle w:val="Нет"/>
          <w:i w:val="1"/>
          <w:iCs w:val="1"/>
          <w:rtl w:val="0"/>
          <w:lang w:val="en-US"/>
        </w:rPr>
        <w:t>Journal of High Energy Physics</w:t>
      </w:r>
      <w:r>
        <w:rPr>
          <w:rStyle w:val="Нет"/>
          <w:rtl w:val="0"/>
          <w:lang w:val="en-US"/>
        </w:rPr>
        <w:t xml:space="preserve"> </w:t>
      </w:r>
      <w:r>
        <w:rPr>
          <w:rStyle w:val="Нет"/>
          <w:b w:val="1"/>
          <w:bCs w:val="1"/>
          <w:rtl w:val="0"/>
          <w:lang w:val="en-US"/>
        </w:rPr>
        <w:t>03</w:t>
      </w:r>
      <w:r>
        <w:rPr>
          <w:rStyle w:val="Нет"/>
          <w:rtl w:val="0"/>
          <w:lang w:val="en-US"/>
        </w:rPr>
        <w:t xml:space="preserve"> (2002), 023. </w:t>
      </w:r>
      <w:r>
        <w:rPr>
          <w:rStyle w:val="Hyperlink.2"/>
        </w:rPr>
        <w:fldChar w:fldCharType="begin" w:fldLock="0"/>
      </w:r>
      <w:r>
        <w:rPr>
          <w:rStyle w:val="Hyperlink.2"/>
        </w:rPr>
        <w:instrText xml:space="preserve"> HYPERLINK "https://arxiv.org/abs/physics/0110060"</w:instrText>
      </w:r>
      <w:r>
        <w:rPr>
          <w:rStyle w:val="Hyperlink.2"/>
        </w:rPr>
        <w:fldChar w:fldCharType="separate" w:fldLock="0"/>
      </w:r>
      <w:r>
        <w:rPr>
          <w:rStyle w:val="Hyperlink.2"/>
          <w:rtl w:val="0"/>
          <w:lang w:val="en-US"/>
        </w:rPr>
        <w:t>arXiv:physics/0110060</w:t>
      </w:r>
      <w:r>
        <w:rPr/>
        <w:fldChar w:fldCharType="end" w:fldLock="0"/>
      </w:r>
      <w:r>
        <w:rPr>
          <w:rStyle w:val="Нет"/>
          <w:rtl w:val="0"/>
          <w:lang w:val="en-US"/>
        </w:rPr>
        <w:t>.</w:t>
      </w:r>
    </w:p>
    <w:p>
      <w:pPr>
        <w:pStyle w:val="Reference"/>
        <w:keepLines w:val="1"/>
        <w:spacing w:line="240" w:lineRule="atLeast"/>
      </w:pPr>
      <w:r>
        <w:rPr>
          <w:rStyle w:val="Нет"/>
          <w:rtl w:val="0"/>
          <w:lang w:val="en-US"/>
        </w:rPr>
        <w:t xml:space="preserve">[20] A. Preece and B. Batenin. </w:t>
      </w:r>
      <w:r>
        <w:rPr>
          <w:rStyle w:val="Нет"/>
          <w:i w:val="1"/>
          <w:iCs w:val="1"/>
          <w:rtl w:val="0"/>
          <w:lang w:val="en-US"/>
        </w:rPr>
        <w:t>Pregeometric Relational Dynamics and Universal Causal Structure: Response Limits, Coarse-Graining and the Stability of a Common Cone</w:t>
      </w:r>
      <w:r>
        <w:rPr>
          <w:rStyle w:val="Нет"/>
          <w:rtl w:val="0"/>
          <w:lang w:val="en-US"/>
        </w:rPr>
        <w:t>. Author-supplied technical preprint, 5 September 2026.</w:t>
      </w:r>
    </w:p>
    <w:p>
      <w:pPr>
        <w:pStyle w:val="Reference"/>
        <w:keepLines w:val="1"/>
        <w:spacing w:line="240" w:lineRule="atLeast"/>
      </w:pPr>
      <w:r>
        <w:rPr>
          <w:rStyle w:val="Нет"/>
          <w:rtl w:val="0"/>
          <w:lang w:val="en-US"/>
        </w:rPr>
        <w:t xml:space="preserve">[21] A. Preece and B. Batenin. </w:t>
      </w:r>
      <w:r>
        <w:rPr>
          <w:rStyle w:val="Нет"/>
          <w:i w:val="1"/>
          <w:iCs w:val="1"/>
          <w:rtl w:val="0"/>
          <w:lang w:val="en-US"/>
        </w:rPr>
        <w:t>Light as Causal Coherence Structure in Compact S</w:t>
      </w:r>
      <w:r>
        <w:rPr>
          <w:rStyle w:val="Нет"/>
          <w:i w:val="1"/>
          <w:iCs w:val="1"/>
          <w:rtl w:val="0"/>
          <w:lang w:val="en-US"/>
        </w:rPr>
        <w:t xml:space="preserve">³ </w:t>
      </w:r>
      <w:r>
        <w:rPr>
          <w:rStyle w:val="Нет"/>
          <w:i w:val="1"/>
          <w:iCs w:val="1"/>
          <w:rtl w:val="0"/>
          <w:lang w:val="en-US"/>
        </w:rPr>
        <w:t>Geometry: Null Relational Propagation and Compact Causal Accessibility</w:t>
      </w:r>
      <w:r>
        <w:rPr>
          <w:rStyle w:val="Нет"/>
          <w:rtl w:val="0"/>
          <w:lang w:val="en-US"/>
        </w:rPr>
        <w:t>. Author-supplied research manuscript, 2026.</w:t>
      </w:r>
    </w:p>
    <w:p>
      <w:pPr>
        <w:pStyle w:val="Reference"/>
        <w:keepLines w:val="1"/>
        <w:spacing w:line="240" w:lineRule="atLeast"/>
      </w:pPr>
      <w:r>
        <w:rPr>
          <w:rStyle w:val="Нет"/>
          <w:rtl w:val="0"/>
          <w:lang w:val="en-US"/>
        </w:rPr>
        <w:t xml:space="preserve">[22] A. Preece and B. Batenin. </w:t>
      </w:r>
      <w:r>
        <w:rPr>
          <w:rStyle w:val="Нет"/>
          <w:i w:val="1"/>
          <w:iCs w:val="1"/>
          <w:rtl w:val="0"/>
          <w:lang w:val="en-US"/>
        </w:rPr>
        <w:t>Causal Self-Consistency of the Speed of Light in Fractal S</w:t>
      </w:r>
      <w:r>
        <w:rPr>
          <w:rStyle w:val="Нет"/>
          <w:i w:val="1"/>
          <w:iCs w:val="1"/>
          <w:rtl w:val="0"/>
          <w:lang w:val="en-US"/>
        </w:rPr>
        <w:t xml:space="preserve">³ </w:t>
      </w:r>
      <w:r>
        <w:rPr>
          <w:rStyle w:val="Нет"/>
          <w:i w:val="1"/>
          <w:iCs w:val="1"/>
          <w:rtl w:val="0"/>
          <w:lang w:val="en-US"/>
        </w:rPr>
        <w:t>Geometry</w:t>
      </w:r>
      <w:r>
        <w:rPr>
          <w:rStyle w:val="Нет"/>
          <w:rtl w:val="0"/>
          <w:lang w:val="en-US"/>
        </w:rPr>
        <w:t>. Author-supplied research manuscript, 2026.</w:t>
      </w:r>
    </w:p>
    <w:p>
      <w:pPr>
        <w:pStyle w:val="Reference"/>
        <w:keepLines w:val="1"/>
        <w:spacing w:line="240" w:lineRule="atLeast"/>
      </w:pPr>
      <w:r>
        <w:rPr>
          <w:rStyle w:val="Нет"/>
          <w:rtl w:val="0"/>
          <w:lang w:val="en-US"/>
        </w:rPr>
        <w:t xml:space="preserve">[23] A. Preece and B. Batenin. </w:t>
      </w:r>
      <w:r>
        <w:rPr>
          <w:rStyle w:val="Нет"/>
          <w:i w:val="1"/>
          <w:iCs w:val="1"/>
          <w:rtl w:val="0"/>
          <w:lang w:val="en-US"/>
        </w:rPr>
        <w:t>Geometric</w:t>
      </w:r>
      <w:r>
        <w:rPr>
          <w:rStyle w:val="Нет"/>
          <w:i w:val="1"/>
          <w:iCs w:val="1"/>
          <w:rtl w:val="0"/>
          <w:lang w:val="en-US"/>
        </w:rPr>
        <w:t>–</w:t>
      </w:r>
      <w:r>
        <w:rPr>
          <w:rStyle w:val="Нет"/>
          <w:i w:val="1"/>
          <w:iCs w:val="1"/>
          <w:rtl w:val="0"/>
          <w:lang w:val="en-US"/>
        </w:rPr>
        <w:t>Causal</w:t>
      </w:r>
      <w:r>
        <w:rPr>
          <w:rStyle w:val="Нет"/>
          <w:i w:val="1"/>
          <w:iCs w:val="1"/>
          <w:rtl w:val="0"/>
          <w:lang w:val="en-US"/>
        </w:rPr>
        <w:t>–</w:t>
      </w:r>
      <w:r>
        <w:rPr>
          <w:rStyle w:val="Нет"/>
          <w:i w:val="1"/>
          <w:iCs w:val="1"/>
          <w:rtl w:val="0"/>
          <w:lang w:val="en-US"/>
        </w:rPr>
        <w:t>Spectral Cosmology on a Compact Three-Sphere: S</w:t>
      </w:r>
      <w:r>
        <w:rPr>
          <w:rStyle w:val="Нет"/>
          <w:i w:val="1"/>
          <w:iCs w:val="1"/>
          <w:rtl w:val="0"/>
          <w:lang w:val="en-US"/>
        </w:rPr>
        <w:t xml:space="preserve">³ </w:t>
      </w:r>
      <w:r>
        <w:rPr>
          <w:rStyle w:val="Нет"/>
          <w:i w:val="1"/>
          <w:iCs w:val="1"/>
          <w:rtl w:val="0"/>
          <w:lang w:val="en-US"/>
        </w:rPr>
        <w:t>Kernel, Causal Light-Front, Density Tracking, and Redshift as a Density-Gradient Integral</w:t>
      </w:r>
      <w:r>
        <w:rPr>
          <w:rStyle w:val="Нет"/>
          <w:rtl w:val="0"/>
          <w:lang w:val="en-US"/>
        </w:rPr>
        <w:t>. Author-supplied research manuscript, 2026.</w:t>
      </w:r>
    </w:p>
    <w:p>
      <w:pPr>
        <w:pStyle w:val="Reference"/>
        <w:keepLines w:val="1"/>
        <w:spacing w:line="240" w:lineRule="atLeast"/>
      </w:pPr>
      <w:r>
        <w:rPr>
          <w:rStyle w:val="Нет"/>
          <w:rtl w:val="0"/>
          <w:lang w:val="en-US"/>
        </w:rPr>
        <w:t xml:space="preserve">[24] A. Preece and B. Batenin. </w:t>
      </w:r>
      <w:r>
        <w:rPr>
          <w:rStyle w:val="Нет"/>
          <w:i w:val="1"/>
          <w:iCs w:val="1"/>
          <w:rtl w:val="0"/>
          <w:lang w:val="en-US"/>
        </w:rPr>
        <w:t>Dependently Reconstructible Distinguishability (DRD): A Functorial Theory of Information Carriers, Graded Spectral Capacities and Causal Integration on Compact S</w:t>
      </w:r>
      <w:r>
        <w:rPr>
          <w:rStyle w:val="Нет"/>
          <w:i w:val="1"/>
          <w:iCs w:val="1"/>
          <w:rtl w:val="0"/>
          <w:lang w:val="en-US"/>
        </w:rPr>
        <w:t xml:space="preserve">³ </w:t>
      </w:r>
      <w:r>
        <w:rPr>
          <w:rStyle w:val="Нет"/>
          <w:i w:val="1"/>
          <w:iCs w:val="1"/>
          <w:rtl w:val="0"/>
          <w:lang w:val="en-US"/>
        </w:rPr>
        <w:t>Geometry</w:t>
      </w:r>
      <w:r>
        <w:rPr>
          <w:rStyle w:val="Нет"/>
          <w:rtl w:val="0"/>
          <w:lang w:val="en-US"/>
        </w:rPr>
        <w:t>. Author-supplied research manuscript, 2026.</w:t>
      </w:r>
    </w:p>
    <w:p>
      <w:pPr>
        <w:pStyle w:val="Reference"/>
        <w:keepLines w:val="1"/>
        <w:spacing w:line="240" w:lineRule="atLeast"/>
      </w:pPr>
      <w:r>
        <w:rPr>
          <w:rStyle w:val="Нет"/>
          <w:rtl w:val="0"/>
          <w:lang w:val="en-US"/>
        </w:rPr>
        <w:t>[25] S. W. Hawking, A. R. King and P. J. McCarthy. A new topology for curved space</w:t>
      </w:r>
      <w:r>
        <w:rPr>
          <w:rStyle w:val="Нет"/>
          <w:rtl w:val="0"/>
          <w:lang w:val="en-US"/>
        </w:rPr>
        <w:t>–</w:t>
      </w:r>
      <w:r>
        <w:rPr>
          <w:rStyle w:val="Нет"/>
          <w:rtl w:val="0"/>
          <w:lang w:val="en-US"/>
        </w:rPr>
        <w:t xml:space="preserve">time which incorporates the causal, differential, and conformal structures. </w:t>
      </w:r>
      <w:r>
        <w:rPr>
          <w:rStyle w:val="Нет"/>
          <w:i w:val="1"/>
          <w:iCs w:val="1"/>
          <w:rtl w:val="0"/>
          <w:lang w:val="en-US"/>
        </w:rPr>
        <w:t>Journal of Mathematical Physics</w:t>
      </w:r>
      <w:r>
        <w:rPr>
          <w:rStyle w:val="Нет"/>
          <w:rtl w:val="0"/>
          <w:lang w:val="en-US"/>
        </w:rPr>
        <w:t xml:space="preserve"> </w:t>
      </w:r>
      <w:r>
        <w:rPr>
          <w:rStyle w:val="Нет"/>
          <w:b w:val="1"/>
          <w:bCs w:val="1"/>
          <w:rtl w:val="0"/>
          <w:lang w:val="en-US"/>
        </w:rPr>
        <w:t>17</w:t>
      </w:r>
      <w:r>
        <w:rPr>
          <w:rStyle w:val="Нет"/>
          <w:rtl w:val="0"/>
          <w:lang w:val="en-US"/>
        </w:rPr>
        <w:t>, 174</w:t>
      </w:r>
      <w:r>
        <w:rPr>
          <w:rStyle w:val="Нет"/>
          <w:rtl w:val="0"/>
          <w:lang w:val="en-US"/>
        </w:rPr>
        <w:t>–</w:t>
      </w:r>
      <w:r>
        <w:rPr>
          <w:rStyle w:val="Нет"/>
          <w:rtl w:val="0"/>
          <w:lang w:val="en-US"/>
        </w:rPr>
        <w:t xml:space="preserve">181 (1976). DOI: </w:t>
      </w:r>
      <w:r>
        <w:rPr>
          <w:rStyle w:val="Hyperlink.2"/>
        </w:rPr>
        <w:fldChar w:fldCharType="begin" w:fldLock="0"/>
      </w:r>
      <w:r>
        <w:rPr>
          <w:rStyle w:val="Hyperlink.2"/>
        </w:rPr>
        <w:instrText xml:space="preserve"> HYPERLINK "https://doi.org/10.1063/1.522874"</w:instrText>
      </w:r>
      <w:r>
        <w:rPr>
          <w:rStyle w:val="Hyperlink.2"/>
        </w:rPr>
        <w:fldChar w:fldCharType="separate" w:fldLock="0"/>
      </w:r>
      <w:r>
        <w:rPr>
          <w:rStyle w:val="Hyperlink.2"/>
          <w:rtl w:val="0"/>
          <w:lang w:val="en-US"/>
        </w:rPr>
        <w:t>10.1063/1.522874</w:t>
      </w:r>
      <w:r>
        <w:rPr/>
        <w:fldChar w:fldCharType="end" w:fldLock="0"/>
      </w:r>
      <w:r>
        <w:rPr>
          <w:rStyle w:val="Нет"/>
          <w:rtl w:val="0"/>
          <w:lang w:val="en-US"/>
        </w:rPr>
        <w:t>.</w:t>
      </w:r>
    </w:p>
    <w:p>
      <w:pPr>
        <w:pStyle w:val="Reference"/>
        <w:keepLines w:val="1"/>
        <w:spacing w:line="240" w:lineRule="atLeast"/>
      </w:pPr>
      <w:r>
        <w:rPr>
          <w:rStyle w:val="Нет"/>
          <w:rtl w:val="0"/>
          <w:lang w:val="en-US"/>
        </w:rPr>
        <w:t>[26] J. Ehlers, F. A. E. Pirani and A. Schild. The geometry of free fall and light propagation. In L. O</w:t>
      </w:r>
      <w:r>
        <w:rPr>
          <w:rStyle w:val="Нет"/>
          <w:rtl w:val="0"/>
          <w:lang w:val="en-US"/>
        </w:rPr>
        <w:t>’</w:t>
      </w:r>
      <w:r>
        <w:rPr>
          <w:rStyle w:val="Нет"/>
          <w:rtl w:val="0"/>
          <w:lang w:val="en-US"/>
        </w:rPr>
        <w:t xml:space="preserve">Raifeartaigh (ed.), </w:t>
      </w:r>
      <w:r>
        <w:rPr>
          <w:rStyle w:val="Нет"/>
          <w:i w:val="1"/>
          <w:iCs w:val="1"/>
          <w:rtl w:val="0"/>
          <w:lang w:val="en-US"/>
        </w:rPr>
        <w:t>General Relativity: Papers in Honour of J. L. Synge</w:t>
      </w:r>
      <w:r>
        <w:rPr>
          <w:rStyle w:val="Нет"/>
          <w:rtl w:val="0"/>
          <w:lang w:val="en-US"/>
        </w:rPr>
        <w:t>, Clarendon Press, Oxford, 1972, pp.</w:t>
      </w:r>
      <w:r>
        <w:rPr>
          <w:rStyle w:val="Нет"/>
          <w:rtl w:val="0"/>
          <w:lang w:val="en-US"/>
        </w:rPr>
        <w:t> </w:t>
      </w:r>
      <w:r>
        <w:rPr>
          <w:rStyle w:val="Нет"/>
          <w:rtl w:val="0"/>
          <w:lang w:val="en-US"/>
        </w:rPr>
        <w:t>63</w:t>
      </w:r>
      <w:r>
        <w:rPr>
          <w:rStyle w:val="Нет"/>
          <w:rtl w:val="0"/>
          <w:lang w:val="en-US"/>
        </w:rPr>
        <w:t>–</w:t>
      </w:r>
      <w:r>
        <w:rPr>
          <w:rStyle w:val="Нет"/>
          <w:rtl w:val="0"/>
          <w:lang w:val="en-US"/>
        </w:rPr>
        <w:t xml:space="preserve">84. Republication: </w:t>
      </w:r>
      <w:r>
        <w:rPr>
          <w:rStyle w:val="Нет"/>
          <w:i w:val="1"/>
          <w:iCs w:val="1"/>
          <w:rtl w:val="0"/>
          <w:lang w:val="en-US"/>
        </w:rPr>
        <w:t>General Relativity and Gravitation</w:t>
      </w:r>
      <w:r>
        <w:rPr>
          <w:rStyle w:val="Нет"/>
          <w:rtl w:val="0"/>
          <w:lang w:val="en-US"/>
        </w:rPr>
        <w:t xml:space="preserve"> </w:t>
      </w:r>
      <w:r>
        <w:rPr>
          <w:rStyle w:val="Нет"/>
          <w:b w:val="1"/>
          <w:bCs w:val="1"/>
          <w:rtl w:val="0"/>
          <w:lang w:val="en-US"/>
        </w:rPr>
        <w:t>44</w:t>
      </w:r>
      <w:r>
        <w:rPr>
          <w:rStyle w:val="Нет"/>
          <w:rtl w:val="0"/>
          <w:lang w:val="en-US"/>
        </w:rPr>
        <w:t>, 1587</w:t>
      </w:r>
      <w:r>
        <w:rPr>
          <w:rStyle w:val="Нет"/>
          <w:rtl w:val="0"/>
          <w:lang w:val="en-US"/>
        </w:rPr>
        <w:t>–</w:t>
      </w:r>
      <w:r>
        <w:rPr>
          <w:rStyle w:val="Нет"/>
          <w:rtl w:val="0"/>
          <w:lang w:val="en-US"/>
        </w:rPr>
        <w:t xml:space="preserve">1609 (2012). DOI: </w:t>
      </w:r>
      <w:r>
        <w:rPr>
          <w:rStyle w:val="Hyperlink.2"/>
        </w:rPr>
        <w:fldChar w:fldCharType="begin" w:fldLock="0"/>
      </w:r>
      <w:r>
        <w:rPr>
          <w:rStyle w:val="Hyperlink.2"/>
        </w:rPr>
        <w:instrText xml:space="preserve"> HYPERLINK "https://doi.org/10.1007/s10714-012-1353-4"</w:instrText>
      </w:r>
      <w:r>
        <w:rPr>
          <w:rStyle w:val="Hyperlink.2"/>
        </w:rPr>
        <w:fldChar w:fldCharType="separate" w:fldLock="0"/>
      </w:r>
      <w:r>
        <w:rPr>
          <w:rStyle w:val="Hyperlink.2"/>
          <w:rtl w:val="0"/>
          <w:lang w:val="en-US"/>
        </w:rPr>
        <w:t>10.1007/s10714-012-1353-4</w:t>
      </w:r>
      <w:r>
        <w:rPr/>
        <w:fldChar w:fldCharType="end" w:fldLock="0"/>
      </w:r>
      <w:r>
        <w:rPr>
          <w:rStyle w:val="Нет"/>
          <w:rtl w:val="0"/>
          <w:lang w:val="en-US"/>
        </w:rPr>
        <w:t>.</w:t>
      </w:r>
    </w:p>
    <w:p>
      <w:pPr>
        <w:pStyle w:val="Reference"/>
        <w:keepLines w:val="1"/>
        <w:spacing w:line="240" w:lineRule="atLeast"/>
      </w:pPr>
      <w:r>
        <w:rPr>
          <w:rStyle w:val="Нет"/>
          <w:rtl w:val="0"/>
          <w:lang w:val="en-US"/>
        </w:rPr>
        <w:t>[27] N. Linnemann and J. Read. Constructive Axiomatics in Spacetime Physics Part I: Walkthrough to the Ehlers</w:t>
      </w:r>
      <w:r>
        <w:rPr>
          <w:rStyle w:val="Нет"/>
          <w:rtl w:val="0"/>
          <w:lang w:val="en-US"/>
        </w:rPr>
        <w:t>–</w:t>
      </w:r>
      <w:r>
        <w:rPr>
          <w:rStyle w:val="Нет"/>
          <w:rtl w:val="0"/>
          <w:lang w:val="en-US"/>
        </w:rPr>
        <w:t>Pirani</w:t>
      </w:r>
      <w:r>
        <w:rPr>
          <w:rStyle w:val="Нет"/>
          <w:rtl w:val="0"/>
          <w:lang w:val="en-US"/>
        </w:rPr>
        <w:t>–</w:t>
      </w:r>
      <w:r>
        <w:rPr>
          <w:rStyle w:val="Нет"/>
          <w:rtl w:val="0"/>
          <w:lang w:val="en-US"/>
        </w:rPr>
        <w:t xml:space="preserve">Schild Axiomatisation. Research preprint, 2021. </w:t>
      </w:r>
      <w:r>
        <w:rPr>
          <w:rStyle w:val="Hyperlink.2"/>
        </w:rPr>
        <w:fldChar w:fldCharType="begin" w:fldLock="0"/>
      </w:r>
      <w:r>
        <w:rPr>
          <w:rStyle w:val="Hyperlink.2"/>
        </w:rPr>
        <w:instrText xml:space="preserve"> HYPERLINK "https://arxiv.org/abs/2112.14063"</w:instrText>
      </w:r>
      <w:r>
        <w:rPr>
          <w:rStyle w:val="Hyperlink.2"/>
        </w:rPr>
        <w:fldChar w:fldCharType="separate" w:fldLock="0"/>
      </w:r>
      <w:r>
        <w:rPr>
          <w:rStyle w:val="Hyperlink.2"/>
          <w:rtl w:val="0"/>
          <w:lang w:val="en-US"/>
        </w:rPr>
        <w:t>arXiv:2112.14063</w:t>
      </w:r>
      <w:r>
        <w:rPr/>
        <w:fldChar w:fldCharType="end" w:fldLock="0"/>
      </w:r>
      <w:r>
        <w:rPr>
          <w:rStyle w:val="Нет"/>
          <w:rtl w:val="0"/>
          <w:lang w:val="en-US"/>
        </w:rPr>
        <w:t>.</w:t>
      </w:r>
    </w:p>
    <w:p>
      <w:pPr>
        <w:pStyle w:val="Reference"/>
        <w:keepLines w:val="1"/>
        <w:spacing w:line="240" w:lineRule="atLeast"/>
      </w:pPr>
      <w:r>
        <w:rPr>
          <w:rStyle w:val="Нет"/>
          <w:rtl w:val="0"/>
          <w:lang w:val="en-US"/>
        </w:rPr>
        <w:t xml:space="preserve">[28] V. Perlick. Characterization of standard clocks by means of light rays and freely falling particles. </w:t>
      </w:r>
      <w:r>
        <w:rPr>
          <w:rStyle w:val="Нет"/>
          <w:i w:val="1"/>
          <w:iCs w:val="1"/>
          <w:rtl w:val="0"/>
          <w:lang w:val="en-US"/>
        </w:rPr>
        <w:t>General Relativity and Gravitation</w:t>
      </w:r>
      <w:r>
        <w:rPr>
          <w:rStyle w:val="Нет"/>
          <w:rtl w:val="0"/>
          <w:lang w:val="en-US"/>
        </w:rPr>
        <w:t xml:space="preserve"> </w:t>
      </w:r>
      <w:r>
        <w:rPr>
          <w:rStyle w:val="Нет"/>
          <w:b w:val="1"/>
          <w:bCs w:val="1"/>
          <w:rtl w:val="0"/>
          <w:lang w:val="en-US"/>
        </w:rPr>
        <w:t>19</w:t>
      </w:r>
      <w:r>
        <w:rPr>
          <w:rStyle w:val="Нет"/>
          <w:rtl w:val="0"/>
          <w:lang w:val="en-US"/>
        </w:rPr>
        <w:t>, 1059</w:t>
      </w:r>
      <w:r>
        <w:rPr>
          <w:rStyle w:val="Нет"/>
          <w:rtl w:val="0"/>
          <w:lang w:val="en-US"/>
        </w:rPr>
        <w:t>–</w:t>
      </w:r>
      <w:r>
        <w:rPr>
          <w:rStyle w:val="Нет"/>
          <w:rtl w:val="0"/>
          <w:lang w:val="en-US"/>
        </w:rPr>
        <w:t xml:space="preserve">1073 (1987). DOI: </w:t>
      </w:r>
      <w:r>
        <w:rPr>
          <w:rStyle w:val="Hyperlink.2"/>
        </w:rPr>
        <w:fldChar w:fldCharType="begin" w:fldLock="0"/>
      </w:r>
      <w:r>
        <w:rPr>
          <w:rStyle w:val="Hyperlink.2"/>
        </w:rPr>
        <w:instrText xml:space="preserve"> HYPERLINK "https://doi.org/10.1007/BF00759142"</w:instrText>
      </w:r>
      <w:r>
        <w:rPr>
          <w:rStyle w:val="Hyperlink.2"/>
        </w:rPr>
        <w:fldChar w:fldCharType="separate" w:fldLock="0"/>
      </w:r>
      <w:r>
        <w:rPr>
          <w:rStyle w:val="Hyperlink.2"/>
          <w:rtl w:val="0"/>
          <w:lang w:val="en-US"/>
        </w:rPr>
        <w:t>10.1007/BF00759142</w:t>
      </w:r>
      <w:r>
        <w:rPr/>
        <w:fldChar w:fldCharType="end" w:fldLock="0"/>
      </w:r>
      <w:r>
        <w:rPr>
          <w:rStyle w:val="Нет"/>
          <w:rtl w:val="0"/>
          <w:lang w:val="en-US"/>
        </w:rPr>
        <w:t>.</w:t>
      </w:r>
    </w:p>
    <w:p>
      <w:pPr>
        <w:pStyle w:val="Reference"/>
        <w:keepLines w:val="1"/>
        <w:spacing w:line="240" w:lineRule="atLeast"/>
      </w:pPr>
      <w:r>
        <w:rPr>
          <w:rStyle w:val="Нет"/>
          <w:rtl w:val="0"/>
          <w:lang w:val="en-US"/>
        </w:rPr>
        <w:t xml:space="preserve">[29] E. Minguzzi. Lorentzian causality theory. </w:t>
      </w:r>
      <w:r>
        <w:rPr>
          <w:rStyle w:val="Нет"/>
          <w:i w:val="1"/>
          <w:iCs w:val="1"/>
          <w:rtl w:val="0"/>
          <w:lang w:val="en-US"/>
        </w:rPr>
        <w:t>Living Reviews in Relativity</w:t>
      </w:r>
      <w:r>
        <w:rPr>
          <w:rStyle w:val="Нет"/>
          <w:rtl w:val="0"/>
          <w:lang w:val="en-US"/>
        </w:rPr>
        <w:t xml:space="preserve"> </w:t>
      </w:r>
      <w:r>
        <w:rPr>
          <w:rStyle w:val="Нет"/>
          <w:b w:val="1"/>
          <w:bCs w:val="1"/>
          <w:rtl w:val="0"/>
          <w:lang w:val="en-US"/>
        </w:rPr>
        <w:t>22</w:t>
      </w:r>
      <w:r>
        <w:rPr>
          <w:rStyle w:val="Нет"/>
          <w:rtl w:val="0"/>
          <w:lang w:val="en-US"/>
        </w:rPr>
        <w:t xml:space="preserve">, 3 (2019). DOI: </w:t>
      </w:r>
      <w:r>
        <w:rPr>
          <w:rStyle w:val="Hyperlink.2"/>
        </w:rPr>
        <w:fldChar w:fldCharType="begin" w:fldLock="0"/>
      </w:r>
      <w:r>
        <w:rPr>
          <w:rStyle w:val="Hyperlink.2"/>
        </w:rPr>
        <w:instrText xml:space="preserve"> HYPERLINK "https://doi.org/10.1007/s41114-019-0019-x"</w:instrText>
      </w:r>
      <w:r>
        <w:rPr>
          <w:rStyle w:val="Hyperlink.2"/>
        </w:rPr>
        <w:fldChar w:fldCharType="separate" w:fldLock="0"/>
      </w:r>
      <w:r>
        <w:rPr>
          <w:rStyle w:val="Hyperlink.2"/>
          <w:rtl w:val="0"/>
          <w:lang w:val="en-US"/>
        </w:rPr>
        <w:t>10.1007/s41114-019-0019-x</w:t>
      </w:r>
      <w:r>
        <w:rPr/>
        <w:fldChar w:fldCharType="end" w:fldLock="0"/>
      </w:r>
      <w:r>
        <w:rPr>
          <w:rStyle w:val="Нет"/>
          <w:rtl w:val="0"/>
          <w:lang w:val="en-US"/>
        </w:rPr>
        <w:t>.</w:t>
      </w:r>
    </w:p>
    <w:p>
      <w:pPr>
        <w:pStyle w:val="Reference"/>
        <w:keepLines w:val="1"/>
        <w:spacing w:line="240" w:lineRule="atLeast"/>
      </w:pPr>
      <w:r>
        <w:rPr>
          <w:rStyle w:val="Нет"/>
          <w:rtl w:val="0"/>
          <w:lang w:val="en-US"/>
        </w:rPr>
        <w:t>[30] C. B</w:t>
      </w:r>
      <w:r>
        <w:rPr>
          <w:rStyle w:val="Нет"/>
          <w:rtl w:val="0"/>
          <w:lang w:val="en-US"/>
        </w:rPr>
        <w:t>ä</w:t>
      </w:r>
      <w:r>
        <w:rPr>
          <w:rStyle w:val="Нет"/>
          <w:rtl w:val="0"/>
          <w:lang w:val="en-US"/>
        </w:rPr>
        <w:t>r, N. Ginoux and F. Pf</w:t>
      </w:r>
      <w:r>
        <w:rPr>
          <w:rStyle w:val="Нет"/>
          <w:rtl w:val="0"/>
          <w:lang w:val="en-US"/>
        </w:rPr>
        <w:t>ä</w:t>
      </w:r>
      <w:r>
        <w:rPr>
          <w:rStyle w:val="Нет"/>
          <w:rtl w:val="0"/>
          <w:lang w:val="en-US"/>
        </w:rPr>
        <w:t xml:space="preserve">ffle. </w:t>
      </w:r>
      <w:r>
        <w:rPr>
          <w:rStyle w:val="Нет"/>
          <w:i w:val="1"/>
          <w:iCs w:val="1"/>
          <w:rtl w:val="0"/>
          <w:lang w:val="en-US"/>
        </w:rPr>
        <w:t>Wave Equations on Lorentzian Manifolds and Quantization</w:t>
      </w:r>
      <w:r>
        <w:rPr>
          <w:rStyle w:val="Нет"/>
          <w:rtl w:val="0"/>
          <w:lang w:val="en-US"/>
        </w:rPr>
        <w:t xml:space="preserve">. EMS, 2007. DOI: </w:t>
      </w:r>
      <w:r>
        <w:rPr>
          <w:rStyle w:val="Hyperlink.2"/>
        </w:rPr>
        <w:fldChar w:fldCharType="begin" w:fldLock="0"/>
      </w:r>
      <w:r>
        <w:rPr>
          <w:rStyle w:val="Hyperlink.2"/>
        </w:rPr>
        <w:instrText xml:space="preserve"> HYPERLINK "https://doi.org/10.4171/037"</w:instrText>
      </w:r>
      <w:r>
        <w:rPr>
          <w:rStyle w:val="Hyperlink.2"/>
        </w:rPr>
        <w:fldChar w:fldCharType="separate" w:fldLock="0"/>
      </w:r>
      <w:r>
        <w:rPr>
          <w:rStyle w:val="Hyperlink.2"/>
          <w:rtl w:val="0"/>
          <w:lang w:val="en-US"/>
        </w:rPr>
        <w:t>10.4171/037</w:t>
      </w:r>
      <w:r>
        <w:rPr/>
        <w:fldChar w:fldCharType="end" w:fldLock="0"/>
      </w:r>
      <w:r>
        <w:rPr>
          <w:rStyle w:val="Нет"/>
          <w:rtl w:val="0"/>
          <w:lang w:val="en-US"/>
        </w:rPr>
        <w:t xml:space="preserve">. </w:t>
      </w:r>
      <w:r>
        <w:rPr>
          <w:rStyle w:val="Hyperlink.2"/>
        </w:rPr>
        <w:fldChar w:fldCharType="begin" w:fldLock="0"/>
      </w:r>
      <w:r>
        <w:rPr>
          <w:rStyle w:val="Hyperlink.2"/>
        </w:rPr>
        <w:instrText xml:space="preserve"> HYPERLINK "https://arxiv.org/abs/0806.1036"</w:instrText>
      </w:r>
      <w:r>
        <w:rPr>
          <w:rStyle w:val="Hyperlink.2"/>
        </w:rPr>
        <w:fldChar w:fldCharType="separate" w:fldLock="0"/>
      </w:r>
      <w:r>
        <w:rPr>
          <w:rStyle w:val="Hyperlink.2"/>
          <w:rtl w:val="0"/>
          <w:lang w:val="en-US"/>
        </w:rPr>
        <w:t>arXiv:0806.1036</w:t>
      </w:r>
      <w:r>
        <w:rPr/>
        <w:fldChar w:fldCharType="end" w:fldLock="0"/>
      </w:r>
      <w:r>
        <w:rPr>
          <w:rStyle w:val="Нет"/>
          <w:rtl w:val="0"/>
          <w:lang w:val="en-US"/>
        </w:rPr>
        <w:t>.</w:t>
      </w:r>
    </w:p>
    <w:p>
      <w:pPr>
        <w:pStyle w:val="Reference"/>
        <w:keepLines w:val="1"/>
        <w:spacing w:line="240" w:lineRule="atLeast"/>
      </w:pPr>
      <w:r>
        <w:rPr>
          <w:rStyle w:val="Нет"/>
          <w:rtl w:val="0"/>
          <w:lang w:val="en-US"/>
        </w:rPr>
        <w:t>[31] M. Benini, C. Dappiaggi and T.-P. Hack. Quantum Field Theory on Curved Backgrounds</w:t>
      </w:r>
      <w:r>
        <w:rPr>
          <w:rStyle w:val="Нет"/>
          <w:rtl w:val="0"/>
          <w:lang w:val="en-US"/>
        </w:rPr>
        <w:t>—</w:t>
      </w:r>
      <w:r>
        <w:rPr>
          <w:rStyle w:val="Нет"/>
          <w:rtl w:val="0"/>
          <w:lang w:val="en-US"/>
        </w:rPr>
        <w:t xml:space="preserve">A Primer. </w:t>
      </w:r>
      <w:r>
        <w:rPr>
          <w:rStyle w:val="Нет"/>
          <w:i w:val="1"/>
          <w:iCs w:val="1"/>
          <w:rtl w:val="0"/>
          <w:lang w:val="en-US"/>
        </w:rPr>
        <w:t>International Journal of Modern Physics A</w:t>
      </w:r>
      <w:r>
        <w:rPr>
          <w:rStyle w:val="Нет"/>
          <w:rtl w:val="0"/>
          <w:lang w:val="en-US"/>
        </w:rPr>
        <w:t xml:space="preserve"> </w:t>
      </w:r>
      <w:r>
        <w:rPr>
          <w:rStyle w:val="Нет"/>
          <w:b w:val="1"/>
          <w:bCs w:val="1"/>
          <w:rtl w:val="0"/>
          <w:lang w:val="en-US"/>
        </w:rPr>
        <w:t>28</w:t>
      </w:r>
      <w:r>
        <w:rPr>
          <w:rStyle w:val="Нет"/>
          <w:rtl w:val="0"/>
          <w:lang w:val="en-US"/>
        </w:rPr>
        <w:t xml:space="preserve">, 1330023 (2013). DOI: </w:t>
      </w:r>
      <w:r>
        <w:rPr>
          <w:rStyle w:val="Hyperlink.2"/>
        </w:rPr>
        <w:fldChar w:fldCharType="begin" w:fldLock="0"/>
      </w:r>
      <w:r>
        <w:rPr>
          <w:rStyle w:val="Hyperlink.2"/>
        </w:rPr>
        <w:instrText xml:space="preserve"> HYPERLINK "https://doi.org/10.1142/S0217751X13300238"</w:instrText>
      </w:r>
      <w:r>
        <w:rPr>
          <w:rStyle w:val="Hyperlink.2"/>
        </w:rPr>
        <w:fldChar w:fldCharType="separate" w:fldLock="0"/>
      </w:r>
      <w:r>
        <w:rPr>
          <w:rStyle w:val="Hyperlink.2"/>
          <w:rtl w:val="0"/>
          <w:lang w:val="en-US"/>
        </w:rPr>
        <w:t>10.1142/S0217751X13300238</w:t>
      </w:r>
      <w:r>
        <w:rPr/>
        <w:fldChar w:fldCharType="end" w:fldLock="0"/>
      </w:r>
      <w:r>
        <w:rPr>
          <w:rStyle w:val="Нет"/>
          <w:rtl w:val="0"/>
          <w:lang w:val="en-US"/>
        </w:rPr>
        <w:t xml:space="preserve">. </w:t>
      </w:r>
      <w:r>
        <w:rPr>
          <w:rStyle w:val="Hyperlink.2"/>
        </w:rPr>
        <w:fldChar w:fldCharType="begin" w:fldLock="0"/>
      </w:r>
      <w:r>
        <w:rPr>
          <w:rStyle w:val="Hyperlink.2"/>
        </w:rPr>
        <w:instrText xml:space="preserve"> HYPERLINK "https://arxiv.org/abs/1306.0527"</w:instrText>
      </w:r>
      <w:r>
        <w:rPr>
          <w:rStyle w:val="Hyperlink.2"/>
        </w:rPr>
        <w:fldChar w:fldCharType="separate" w:fldLock="0"/>
      </w:r>
      <w:r>
        <w:rPr>
          <w:rStyle w:val="Hyperlink.2"/>
          <w:rtl w:val="0"/>
          <w:lang w:val="en-US"/>
        </w:rPr>
        <w:t>arXiv:1306.0527</w:t>
      </w:r>
      <w:r>
        <w:rPr/>
        <w:fldChar w:fldCharType="end" w:fldLock="0"/>
      </w:r>
      <w:r>
        <w:rPr>
          <w:rStyle w:val="Нет"/>
          <w:rtl w:val="0"/>
          <w:lang w:val="en-US"/>
        </w:rPr>
        <w:t>.</w:t>
      </w:r>
    </w:p>
    <w:p>
      <w:pPr>
        <w:pStyle w:val="Reference"/>
        <w:keepLines w:val="1"/>
        <w:spacing w:line="240" w:lineRule="atLeast"/>
      </w:pPr>
      <w:r>
        <w:rPr>
          <w:rStyle w:val="Нет"/>
          <w:rtl w:val="0"/>
          <w:lang w:val="en-US"/>
        </w:rPr>
        <w:t xml:space="preserve">[32] V. Morinelli, G. Morsella, A. Stottmeister and Y. Tanimoto. Scaling Limits of Lattice Quantum Fields by Wavelets. </w:t>
      </w:r>
      <w:r>
        <w:rPr>
          <w:rStyle w:val="Нет"/>
          <w:i w:val="1"/>
          <w:iCs w:val="1"/>
          <w:rtl w:val="0"/>
          <w:lang w:val="en-US"/>
        </w:rPr>
        <w:t>Communications in Mathematical Physics</w:t>
      </w:r>
      <w:r>
        <w:rPr>
          <w:rStyle w:val="Нет"/>
          <w:rtl w:val="0"/>
          <w:lang w:val="en-US"/>
        </w:rPr>
        <w:t xml:space="preserve"> </w:t>
      </w:r>
      <w:r>
        <w:rPr>
          <w:rStyle w:val="Нет"/>
          <w:b w:val="1"/>
          <w:bCs w:val="1"/>
          <w:rtl w:val="0"/>
          <w:lang w:val="en-US"/>
        </w:rPr>
        <w:t>387</w:t>
      </w:r>
      <w:r>
        <w:rPr>
          <w:rStyle w:val="Нет"/>
          <w:rtl w:val="0"/>
          <w:lang w:val="en-US"/>
        </w:rPr>
        <w:t>, 299</w:t>
      </w:r>
      <w:r>
        <w:rPr>
          <w:rStyle w:val="Нет"/>
          <w:rtl w:val="0"/>
          <w:lang w:val="en-US"/>
        </w:rPr>
        <w:t>–</w:t>
      </w:r>
      <w:r>
        <w:rPr>
          <w:rStyle w:val="Нет"/>
          <w:rtl w:val="0"/>
          <w:lang w:val="en-US"/>
        </w:rPr>
        <w:t xml:space="preserve">360 (2021). DOI: </w:t>
      </w:r>
      <w:r>
        <w:rPr>
          <w:rStyle w:val="Hyperlink.2"/>
        </w:rPr>
        <w:fldChar w:fldCharType="begin" w:fldLock="0"/>
      </w:r>
      <w:r>
        <w:rPr>
          <w:rStyle w:val="Hyperlink.2"/>
        </w:rPr>
        <w:instrText xml:space="preserve"> HYPERLINK "https://doi.org/10.1007/s00220-021-04152-5"</w:instrText>
      </w:r>
      <w:r>
        <w:rPr>
          <w:rStyle w:val="Hyperlink.2"/>
        </w:rPr>
        <w:fldChar w:fldCharType="separate" w:fldLock="0"/>
      </w:r>
      <w:r>
        <w:rPr>
          <w:rStyle w:val="Hyperlink.2"/>
          <w:rtl w:val="0"/>
          <w:lang w:val="en-US"/>
        </w:rPr>
        <w:t>10.1007/s00220-021-04152-5</w:t>
      </w:r>
      <w:r>
        <w:rPr/>
        <w:fldChar w:fldCharType="end" w:fldLock="0"/>
      </w:r>
      <w:r>
        <w:rPr>
          <w:rStyle w:val="Нет"/>
          <w:rtl w:val="0"/>
          <w:lang w:val="en-US"/>
        </w:rPr>
        <w:t xml:space="preserve">. </w:t>
      </w:r>
      <w:r>
        <w:rPr>
          <w:rStyle w:val="Hyperlink.2"/>
        </w:rPr>
        <w:fldChar w:fldCharType="begin" w:fldLock="0"/>
      </w:r>
      <w:r>
        <w:rPr>
          <w:rStyle w:val="Hyperlink.2"/>
        </w:rPr>
        <w:instrText xml:space="preserve"> HYPERLINK "https://arxiv.org/abs/2010.11121"</w:instrText>
      </w:r>
      <w:r>
        <w:rPr>
          <w:rStyle w:val="Hyperlink.2"/>
        </w:rPr>
        <w:fldChar w:fldCharType="separate" w:fldLock="0"/>
      </w:r>
      <w:r>
        <w:rPr>
          <w:rStyle w:val="Hyperlink.2"/>
          <w:rtl w:val="0"/>
          <w:lang w:val="en-US"/>
        </w:rPr>
        <w:t>arXiv:2010.11121</w:t>
      </w:r>
      <w:r>
        <w:rPr/>
        <w:fldChar w:fldCharType="end" w:fldLock="0"/>
      </w:r>
      <w:r>
        <w:rPr>
          <w:rStyle w:val="Нет"/>
          <w:rtl w:val="0"/>
          <w:lang w:val="en-US"/>
        </w:rPr>
        <w:t>.</w:t>
      </w:r>
    </w:p>
    <w:p>
      <w:pPr>
        <w:pStyle w:val="Reference"/>
        <w:keepLines w:val="1"/>
        <w:spacing w:line="240" w:lineRule="atLeast"/>
      </w:pPr>
      <w:r>
        <w:rPr>
          <w:rStyle w:val="Нет"/>
          <w:rtl w:val="0"/>
          <w:lang w:val="en-US"/>
        </w:rPr>
        <w:t xml:space="preserve">[33] H. S. Reall. Causality in gravitational theories with second order equations of motion. </w:t>
      </w:r>
      <w:r>
        <w:rPr>
          <w:rStyle w:val="Нет"/>
          <w:i w:val="1"/>
          <w:iCs w:val="1"/>
          <w:rtl w:val="0"/>
          <w:lang w:val="en-US"/>
        </w:rPr>
        <w:t>Physical Review D</w:t>
      </w:r>
      <w:r>
        <w:rPr>
          <w:rStyle w:val="Нет"/>
          <w:rtl w:val="0"/>
          <w:lang w:val="en-US"/>
        </w:rPr>
        <w:t xml:space="preserve"> </w:t>
      </w:r>
      <w:r>
        <w:rPr>
          <w:rStyle w:val="Нет"/>
          <w:b w:val="1"/>
          <w:bCs w:val="1"/>
          <w:rtl w:val="0"/>
          <w:lang w:val="en-US"/>
        </w:rPr>
        <w:t>103</w:t>
      </w:r>
      <w:r>
        <w:rPr>
          <w:rStyle w:val="Нет"/>
          <w:rtl w:val="0"/>
          <w:lang w:val="en-US"/>
        </w:rPr>
        <w:t xml:space="preserve">, 084027 (2021). DOI: </w:t>
      </w:r>
      <w:r>
        <w:rPr>
          <w:rStyle w:val="Hyperlink.2"/>
        </w:rPr>
        <w:fldChar w:fldCharType="begin" w:fldLock="0"/>
      </w:r>
      <w:r>
        <w:rPr>
          <w:rStyle w:val="Hyperlink.2"/>
        </w:rPr>
        <w:instrText xml:space="preserve"> HYPERLINK "https://doi.org/10.1103/PhysRevD.103.084027"</w:instrText>
      </w:r>
      <w:r>
        <w:rPr>
          <w:rStyle w:val="Hyperlink.2"/>
        </w:rPr>
        <w:fldChar w:fldCharType="separate" w:fldLock="0"/>
      </w:r>
      <w:r>
        <w:rPr>
          <w:rStyle w:val="Hyperlink.2"/>
          <w:rtl w:val="0"/>
          <w:lang w:val="en-US"/>
        </w:rPr>
        <w:t>10.1103/PhysRevD.103.084027</w:t>
      </w:r>
      <w:r>
        <w:rPr/>
        <w:fldChar w:fldCharType="end" w:fldLock="0"/>
      </w:r>
      <w:r>
        <w:rPr>
          <w:rStyle w:val="Нет"/>
          <w:rtl w:val="0"/>
          <w:lang w:val="en-US"/>
        </w:rPr>
        <w:t xml:space="preserve">. </w:t>
      </w:r>
      <w:r>
        <w:rPr>
          <w:rStyle w:val="Hyperlink.2"/>
        </w:rPr>
        <w:fldChar w:fldCharType="begin" w:fldLock="0"/>
      </w:r>
      <w:r>
        <w:rPr>
          <w:rStyle w:val="Hyperlink.2"/>
        </w:rPr>
        <w:instrText xml:space="preserve"> HYPERLINK "https://arxiv.org/abs/2101.11623"</w:instrText>
      </w:r>
      <w:r>
        <w:rPr>
          <w:rStyle w:val="Hyperlink.2"/>
        </w:rPr>
        <w:fldChar w:fldCharType="separate" w:fldLock="0"/>
      </w:r>
      <w:r>
        <w:rPr>
          <w:rStyle w:val="Hyperlink.2"/>
          <w:rtl w:val="0"/>
          <w:lang w:val="en-US"/>
        </w:rPr>
        <w:t>arXiv:2101.11623</w:t>
      </w:r>
      <w:r>
        <w:rPr/>
        <w:fldChar w:fldCharType="end" w:fldLock="0"/>
      </w:r>
      <w:r>
        <w:rPr>
          <w:rStyle w:val="Нет"/>
          <w:rtl w:val="0"/>
          <w:lang w:val="en-US"/>
        </w:rPr>
        <w:t>.</w:t>
      </w:r>
    </w:p>
    <w:p>
      <w:pPr>
        <w:pStyle w:val="Reference"/>
        <w:keepLines w:val="1"/>
        <w:spacing w:line="240" w:lineRule="atLeast"/>
      </w:pPr>
      <w:r>
        <w:rPr>
          <w:rStyle w:val="Нет"/>
          <w:rtl w:val="0"/>
          <w:lang w:val="en-US"/>
        </w:rPr>
        <w:t xml:space="preserve">[34] Z. Kepuladze. Lorentz Violation: Loop-Induced Effects in QED and Observational Constraints. Research preprint, </w:t>
      </w:r>
      <w:r>
        <w:rPr>
          <w:rStyle w:val="Hyperlink.2"/>
        </w:rPr>
        <w:fldChar w:fldCharType="begin" w:fldLock="0"/>
      </w:r>
      <w:r>
        <w:rPr>
          <w:rStyle w:val="Hyperlink.2"/>
        </w:rPr>
        <w:instrText xml:space="preserve"> HYPERLINK "https://arxiv.org/abs/2504.15608v3"</w:instrText>
      </w:r>
      <w:r>
        <w:rPr>
          <w:rStyle w:val="Hyperlink.2"/>
        </w:rPr>
        <w:fldChar w:fldCharType="separate" w:fldLock="0"/>
      </w:r>
      <w:r>
        <w:rPr>
          <w:rStyle w:val="Hyperlink.2"/>
          <w:rtl w:val="0"/>
          <w:lang w:val="en-US"/>
        </w:rPr>
        <w:t>arXiv:2504.15608v3</w:t>
      </w:r>
      <w:r>
        <w:rPr/>
        <w:fldChar w:fldCharType="end" w:fldLock="0"/>
      </w:r>
      <w:r>
        <w:rPr>
          <w:rStyle w:val="Нет"/>
          <w:rtl w:val="0"/>
          <w:lang w:val="en-US"/>
        </w:rPr>
        <w:t>, revision of 20 January 2026.</w:t>
      </w:r>
    </w:p>
    <w:p>
      <w:pPr>
        <w:pStyle w:val="Reference"/>
        <w:keepLines w:val="1"/>
        <w:spacing w:line="240" w:lineRule="atLeast"/>
      </w:pPr>
      <w:r>
        <w:rPr>
          <w:rStyle w:val="Нет"/>
          <w:rtl w:val="0"/>
          <w:lang w:val="en-US"/>
        </w:rPr>
        <w:t xml:space="preserve">[35] J. C. Feng, S. Mukohyama and S. Carloni. Emergent Lorentzian dispersion relations from a Euclidean scalar-tensor theory. </w:t>
      </w:r>
      <w:r>
        <w:rPr>
          <w:rStyle w:val="Нет"/>
          <w:i w:val="1"/>
          <w:iCs w:val="1"/>
          <w:rtl w:val="0"/>
          <w:lang w:val="en-US"/>
        </w:rPr>
        <w:t>Physical Review D</w:t>
      </w:r>
      <w:r>
        <w:rPr>
          <w:rStyle w:val="Нет"/>
          <w:rtl w:val="0"/>
          <w:lang w:val="en-US"/>
        </w:rPr>
        <w:t xml:space="preserve"> </w:t>
      </w:r>
      <w:r>
        <w:rPr>
          <w:rStyle w:val="Нет"/>
          <w:b w:val="1"/>
          <w:bCs w:val="1"/>
          <w:rtl w:val="0"/>
          <w:lang w:val="en-US"/>
        </w:rPr>
        <w:t>112</w:t>
      </w:r>
      <w:r>
        <w:rPr>
          <w:rStyle w:val="Нет"/>
          <w:rtl w:val="0"/>
          <w:lang w:val="en-US"/>
        </w:rPr>
        <w:t xml:space="preserve">, 024066 (2025). DOI: </w:t>
      </w:r>
      <w:r>
        <w:rPr>
          <w:rStyle w:val="Hyperlink.2"/>
        </w:rPr>
        <w:fldChar w:fldCharType="begin" w:fldLock="0"/>
      </w:r>
      <w:r>
        <w:rPr>
          <w:rStyle w:val="Hyperlink.2"/>
        </w:rPr>
        <w:instrText xml:space="preserve"> HYPERLINK "https://doi.org/10.1103/zylg-s8lf"</w:instrText>
      </w:r>
      <w:r>
        <w:rPr>
          <w:rStyle w:val="Hyperlink.2"/>
        </w:rPr>
        <w:fldChar w:fldCharType="separate" w:fldLock="0"/>
      </w:r>
      <w:r>
        <w:rPr>
          <w:rStyle w:val="Hyperlink.2"/>
          <w:rtl w:val="0"/>
          <w:lang w:val="en-US"/>
        </w:rPr>
        <w:t>10.1103/zylg-s8lf</w:t>
      </w:r>
      <w:r>
        <w:rPr/>
        <w:fldChar w:fldCharType="end" w:fldLock="0"/>
      </w:r>
      <w:r>
        <w:rPr>
          <w:rStyle w:val="Нет"/>
          <w:rtl w:val="0"/>
          <w:lang w:val="en-US"/>
        </w:rPr>
        <w:t xml:space="preserve">. </w:t>
      </w:r>
      <w:r>
        <w:rPr>
          <w:rStyle w:val="Hyperlink.2"/>
        </w:rPr>
        <w:fldChar w:fldCharType="begin" w:fldLock="0"/>
      </w:r>
      <w:r>
        <w:rPr>
          <w:rStyle w:val="Hyperlink.2"/>
        </w:rPr>
        <w:instrText xml:space="preserve"> HYPERLINK "https://arxiv.org/abs/2505.00112"</w:instrText>
      </w:r>
      <w:r>
        <w:rPr>
          <w:rStyle w:val="Hyperlink.2"/>
        </w:rPr>
        <w:fldChar w:fldCharType="separate" w:fldLock="0"/>
      </w:r>
      <w:r>
        <w:rPr>
          <w:rStyle w:val="Hyperlink.2"/>
          <w:rtl w:val="0"/>
          <w:lang w:val="en-US"/>
        </w:rPr>
        <w:t>arXiv:2505.00112</w:t>
      </w:r>
      <w:r>
        <w:rPr/>
        <w:fldChar w:fldCharType="end" w:fldLock="0"/>
      </w:r>
      <w:r>
        <w:rPr>
          <w:rStyle w:val="Нет"/>
          <w:rtl w:val="0"/>
          <w:lang w:val="en-US"/>
        </w:rPr>
        <w:t>.</w:t>
      </w:r>
    </w:p>
    <w:p>
      <w:pPr>
        <w:pStyle w:val="Reference"/>
        <w:spacing w:line="240" w:lineRule="atLeast"/>
        <w:jc w:val="left"/>
      </w:pPr>
      <w:r>
        <w:rPr>
          <w:rStyle w:val="Нет"/>
          <w:rtl w:val="0"/>
          <w:lang w:val="en-US"/>
        </w:rPr>
        <w:t>[36] A.</w:t>
      </w:r>
      <w:r>
        <w:rPr>
          <w:rStyle w:val="Нет"/>
          <w:rtl w:val="0"/>
          <w:lang w:val="en-US"/>
        </w:rPr>
        <w:t> </w:t>
      </w:r>
      <w:r>
        <w:rPr>
          <w:rStyle w:val="Нет"/>
          <w:rtl w:val="0"/>
          <w:lang w:val="en-US"/>
        </w:rPr>
        <w:t>Preece and B.</w:t>
      </w:r>
      <w:r>
        <w:rPr>
          <w:rStyle w:val="Нет"/>
          <w:rtl w:val="0"/>
          <w:lang w:val="en-US"/>
        </w:rPr>
        <w:t> </w:t>
      </w:r>
      <w:r>
        <w:rPr>
          <w:rStyle w:val="Нет"/>
          <w:rtl w:val="0"/>
          <w:lang w:val="en-US"/>
        </w:rPr>
        <w:t xml:space="preserve">Batenin, </w:t>
      </w:r>
      <w:r>
        <w:rPr>
          <w:rStyle w:val="Нет"/>
          <w:i w:val="1"/>
          <w:iCs w:val="1"/>
          <w:rtl w:val="0"/>
          <w:lang w:val="en-US"/>
        </w:rPr>
        <w:t>Universal Null Calibration: Common Characteristics, Reconstruction Invariance and a Quantum Continuum Limit</w:t>
      </w:r>
      <w:r>
        <w:rPr>
          <w:rStyle w:val="Нет"/>
          <w:rtl w:val="0"/>
          <w:lang w:val="en-US"/>
        </w:rPr>
        <w:t>. Author-supplied technical manuscript, 6 September 2026.</w:t>
      </w:r>
    </w:p>
    <w:p>
      <w:pPr>
        <w:pStyle w:val="Reference"/>
        <w:spacing w:line="240" w:lineRule="atLeast"/>
        <w:jc w:val="left"/>
      </w:pPr>
      <w:r>
        <w:rPr>
          <w:rStyle w:val="Нет"/>
          <w:rtl w:val="0"/>
          <w:lang w:val="en-US"/>
        </w:rPr>
        <w:t>[37] A.</w:t>
      </w:r>
      <w:r>
        <w:rPr>
          <w:rStyle w:val="Нет"/>
          <w:rtl w:val="0"/>
          <w:lang w:val="en-US"/>
        </w:rPr>
        <w:t> </w:t>
      </w:r>
      <w:r>
        <w:rPr>
          <w:rStyle w:val="Нет"/>
          <w:rtl w:val="0"/>
          <w:lang w:val="en-US"/>
        </w:rPr>
        <w:t xml:space="preserve">Hatcher, </w:t>
      </w:r>
      <w:r>
        <w:rPr>
          <w:rStyle w:val="Нет"/>
          <w:i w:val="1"/>
          <w:iCs w:val="1"/>
          <w:rtl w:val="0"/>
          <w:lang w:val="en-US"/>
        </w:rPr>
        <w:t>Algebraic Topology</w:t>
      </w:r>
      <w:r>
        <w:rPr>
          <w:rStyle w:val="Нет"/>
          <w:rtl w:val="0"/>
          <w:lang w:val="en-US"/>
        </w:rPr>
        <w:t>, Cambridge University Press, 2002. Author</w:t>
      </w:r>
      <w:r>
        <w:rPr>
          <w:rStyle w:val="Нет"/>
          <w:rtl w:val="0"/>
          <w:lang w:val="en-US"/>
        </w:rPr>
        <w:t>’</w:t>
      </w:r>
      <w:r>
        <w:rPr>
          <w:rStyle w:val="Нет"/>
          <w:rtl w:val="0"/>
          <w:lang w:val="en-US"/>
        </w:rPr>
        <w:t>s edition, in particular the fibre-bundle examples in Chapter</w:t>
      </w:r>
      <w:r>
        <w:rPr>
          <w:rStyle w:val="Нет"/>
          <w:rtl w:val="0"/>
          <w:lang w:val="en-US"/>
        </w:rPr>
        <w:t> </w:t>
      </w:r>
      <w:r>
        <w:rPr>
          <w:rStyle w:val="Нет"/>
          <w:rtl w:val="0"/>
          <w:lang w:val="en-US"/>
        </w:rPr>
        <w:t xml:space="preserve">4: </w:t>
      </w:r>
      <w:r>
        <w:rPr>
          <w:rStyle w:val="Hyperlink.2"/>
        </w:rPr>
        <w:fldChar w:fldCharType="begin" w:fldLock="0"/>
      </w:r>
      <w:r>
        <w:rPr>
          <w:rStyle w:val="Hyperlink.2"/>
        </w:rPr>
        <w:instrText xml:space="preserve"> HYPERLINK "https://pi.math.cornell.edu/~hatcher/AT/AT.pdf"</w:instrText>
      </w:r>
      <w:r>
        <w:rPr>
          <w:rStyle w:val="Hyperlink.2"/>
        </w:rPr>
        <w:fldChar w:fldCharType="separate" w:fldLock="0"/>
      </w:r>
      <w:r>
        <w:rPr>
          <w:rStyle w:val="Hyperlink.2"/>
          <w:rtl w:val="0"/>
          <w:lang w:val="en-US"/>
        </w:rPr>
        <w:t>https://pi.math.cornell.edu/~hatcher/AT/AT.pdf</w:t>
      </w:r>
      <w:r>
        <w:rPr/>
        <w:fldChar w:fldCharType="end" w:fldLock="0"/>
      </w:r>
      <w:r>
        <w:rPr>
          <w:rStyle w:val="Нет"/>
          <w:rtl w:val="0"/>
          <w:lang w:val="en-US"/>
        </w:rPr>
        <w:t>.</w:t>
      </w:r>
    </w:p>
    <w:p>
      <w:pPr>
        <w:pStyle w:val="Reference"/>
        <w:spacing w:line="240" w:lineRule="atLeast"/>
        <w:jc w:val="left"/>
      </w:pPr>
      <w:r>
        <w:rPr>
          <w:rStyle w:val="Нет"/>
          <w:rtl w:val="0"/>
          <w:lang w:val="en-US"/>
        </w:rPr>
        <w:t>[38] S.</w:t>
      </w:r>
      <w:r>
        <w:rPr>
          <w:rStyle w:val="Нет"/>
          <w:rtl w:val="0"/>
          <w:lang w:val="en-US"/>
        </w:rPr>
        <w:t> </w:t>
      </w:r>
      <w:r>
        <w:rPr>
          <w:rStyle w:val="Нет"/>
          <w:rtl w:val="0"/>
          <w:lang w:val="en-US"/>
        </w:rPr>
        <w:t>M.</w:t>
      </w:r>
      <w:r>
        <w:rPr>
          <w:rStyle w:val="Нет"/>
          <w:rtl w:val="0"/>
          <w:lang w:val="en-US"/>
        </w:rPr>
        <w:t> </w:t>
      </w:r>
      <w:r>
        <w:rPr>
          <w:rStyle w:val="Нет"/>
          <w:rtl w:val="0"/>
          <w:lang w:val="en-US"/>
        </w:rPr>
        <w:t xml:space="preserve">Carroll, </w:t>
      </w:r>
      <w:r>
        <w:rPr>
          <w:rStyle w:val="Нет"/>
          <w:i w:val="1"/>
          <w:iCs w:val="1"/>
          <w:rtl w:val="0"/>
          <w:lang w:val="en-US"/>
        </w:rPr>
        <w:t>Lecture Notes on General Relativity</w:t>
      </w:r>
      <w:r>
        <w:rPr>
          <w:rStyle w:val="Нет"/>
          <w:rtl w:val="0"/>
          <w:lang w:val="en-US"/>
        </w:rPr>
        <w:t xml:space="preserve"> (1997). </w:t>
      </w:r>
      <w:r>
        <w:rPr>
          <w:rStyle w:val="Hyperlink.2"/>
        </w:rPr>
        <w:fldChar w:fldCharType="begin" w:fldLock="0"/>
      </w:r>
      <w:r>
        <w:rPr>
          <w:rStyle w:val="Hyperlink.2"/>
        </w:rPr>
        <w:instrText xml:space="preserve"> HYPERLINK "https://arxiv.org/abs/gr-qc/9712019"</w:instrText>
      </w:r>
      <w:r>
        <w:rPr>
          <w:rStyle w:val="Hyperlink.2"/>
        </w:rPr>
        <w:fldChar w:fldCharType="separate" w:fldLock="0"/>
      </w:r>
      <w:r>
        <w:rPr>
          <w:rStyle w:val="Hyperlink.2"/>
          <w:rtl w:val="0"/>
          <w:lang w:val="en-US"/>
        </w:rPr>
        <w:t>https://arxiv.org/abs/gr-qc/9712019</w:t>
      </w:r>
      <w:r>
        <w:rPr/>
        <w:fldChar w:fldCharType="end" w:fldLock="0"/>
      </w:r>
      <w:r>
        <w:rPr>
          <w:rStyle w:val="Нет"/>
          <w:rtl w:val="0"/>
          <w:lang w:val="en-US"/>
        </w:rPr>
        <w:t>.</w:t>
      </w:r>
    </w:p>
    <w:p>
      <w:pPr>
        <w:pStyle w:val="Reference"/>
        <w:spacing w:line="240" w:lineRule="atLeast"/>
        <w:jc w:val="left"/>
      </w:pPr>
      <w:r>
        <w:rPr>
          <w:rStyle w:val="Нет"/>
          <w:rtl w:val="0"/>
          <w:lang w:val="en-US"/>
        </w:rPr>
        <w:t>[39] R.</w:t>
      </w:r>
      <w:r>
        <w:rPr>
          <w:rStyle w:val="Нет"/>
          <w:rtl w:val="0"/>
          <w:lang w:val="en-US"/>
        </w:rPr>
        <w:t> </w:t>
      </w:r>
      <w:r>
        <w:rPr>
          <w:rStyle w:val="Нет"/>
          <w:rtl w:val="0"/>
          <w:lang w:val="en-US"/>
        </w:rPr>
        <w:t>P.</w:t>
      </w:r>
      <w:r>
        <w:rPr>
          <w:rStyle w:val="Нет"/>
          <w:rtl w:val="0"/>
          <w:lang w:val="en-US"/>
        </w:rPr>
        <w:t> </w:t>
      </w:r>
      <w:r>
        <w:rPr>
          <w:rStyle w:val="Нет"/>
          <w:rtl w:val="0"/>
          <w:lang w:val="en-US"/>
        </w:rPr>
        <w:t>Feynman, R.</w:t>
      </w:r>
      <w:r>
        <w:rPr>
          <w:rStyle w:val="Нет"/>
          <w:rtl w:val="0"/>
          <w:lang w:val="en-US"/>
        </w:rPr>
        <w:t> </w:t>
      </w:r>
      <w:r>
        <w:rPr>
          <w:rStyle w:val="Нет"/>
          <w:rtl w:val="0"/>
          <w:lang w:val="en-US"/>
        </w:rPr>
        <w:t>B.</w:t>
      </w:r>
      <w:r>
        <w:rPr>
          <w:rStyle w:val="Нет"/>
          <w:rtl w:val="0"/>
          <w:lang w:val="en-US"/>
        </w:rPr>
        <w:t> </w:t>
      </w:r>
      <w:r>
        <w:rPr>
          <w:rStyle w:val="Нет"/>
          <w:rtl w:val="0"/>
          <w:lang w:val="en-US"/>
        </w:rPr>
        <w:t>Leighton and M.</w:t>
      </w:r>
      <w:r>
        <w:rPr>
          <w:rStyle w:val="Нет"/>
          <w:rtl w:val="0"/>
          <w:lang w:val="en-US"/>
        </w:rPr>
        <w:t> </w:t>
      </w:r>
      <w:r>
        <w:rPr>
          <w:rStyle w:val="Нет"/>
          <w:rtl w:val="0"/>
          <w:lang w:val="en-US"/>
        </w:rPr>
        <w:t xml:space="preserve">Sands, </w:t>
      </w:r>
      <w:r>
        <w:rPr>
          <w:rStyle w:val="Нет"/>
          <w:i w:val="1"/>
          <w:iCs w:val="1"/>
          <w:rtl w:val="0"/>
          <w:lang w:val="en-US"/>
        </w:rPr>
        <w:t>The Feynman Lectures on Physics</w:t>
      </w:r>
      <w:r>
        <w:rPr>
          <w:rStyle w:val="Нет"/>
          <w:rtl w:val="0"/>
          <w:lang w:val="en-US"/>
        </w:rPr>
        <w:t>, Vol.</w:t>
      </w:r>
      <w:r>
        <w:rPr>
          <w:rStyle w:val="Нет"/>
          <w:rtl w:val="0"/>
          <w:lang w:val="en-US"/>
        </w:rPr>
        <w:t> </w:t>
      </w:r>
      <w:r>
        <w:rPr>
          <w:rStyle w:val="Нет"/>
          <w:rtl w:val="0"/>
          <w:lang w:val="en-US"/>
        </w:rPr>
        <w:t>II, Chapter</w:t>
      </w:r>
      <w:r>
        <w:rPr>
          <w:rStyle w:val="Нет"/>
          <w:rtl w:val="0"/>
          <w:lang w:val="en-US"/>
        </w:rPr>
        <w:t> </w:t>
      </w:r>
      <w:r>
        <w:rPr>
          <w:rStyle w:val="Нет"/>
          <w:rtl w:val="0"/>
          <w:lang w:val="en-US"/>
        </w:rPr>
        <w:t xml:space="preserve">27, Field Energy and Field Momentum. Caltech online edition: </w:t>
      </w:r>
      <w:r>
        <w:rPr>
          <w:rStyle w:val="Hyperlink.2"/>
        </w:rPr>
        <w:fldChar w:fldCharType="begin" w:fldLock="0"/>
      </w:r>
      <w:r>
        <w:rPr>
          <w:rStyle w:val="Hyperlink.2"/>
        </w:rPr>
        <w:instrText xml:space="preserve"> HYPERLINK "https://www.feynmanlectures.caltech.edu/II_27.html"</w:instrText>
      </w:r>
      <w:r>
        <w:rPr>
          <w:rStyle w:val="Hyperlink.2"/>
        </w:rPr>
        <w:fldChar w:fldCharType="separate" w:fldLock="0"/>
      </w:r>
      <w:r>
        <w:rPr>
          <w:rStyle w:val="Hyperlink.2"/>
          <w:rtl w:val="0"/>
          <w:lang w:val="en-US"/>
        </w:rPr>
        <w:t>https://www.feynmanlectures.caltech.edu/II_27.html</w:t>
      </w:r>
      <w:r>
        <w:rPr/>
        <w:fldChar w:fldCharType="end" w:fldLock="0"/>
      </w:r>
      <w:r>
        <w:rPr>
          <w:rStyle w:val="Нет"/>
          <w:rtl w:val="0"/>
          <w:lang w:val="en-US"/>
        </w:rPr>
        <w:t>.</w:t>
      </w:r>
    </w:p>
    <w:p>
      <w:pPr>
        <w:pStyle w:val="Reference"/>
        <w:spacing w:line="240" w:lineRule="atLeast"/>
        <w:jc w:val="left"/>
      </w:pPr>
      <w:r>
        <w:rPr>
          <w:rStyle w:val="Нет"/>
          <w:rtl w:val="0"/>
          <w:lang w:val="en-US"/>
        </w:rPr>
        <w:t>[40] S.</w:t>
      </w:r>
      <w:r>
        <w:rPr>
          <w:rStyle w:val="Нет"/>
          <w:rtl w:val="0"/>
          <w:lang w:val="en-US"/>
        </w:rPr>
        <w:t> </w:t>
      </w:r>
      <w:r>
        <w:rPr>
          <w:rStyle w:val="Нет"/>
          <w:rtl w:val="0"/>
          <w:lang w:val="en-US"/>
        </w:rPr>
        <w:t>R.</w:t>
      </w:r>
      <w:r>
        <w:rPr>
          <w:rStyle w:val="Нет"/>
          <w:rtl w:val="0"/>
          <w:lang w:val="en-US"/>
        </w:rPr>
        <w:t> </w:t>
      </w:r>
      <w:r>
        <w:rPr>
          <w:rStyle w:val="Нет"/>
          <w:rtl w:val="0"/>
          <w:lang w:val="en-US"/>
        </w:rPr>
        <w:t xml:space="preserve">Dolan, Geometrical optics for scalar, electromagnetic and gravitational waves in curved spacetime, </w:t>
      </w:r>
      <w:r>
        <w:rPr>
          <w:rStyle w:val="Нет"/>
          <w:i w:val="1"/>
          <w:iCs w:val="1"/>
          <w:rtl w:val="0"/>
          <w:lang w:val="en-US"/>
        </w:rPr>
        <w:t>International Journal of Modern Physics D</w:t>
      </w:r>
      <w:r>
        <w:rPr>
          <w:rStyle w:val="Нет"/>
          <w:rtl w:val="0"/>
          <w:lang w:val="en-US"/>
        </w:rPr>
        <w:t xml:space="preserve"> </w:t>
      </w:r>
      <w:r>
        <w:rPr>
          <w:rStyle w:val="Нет"/>
          <w:b w:val="1"/>
          <w:bCs w:val="1"/>
          <w:rtl w:val="0"/>
          <w:lang w:val="en-US"/>
        </w:rPr>
        <w:t>27</w:t>
      </w:r>
      <w:r>
        <w:rPr>
          <w:rStyle w:val="Нет"/>
          <w:rtl w:val="0"/>
          <w:lang w:val="en-US"/>
        </w:rPr>
        <w:t xml:space="preserve">, 1843010 (2018). </w:t>
      </w:r>
      <w:r>
        <w:rPr>
          <w:rStyle w:val="Hyperlink.2"/>
        </w:rPr>
        <w:fldChar w:fldCharType="begin" w:fldLock="0"/>
      </w:r>
      <w:r>
        <w:rPr>
          <w:rStyle w:val="Hyperlink.2"/>
        </w:rPr>
        <w:instrText xml:space="preserve"> HYPERLINK "https://doi.org/10.1142/S0218271818430101"</w:instrText>
      </w:r>
      <w:r>
        <w:rPr>
          <w:rStyle w:val="Hyperlink.2"/>
        </w:rPr>
        <w:fldChar w:fldCharType="separate" w:fldLock="0"/>
      </w:r>
      <w:r>
        <w:rPr>
          <w:rStyle w:val="Hyperlink.2"/>
          <w:rtl w:val="0"/>
          <w:lang w:val="en-US"/>
        </w:rPr>
        <w:t>doi:10.1142/S0218271818430101</w:t>
      </w:r>
      <w:r>
        <w:rPr/>
        <w:fldChar w:fldCharType="end" w:fldLock="0"/>
      </w:r>
      <w:r>
        <w:rPr>
          <w:rStyle w:val="Нет"/>
          <w:rtl w:val="0"/>
          <w:lang w:val="en-US"/>
        </w:rPr>
        <w:t xml:space="preserve">. </w:t>
      </w:r>
      <w:r>
        <w:rPr>
          <w:rStyle w:val="Hyperlink.2"/>
        </w:rPr>
        <w:fldChar w:fldCharType="begin" w:fldLock="0"/>
      </w:r>
      <w:r>
        <w:rPr>
          <w:rStyle w:val="Hyperlink.2"/>
        </w:rPr>
        <w:instrText xml:space="preserve"> HYPERLINK "https://arxiv.org/abs/1806.08617"</w:instrText>
      </w:r>
      <w:r>
        <w:rPr>
          <w:rStyle w:val="Hyperlink.2"/>
        </w:rPr>
        <w:fldChar w:fldCharType="separate" w:fldLock="0"/>
      </w:r>
      <w:r>
        <w:rPr>
          <w:rStyle w:val="Hyperlink.2"/>
          <w:rtl w:val="0"/>
          <w:lang w:val="en-US"/>
        </w:rPr>
        <w:t>https://arxiv.org/abs/1806.08617</w:t>
      </w:r>
      <w:r>
        <w:rPr/>
        <w:fldChar w:fldCharType="end" w:fldLock="0"/>
      </w:r>
      <w:r>
        <w:rPr>
          <w:rStyle w:val="Нет"/>
          <w:rtl w:val="0"/>
          <w:lang w:val="en-US"/>
        </w:rPr>
        <w:t>.</w:t>
      </w:r>
    </w:p>
    <w:p>
      <w:pPr>
        <w:pStyle w:val="Reference"/>
        <w:spacing w:line="240" w:lineRule="atLeast"/>
        <w:jc w:val="left"/>
      </w:pPr>
      <w:r>
        <w:rPr>
          <w:rStyle w:val="Нет"/>
          <w:rtl w:val="0"/>
          <w:lang w:val="en-US"/>
        </w:rPr>
        <w:t>[41] S.</w:t>
      </w:r>
      <w:r>
        <w:rPr>
          <w:rStyle w:val="Нет"/>
          <w:rtl w:val="0"/>
          <w:lang w:val="en-US"/>
        </w:rPr>
        <w:t> </w:t>
      </w:r>
      <w:r>
        <w:rPr>
          <w:rStyle w:val="Нет"/>
          <w:rtl w:val="0"/>
          <w:lang w:val="en-US"/>
        </w:rPr>
        <w:t>R.</w:t>
      </w:r>
      <w:r>
        <w:rPr>
          <w:rStyle w:val="Нет"/>
          <w:rtl w:val="0"/>
          <w:lang w:val="en-US"/>
        </w:rPr>
        <w:t> </w:t>
      </w:r>
      <w:r>
        <w:rPr>
          <w:rStyle w:val="Нет"/>
          <w:rtl w:val="0"/>
          <w:lang w:val="en-US"/>
        </w:rPr>
        <w:t xml:space="preserve">Dolan, </w:t>
      </w:r>
      <w:r>
        <w:rPr>
          <w:rStyle w:val="Нет"/>
          <w:i w:val="1"/>
          <w:iCs w:val="1"/>
          <w:rtl w:val="0"/>
          <w:lang w:val="en-US"/>
        </w:rPr>
        <w:t>Higher-order geometrical optics for electromagnetic waves on a curved spacetime</w:t>
      </w:r>
      <w:r>
        <w:rPr>
          <w:rStyle w:val="Нет"/>
          <w:rtl w:val="0"/>
          <w:lang w:val="en-US"/>
        </w:rPr>
        <w:t xml:space="preserve">, research preprint. </w:t>
      </w:r>
      <w:r>
        <w:rPr>
          <w:rStyle w:val="Hyperlink.2"/>
        </w:rPr>
        <w:fldChar w:fldCharType="begin" w:fldLock="0"/>
      </w:r>
      <w:r>
        <w:rPr>
          <w:rStyle w:val="Hyperlink.2"/>
        </w:rPr>
        <w:instrText xml:space="preserve"> HYPERLINK "https://arxiv.org/abs/1801.02273"</w:instrText>
      </w:r>
      <w:r>
        <w:rPr>
          <w:rStyle w:val="Hyperlink.2"/>
        </w:rPr>
        <w:fldChar w:fldCharType="separate" w:fldLock="0"/>
      </w:r>
      <w:r>
        <w:rPr>
          <w:rStyle w:val="Hyperlink.2"/>
          <w:rtl w:val="0"/>
          <w:lang w:val="en-US"/>
        </w:rPr>
        <w:t>https://arxiv.org/abs/1801.02273</w:t>
      </w:r>
      <w:r>
        <w:rPr/>
        <w:fldChar w:fldCharType="end" w:fldLock="0"/>
      </w:r>
      <w:r>
        <w:rPr>
          <w:rStyle w:val="Нет"/>
          <w:rtl w:val="0"/>
          <w:lang w:val="en-US"/>
        </w:rPr>
        <w:t>.</w:t>
      </w:r>
    </w:p>
    <w:p>
      <w:pPr>
        <w:pStyle w:val="Reference"/>
        <w:spacing w:line="240" w:lineRule="atLeast"/>
        <w:jc w:val="left"/>
      </w:pPr>
      <w:r>
        <w:rPr>
          <w:rStyle w:val="Нет"/>
          <w:rtl w:val="0"/>
          <w:lang w:val="en-US"/>
        </w:rPr>
        <w:t>[42] P.</w:t>
      </w:r>
      <w:r>
        <w:rPr>
          <w:rStyle w:val="Нет"/>
          <w:rtl w:val="0"/>
          <w:lang w:val="en-US"/>
        </w:rPr>
        <w:t> </w:t>
      </w:r>
      <w:r>
        <w:rPr>
          <w:rStyle w:val="Нет"/>
          <w:rtl w:val="0"/>
          <w:lang w:val="en-US"/>
        </w:rPr>
        <w:t>A.</w:t>
      </w:r>
      <w:r>
        <w:rPr>
          <w:rStyle w:val="Нет"/>
          <w:rtl w:val="0"/>
          <w:lang w:val="en-US"/>
        </w:rPr>
        <w:t> </w:t>
      </w:r>
      <w:r>
        <w:rPr>
          <w:rStyle w:val="Нет"/>
          <w:rtl w:val="0"/>
          <w:lang w:val="en-US"/>
        </w:rPr>
        <w:t>Williams, J.</w:t>
      </w:r>
      <w:r>
        <w:rPr>
          <w:rStyle w:val="Нет"/>
          <w:rtl w:val="0"/>
          <w:lang w:val="en-US"/>
        </w:rPr>
        <w:t> </w:t>
      </w:r>
      <w:r>
        <w:rPr>
          <w:rStyle w:val="Нет"/>
          <w:rtl w:val="0"/>
          <w:lang w:val="en-US"/>
        </w:rPr>
        <w:t>A.</w:t>
      </w:r>
      <w:r>
        <w:rPr>
          <w:rStyle w:val="Нет"/>
          <w:rtl w:val="0"/>
          <w:lang w:val="en-US"/>
        </w:rPr>
        <w:t> </w:t>
      </w:r>
      <w:r>
        <w:rPr>
          <w:rStyle w:val="Нет"/>
          <w:rtl w:val="0"/>
          <w:lang w:val="en-US"/>
        </w:rPr>
        <w:t>Hadler, R.</w:t>
      </w:r>
      <w:r>
        <w:rPr>
          <w:rStyle w:val="Нет"/>
          <w:rtl w:val="0"/>
          <w:lang w:val="en-US"/>
        </w:rPr>
        <w:t> </w:t>
      </w:r>
      <w:r>
        <w:rPr>
          <w:rStyle w:val="Нет"/>
          <w:rtl w:val="0"/>
          <w:lang w:val="en-US"/>
        </w:rPr>
        <w:t>Lee, F.</w:t>
      </w:r>
      <w:r>
        <w:rPr>
          <w:rStyle w:val="Нет"/>
          <w:rtl w:val="0"/>
          <w:lang w:val="en-US"/>
        </w:rPr>
        <w:t> </w:t>
      </w:r>
      <w:r>
        <w:rPr>
          <w:rStyle w:val="Нет"/>
          <w:rtl w:val="0"/>
          <w:lang w:val="en-US"/>
        </w:rPr>
        <w:t>C.</w:t>
      </w:r>
      <w:r>
        <w:rPr>
          <w:rStyle w:val="Нет"/>
          <w:rtl w:val="0"/>
          <w:lang w:val="en-US"/>
        </w:rPr>
        <w:t> </w:t>
      </w:r>
      <w:r>
        <w:rPr>
          <w:rStyle w:val="Нет"/>
          <w:rtl w:val="0"/>
          <w:lang w:val="en-US"/>
        </w:rPr>
        <w:t>Maring and J.</w:t>
      </w:r>
      <w:r>
        <w:rPr>
          <w:rStyle w:val="Нет"/>
          <w:rtl w:val="0"/>
          <w:lang w:val="en-US"/>
        </w:rPr>
        <w:t> </w:t>
      </w:r>
      <w:r>
        <w:rPr>
          <w:rStyle w:val="Нет"/>
          <w:rtl w:val="0"/>
          <w:lang w:val="en-US"/>
        </w:rPr>
        <w:t>H.</w:t>
      </w:r>
      <w:r>
        <w:rPr>
          <w:rStyle w:val="Нет"/>
          <w:rtl w:val="0"/>
          <w:lang w:val="en-US"/>
        </w:rPr>
        <w:t> </w:t>
      </w:r>
      <w:r>
        <w:rPr>
          <w:rStyle w:val="Нет"/>
          <w:rtl w:val="0"/>
          <w:lang w:val="en-US"/>
        </w:rPr>
        <w:t xml:space="preserve">Lehman, </w:t>
      </w:r>
      <w:r>
        <w:rPr>
          <w:rStyle w:val="Нет"/>
          <w:i w:val="1"/>
          <w:iCs w:val="1"/>
          <w:rtl w:val="0"/>
          <w:lang w:val="en-US"/>
        </w:rPr>
        <w:t>Use of radiation pressure for measurement of high-power laser emission</w:t>
      </w:r>
      <w:r>
        <w:rPr>
          <w:rStyle w:val="Нет"/>
          <w:rtl w:val="0"/>
          <w:lang w:val="en-US"/>
        </w:rPr>
        <w:t xml:space="preserve">. NIST-hosted author manuscript: </w:t>
      </w:r>
      <w:r>
        <w:rPr>
          <w:rStyle w:val="Hyperlink.2"/>
        </w:rPr>
        <w:fldChar w:fldCharType="begin" w:fldLock="0"/>
      </w:r>
      <w:r>
        <w:rPr>
          <w:rStyle w:val="Hyperlink.2"/>
        </w:rPr>
        <w:instrText xml:space="preserve"> HYPERLINK "https://tsapps.nist.gov/publication/get_pdf.cfm?pub_id=914101"</w:instrText>
      </w:r>
      <w:r>
        <w:rPr>
          <w:rStyle w:val="Hyperlink.2"/>
        </w:rPr>
        <w:fldChar w:fldCharType="separate" w:fldLock="0"/>
      </w:r>
      <w:r>
        <w:rPr>
          <w:rStyle w:val="Hyperlink.2"/>
          <w:rtl w:val="0"/>
          <w:lang w:val="en-US"/>
        </w:rPr>
        <w:t>https://tsapps.nist.gov/publication/get_pdf.cfm?pub_id=914101</w:t>
      </w:r>
      <w:r>
        <w:rPr/>
        <w:fldChar w:fldCharType="end" w:fldLock="0"/>
      </w:r>
      <w:r>
        <w:rPr>
          <w:rStyle w:val="Нет"/>
          <w:rtl w:val="0"/>
          <w:lang w:val="en-US"/>
        </w:rPr>
        <w:t>.</w:t>
      </w:r>
    </w:p>
    <w:p>
      <w:pPr>
        <w:pStyle w:val="Reference"/>
        <w:spacing w:line="240" w:lineRule="atLeast"/>
        <w:jc w:val="left"/>
      </w:pPr>
      <w:r>
        <w:rPr>
          <w:rStyle w:val="Нет"/>
          <w:rtl w:val="0"/>
          <w:lang w:val="en-US"/>
        </w:rPr>
        <w:t xml:space="preserve">[43] National Institute of Standards and Technology, </w:t>
      </w:r>
      <w:r>
        <w:rPr>
          <w:rStyle w:val="Нет"/>
          <w:i w:val="1"/>
          <w:iCs w:val="1"/>
          <w:rtl w:val="0"/>
          <w:lang w:val="en-US"/>
        </w:rPr>
        <w:t>Radiation Pressure-based Laser Metrology Implementing an Electrostatic Force Balance</w:t>
      </w:r>
      <w:r>
        <w:rPr>
          <w:rStyle w:val="Нет"/>
          <w:rtl w:val="0"/>
          <w:lang w:val="en-US"/>
        </w:rPr>
        <w:t xml:space="preserve"> (2022), publication record. </w:t>
      </w:r>
      <w:r>
        <w:rPr>
          <w:rStyle w:val="Hyperlink.2"/>
        </w:rPr>
        <w:fldChar w:fldCharType="begin" w:fldLock="0"/>
      </w:r>
      <w:r>
        <w:rPr>
          <w:rStyle w:val="Hyperlink.2"/>
        </w:rPr>
        <w:instrText xml:space="preserve"> HYPERLINK "https://www.nist.gov/publications/radiation-pressure-based-laser-metrology-implementing-electrostatic-force-balance"</w:instrText>
      </w:r>
      <w:r>
        <w:rPr>
          <w:rStyle w:val="Hyperlink.2"/>
        </w:rPr>
        <w:fldChar w:fldCharType="separate" w:fldLock="0"/>
      </w:r>
      <w:r>
        <w:rPr>
          <w:rStyle w:val="Hyperlink.2"/>
          <w:rtl w:val="0"/>
          <w:lang w:val="en-US"/>
        </w:rPr>
        <w:t>https://www.nist.gov/publications/radiation-pressure-based-laser-metrology-implementing-electrostatic-force-balance</w:t>
      </w:r>
      <w:r>
        <w:rPr/>
        <w:fldChar w:fldCharType="end" w:fldLock="0"/>
      </w:r>
      <w:r>
        <w:rPr>
          <w:rStyle w:val="Нет"/>
          <w:rtl w:val="0"/>
          <w:lang w:val="en-US"/>
        </w:rPr>
        <w:t>.</w:t>
      </w:r>
    </w:p>
    <w:p>
      <w:pPr>
        <w:pStyle w:val="Reference"/>
        <w:spacing w:line="240" w:lineRule="atLeast"/>
        <w:jc w:val="left"/>
      </w:pPr>
      <w:r>
        <w:rPr>
          <w:rStyle w:val="Нет"/>
          <w:rtl w:val="0"/>
          <w:lang w:val="en-US"/>
        </w:rPr>
        <w:t>[44] A.</w:t>
      </w:r>
      <w:r>
        <w:rPr>
          <w:rStyle w:val="Нет"/>
          <w:rtl w:val="0"/>
          <w:lang w:val="en-US"/>
        </w:rPr>
        <w:t> </w:t>
      </w:r>
      <w:r>
        <w:rPr>
          <w:rStyle w:val="Нет"/>
          <w:rtl w:val="0"/>
          <w:lang w:val="en-US"/>
        </w:rPr>
        <w:t>A.</w:t>
      </w:r>
      <w:r>
        <w:rPr>
          <w:rStyle w:val="Нет"/>
          <w:rtl w:val="0"/>
          <w:lang w:val="en-US"/>
        </w:rPr>
        <w:t> </w:t>
      </w:r>
      <w:r>
        <w:rPr>
          <w:rStyle w:val="Нет"/>
          <w:rtl w:val="0"/>
          <w:lang w:val="en-US"/>
        </w:rPr>
        <w:t xml:space="preserve">Schekochihin, </w:t>
      </w:r>
      <w:r>
        <w:rPr>
          <w:rStyle w:val="Нет"/>
          <w:i w:val="1"/>
          <w:iCs w:val="1"/>
          <w:rtl w:val="0"/>
          <w:lang w:val="en-US"/>
        </w:rPr>
        <w:t>Lectures on Kinetic Theory of Gases and Statistical Physics</w:t>
      </w:r>
      <w:r>
        <w:rPr>
          <w:rStyle w:val="Нет"/>
          <w:rtl w:val="0"/>
          <w:lang w:val="en-US"/>
        </w:rPr>
        <w:t xml:space="preserve">, University of Oxford, lecture notes. </w:t>
      </w:r>
      <w:r>
        <w:rPr>
          <w:rStyle w:val="Hyperlink.2"/>
        </w:rPr>
        <w:fldChar w:fldCharType="begin" w:fldLock="0"/>
      </w:r>
      <w:r>
        <w:rPr>
          <w:rStyle w:val="Hyperlink.2"/>
        </w:rPr>
        <w:instrText xml:space="preserve"> HYPERLINK "https://www-thphys.physics.ox.ac.uk/people/AlexanderSchekochihin/A1/2014/A1LectureNotes.pdf"</w:instrText>
      </w:r>
      <w:r>
        <w:rPr>
          <w:rStyle w:val="Hyperlink.2"/>
        </w:rPr>
        <w:fldChar w:fldCharType="separate" w:fldLock="0"/>
      </w:r>
      <w:r>
        <w:rPr>
          <w:rStyle w:val="Hyperlink.2"/>
          <w:rtl w:val="0"/>
          <w:lang w:val="en-US"/>
        </w:rPr>
        <w:t>https://www-thphys.physics.ox.ac.uk/people/AlexanderSchekochihin/A1/2014/A1LectureNotes.pdf</w:t>
      </w:r>
      <w:r>
        <w:rPr/>
        <w:fldChar w:fldCharType="end" w:fldLock="0"/>
      </w:r>
      <w:r>
        <w:rPr>
          <w:rStyle w:val="Нет"/>
          <w:rtl w:val="0"/>
          <w:lang w:val="en-US"/>
        </w:rPr>
        <w:t>.</w:t>
      </w:r>
    </w:p>
    <w:p>
      <w:pPr>
        <w:pStyle w:val="Reference"/>
        <w:spacing w:line="240" w:lineRule="atLeast"/>
        <w:jc w:val="left"/>
      </w:pPr>
      <w:r>
        <w:rPr>
          <w:rStyle w:val="Нет"/>
          <w:rtl w:val="0"/>
          <w:lang w:val="en-US"/>
        </w:rPr>
        <w:t>[45] D.</w:t>
      </w:r>
      <w:r>
        <w:rPr>
          <w:rStyle w:val="Нет"/>
          <w:rtl w:val="0"/>
          <w:lang w:val="en-US"/>
        </w:rPr>
        <w:t> </w:t>
      </w:r>
      <w:r>
        <w:rPr>
          <w:rStyle w:val="Нет"/>
          <w:rtl w:val="0"/>
          <w:lang w:val="en-US"/>
        </w:rPr>
        <w:t xml:space="preserve">Giulini, </w:t>
      </w:r>
      <w:r>
        <w:rPr>
          <w:rStyle w:val="Нет"/>
          <w:i w:val="1"/>
          <w:iCs w:val="1"/>
          <w:rtl w:val="0"/>
          <w:lang w:val="en-US"/>
        </w:rPr>
        <w:t>Laue</w:t>
      </w:r>
      <w:r>
        <w:rPr>
          <w:rStyle w:val="Нет"/>
          <w:i w:val="1"/>
          <w:iCs w:val="1"/>
          <w:rtl w:val="0"/>
          <w:lang w:val="en-US"/>
        </w:rPr>
        <w:t>’</w:t>
      </w:r>
      <w:r>
        <w:rPr>
          <w:rStyle w:val="Нет"/>
          <w:i w:val="1"/>
          <w:iCs w:val="1"/>
          <w:rtl w:val="0"/>
          <w:lang w:val="en-US"/>
        </w:rPr>
        <w:t>s Theorem Revisited: Energy-Momentum Tensors, Symmetries, and the Habitat of Globally Conserved Quantities</w:t>
      </w:r>
      <w:r>
        <w:rPr>
          <w:rStyle w:val="Нет"/>
          <w:rtl w:val="0"/>
          <w:lang w:val="en-US"/>
        </w:rPr>
        <w:t xml:space="preserve"> (2018). </w:t>
      </w:r>
      <w:r>
        <w:rPr>
          <w:rStyle w:val="Hyperlink.2"/>
        </w:rPr>
        <w:fldChar w:fldCharType="begin" w:fldLock="0"/>
      </w:r>
      <w:r>
        <w:rPr>
          <w:rStyle w:val="Hyperlink.2"/>
        </w:rPr>
        <w:instrText xml:space="preserve"> HYPERLINK "https://arxiv.org/abs/1808.09320"</w:instrText>
      </w:r>
      <w:r>
        <w:rPr>
          <w:rStyle w:val="Hyperlink.2"/>
        </w:rPr>
        <w:fldChar w:fldCharType="separate" w:fldLock="0"/>
      </w:r>
      <w:r>
        <w:rPr>
          <w:rStyle w:val="Hyperlink.2"/>
          <w:rtl w:val="0"/>
          <w:lang w:val="en-US"/>
        </w:rPr>
        <w:t>https://arxiv.org/abs/1808.09320</w:t>
      </w:r>
      <w:r>
        <w:rPr/>
        <w:fldChar w:fldCharType="end" w:fldLock="0"/>
      </w:r>
      <w:r>
        <w:rPr>
          <w:rStyle w:val="Нет"/>
          <w:rtl w:val="0"/>
          <w:lang w:val="en-US"/>
        </w:rPr>
        <w:t>.</w:t>
      </w:r>
    </w:p>
    <w:p>
      <w:pPr>
        <w:pStyle w:val="Reference"/>
        <w:spacing w:line="240" w:lineRule="atLeast"/>
        <w:jc w:val="left"/>
      </w:pPr>
      <w:r>
        <w:rPr>
          <w:rStyle w:val="Нет"/>
          <w:rtl w:val="0"/>
          <w:lang w:val="en-US"/>
        </w:rPr>
        <w:t>[46] E.</w:t>
      </w:r>
      <w:r>
        <w:rPr>
          <w:rStyle w:val="Нет"/>
          <w:rtl w:val="0"/>
          <w:lang w:val="en-US"/>
        </w:rPr>
        <w:t> </w:t>
      </w:r>
      <w:r>
        <w:rPr>
          <w:rStyle w:val="Нет"/>
          <w:rtl w:val="0"/>
          <w:lang w:val="en-US"/>
        </w:rPr>
        <w:t>P.</w:t>
      </w:r>
      <w:r>
        <w:rPr>
          <w:rStyle w:val="Нет"/>
          <w:rtl w:val="0"/>
          <w:lang w:val="en-US"/>
        </w:rPr>
        <w:t> </w:t>
      </w:r>
      <w:r>
        <w:rPr>
          <w:rStyle w:val="Нет"/>
          <w:rtl w:val="0"/>
          <w:lang w:val="en-US"/>
        </w:rPr>
        <w:t xml:space="preserve">Wigner, On unitary representations of the inhomogeneous Lorentz group, </w:t>
      </w:r>
      <w:r>
        <w:rPr>
          <w:rStyle w:val="Нет"/>
          <w:i w:val="1"/>
          <w:iCs w:val="1"/>
          <w:rtl w:val="0"/>
          <w:lang w:val="en-US"/>
        </w:rPr>
        <w:t>Annals of Mathematics</w:t>
      </w:r>
      <w:r>
        <w:rPr>
          <w:rStyle w:val="Нет"/>
          <w:rtl w:val="0"/>
          <w:lang w:val="en-US"/>
        </w:rPr>
        <w:t xml:space="preserve"> </w:t>
      </w:r>
      <w:r>
        <w:rPr>
          <w:rStyle w:val="Нет"/>
          <w:b w:val="1"/>
          <w:bCs w:val="1"/>
          <w:rtl w:val="0"/>
          <w:lang w:val="en-US"/>
        </w:rPr>
        <w:t>40</w:t>
      </w:r>
      <w:r>
        <w:rPr>
          <w:rStyle w:val="Нет"/>
          <w:rtl w:val="0"/>
          <w:lang w:val="en-US"/>
        </w:rPr>
        <w:t>, 149</w:t>
      </w:r>
      <w:r>
        <w:rPr>
          <w:rStyle w:val="Нет"/>
          <w:rtl w:val="0"/>
          <w:lang w:val="en-US"/>
        </w:rPr>
        <w:t>–</w:t>
      </w:r>
      <w:r>
        <w:rPr>
          <w:rStyle w:val="Нет"/>
          <w:rtl w:val="0"/>
          <w:lang w:val="en-US"/>
        </w:rPr>
        <w:t xml:space="preserve">204 (1939). </w:t>
      </w:r>
      <w:r>
        <w:rPr>
          <w:rStyle w:val="Hyperlink.2"/>
        </w:rPr>
        <w:fldChar w:fldCharType="begin" w:fldLock="0"/>
      </w:r>
      <w:r>
        <w:rPr>
          <w:rStyle w:val="Hyperlink.2"/>
        </w:rPr>
        <w:instrText xml:space="preserve"> HYPERLINK "https://doi.org/10.2307/1968551"</w:instrText>
      </w:r>
      <w:r>
        <w:rPr>
          <w:rStyle w:val="Hyperlink.2"/>
        </w:rPr>
        <w:fldChar w:fldCharType="separate" w:fldLock="0"/>
      </w:r>
      <w:r>
        <w:rPr>
          <w:rStyle w:val="Hyperlink.2"/>
          <w:rtl w:val="0"/>
          <w:lang w:val="en-US"/>
        </w:rPr>
        <w:t>doi:10.2307/1968551</w:t>
      </w:r>
      <w:r>
        <w:rPr/>
        <w:fldChar w:fldCharType="end" w:fldLock="0"/>
      </w:r>
      <w:r>
        <w:rPr>
          <w:rStyle w:val="Нет"/>
          <w:rtl w:val="0"/>
          <w:lang w:val="en-US"/>
        </w:rPr>
        <w:t>.</w:t>
      </w:r>
    </w:p>
    <w:p>
      <w:pPr>
        <w:pStyle w:val="Reference"/>
        <w:spacing w:line="240" w:lineRule="atLeast"/>
        <w:jc w:val="left"/>
      </w:pPr>
      <w:r>
        <w:rPr>
          <w:rStyle w:val="Нет"/>
          <w:rtl w:val="0"/>
          <w:lang w:val="en-US"/>
        </w:rPr>
        <w:t>[47] C.</w:t>
      </w:r>
      <w:r>
        <w:rPr>
          <w:rStyle w:val="Нет"/>
          <w:rtl w:val="0"/>
          <w:lang w:val="en-US"/>
        </w:rPr>
        <w:t> </w:t>
      </w:r>
      <w:r>
        <w:rPr>
          <w:rStyle w:val="Нет"/>
          <w:rtl w:val="0"/>
          <w:lang w:val="en-US"/>
        </w:rPr>
        <w:t>J.</w:t>
      </w:r>
      <w:r>
        <w:rPr>
          <w:rStyle w:val="Нет"/>
          <w:rtl w:val="0"/>
          <w:lang w:val="en-US"/>
        </w:rPr>
        <w:t> </w:t>
      </w:r>
      <w:r>
        <w:rPr>
          <w:rStyle w:val="Нет"/>
          <w:rtl w:val="0"/>
          <w:lang w:val="en-US"/>
        </w:rPr>
        <w:t>Fewster and K.</w:t>
      </w:r>
      <w:r>
        <w:rPr>
          <w:rStyle w:val="Нет"/>
          <w:rtl w:val="0"/>
          <w:lang w:val="en-US"/>
        </w:rPr>
        <w:t> </w:t>
      </w:r>
      <w:r>
        <w:rPr>
          <w:rStyle w:val="Нет"/>
          <w:rtl w:val="0"/>
          <w:lang w:val="en-US"/>
        </w:rPr>
        <w:t xml:space="preserve">Rejzner, </w:t>
      </w:r>
      <w:r>
        <w:rPr>
          <w:rStyle w:val="Нет"/>
          <w:i w:val="1"/>
          <w:iCs w:val="1"/>
          <w:rtl w:val="0"/>
          <w:lang w:val="en-US"/>
        </w:rPr>
        <w:t>Algebraic Quantum Field Theory</w:t>
      </w:r>
      <w:r>
        <w:rPr>
          <w:rStyle w:val="Нет"/>
          <w:i w:val="1"/>
          <w:iCs w:val="1"/>
          <w:rtl w:val="0"/>
          <w:lang w:val="en-US"/>
        </w:rPr>
        <w:t>—</w:t>
      </w:r>
      <w:r>
        <w:rPr>
          <w:rStyle w:val="Нет"/>
          <w:i w:val="1"/>
          <w:iCs w:val="1"/>
          <w:rtl w:val="0"/>
          <w:lang w:val="en-US"/>
        </w:rPr>
        <w:t>an introduction</w:t>
      </w:r>
      <w:r>
        <w:rPr>
          <w:rStyle w:val="Нет"/>
          <w:rtl w:val="0"/>
          <w:lang w:val="en-US"/>
        </w:rPr>
        <w:t xml:space="preserve"> (2019). </w:t>
      </w:r>
      <w:r>
        <w:rPr>
          <w:rStyle w:val="Hyperlink.2"/>
        </w:rPr>
        <w:fldChar w:fldCharType="begin" w:fldLock="0"/>
      </w:r>
      <w:r>
        <w:rPr>
          <w:rStyle w:val="Hyperlink.2"/>
        </w:rPr>
        <w:instrText xml:space="preserve"> HYPERLINK "https://arxiv.org/abs/1904.04051"</w:instrText>
      </w:r>
      <w:r>
        <w:rPr>
          <w:rStyle w:val="Hyperlink.2"/>
        </w:rPr>
        <w:fldChar w:fldCharType="separate" w:fldLock="0"/>
      </w:r>
      <w:r>
        <w:rPr>
          <w:rStyle w:val="Hyperlink.2"/>
          <w:rtl w:val="0"/>
          <w:lang w:val="en-US"/>
        </w:rPr>
        <w:t>https://arxiv.org/abs/1904.04051</w:t>
      </w:r>
      <w:r>
        <w:rPr/>
        <w:fldChar w:fldCharType="end" w:fldLock="0"/>
      </w:r>
      <w:r>
        <w:rPr>
          <w:rStyle w:val="Нет"/>
          <w:rtl w:val="0"/>
          <w:lang w:val="en-US"/>
        </w:rPr>
        <w:t>.</w:t>
      </w:r>
    </w:p>
    <w:p>
      <w:pPr>
        <w:pStyle w:val="Reference"/>
        <w:spacing w:line="240" w:lineRule="atLeast"/>
        <w:jc w:val="left"/>
      </w:pPr>
      <w:r>
        <w:rPr>
          <w:rStyle w:val="Нет"/>
          <w:rtl w:val="0"/>
          <w:lang w:val="en-US"/>
        </w:rPr>
        <w:t>[48] M.</w:t>
      </w:r>
      <w:r>
        <w:rPr>
          <w:rStyle w:val="Нет"/>
          <w:rtl w:val="0"/>
          <w:lang w:val="en-US"/>
        </w:rPr>
        <w:t> </w:t>
      </w:r>
      <w:r>
        <w:rPr>
          <w:rStyle w:val="Нет"/>
          <w:rtl w:val="0"/>
          <w:lang w:val="en-US"/>
        </w:rPr>
        <w:t>J.</w:t>
      </w:r>
      <w:r>
        <w:rPr>
          <w:rStyle w:val="Нет"/>
          <w:rtl w:val="0"/>
          <w:lang w:val="en-US"/>
        </w:rPr>
        <w:t> </w:t>
      </w:r>
      <w:r>
        <w:rPr>
          <w:rStyle w:val="Нет"/>
          <w:rtl w:val="0"/>
          <w:lang w:val="en-US"/>
        </w:rPr>
        <w:t xml:space="preserve">Radzikowski, Micro-local approach to the Hadamard condition in quantum field theory on curved space-time, </w:t>
      </w:r>
      <w:r>
        <w:rPr>
          <w:rStyle w:val="Нет"/>
          <w:i w:val="1"/>
          <w:iCs w:val="1"/>
          <w:rtl w:val="0"/>
          <w:lang w:val="en-US"/>
        </w:rPr>
        <w:t>Communications in Mathematical Physics</w:t>
      </w:r>
      <w:r>
        <w:rPr>
          <w:rStyle w:val="Нет"/>
          <w:rtl w:val="0"/>
          <w:lang w:val="en-US"/>
        </w:rPr>
        <w:t xml:space="preserve"> </w:t>
      </w:r>
      <w:r>
        <w:rPr>
          <w:rStyle w:val="Нет"/>
          <w:b w:val="1"/>
          <w:bCs w:val="1"/>
          <w:rtl w:val="0"/>
          <w:lang w:val="en-US"/>
        </w:rPr>
        <w:t>179</w:t>
      </w:r>
      <w:r>
        <w:rPr>
          <w:rStyle w:val="Нет"/>
          <w:rtl w:val="0"/>
          <w:lang w:val="en-US"/>
        </w:rPr>
        <w:t>, 529</w:t>
      </w:r>
      <w:r>
        <w:rPr>
          <w:rStyle w:val="Нет"/>
          <w:rtl w:val="0"/>
          <w:lang w:val="en-US"/>
        </w:rPr>
        <w:t>–</w:t>
      </w:r>
      <w:r>
        <w:rPr>
          <w:rStyle w:val="Нет"/>
          <w:rtl w:val="0"/>
          <w:lang w:val="en-US"/>
        </w:rPr>
        <w:t xml:space="preserve">553 (1996). </w:t>
      </w:r>
      <w:r>
        <w:rPr>
          <w:rStyle w:val="Hyperlink.2"/>
        </w:rPr>
        <w:fldChar w:fldCharType="begin" w:fldLock="0"/>
      </w:r>
      <w:r>
        <w:rPr>
          <w:rStyle w:val="Hyperlink.2"/>
        </w:rPr>
        <w:instrText xml:space="preserve"> HYPERLINK "https://doi.org/10.1007/BF02100096"</w:instrText>
      </w:r>
      <w:r>
        <w:rPr>
          <w:rStyle w:val="Hyperlink.2"/>
        </w:rPr>
        <w:fldChar w:fldCharType="separate" w:fldLock="0"/>
      </w:r>
      <w:r>
        <w:rPr>
          <w:rStyle w:val="Hyperlink.2"/>
          <w:rtl w:val="0"/>
          <w:lang w:val="en-US"/>
        </w:rPr>
        <w:t>doi:10.1007/BF02100096</w:t>
      </w:r>
      <w:r>
        <w:rPr/>
        <w:fldChar w:fldCharType="end" w:fldLock="0"/>
      </w:r>
      <w:r>
        <w:rPr>
          <w:rStyle w:val="Нет"/>
          <w:rtl w:val="0"/>
          <w:lang w:val="en-US"/>
        </w:rPr>
        <w:t>.</w:t>
      </w:r>
    </w:p>
    <w:p>
      <w:pPr>
        <w:pStyle w:val="Reference"/>
        <w:spacing w:line="240" w:lineRule="atLeast"/>
        <w:jc w:val="left"/>
      </w:pPr>
      <w:r>
        <w:rPr>
          <w:rStyle w:val="Нет"/>
          <w:rtl w:val="0"/>
          <w:lang w:val="en-US"/>
        </w:rPr>
        <w:t>[49] J.</w:t>
      </w:r>
      <w:r>
        <w:rPr>
          <w:rStyle w:val="Нет"/>
          <w:rtl w:val="0"/>
          <w:lang w:val="en-US"/>
        </w:rPr>
        <w:t> </w:t>
      </w:r>
      <w:r>
        <w:rPr>
          <w:rStyle w:val="Нет"/>
          <w:rtl w:val="0"/>
          <w:lang w:val="en-US"/>
        </w:rPr>
        <w:t>J.</w:t>
      </w:r>
      <w:r>
        <w:rPr>
          <w:rStyle w:val="Нет"/>
          <w:rtl w:val="0"/>
          <w:lang w:val="en-US"/>
        </w:rPr>
        <w:t> </w:t>
      </w:r>
      <w:r>
        <w:rPr>
          <w:rStyle w:val="Нет"/>
          <w:rtl w:val="0"/>
          <w:lang w:val="en-US"/>
        </w:rPr>
        <w:t>Duistermaat and L.</w:t>
      </w:r>
      <w:r>
        <w:rPr>
          <w:rStyle w:val="Нет"/>
          <w:rtl w:val="0"/>
          <w:lang w:val="en-US"/>
        </w:rPr>
        <w:t> </w:t>
      </w:r>
      <w:r>
        <w:rPr>
          <w:rStyle w:val="Нет"/>
          <w:rtl w:val="0"/>
          <w:lang w:val="en-US"/>
        </w:rPr>
        <w:t>H</w:t>
      </w:r>
      <w:r>
        <w:rPr>
          <w:rStyle w:val="Нет"/>
          <w:rtl w:val="0"/>
          <w:lang w:val="en-US"/>
        </w:rPr>
        <w:t>ö</w:t>
      </w:r>
      <w:r>
        <w:rPr>
          <w:rStyle w:val="Нет"/>
          <w:rtl w:val="0"/>
          <w:lang w:val="en-US"/>
        </w:rPr>
        <w:t>rmander, Fourier integral operators.</w:t>
      </w:r>
      <w:r>
        <w:rPr>
          <w:rStyle w:val="Нет"/>
          <w:rtl w:val="0"/>
          <w:lang w:val="en-US"/>
        </w:rPr>
        <w:t> </w:t>
      </w:r>
      <w:r>
        <w:rPr>
          <w:rStyle w:val="Нет"/>
          <w:rtl w:val="0"/>
          <w:lang w:val="en-US"/>
        </w:rPr>
        <w:t xml:space="preserve">II, </w:t>
      </w:r>
      <w:r>
        <w:rPr>
          <w:rStyle w:val="Нет"/>
          <w:i w:val="1"/>
          <w:iCs w:val="1"/>
          <w:rtl w:val="0"/>
          <w:lang w:val="en-US"/>
        </w:rPr>
        <w:t>Acta Mathematica</w:t>
      </w:r>
      <w:r>
        <w:rPr>
          <w:rStyle w:val="Нет"/>
          <w:rtl w:val="0"/>
          <w:lang w:val="en-US"/>
        </w:rPr>
        <w:t xml:space="preserve"> </w:t>
      </w:r>
      <w:r>
        <w:rPr>
          <w:rStyle w:val="Нет"/>
          <w:b w:val="1"/>
          <w:bCs w:val="1"/>
          <w:rtl w:val="0"/>
          <w:lang w:val="en-US"/>
        </w:rPr>
        <w:t>128</w:t>
      </w:r>
      <w:r>
        <w:rPr>
          <w:rStyle w:val="Нет"/>
          <w:rtl w:val="0"/>
          <w:lang w:val="en-US"/>
        </w:rPr>
        <w:t>, 183</w:t>
      </w:r>
      <w:r>
        <w:rPr>
          <w:rStyle w:val="Нет"/>
          <w:rtl w:val="0"/>
          <w:lang w:val="en-US"/>
        </w:rPr>
        <w:t>–</w:t>
      </w:r>
      <w:r>
        <w:rPr>
          <w:rStyle w:val="Нет"/>
          <w:rtl w:val="0"/>
          <w:lang w:val="en-US"/>
        </w:rPr>
        <w:t xml:space="preserve">269 (1972). </w:t>
      </w:r>
      <w:r>
        <w:rPr>
          <w:rStyle w:val="Hyperlink.2"/>
        </w:rPr>
        <w:fldChar w:fldCharType="begin" w:fldLock="0"/>
      </w:r>
      <w:r>
        <w:rPr>
          <w:rStyle w:val="Hyperlink.2"/>
        </w:rPr>
        <w:instrText xml:space="preserve"> HYPERLINK "https://doi.org/10.1007/BF02392165"</w:instrText>
      </w:r>
      <w:r>
        <w:rPr>
          <w:rStyle w:val="Hyperlink.2"/>
        </w:rPr>
        <w:fldChar w:fldCharType="separate" w:fldLock="0"/>
      </w:r>
      <w:r>
        <w:rPr>
          <w:rStyle w:val="Hyperlink.2"/>
          <w:rtl w:val="0"/>
          <w:lang w:val="en-US"/>
        </w:rPr>
        <w:t>doi:10.1007/BF02392165</w:t>
      </w:r>
      <w:r>
        <w:rPr/>
        <w:fldChar w:fldCharType="end" w:fldLock="0"/>
      </w:r>
      <w:r>
        <w:rPr>
          <w:rStyle w:val="Нет"/>
          <w:rtl w:val="0"/>
          <w:lang w:val="en-US"/>
        </w:rPr>
        <w:t>.</w:t>
      </w:r>
    </w:p>
    <w:p>
      <w:pPr>
        <w:pStyle w:val="Reference"/>
        <w:spacing w:line="240" w:lineRule="atLeast"/>
        <w:jc w:val="left"/>
      </w:pPr>
      <w:r>
        <w:rPr>
          <w:rStyle w:val="Нет"/>
          <w:rtl w:val="0"/>
          <w:lang w:val="en-US"/>
        </w:rPr>
        <w:t>[50] H.</w:t>
      </w:r>
      <w:r>
        <w:rPr>
          <w:rStyle w:val="Нет"/>
          <w:rtl w:val="0"/>
          <w:lang w:val="en-US"/>
        </w:rPr>
        <w:t> </w:t>
      </w:r>
      <w:r>
        <w:rPr>
          <w:rStyle w:val="Нет"/>
          <w:rtl w:val="0"/>
          <w:lang w:val="en-US"/>
        </w:rPr>
        <w:t>Sahlmann and R.</w:t>
      </w:r>
      <w:r>
        <w:rPr>
          <w:rStyle w:val="Нет"/>
          <w:rtl w:val="0"/>
          <w:lang w:val="en-US"/>
        </w:rPr>
        <w:t> </w:t>
      </w:r>
      <w:r>
        <w:rPr>
          <w:rStyle w:val="Нет"/>
          <w:rtl w:val="0"/>
          <w:lang w:val="en-US"/>
        </w:rPr>
        <w:t xml:space="preserve">Verch, Microlocal spectrum condition and Hadamard form for vector-valued quantum fields in curved spacetime, </w:t>
      </w:r>
      <w:r>
        <w:rPr>
          <w:rStyle w:val="Нет"/>
          <w:i w:val="1"/>
          <w:iCs w:val="1"/>
          <w:rtl w:val="0"/>
          <w:lang w:val="en-US"/>
        </w:rPr>
        <w:t>Reviews in Mathematical Physics</w:t>
      </w:r>
      <w:r>
        <w:rPr>
          <w:rStyle w:val="Нет"/>
          <w:rtl w:val="0"/>
          <w:lang w:val="en-US"/>
        </w:rPr>
        <w:t xml:space="preserve"> </w:t>
      </w:r>
      <w:r>
        <w:rPr>
          <w:rStyle w:val="Нет"/>
          <w:b w:val="1"/>
          <w:bCs w:val="1"/>
          <w:rtl w:val="0"/>
          <w:lang w:val="en-US"/>
        </w:rPr>
        <w:t>13</w:t>
      </w:r>
      <w:r>
        <w:rPr>
          <w:rStyle w:val="Нет"/>
          <w:rtl w:val="0"/>
          <w:lang w:val="en-US"/>
        </w:rPr>
        <w:t>, 1203</w:t>
      </w:r>
      <w:r>
        <w:rPr>
          <w:rStyle w:val="Нет"/>
          <w:rtl w:val="0"/>
          <w:lang w:val="en-US"/>
        </w:rPr>
        <w:t>–</w:t>
      </w:r>
      <w:r>
        <w:rPr>
          <w:rStyle w:val="Нет"/>
          <w:rtl w:val="0"/>
          <w:lang w:val="en-US"/>
        </w:rPr>
        <w:t xml:space="preserve">1246 (2001). </w:t>
      </w:r>
      <w:r>
        <w:rPr>
          <w:rStyle w:val="Hyperlink.2"/>
        </w:rPr>
        <w:fldChar w:fldCharType="begin" w:fldLock="0"/>
      </w:r>
      <w:r>
        <w:rPr>
          <w:rStyle w:val="Hyperlink.2"/>
        </w:rPr>
        <w:instrText xml:space="preserve"> HYPERLINK "https://doi.org/10.1142/S0129055X01001010"</w:instrText>
      </w:r>
      <w:r>
        <w:rPr>
          <w:rStyle w:val="Hyperlink.2"/>
        </w:rPr>
        <w:fldChar w:fldCharType="separate" w:fldLock="0"/>
      </w:r>
      <w:r>
        <w:rPr>
          <w:rStyle w:val="Hyperlink.2"/>
          <w:rtl w:val="0"/>
          <w:lang w:val="en-US"/>
        </w:rPr>
        <w:t>doi:10.1142/S0129055X01001010</w:t>
      </w:r>
      <w:r>
        <w:rPr/>
        <w:fldChar w:fldCharType="end" w:fldLock="0"/>
      </w:r>
      <w:r>
        <w:rPr>
          <w:rStyle w:val="Нет"/>
          <w:rtl w:val="0"/>
          <w:lang w:val="en-US"/>
        </w:rPr>
        <w:t xml:space="preserve">. </w:t>
      </w:r>
      <w:r>
        <w:rPr>
          <w:rStyle w:val="Hyperlink.2"/>
        </w:rPr>
        <w:fldChar w:fldCharType="begin" w:fldLock="0"/>
      </w:r>
      <w:r>
        <w:rPr>
          <w:rStyle w:val="Hyperlink.2"/>
        </w:rPr>
        <w:instrText xml:space="preserve"> HYPERLINK "https://arxiv.org/abs/math-ph/0008029"</w:instrText>
      </w:r>
      <w:r>
        <w:rPr>
          <w:rStyle w:val="Hyperlink.2"/>
        </w:rPr>
        <w:fldChar w:fldCharType="separate" w:fldLock="0"/>
      </w:r>
      <w:r>
        <w:rPr>
          <w:rStyle w:val="Hyperlink.2"/>
          <w:rtl w:val="0"/>
          <w:lang w:val="en-US"/>
        </w:rPr>
        <w:t>https://arxiv.org/abs/math-ph/0008029</w:t>
      </w:r>
      <w:r>
        <w:rPr/>
        <w:fldChar w:fldCharType="end" w:fldLock="0"/>
      </w:r>
      <w:r>
        <w:rPr>
          <w:rStyle w:val="Нет"/>
          <w:rtl w:val="0"/>
          <w:lang w:val="en-US"/>
        </w:rPr>
        <w:t>.</w:t>
      </w:r>
      <w:bookmarkEnd w:id="67"/>
    </w:p>
    <w:sectPr>
      <w:headerReference w:type="default" r:id="rId16"/>
      <w:footerReference w:type="default" r:id="rId17"/>
      <w:pgSz w:w="11900" w:h="16840" w:orient="portrait"/>
      <w:pgMar w:top="1191" w:right="1191" w:bottom="1191" w:left="1191" w:header="567" w:footer="567"/>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 w:name="Cambria">
    <w:charset w:val="00"/>
    <w:family w:val="roman"/>
    <w:pitch w:val="default"/>
  </w:font>
  <w:font w:name="Cambria Math">
    <w:charset w:val="00"/>
    <w:family w:val="roman"/>
    <w:pitch w:val="default"/>
  </w:font>
  <w:font w:name="DejaVu Serif">
    <w:charset w:val="00"/>
    <w:family w:val="roman"/>
    <w:pitch w:val="default"/>
  </w:font>
  <w:font w:name="Liberation Serif">
    <w:charset w:val="00"/>
    <w:family w:val="roman"/>
    <w:pitch w:val="default"/>
  </w:font>
  <w:font w:name="Aptos">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footer"/>
      <w:jc w:val="center"/>
    </w:pPr>
    <w:r>
      <w:rPr/>
      <w:fldChar w:fldCharType="begin" w:fldLock="0"/>
    </w:r>
    <w:r>
      <w:instrText xml:space="preserve"> PAGE </w:instrText>
    </w:r>
    <w:r>
      <w:rPr/>
      <w:fldChar w:fldCharType="separate" w:fldLock="0"/>
    </w:r>
    <w:r>
      <w:t>73</w:t>
    </w:r>
    <w:r>
      <w:rPr/>
      <w:fldChar w:fldCharType="end" w:fldLock="0"/>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Колонтитулы"/>
      <w:bidi w:val="0"/>
    </w:pPr>
    <w:r/>
  </w:p>
</w:hdr>
</file>

<file path=word/numbering.xml><?xml version="1.0" encoding="utf-8"?>
<w:numbering xmlns:w="http://schemas.openxmlformats.org/wordprocessingml/2006/main" xmlns:wp="http://schemas.openxmlformats.org/drawingml/2006/wordprocessingDrawing" xmlns:w14="http://schemas.microsoft.com/office/word/2010/wordml" xmlns:r="http://schemas.openxmlformats.org/officeDocument/2006/relationships" xmlns:v="urn:schemas-microsoft-com:vml" xmlns:o="urn:schemas-microsoft-com:office:office">
  <w:abstractNum w:abstractNumId="0">
    <w:multiLevelType w:val="hybridMultilevel"/>
    <w:numStyleLink w:val="Импортированный стиль 1"/>
  </w:abstractNum>
  <w:abstractNum w:abstractNumId="1">
    <w:multiLevelType w:val="hybridMultilevel"/>
    <w:styleLink w:val="Импортированный стиль 1"/>
    <w:lvl w:ilvl="0">
      <w:start w:val="1"/>
      <w:numFmt w:val="decimal"/>
      <w:suff w:val="tab"/>
      <w:lvlText w:val="%1."/>
      <w:lvlJc w:val="left"/>
      <w:pPr>
        <w:ind w:left="720" w:hanging="480"/>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lowerLetter"/>
      <w:suff w:val="tab"/>
      <w:lvlText w:val="%2."/>
      <w:lvlJc w:val="left"/>
      <w:pPr>
        <w:ind w:left="1440" w:hanging="480"/>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lowerRoman"/>
      <w:suff w:val="tab"/>
      <w:lvlText w:val="%3."/>
      <w:lvlJc w:val="left"/>
      <w:pPr>
        <w:ind w:left="2160" w:hanging="480"/>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ind w:left="2880" w:hanging="480"/>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lowerLetter"/>
      <w:suff w:val="tab"/>
      <w:lvlText w:val="%5."/>
      <w:lvlJc w:val="left"/>
      <w:pPr>
        <w:ind w:left="3600" w:hanging="480"/>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lowerRoman"/>
      <w:suff w:val="tab"/>
      <w:lvlText w:val="%6."/>
      <w:lvlJc w:val="left"/>
      <w:pPr>
        <w:ind w:left="4320" w:hanging="480"/>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ind w:left="5040" w:hanging="480"/>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lowerLetter"/>
      <w:suff w:val="tab"/>
      <w:lvlText w:val="%8."/>
      <w:lvlJc w:val="left"/>
      <w:pPr>
        <w:ind w:left="5760" w:hanging="480"/>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lowerRoman"/>
      <w:suff w:val="tab"/>
      <w:lvlText w:val="%9."/>
      <w:lvlJc w:val="left"/>
      <w:pPr>
        <w:ind w:left="6480" w:hanging="480"/>
      </w:pPr>
      <w:rPr>
        <w:rFonts w:hAnsi="Arial Unicode MS"/>
        <w:caps w:val="0"/>
        <w:smallCaps w:val="0"/>
        <w:strike w:val="0"/>
        <w:dstrike w:val="0"/>
        <w:outline w:val="0"/>
        <w:emboss w:val="0"/>
        <w:imprint w:val="0"/>
        <w:spacing w:val="0"/>
        <w:w w:val="100"/>
        <w:kern w:val="0"/>
        <w:position w:val="0"/>
        <w:highlight w:val="none"/>
        <w:vertAlign w:val="baseline"/>
      </w:rPr>
    </w:lvl>
  </w:abstractNum>
  <w:num w:numId="1">
    <w:abstractNumId w:val="1"/>
  </w:num>
  <w:num w:numId="2">
    <w:abstractNumId w:val="0"/>
  </w:num>
  <w:num w:numId="3">
    <w:abstractNumId w:val="0"/>
    <w:lvlOverride w:ilvl="0">
      <w:lvl w:ilvl="0">
        <w:start w:val="1"/>
        <w:numFmt w:val="decimal"/>
        <w:suff w:val="tab"/>
        <w:lvlText w:val="%1."/>
        <w:lvlJc w:val="left"/>
        <w:pPr>
          <w:ind w:left="698" w:hanging="458"/>
        </w:pPr>
        <w:rPr>
          <w:rFonts w:hAnsi="Arial Unicode MS"/>
          <w:caps w:val="0"/>
          <w:smallCaps w:val="0"/>
          <w:strike w:val="0"/>
          <w:dstrike w:val="0"/>
          <w:outline w:val="0"/>
          <w:emboss w:val="0"/>
          <w:imprint w:val="0"/>
          <w:spacing w:val="0"/>
          <w:w w:val="100"/>
          <w:kern w:val="0"/>
          <w:position w:val="0"/>
          <w:sz w:val="21"/>
          <w:szCs w:val="21"/>
          <w:highlight w:val="none"/>
          <w:vertAlign w:val="baseline"/>
        </w:rPr>
      </w:lvl>
    </w:lvlOverride>
    <w:lvlOverride w:ilvl="1">
      <w:lvl w:ilvl="1">
        <w:start w:val="1"/>
        <w:numFmt w:val="lowerLetter"/>
        <w:suff w:val="tab"/>
        <w:lvlText w:val="%2."/>
        <w:lvlJc w:val="left"/>
        <w:pPr>
          <w:ind w:left="1418" w:hanging="458"/>
        </w:pPr>
        <w:rPr>
          <w:rFonts w:hAnsi="Arial Unicode MS"/>
          <w:caps w:val="0"/>
          <w:smallCaps w:val="0"/>
          <w:strike w:val="0"/>
          <w:dstrike w:val="0"/>
          <w:outline w:val="0"/>
          <w:emboss w:val="0"/>
          <w:imprint w:val="0"/>
          <w:spacing w:val="0"/>
          <w:w w:val="100"/>
          <w:kern w:val="0"/>
          <w:position w:val="0"/>
          <w:sz w:val="21"/>
          <w:szCs w:val="21"/>
          <w:highlight w:val="none"/>
          <w:vertAlign w:val="baseline"/>
        </w:rPr>
      </w:lvl>
    </w:lvlOverride>
    <w:lvlOverride w:ilvl="2">
      <w:lvl w:ilvl="2">
        <w:start w:val="1"/>
        <w:numFmt w:val="lowerRoman"/>
        <w:suff w:val="tab"/>
        <w:lvlText w:val="%3."/>
        <w:lvlJc w:val="left"/>
        <w:pPr>
          <w:ind w:left="2138" w:hanging="458"/>
        </w:pPr>
        <w:rPr>
          <w:rFonts w:hAnsi="Arial Unicode MS"/>
          <w:caps w:val="0"/>
          <w:smallCaps w:val="0"/>
          <w:strike w:val="0"/>
          <w:dstrike w:val="0"/>
          <w:outline w:val="0"/>
          <w:emboss w:val="0"/>
          <w:imprint w:val="0"/>
          <w:spacing w:val="0"/>
          <w:w w:val="100"/>
          <w:kern w:val="0"/>
          <w:position w:val="0"/>
          <w:sz w:val="21"/>
          <w:szCs w:val="21"/>
          <w:highlight w:val="none"/>
          <w:vertAlign w:val="baseline"/>
        </w:rPr>
      </w:lvl>
    </w:lvlOverride>
    <w:lvlOverride w:ilvl="3">
      <w:lvl w:ilvl="3">
        <w:start w:val="1"/>
        <w:numFmt w:val="decimal"/>
        <w:suff w:val="tab"/>
        <w:lvlText w:val="%4."/>
        <w:lvlJc w:val="left"/>
        <w:pPr>
          <w:ind w:left="2858" w:hanging="458"/>
        </w:pPr>
        <w:rPr>
          <w:rFonts w:hAnsi="Arial Unicode MS"/>
          <w:caps w:val="0"/>
          <w:smallCaps w:val="0"/>
          <w:strike w:val="0"/>
          <w:dstrike w:val="0"/>
          <w:outline w:val="0"/>
          <w:emboss w:val="0"/>
          <w:imprint w:val="0"/>
          <w:spacing w:val="0"/>
          <w:w w:val="100"/>
          <w:kern w:val="0"/>
          <w:position w:val="0"/>
          <w:sz w:val="21"/>
          <w:szCs w:val="21"/>
          <w:highlight w:val="none"/>
          <w:vertAlign w:val="baseline"/>
        </w:rPr>
      </w:lvl>
    </w:lvlOverride>
    <w:lvlOverride w:ilvl="4">
      <w:lvl w:ilvl="4">
        <w:start w:val="1"/>
        <w:numFmt w:val="lowerLetter"/>
        <w:suff w:val="tab"/>
        <w:lvlText w:val="%5."/>
        <w:lvlJc w:val="left"/>
        <w:pPr>
          <w:ind w:left="3578" w:hanging="458"/>
        </w:pPr>
        <w:rPr>
          <w:rFonts w:hAnsi="Arial Unicode MS"/>
          <w:caps w:val="0"/>
          <w:smallCaps w:val="0"/>
          <w:strike w:val="0"/>
          <w:dstrike w:val="0"/>
          <w:outline w:val="0"/>
          <w:emboss w:val="0"/>
          <w:imprint w:val="0"/>
          <w:spacing w:val="0"/>
          <w:w w:val="100"/>
          <w:kern w:val="0"/>
          <w:position w:val="0"/>
          <w:sz w:val="21"/>
          <w:szCs w:val="21"/>
          <w:highlight w:val="none"/>
          <w:vertAlign w:val="baseline"/>
        </w:rPr>
      </w:lvl>
    </w:lvlOverride>
    <w:lvlOverride w:ilvl="5">
      <w:lvl w:ilvl="5">
        <w:start w:val="1"/>
        <w:numFmt w:val="lowerRoman"/>
        <w:suff w:val="tab"/>
        <w:lvlText w:val="%6."/>
        <w:lvlJc w:val="left"/>
        <w:pPr>
          <w:ind w:left="4298" w:hanging="458"/>
        </w:pPr>
        <w:rPr>
          <w:rFonts w:hAnsi="Arial Unicode MS"/>
          <w:caps w:val="0"/>
          <w:smallCaps w:val="0"/>
          <w:strike w:val="0"/>
          <w:dstrike w:val="0"/>
          <w:outline w:val="0"/>
          <w:emboss w:val="0"/>
          <w:imprint w:val="0"/>
          <w:spacing w:val="0"/>
          <w:w w:val="100"/>
          <w:kern w:val="0"/>
          <w:position w:val="0"/>
          <w:sz w:val="21"/>
          <w:szCs w:val="21"/>
          <w:highlight w:val="none"/>
          <w:vertAlign w:val="baseline"/>
        </w:rPr>
      </w:lvl>
    </w:lvlOverride>
    <w:lvlOverride w:ilvl="6">
      <w:lvl w:ilvl="6">
        <w:start w:val="1"/>
        <w:numFmt w:val="decimal"/>
        <w:suff w:val="tab"/>
        <w:lvlText w:val="%7."/>
        <w:lvlJc w:val="left"/>
        <w:pPr>
          <w:ind w:left="5018" w:hanging="458"/>
        </w:pPr>
        <w:rPr>
          <w:rFonts w:hAnsi="Arial Unicode MS"/>
          <w:caps w:val="0"/>
          <w:smallCaps w:val="0"/>
          <w:strike w:val="0"/>
          <w:dstrike w:val="0"/>
          <w:outline w:val="0"/>
          <w:emboss w:val="0"/>
          <w:imprint w:val="0"/>
          <w:spacing w:val="0"/>
          <w:w w:val="100"/>
          <w:kern w:val="0"/>
          <w:position w:val="0"/>
          <w:sz w:val="21"/>
          <w:szCs w:val="21"/>
          <w:highlight w:val="none"/>
          <w:vertAlign w:val="baseline"/>
        </w:rPr>
      </w:lvl>
    </w:lvlOverride>
    <w:lvlOverride w:ilvl="7">
      <w:lvl w:ilvl="7">
        <w:start w:val="1"/>
        <w:numFmt w:val="lowerLetter"/>
        <w:suff w:val="tab"/>
        <w:lvlText w:val="%8."/>
        <w:lvlJc w:val="left"/>
        <w:pPr>
          <w:ind w:left="5738" w:hanging="458"/>
        </w:pPr>
        <w:rPr>
          <w:rFonts w:hAnsi="Arial Unicode MS"/>
          <w:caps w:val="0"/>
          <w:smallCaps w:val="0"/>
          <w:strike w:val="0"/>
          <w:dstrike w:val="0"/>
          <w:outline w:val="0"/>
          <w:emboss w:val="0"/>
          <w:imprint w:val="0"/>
          <w:spacing w:val="0"/>
          <w:w w:val="100"/>
          <w:kern w:val="0"/>
          <w:position w:val="0"/>
          <w:sz w:val="21"/>
          <w:szCs w:val="21"/>
          <w:highlight w:val="none"/>
          <w:vertAlign w:val="baseline"/>
        </w:rPr>
      </w:lvl>
    </w:lvlOverride>
    <w:lvlOverride w:ilvl="8">
      <w:lvl w:ilvl="8">
        <w:start w:val="1"/>
        <w:numFmt w:val="lowerRoman"/>
        <w:suff w:val="tab"/>
        <w:lvlText w:val="%9."/>
        <w:lvlJc w:val="left"/>
        <w:pPr>
          <w:ind w:left="6458" w:hanging="458"/>
        </w:pPr>
        <w:rPr>
          <w:rFonts w:hAnsi="Arial Unicode MS"/>
          <w:caps w:val="0"/>
          <w:smallCaps w:val="0"/>
          <w:strike w:val="0"/>
          <w:dstrike w:val="0"/>
          <w:outline w:val="0"/>
          <w:emboss w:val="0"/>
          <w:imprint w:val="0"/>
          <w:spacing w:val="0"/>
          <w:w w:val="100"/>
          <w:kern w:val="0"/>
          <w:position w:val="0"/>
          <w:sz w:val="21"/>
          <w:szCs w:val="21"/>
          <w:highlight w:val="none"/>
          <w:vertAlign w:val="baseline"/>
        </w:rPr>
      </w:lvl>
    </w:lvlOverride>
  </w:num>
</w:numbering>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revisionView w:markup="1" w:comments="1" w:insDel="1" w:formatting="0"/>
  <w:defaultTabStop w:val="720"/>
  <w:autoHyphenation w:val="0"/>
  <w:evenAndOddHeaders w:val="0"/>
  <w:bookFoldPrinting w:val="0"/>
  <w:noLineBreaksAfter w:lang="русский" w:val="‘“(〔[{〈《「『【⦅〘〖«〝︵︷︹︻︽︿﹁﹃﹇﹙﹛﹝｢"/>
  <w:noLineBreaksBefore w:lang="русский"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Колонтитулы">
    <w:name w:val="Колонтитулы"/>
    <w:next w:val="Колонтитулы"/>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vertAlign w:val="baseline"/>
    </w:rPr>
  </w:style>
  <w:style w:type="paragraph" w:styleId="footer">
    <w:name w:val="footer"/>
    <w:next w:val="footer"/>
    <w:pPr>
      <w:keepNext w:val="0"/>
      <w:keepLines w:val="0"/>
      <w:pageBreakBefore w:val="0"/>
      <w:widowControl w:val="1"/>
      <w:shd w:val="clear" w:color="auto" w:fill="auto"/>
      <w:tabs>
        <w:tab w:val="center" w:pos="4680"/>
        <w:tab w:val="right" w:pos="9360"/>
      </w:tabs>
      <w:suppressAutoHyphens w:val="0"/>
      <w:bidi w:val="0"/>
      <w:spacing w:before="0" w:after="0" w:line="240" w:lineRule="auto"/>
      <w:ind w:left="0" w:right="0" w:firstLine="0"/>
      <w:jc w:val="left"/>
      <w:outlineLvl w:val="9"/>
    </w:pP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2"/>
      <w:szCs w:val="22"/>
      <w:u w:val="none" w:color="000000"/>
      <w:vertAlign w:val="baseline"/>
      <w:lang w:val="en-US"/>
    </w:rPr>
  </w:style>
  <w:style w:type="paragraph" w:styleId="Title">
    <w:name w:val="Title"/>
    <w:next w:val="Текстовый блок"/>
    <w:pPr>
      <w:keepNext w:val="0"/>
      <w:keepLines w:val="0"/>
      <w:pageBreakBefore w:val="0"/>
      <w:widowControl w:val="1"/>
      <w:pBdr>
        <w:top w:val="nil"/>
        <w:left w:val="nil"/>
        <w:bottom w:val="single" w:color="4f81bd" w:sz="8" w:space="0" w:shadow="0" w:frame="0"/>
        <w:right w:val="nil"/>
      </w:pBdr>
      <w:shd w:val="clear" w:color="auto" w:fill="auto"/>
      <w:suppressAutoHyphens w:val="0"/>
      <w:bidi w:val="0"/>
      <w:spacing w:before="0" w:after="120" w:line="240" w:lineRule="auto"/>
      <w:ind w:left="0" w:right="0" w:firstLine="0"/>
      <w:jc w:val="center"/>
      <w:outlineLvl w:val="9"/>
    </w:pPr>
    <w:rPr>
      <w:rFonts w:ascii="Times New Roman" w:cs="Arial Unicode MS" w:hAnsi="Times New Roman" w:eastAsia="Arial Unicode MS"/>
      <w:b w:val="1"/>
      <w:bCs w:val="1"/>
      <w:i w:val="0"/>
      <w:iCs w:val="0"/>
      <w:caps w:val="0"/>
      <w:smallCaps w:val="0"/>
      <w:strike w:val="0"/>
      <w:dstrike w:val="0"/>
      <w:outline w:val="0"/>
      <w:color w:val="17365d"/>
      <w:spacing w:val="5"/>
      <w:kern w:val="28"/>
      <w:position w:val="0"/>
      <w:sz w:val="32"/>
      <w:szCs w:val="32"/>
      <w:u w:val="none" w:color="17365d"/>
      <w:vertAlign w:val="baseline"/>
      <w:lang w:val="en-US"/>
    </w:rPr>
  </w:style>
  <w:style w:type="paragraph" w:styleId="Текстовый блок">
    <w:name w:val="Текстовый блок"/>
    <w:next w:val="Текстовый блок"/>
    <w:pPr>
      <w:keepNext w:val="0"/>
      <w:keepLines w:val="0"/>
      <w:pageBreakBefore w:val="0"/>
      <w:widowControl w:val="1"/>
      <w:shd w:val="clear" w:color="auto" w:fill="auto"/>
      <w:suppressAutoHyphens w:val="0"/>
      <w:bidi w:val="0"/>
      <w:spacing w:before="0" w:after="80" w:line="259" w:lineRule="auto"/>
      <w:ind w:left="0" w:right="0" w:firstLine="0"/>
      <w:jc w:val="both"/>
      <w:outlineLvl w:val="9"/>
    </w:pP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2"/>
      <w:szCs w:val="22"/>
      <w:u w:val="none" w:color="000000"/>
      <w:vertAlign w:val="baseline"/>
      <w:lang w:val="en-US"/>
    </w:rPr>
  </w:style>
  <w:style w:type="paragraph" w:styleId="Subtitle">
    <w:name w:val="Subtitle"/>
    <w:next w:val="Текстовый блок"/>
    <w:pPr>
      <w:keepNext w:val="0"/>
      <w:keepLines w:val="0"/>
      <w:pageBreakBefore w:val="0"/>
      <w:widowControl w:val="1"/>
      <w:shd w:val="clear" w:color="auto" w:fill="auto"/>
      <w:suppressAutoHyphens w:val="0"/>
      <w:bidi w:val="0"/>
      <w:spacing w:before="0" w:after="120" w:line="259" w:lineRule="auto"/>
      <w:ind w:left="0" w:right="0" w:firstLine="0"/>
      <w:jc w:val="center"/>
      <w:outlineLvl w:val="9"/>
    </w:pPr>
    <w:rPr>
      <w:rFonts w:ascii="Times New Roman" w:cs="Arial Unicode MS" w:hAnsi="Times New Roman" w:eastAsia="Arial Unicode MS"/>
      <w:b w:val="0"/>
      <w:bCs w:val="0"/>
      <w:i w:val="1"/>
      <w:iCs w:val="1"/>
      <w:caps w:val="0"/>
      <w:smallCaps w:val="0"/>
      <w:strike w:val="0"/>
      <w:dstrike w:val="0"/>
      <w:outline w:val="0"/>
      <w:color w:val="4f81bd"/>
      <w:spacing w:val="15"/>
      <w:kern w:val="0"/>
      <w:position w:val="0"/>
      <w:sz w:val="24"/>
      <w:szCs w:val="24"/>
      <w:u w:val="none" w:color="4f81bd"/>
      <w:vertAlign w:val="baseline"/>
      <w:lang w:val="en-US"/>
    </w:rPr>
  </w:style>
  <w:style w:type="paragraph" w:styleId="Normal.0">
    <w:name w:val="Normal"/>
    <w:next w:val="Normal.0"/>
    <w:pPr>
      <w:keepNext w:val="0"/>
      <w:keepLines w:val="0"/>
      <w:pageBreakBefore w:val="0"/>
      <w:widowControl w:val="1"/>
      <w:shd w:val="clear" w:color="auto" w:fill="auto"/>
      <w:suppressAutoHyphens w:val="0"/>
      <w:bidi w:val="0"/>
      <w:spacing w:before="0" w:after="42" w:line="259" w:lineRule="auto"/>
      <w:ind w:left="0" w:right="0" w:firstLine="238"/>
      <w:jc w:val="both"/>
      <w:outlineLvl w:val="9"/>
    </w:pPr>
    <w:rPr>
      <w:rFonts w:ascii="Times New Roman" w:cs="Times New Roman" w:hAnsi="Times New Roman" w:eastAsia="Times New Roman"/>
      <w:b w:val="0"/>
      <w:bCs w:val="0"/>
      <w:i w:val="0"/>
      <w:iCs w:val="0"/>
      <w:caps w:val="0"/>
      <w:smallCaps w:val="0"/>
      <w:strike w:val="0"/>
      <w:dstrike w:val="0"/>
      <w:outline w:val="0"/>
      <w:color w:val="000000"/>
      <w:spacing w:val="0"/>
      <w:kern w:val="0"/>
      <w:position w:val="0"/>
      <w:sz w:val="21"/>
      <w:szCs w:val="21"/>
      <w:u w:val="none" w:color="000000"/>
      <w:vertAlign w:val="baseline"/>
      <w:lang w:val="en-US"/>
    </w:rPr>
  </w:style>
  <w:style w:type="paragraph" w:styleId="Заголовок 2">
    <w:name w:val="Заголовок 2"/>
    <w:next w:val="Текстовый блок"/>
    <w:pPr>
      <w:keepNext w:val="1"/>
      <w:keepLines w:val="1"/>
      <w:pageBreakBefore w:val="0"/>
      <w:widowControl w:val="1"/>
      <w:shd w:val="clear" w:color="auto" w:fill="auto"/>
      <w:suppressAutoHyphens w:val="0"/>
      <w:bidi w:val="0"/>
      <w:spacing w:before="240" w:after="120" w:line="252" w:lineRule="auto"/>
      <w:ind w:left="0" w:right="0" w:firstLine="0"/>
      <w:jc w:val="left"/>
      <w:outlineLvl w:val="1"/>
    </w:pPr>
    <w:rPr>
      <w:rFonts w:ascii="Times New Roman" w:cs="Arial Unicode MS" w:hAnsi="Times New Roman" w:eastAsia="Arial Unicode MS"/>
      <w:b w:val="1"/>
      <w:bCs w:val="1"/>
      <w:i w:val="0"/>
      <w:iCs w:val="0"/>
      <w:caps w:val="0"/>
      <w:smallCaps w:val="0"/>
      <w:strike w:val="0"/>
      <w:dstrike w:val="0"/>
      <w:outline w:val="0"/>
      <w:color w:val="4f81bd"/>
      <w:spacing w:val="0"/>
      <w:kern w:val="0"/>
      <w:position w:val="0"/>
      <w:sz w:val="25"/>
      <w:szCs w:val="25"/>
      <w:u w:val="none" w:color="4f81bd"/>
      <w:vertAlign w:val="baseline"/>
      <w:lang w:val="de-DE"/>
    </w:rPr>
  </w:style>
  <w:style w:type="paragraph" w:styleId="Заголовок">
    <w:name w:val="Заголовок"/>
    <w:next w:val="Текстовый блок"/>
    <w:pPr>
      <w:keepNext w:val="1"/>
      <w:keepLines w:val="1"/>
      <w:pageBreakBefore w:val="0"/>
      <w:widowControl w:val="1"/>
      <w:shd w:val="clear" w:color="auto" w:fill="auto"/>
      <w:suppressAutoHyphens w:val="0"/>
      <w:bidi w:val="0"/>
      <w:spacing w:before="320" w:after="160" w:line="252" w:lineRule="auto"/>
      <w:ind w:left="0" w:right="0" w:firstLine="0"/>
      <w:jc w:val="left"/>
      <w:outlineLvl w:val="0"/>
    </w:pPr>
    <w:rPr>
      <w:rFonts w:ascii="Times New Roman" w:cs="Arial Unicode MS" w:hAnsi="Times New Roman" w:eastAsia="Arial Unicode MS"/>
      <w:b w:val="1"/>
      <w:bCs w:val="1"/>
      <w:i w:val="0"/>
      <w:iCs w:val="0"/>
      <w:caps w:val="0"/>
      <w:smallCaps w:val="0"/>
      <w:strike w:val="0"/>
      <w:dstrike w:val="0"/>
      <w:outline w:val="0"/>
      <w:color w:val="365f91"/>
      <w:spacing w:val="0"/>
      <w:kern w:val="0"/>
      <w:position w:val="0"/>
      <w:sz w:val="28"/>
      <w:szCs w:val="28"/>
      <w:u w:val="none" w:color="365f91"/>
      <w:vertAlign w:val="baseline"/>
      <w:lang w:val="en-US"/>
    </w:rPr>
  </w:style>
  <w:style w:type="paragraph" w:styleId="caption">
    <w:name w:val="caption"/>
    <w:next w:val="Текстовый блок"/>
    <w:pPr>
      <w:keepNext w:val="0"/>
      <w:keepLines w:val="1"/>
      <w:pageBreakBefore w:val="0"/>
      <w:widowControl w:val="1"/>
      <w:shd w:val="clear" w:color="auto" w:fill="auto"/>
      <w:suppressAutoHyphens w:val="0"/>
      <w:bidi w:val="0"/>
      <w:spacing w:before="40" w:after="60" w:line="240" w:lineRule="auto"/>
      <w:ind w:left="0" w:right="0" w:firstLine="0"/>
      <w:jc w:val="center"/>
      <w:outlineLvl w:val="9"/>
    </w:pPr>
    <w:rPr>
      <w:rFonts w:ascii="Times New Roman" w:cs="Arial Unicode MS" w:hAnsi="Times New Roman" w:eastAsia="Arial Unicode MS"/>
      <w:b w:val="0"/>
      <w:bCs w:val="0"/>
      <w:i w:val="1"/>
      <w:iCs w:val="1"/>
      <w:caps w:val="0"/>
      <w:smallCaps w:val="0"/>
      <w:strike w:val="0"/>
      <w:dstrike w:val="0"/>
      <w:outline w:val="0"/>
      <w:color w:val="4f81bd"/>
      <w:spacing w:val="0"/>
      <w:kern w:val="0"/>
      <w:position w:val="0"/>
      <w:sz w:val="19"/>
      <w:szCs w:val="19"/>
      <w:u w:val="none" w:color="4f81bd"/>
      <w:vertAlign w:val="baseline"/>
      <w:lang w:val="en-US"/>
    </w:rPr>
  </w:style>
  <w:style w:type="paragraph" w:styleId="Заголовок 3">
    <w:name w:val="Заголовок 3"/>
    <w:next w:val="Текстовый блок"/>
    <w:pPr>
      <w:keepNext w:val="1"/>
      <w:keepLines w:val="1"/>
      <w:pageBreakBefore w:val="0"/>
      <w:widowControl w:val="1"/>
      <w:shd w:val="clear" w:color="auto" w:fill="auto"/>
      <w:suppressAutoHyphens w:val="0"/>
      <w:bidi w:val="0"/>
      <w:spacing w:before="240" w:after="120" w:line="252" w:lineRule="auto"/>
      <w:ind w:left="0" w:right="0" w:firstLine="0"/>
      <w:jc w:val="left"/>
      <w:outlineLvl w:val="2"/>
    </w:pPr>
    <w:rPr>
      <w:rFonts w:ascii="Times New Roman" w:cs="Arial Unicode MS" w:hAnsi="Times New Roman" w:eastAsia="Arial Unicode MS"/>
      <w:b w:val="1"/>
      <w:bCs w:val="1"/>
      <w:i w:val="0"/>
      <w:iCs w:val="0"/>
      <w:caps w:val="0"/>
      <w:smallCaps w:val="0"/>
      <w:strike w:val="0"/>
      <w:dstrike w:val="0"/>
      <w:outline w:val="0"/>
      <w:color w:val="4f81bd"/>
      <w:spacing w:val="0"/>
      <w:kern w:val="0"/>
      <w:position w:val="0"/>
      <w:sz w:val="23"/>
      <w:szCs w:val="23"/>
      <w:u w:val="none" w:color="4f81bd"/>
      <w:vertAlign w:val="baseline"/>
      <w:lang w:val="en-US"/>
    </w:rPr>
  </w:style>
  <w:style w:type="paragraph" w:styleId="Equation">
    <w:name w:val="Equation"/>
    <w:next w:val="Equation"/>
    <w:pPr>
      <w:keepNext w:val="0"/>
      <w:keepLines w:val="0"/>
      <w:pageBreakBefore w:val="0"/>
      <w:widowControl w:val="1"/>
      <w:shd w:val="clear" w:color="auto" w:fill="auto"/>
      <w:suppressAutoHyphens w:val="0"/>
      <w:bidi w:val="0"/>
      <w:spacing w:before="0" w:after="0" w:line="240" w:lineRule="auto"/>
      <w:ind w:left="0" w:right="0" w:firstLine="238"/>
      <w:jc w:val="center"/>
      <w:outlineLvl w:val="9"/>
    </w:pPr>
    <w:rPr>
      <w:rFonts w:ascii="Cambria Math" w:cs="Cambria Math" w:hAnsi="Cambria Math" w:eastAsia="Cambria Math"/>
      <w:b w:val="0"/>
      <w:bCs w:val="0"/>
      <w:i w:val="0"/>
      <w:iCs w:val="0"/>
      <w:caps w:val="0"/>
      <w:smallCaps w:val="0"/>
      <w:strike w:val="0"/>
      <w:dstrike w:val="0"/>
      <w:outline w:val="0"/>
      <w:color w:val="000000"/>
      <w:spacing w:val="0"/>
      <w:kern w:val="0"/>
      <w:position w:val="0"/>
      <w:sz w:val="20"/>
      <w:szCs w:val="20"/>
      <w:u w:val="none" w:color="000000"/>
      <w:vertAlign w:val="baseline"/>
      <w:lang w:val="en-US"/>
    </w:rPr>
  </w:style>
  <w:style w:type="paragraph" w:styleId="Figure">
    <w:name w:val="Figure"/>
    <w:next w:val="Figure"/>
    <w:pPr>
      <w:keepNext w:val="1"/>
      <w:keepLines w:val="1"/>
      <w:pageBreakBefore w:val="0"/>
      <w:widowControl w:val="1"/>
      <w:shd w:val="clear" w:color="auto" w:fill="auto"/>
      <w:suppressAutoHyphens w:val="0"/>
      <w:bidi w:val="0"/>
      <w:spacing w:before="80" w:after="0" w:line="240" w:lineRule="auto"/>
      <w:ind w:left="0" w:right="0" w:firstLine="0"/>
      <w:jc w:val="center"/>
      <w:outlineLvl w:val="9"/>
    </w:pPr>
    <w:rPr>
      <w:rFonts w:ascii="DejaVu Serif" w:cs="DejaVu Serif" w:hAnsi="DejaVu Serif" w:eastAsia="DejaVu Serif"/>
      <w:b w:val="0"/>
      <w:bCs w:val="0"/>
      <w:i w:val="0"/>
      <w:iCs w:val="0"/>
      <w:caps w:val="0"/>
      <w:smallCaps w:val="0"/>
      <w:strike w:val="0"/>
      <w:dstrike w:val="0"/>
      <w:outline w:val="0"/>
      <w:color w:val="000000"/>
      <w:spacing w:val="0"/>
      <w:kern w:val="0"/>
      <w:position w:val="0"/>
      <w:sz w:val="22"/>
      <w:szCs w:val="22"/>
      <w:u w:val="none" w:color="000000"/>
      <w:vertAlign w:val="baseline"/>
      <w:lang w:val="en-US"/>
    </w:rPr>
  </w:style>
  <w:style w:type="paragraph" w:styleId="Table Text">
    <w:name w:val="Table Text"/>
    <w:next w:val="Table Text"/>
    <w:pPr>
      <w:keepNext w:val="0"/>
      <w:keepLines w:val="0"/>
      <w:pageBreakBefore w:val="0"/>
      <w:widowControl w:val="1"/>
      <w:shd w:val="clear" w:color="auto" w:fill="auto"/>
      <w:suppressAutoHyphens w:val="0"/>
      <w:bidi w:val="0"/>
      <w:spacing w:before="0" w:after="0" w:line="264" w:lineRule="auto"/>
      <w:ind w:left="0" w:right="0" w:firstLine="0"/>
      <w:jc w:val="left"/>
      <w:outlineLvl w:val="9"/>
    </w:pPr>
    <w:rPr>
      <w:rFonts w:ascii="DejaVu Serif" w:cs="DejaVu Serif" w:hAnsi="DejaVu Serif" w:eastAsia="DejaVu Serif"/>
      <w:b w:val="0"/>
      <w:bCs w:val="0"/>
      <w:i w:val="0"/>
      <w:iCs w:val="0"/>
      <w:caps w:val="0"/>
      <w:smallCaps w:val="0"/>
      <w:strike w:val="0"/>
      <w:dstrike w:val="0"/>
      <w:outline w:val="0"/>
      <w:color w:val="000000"/>
      <w:spacing w:val="0"/>
      <w:kern w:val="0"/>
      <w:position w:val="0"/>
      <w:sz w:val="18"/>
      <w:szCs w:val="18"/>
      <w:u w:val="none" w:color="000000"/>
      <w:vertAlign w:val="baseline"/>
      <w:lang w:val="en-US"/>
    </w:rPr>
  </w:style>
  <w:style w:type="paragraph" w:styleId="Table Citation">
    <w:name w:val="Table Citation"/>
    <w:next w:val="Table Citation"/>
    <w:pPr>
      <w:keepNext w:val="0"/>
      <w:keepLines w:val="0"/>
      <w:pageBreakBefore w:val="0"/>
      <w:widowControl w:val="1"/>
      <w:shd w:val="clear" w:color="auto" w:fill="auto"/>
      <w:suppressAutoHyphens w:val="0"/>
      <w:bidi w:val="0"/>
      <w:spacing w:before="80" w:after="80" w:line="269" w:lineRule="auto"/>
      <w:ind w:left="0" w:right="0" w:firstLine="0"/>
      <w:jc w:val="left"/>
      <w:outlineLvl w:val="9"/>
    </w:pPr>
    <w:rPr>
      <w:rFonts w:ascii="DejaVu Serif" w:cs="DejaVu Serif" w:hAnsi="DejaVu Serif" w:eastAsia="DejaVu Serif"/>
      <w:b w:val="0"/>
      <w:bCs w:val="0"/>
      <w:i w:val="0"/>
      <w:iCs w:val="0"/>
      <w:caps w:val="0"/>
      <w:smallCaps w:val="0"/>
      <w:strike w:val="0"/>
      <w:dstrike w:val="0"/>
      <w:outline w:val="0"/>
      <w:color w:val="000000"/>
      <w:spacing w:val="0"/>
      <w:kern w:val="0"/>
      <w:position w:val="0"/>
      <w:sz w:val="19"/>
      <w:szCs w:val="19"/>
      <w:u w:val="none" w:color="000000"/>
      <w:vertAlign w:val="baseline"/>
      <w:lang w:val="en-US"/>
    </w:rPr>
  </w:style>
  <w:style w:type="paragraph" w:styleId="Captioned Figure">
    <w:name w:val="Captioned Figure"/>
    <w:next w:val="Captioned Figure"/>
    <w:pPr>
      <w:keepNext w:val="1"/>
      <w:keepLines w:val="1"/>
      <w:pageBreakBefore w:val="0"/>
      <w:widowControl w:val="1"/>
      <w:shd w:val="clear" w:color="auto" w:fill="auto"/>
      <w:suppressAutoHyphens w:val="0"/>
      <w:bidi w:val="0"/>
      <w:spacing w:before="80" w:after="0" w:line="240" w:lineRule="auto"/>
      <w:ind w:left="0" w:right="0" w:firstLine="0"/>
      <w:jc w:val="center"/>
      <w:outlineLvl w:val="9"/>
    </w:pPr>
    <w:rPr>
      <w:rFonts w:ascii="DejaVu Serif" w:cs="DejaVu Serif" w:hAnsi="DejaVu Serif" w:eastAsia="DejaVu Serif"/>
      <w:b w:val="0"/>
      <w:bCs w:val="0"/>
      <w:i w:val="0"/>
      <w:iCs w:val="0"/>
      <w:caps w:val="0"/>
      <w:smallCaps w:val="0"/>
      <w:strike w:val="0"/>
      <w:dstrike w:val="0"/>
      <w:outline w:val="0"/>
      <w:color w:val="000000"/>
      <w:spacing w:val="0"/>
      <w:kern w:val="0"/>
      <w:position w:val="0"/>
      <w:sz w:val="22"/>
      <w:szCs w:val="22"/>
      <w:u w:val="none" w:color="000000"/>
      <w:vertAlign w:val="baseline"/>
      <w:lang w:val="en-US"/>
    </w:rPr>
  </w:style>
  <w:style w:type="paragraph" w:styleId="Compact">
    <w:name w:val="Compact"/>
    <w:next w:val="Compact"/>
    <w:pPr>
      <w:keepNext w:val="0"/>
      <w:keepLines w:val="0"/>
      <w:pageBreakBefore w:val="0"/>
      <w:widowControl w:val="1"/>
      <w:shd w:val="clear" w:color="auto" w:fill="auto"/>
      <w:suppressAutoHyphens w:val="0"/>
      <w:bidi w:val="0"/>
      <w:spacing w:before="0" w:after="80" w:line="259" w:lineRule="auto"/>
      <w:ind w:left="0" w:right="0" w:firstLine="0"/>
      <w:jc w:val="left"/>
      <w:outlineLvl w:val="9"/>
    </w:pPr>
    <w:rPr>
      <w:rFonts w:ascii="Liberation Serif" w:cs="Liberation Serif" w:hAnsi="Liberation Serif" w:eastAsia="Liberation Serif"/>
      <w:b w:val="0"/>
      <w:bCs w:val="0"/>
      <w:i w:val="0"/>
      <w:iCs w:val="0"/>
      <w:caps w:val="0"/>
      <w:smallCaps w:val="0"/>
      <w:strike w:val="0"/>
      <w:dstrike w:val="0"/>
      <w:outline w:val="0"/>
      <w:color w:val="000000"/>
      <w:spacing w:val="0"/>
      <w:kern w:val="0"/>
      <w:position w:val="0"/>
      <w:sz w:val="22"/>
      <w:szCs w:val="22"/>
      <w:u w:val="none" w:color="000000"/>
      <w:vertAlign w:val="baseline"/>
      <w:lang w:val="en-US"/>
    </w:rPr>
  </w:style>
  <w:style w:type="numbering" w:styleId="Импортированный стиль 1">
    <w:name w:val="Импортированный стиль 1"/>
    <w:pPr>
      <w:numPr>
        <w:numId w:val="1"/>
      </w:numPr>
    </w:pPr>
  </w:style>
  <w:style w:type="paragraph" w:styleId="Reference">
    <w:name w:val="Reference"/>
    <w:next w:val="Reference"/>
    <w:pPr>
      <w:keepNext w:val="0"/>
      <w:keepLines w:val="0"/>
      <w:pageBreakBefore w:val="0"/>
      <w:widowControl w:val="1"/>
      <w:shd w:val="clear" w:color="auto" w:fill="auto"/>
      <w:suppressAutoHyphens w:val="0"/>
      <w:bidi w:val="0"/>
      <w:spacing w:before="0" w:after="40" w:line="240" w:lineRule="auto"/>
      <w:ind w:left="340" w:right="0" w:hanging="340"/>
      <w:jc w:val="both"/>
      <w:outlineLvl w:val="9"/>
    </w:pPr>
    <w:rPr>
      <w:rFonts w:ascii="Times New Roman" w:cs="Arial Unicode MS" w:hAnsi="Times New Roman" w:eastAsia="Arial Unicode MS"/>
      <w:b w:val="0"/>
      <w:bCs w:val="0"/>
      <w:i w:val="0"/>
      <w:iCs w:val="0"/>
      <w:caps w:val="0"/>
      <w:smallCaps w:val="0"/>
      <w:strike w:val="0"/>
      <w:dstrike w:val="0"/>
      <w:outline w:val="0"/>
      <w:color w:val="111111"/>
      <w:spacing w:val="0"/>
      <w:kern w:val="0"/>
      <w:position w:val="0"/>
      <w:sz w:val="18"/>
      <w:szCs w:val="18"/>
      <w:u w:val="none" w:color="111111"/>
      <w:vertAlign w:val="baseline"/>
      <w:lang w:val="en-US"/>
    </w:rPr>
  </w:style>
  <w:style w:type="character" w:styleId="Нет">
    <w:name w:val="Нет"/>
  </w:style>
  <w:style w:type="character" w:styleId="Hyperlink.0">
    <w:name w:val="Hyperlink.0"/>
    <w:basedOn w:val="Нет"/>
    <w:next w:val="Hyperlink.0"/>
    <w:rPr>
      <w:color w:val="0000ff"/>
      <w:u w:val="single" w:color="0000ff"/>
    </w:rPr>
  </w:style>
  <w:style w:type="character" w:styleId="Hyperlink.1">
    <w:name w:val="Hyperlink.1"/>
    <w:basedOn w:val="Нет"/>
    <w:next w:val="Hyperlink.1"/>
    <w:rPr>
      <w:color w:val="244565"/>
      <w:u w:color="244565"/>
    </w:rPr>
  </w:style>
  <w:style w:type="character" w:styleId="Hyperlink.2">
    <w:name w:val="Hyperlink.2"/>
    <w:basedOn w:val="Hyperlink"/>
    <w:next w:val="Hyperlink.2"/>
    <w:rPr>
      <w:color w:val="4f81bd"/>
      <w:u w:val="single" w:color="4f81bd"/>
    </w:rPr>
  </w:style>
</w:styles>
</file>

<file path=word/_rels/document.xml.rels><?xml version="1.0" encoding="UTF-8" standalone="yes"?><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image" Target="media/image1.png"/><Relationship Id="rId5" Type="http://schemas.openxmlformats.org/officeDocument/2006/relationships/image" Target="media/image2.png"/><Relationship Id="rId6" Type="http://schemas.openxmlformats.org/officeDocument/2006/relationships/image" Target="media/image3.png"/><Relationship Id="rId7" Type="http://schemas.openxmlformats.org/officeDocument/2006/relationships/image" Target="media/image4.png"/><Relationship Id="rId8" Type="http://schemas.openxmlformats.org/officeDocument/2006/relationships/image" Target="media/image5.png"/><Relationship Id="rId9" Type="http://schemas.openxmlformats.org/officeDocument/2006/relationships/image" Target="media/image6.png"/><Relationship Id="rId10" Type="http://schemas.openxmlformats.org/officeDocument/2006/relationships/image" Target="media/image7.png"/><Relationship Id="rId11" Type="http://schemas.openxmlformats.org/officeDocument/2006/relationships/image" Target="media/image8.png"/><Relationship Id="rId12" Type="http://schemas.openxmlformats.org/officeDocument/2006/relationships/image" Target="media/image9.png"/><Relationship Id="rId13" Type="http://schemas.openxmlformats.org/officeDocument/2006/relationships/image" Target="media/image10.png"/><Relationship Id="rId14" Type="http://schemas.openxmlformats.org/officeDocument/2006/relationships/image" Target="media/image11.png"/><Relationship Id="rId15" Type="http://schemas.openxmlformats.org/officeDocument/2006/relationships/image" Target="media/image12.png"/><Relationship Id="rId16" Type="http://schemas.openxmlformats.org/officeDocument/2006/relationships/header" Target="header1.xml"/><Relationship Id="rId17" Type="http://schemas.openxmlformats.org/officeDocument/2006/relationships/footer" Target="footer1.xml"/><Relationship Id="rId18" Type="http://schemas.openxmlformats.org/officeDocument/2006/relationships/numbering" Target="numbering.xml"/><Relationship Id="rId19"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Them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0000" dir="5400000">
              <a:srgbClr val="000000">
                <a:alpha val="38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outerShdw sx="100000" sy="100000" kx="0" ky="0" algn="b" rotWithShape="0" blurRad="38100" dist="23000" dir="5400000">
            <a:srgbClr val="000000">
              <a:alpha val="35000"/>
            </a:srgbClr>
          </a:outerShdw>
        </a:effectLst>
        <a:sp3d/>
      </a:spPr>
      <a:bodyPr rot="0" spcFirstLastPara="1" vertOverflow="overflow" horzOverflow="overflow" vert="horz" wrap="square" lIns="45719" tIns="45719" rIns="45719" bIns="45719" numCol="1" spcCol="38100" rtlCol="0" anchor="ctr"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chemeClr val="accent1"/>
          </a:solidFill>
          <a:prstDash val="solid"/>
          <a:round/>
        </a:ln>
        <a:effectLst>
          <a:outerShdw sx="100000" sy="100000" kx="0" ky="0" algn="b" rotWithShape="0" blurRad="38100" dist="20000" dir="5400000">
            <a:srgbClr val="000000">
              <a:alpha val="38000"/>
            </a:srgbClr>
          </a:outerShdw>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upright="0">
        <a:spAutoFit/>
      </a:bodyPr>
      <a:lstStyle>
        <a:defPPr marL="0" marR="0" indent="0" algn="ctr" defTabSz="457200" rtl="0" fontAlgn="auto" latinLnBrk="0" hangingPunct="0">
          <a:lnSpc>
            <a:spcPct val="100000"/>
          </a:lnSpc>
          <a:spcBef>
            <a:spcPts val="300"/>
          </a:spcBef>
          <a:spcAft>
            <a:spcPts val="0"/>
          </a:spcAft>
          <a:buClrTx/>
          <a:buSzTx/>
          <a:buFontTx/>
          <a:buNone/>
          <a:tabLst/>
          <a:defRPr b="0" baseline="0" cap="none" i="1" spc="0" strike="noStrike" sz="950" u="none" kumimoji="0" normalizeH="0">
            <a:ln>
              <a:noFill/>
            </a:ln>
            <a:solidFill>
              <a:schemeClr val="accent1"/>
            </a:solidFill>
            <a:effectLst/>
            <a:uFill>
              <a:solidFill>
                <a:schemeClr val="accent1"/>
              </a:solidFill>
            </a:uFill>
            <a:latin typeface="Times New Roman"/>
            <a:ea typeface="Times New Roman"/>
            <a:cs typeface="Times New Roman"/>
            <a:sym typeface="Times New Roman"/>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