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2E74B5"/>
          <w:sz w:val="20"/>
        </w:rPr>
        <w:t>GUIDE TECHNIQUE  |  PROJET VDRT</w:t>
      </w:r>
    </w:p>
    <w:p>
      <w:pPr>
        <w:pStyle w:val="Title"/>
        <w:jc w:val="center"/>
      </w:pPr>
      <w:r>
        <w:t>Dictionnaire des données</w:t>
        <w:br/>
        <w:t>Trimble / CarCube</w:t>
      </w:r>
    </w:p>
    <w:p>
      <w:pPr>
        <w:pStyle w:val="Subtitle"/>
        <w:jc w:val="center"/>
      </w:pPr>
      <w:r>
        <w:t>Référence des champs, codes et règles d'importation observés dans Import.rar</w:t>
      </w:r>
    </w:p>
    <w:p>
      <w:pPr>
        <w:spacing w:before="480" w:after="60"/>
        <w:jc w:val="center"/>
      </w:pPr>
      <w:r>
        <w:rPr>
          <w:rFonts w:ascii="Calibri" w:hAnsi="Calibri" w:eastAsia="Calibri"/>
          <w:b/>
          <w:color w:val="20384F"/>
          <w:sz w:val="22"/>
        </w:rPr>
        <w:t>Version 1.0  |  8 août 2026</w:t>
      </w:r>
    </w:p>
    <w:p>
      <w:pPr>
        <w:spacing w:after="920"/>
        <w:jc w:val="center"/>
      </w:pPr>
      <w:r>
        <w:rPr>
          <w:rFonts w:ascii="Calibri" w:hAnsi="Calibri" w:eastAsia="Calibri"/>
          <w:i/>
          <w:color w:val="66717E"/>
          <w:sz w:val="21"/>
        </w:rPr>
        <w:t>Document de référence évolutif</w:t>
      </w:r>
    </w:p>
    <w:p>
      <w:pPr>
        <w:spacing w:before="0" w:after="0" w:line="288" w:lineRule="auto"/>
        <w:ind w:left="936" w:right="936"/>
        <w:shd w:fill="F4F6F9" w:val="clear"/>
        <w:pBdr>
          <w:left w:val="single" w:sz="20" w:space="10" w:color="2E74B5"/>
        </w:pBdr>
      </w:pPr>
      <w:r>
        <w:rPr>
          <w:rFonts w:ascii="Calibri" w:hAnsi="Calibri" w:eastAsia="Calibri"/>
          <w:color w:val="20384F"/>
          <w:sz w:val="21"/>
        </w:rPr>
        <w:t>Périmètre : ce guide distingue les définitions confirmées, les interprétations déduites et les hypothèses. Les valeurs brutes restent toujours la référence de l'import.</w:t>
      </w:r>
    </w:p>
    <w:p>
      <w:r>
        <w:br w:type="page"/>
      </w:r>
    </w:p>
    <w:p>
      <w:pPr>
        <w:pStyle w:val="Heading1"/>
      </w:pPr>
      <w:r>
        <w:rPr>
          <w:rFonts w:ascii="Calibri" w:hAnsi="Calibri" w:eastAsia="Calibri"/>
          <w:b w:val="0"/>
        </w:rPr>
        <w:t>1. Objet du document</w:t>
      </w:r>
    </w:p>
    <w:p>
      <w:r>
        <w:rPr>
          <w:rFonts w:ascii="Calibri" w:hAnsi="Calibri" w:eastAsia="Calibri"/>
          <w:b w:val="0"/>
        </w:rPr>
        <w:t xml:space="preserve">Ce document synthétise la signification des champs et codes observés dans les fichiers XML de </w:t>
      </w:r>
      <w:r>
        <w:rPr>
          <w:rFonts w:ascii="Consolas" w:hAnsi="Consolas" w:eastAsia="Consolas"/>
          <w:color w:val="1F4D78"/>
          <w:sz w:val="21"/>
        </w:rPr>
        <w:t>Import.rar</w:t>
      </w:r>
      <w:r>
        <w:rPr>
          <w:rFonts w:ascii="Calibri" w:hAnsi="Calibri" w:eastAsia="Calibri"/>
          <w:b w:val="0"/>
        </w:rPr>
        <w:t>.</w:t>
      </w:r>
    </w:p>
    <w:p>
      <w:r>
        <w:rPr>
          <w:rFonts w:ascii="Calibri" w:hAnsi="Calibri" w:eastAsia="Calibri"/>
          <w:b w:val="0"/>
        </w:rPr>
        <w:t>Il sert à :</w:t>
      </w:r>
    </w:p>
    <w:p>
      <w:pPr>
        <w:pStyle w:val="VDRTBullet"/>
        <w:numPr>
          <w:ilvl w:val="0"/>
          <w:numId w:val="10"/>
        </w:numPr>
      </w:pPr>
      <w:r>
        <w:rPr>
          <w:rFonts w:ascii="Calibri" w:hAnsi="Calibri" w:eastAsia="Calibri"/>
          <w:b w:val="0"/>
        </w:rPr>
        <w:t>nommer correctement les données dans le backend ;</w:t>
      </w:r>
    </w:p>
    <w:p>
      <w:pPr>
        <w:pStyle w:val="VDRTBullet"/>
        <w:numPr>
          <w:ilvl w:val="0"/>
          <w:numId w:val="10"/>
        </w:numPr>
      </w:pPr>
      <w:r>
        <w:rPr>
          <w:rFonts w:ascii="Calibri" w:hAnsi="Calibri" w:eastAsia="Calibri"/>
          <w:b w:val="0"/>
        </w:rPr>
        <w:t>reconstruire les activités des chauffeurs sans perdre d'information ;</w:t>
      </w:r>
    </w:p>
    <w:p>
      <w:pPr>
        <w:pStyle w:val="VDRTBullet"/>
        <w:numPr>
          <w:ilvl w:val="0"/>
          <w:numId w:val="10"/>
        </w:numPr>
      </w:pPr>
      <w:r>
        <w:rPr>
          <w:rFonts w:ascii="Calibri" w:hAnsi="Calibri" w:eastAsia="Calibri"/>
          <w:b w:val="0"/>
        </w:rPr>
        <w:t>distinguer une interprétation fiable d'une hypothèse ;</w:t>
      </w:r>
    </w:p>
    <w:p>
      <w:pPr>
        <w:pStyle w:val="VDRTBullet"/>
        <w:numPr>
          <w:ilvl w:val="0"/>
          <w:numId w:val="10"/>
        </w:numPr>
      </w:pPr>
      <w:r>
        <w:rPr>
          <w:rFonts w:ascii="Calibri" w:hAnsi="Calibri" w:eastAsia="Calibri"/>
          <w:b w:val="0"/>
        </w:rPr>
        <w:t>éviter qu'un code encore incertain soit utilisé comme une règle métier définitive.</w:t>
      </w:r>
    </w:p>
    <w:p>
      <w:pPr>
        <w:spacing w:before="100" w:after="180" w:line="288" w:lineRule="auto"/>
        <w:ind w:left="259" w:right="115"/>
        <w:shd w:fill="F4F6F9" w:val="clear"/>
        <w:pBdr>
          <w:left w:val="single" w:sz="18" w:space="8" w:color="2E74B5"/>
        </w:pBdr>
      </w:pPr>
      <w:r>
        <w:rPr>
          <w:rFonts w:ascii="Calibri" w:hAnsi="Calibri" w:eastAsia="Calibri"/>
          <w:b/>
          <w:color w:val="20384F"/>
          <w:sz w:val="21"/>
        </w:rPr>
        <w:t>Règle essentielle :</w:t>
      </w:r>
      <w:r>
        <w:rPr>
          <w:rFonts w:ascii="Calibri" w:hAnsi="Calibri" w:eastAsia="Calibri"/>
          <w:b w:val="0"/>
          <w:color w:val="20384F"/>
          <w:sz w:val="21"/>
        </w:rPr>
        <w:t xml:space="preserve"> le sens fonctionnel d'un champ peut être établi par l'analyse des données sans que le développement exact de son abréviation soit officiellement connu. Le backend doit donc toujours conserver la clé et la valeur brutes reçues.</w:t>
      </w:r>
    </w:p>
    <w:p>
      <w:pPr>
        <w:pStyle w:val="Heading1"/>
      </w:pPr>
      <w:r>
        <w:rPr>
          <w:rFonts w:ascii="Calibri" w:hAnsi="Calibri" w:eastAsia="Calibri"/>
          <w:b w:val="0"/>
        </w:rPr>
        <w:t>2. Niveaux de confiance</w:t>
      </w:r>
    </w:p>
    <w:tbl>
      <w:tblPr>
        <w:tblStyle w:val="TableGrid"/>
        <w:tblW w:type="dxa" w:w="9360"/>
        <w:jc w:val="left"/>
        <w:tblLayout w:type="fixed"/>
        <w:tblLook w:firstColumn="1" w:firstRow="1" w:lastColumn="0" w:lastRow="0" w:noHBand="0" w:noVBand="1" w:val="04A0"/>
        <w:tblInd w:type="dxa" w:w="120"/>
      </w:tblPr>
      <w:tblGrid>
        <w:gridCol w:w="2376"/>
        <w:gridCol w:w="3240"/>
        <w:gridCol w:w="3744"/>
      </w:tblGrid>
      <w:tr>
        <w:trPr>
          <w:cantSplit w:val="true"/>
          <w:tblHeader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Niveau</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Signification</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Utilisation autorisée</w:t>
            </w:r>
          </w:p>
        </w:tc>
      </w:tr>
      <w:tr>
        <w:trPr>
          <w:cantSplit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sz w:val="18"/>
              </w:rPr>
              <w:t>Confirmé métier</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Décrit dans les règles fournies par l'entreprise</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Peut être utilisé comme règle fonctionnelle</w:t>
            </w:r>
          </w:p>
        </w:tc>
      </w:tr>
      <w:tr>
        <w:trPr>
          <w:cantSplit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sz w:val="18"/>
              </w:rPr>
              <w:t>Confirmé par les données</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Comportement répété et cohérent dans l'échantillon</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Peut être utilisé pour importer ou regrouper les données</w:t>
            </w:r>
          </w:p>
        </w:tc>
      </w:tr>
      <w:tr>
        <w:trPr>
          <w:cantSplit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sz w:val="18"/>
              </w:rPr>
              <w:t>Déduit — confiance élevée</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Interprétation fortement soutenue par les valeurs et les séquences</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Peut être utilisé avec conservation de la valeur brute et tests</w:t>
            </w:r>
          </w:p>
        </w:tc>
      </w:tr>
      <w:tr>
        <w:trPr>
          <w:cantSplit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sz w:val="18"/>
              </w:rPr>
              <w:t>Hypothèse</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Interprétation plausible, mais non prouvée</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Ne doit pas déclencher seul un calcul ou une décision définitive</w:t>
            </w:r>
          </w:p>
        </w:tc>
      </w:tr>
      <w:tr>
        <w:trPr>
          <w:cantSplit w:val="true"/>
        </w:trPr>
        <w:tc>
          <w:tcPr>
            <w:tcW w:type="dxa" w:w="237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sz w:val="18"/>
              </w:rPr>
              <w:t>Inconnu</w:t>
            </w:r>
          </w:p>
        </w:tc>
        <w:tc>
          <w:tcPr>
            <w:tcW w:type="dxa" w:w="324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Signification insuffisamment établie</w:t>
            </w:r>
          </w:p>
        </w:tc>
        <w:tc>
          <w:tcPr>
            <w:tcW w:type="dxa" w:w="37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À conserver brut et à envoyer en vérification si nécessaire</w:t>
            </w:r>
          </w:p>
        </w:tc>
      </w:tr>
    </w:tbl>
    <w:p>
      <w:pPr>
        <w:spacing w:before="0" w:after="40"/>
      </w:pPr>
    </w:p>
    <w:p>
      <w:r>
        <w:rPr>
          <w:rFonts w:ascii="Calibri" w:hAnsi="Calibri" w:eastAsia="Calibri"/>
          <w:b w:val="0"/>
        </w:rPr>
        <w:t>La documentation publique actuelle de Trimble ne fournit pas le dictionnaire de ce format XML historique. Les développements anglais indiqués dans ce document sont donc signalés comme probables lorsqu'ils ne sont pas officiellement confirmés.</w:t>
      </w:r>
    </w:p>
    <w:p>
      <w:pPr>
        <w:pStyle w:val="Heading1"/>
      </w:pPr>
      <w:r>
        <w:rPr>
          <w:rFonts w:ascii="Calibri" w:hAnsi="Calibri" w:eastAsia="Calibri"/>
          <w:b w:val="0"/>
        </w:rPr>
        <w:t>3. Structure générale d'un fichier XML</w:t>
      </w:r>
    </w:p>
    <w:p>
      <w:r>
        <w:rPr>
          <w:rFonts w:ascii="Calibri" w:hAnsi="Calibri" w:eastAsia="Calibri"/>
          <w:b w:val="0"/>
        </w:rPr>
        <w:t>La structure observée est de la forme suivante :</w:t>
      </w:r>
    </w:p>
    <w:p>
      <w:pPr>
        <w:pStyle w:val="VDRTCodeBlock"/>
        <w:shd w:fill="F4F6F9" w:val="clear"/>
        <w:pBdr>
          <w:left w:val="single" w:sz="14" w:space="8" w:color="66717E"/>
        </w:pBdr>
      </w:pPr>
      <w:r>
        <w:rPr>
          <w:rFonts w:ascii="Consolas" w:hAnsi="Consolas" w:eastAsia="Consolas"/>
          <w:color w:val="20384F"/>
          <w:sz w:val="18"/>
        </w:rPr>
        <w:t>&lt;traces&gt;</w:t>
        <w:br/>
        <w:t xml:space="preserve">  &lt;trace&gt;</w:t>
        <w:br/>
        <w:t xml:space="preserve">    &lt;type&gt;...&lt;/type&gt;</w:t>
        <w:br/>
        <w:t xml:space="preserve">    &lt;time&gt;...&lt;/time&gt;</w:t>
        <w:br/>
        <w:t xml:space="preserve">    &lt;coordinate&gt;...&lt;/coordinate&gt;</w:t>
        <w:br/>
        <w:t xml:space="preserve">    &lt;mileage&gt;...&lt;/mileage&gt;</w:t>
        <w:br/>
        <w:t xml:space="preserve">    &lt;heading&gt;...&lt;/heading&gt;</w:t>
        <w:br/>
        <w:t xml:space="preserve">    &lt;speed&gt;...&lt;/speed&gt;</w:t>
        <w:br/>
        <w:t xml:space="preserve">    &lt;property&gt;</w:t>
        <w:br/>
        <w:t xml:space="preserve">      &lt;key&gt;...&lt;/key&gt;</w:t>
        <w:br/>
        <w:t xml:space="preserve">      &lt;value&gt;...&lt;/value&gt;</w:t>
        <w:br/>
        <w:t xml:space="preserve">    &lt;/property&gt;</w:t>
        <w:br/>
        <w:t xml:space="preserve">  &lt;/trace&gt;</w:t>
        <w:br/>
        <w:t>&lt;/traces&gt;</w:t>
      </w:r>
    </w:p>
    <w:p>
      <w:r>
        <w:rPr>
          <w:rFonts w:ascii="Calibri" w:hAnsi="Calibri" w:eastAsia="Calibri"/>
          <w:b w:val="0"/>
        </w:rPr>
        <w:t xml:space="preserve">Une balise </w:t>
      </w:r>
      <w:r>
        <w:rPr>
          <w:rFonts w:ascii="Consolas" w:hAnsi="Consolas" w:eastAsia="Consolas"/>
          <w:color w:val="1F4D78"/>
          <w:sz w:val="21"/>
        </w:rPr>
        <w:t>&lt;trace&gt;</w:t>
      </w:r>
      <w:r>
        <w:rPr>
          <w:rFonts w:ascii="Calibri" w:hAnsi="Calibri" w:eastAsia="Calibri"/>
          <w:b w:val="0"/>
        </w:rPr>
        <w:t xml:space="preserve"> n'est pas nécessairement une activité complète. Plusieurs traces peuvent décrire les différentes étapes d'une même activité.</w:t>
      </w:r>
    </w:p>
    <w:p>
      <w:pPr>
        <w:pStyle w:val="Heading1"/>
      </w:pPr>
      <w:r>
        <w:rPr>
          <w:rFonts w:ascii="Calibri" w:hAnsi="Calibri" w:eastAsia="Calibri"/>
          <w:b w:val="0"/>
        </w:rPr>
        <w:t>4. Champs généraux d'une trace</w:t>
      </w:r>
    </w:p>
    <w:tbl>
      <w:tblPr>
        <w:tblStyle w:val="TableGrid"/>
        <w:tblW w:type="dxa" w:w="9360"/>
        <w:jc w:val="left"/>
        <w:tblLayout w:type="fixed"/>
        <w:tblLook w:firstColumn="1" w:firstRow="1" w:lastColumn="0" w:lastRow="0" w:noHBand="0" w:noVBand="1" w:val="04A0"/>
        <w:tblInd w:type="dxa" w:w="120"/>
      </w:tblPr>
      <w:tblGrid>
        <w:gridCol w:w="1181"/>
        <w:gridCol w:w="1872"/>
        <w:gridCol w:w="3283"/>
        <w:gridCol w:w="1440"/>
        <w:gridCol w:w="1584"/>
      </w:tblGrid>
      <w:tr>
        <w:trPr>
          <w:cantSplit w:val="true"/>
          <w:tblHeader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Champ XML</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Sens fonctionnel</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Type conseillé</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Confiance</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Précaution</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type</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Type technique de la trace ou étape du cycle de vie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int</w:t>
            </w:r>
            <w:r>
              <w:rPr>
                <w:rFonts w:ascii="Calibri" w:hAnsi="Calibri" w:eastAsia="Calibri"/>
                <w:b w:val="0"/>
                <w:sz w:val="16"/>
              </w:rPr>
              <w:t xml:space="preserve"> + valeur brute</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 xml:space="preserve">Ne pas le confondre avec le type métier </w:t>
            </w:r>
            <w:r>
              <w:rPr>
                <w:rFonts w:ascii="Consolas" w:hAnsi="Consolas" w:eastAsia="Consolas"/>
                <w:color w:val="1F4D78"/>
                <w:sz w:val="16"/>
              </w:rPr>
              <w:t>ATY</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time</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Date et heure d'émission de la trace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texte brut + date analysée</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Aucun fuseau horaire n'est indiqué dans l'échantillon</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coordinate</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Coordonnées GPS du véhicule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valeur brute + latitude/longitude</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Valider l'ordre et la plage des coordonnées</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mileage</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Compteur kilométrique du véhicule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long</w:t>
            </w:r>
            <w:r>
              <w:rPr>
                <w:rFonts w:ascii="Calibri" w:hAnsi="Calibri" w:eastAsia="Calibri"/>
                <w:b w:val="0"/>
                <w:sz w:val="16"/>
              </w:rPr>
              <w:t xml:space="preserve"> ou </w:t>
            </w:r>
            <w:r>
              <w:rPr>
                <w:rFonts w:ascii="Consolas" w:hAnsi="Consolas" w:eastAsia="Consolas"/>
                <w:color w:val="1F4D78"/>
                <w:sz w:val="16"/>
              </w:rPr>
              <w:t>decimal</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Déduit — confiance élevée</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L'unité semble être le mètre, à confirmer officiellement</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heading</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Direction du véhicule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nombre</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Très probablement exprimée en degrés</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speed</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Vitesse du véhicule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nombre</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Conserver l'unité brute tant qu'elle n'est pas documentée</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property/key</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Nom d'une propriété additionnelle</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Accepter les clés inconnues</w:t>
            </w:r>
          </w:p>
        </w:tc>
      </w:tr>
      <w:tr>
        <w:trPr>
          <w:cantSplit w:val="true"/>
        </w:trPr>
        <w:tc>
          <w:tcPr>
            <w:tcW w:type="dxa" w:w="118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property/value</w:t>
            </w:r>
          </w:p>
        </w:tc>
        <w:tc>
          <w:tcPr>
            <w:tcW w:type="dxa" w:w="187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Valeur de la propriété</w:t>
            </w:r>
          </w:p>
        </w:tc>
        <w:tc>
          <w:tcPr>
            <w:tcW w:type="dxa" w:w="328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r>
              <w:rPr>
                <w:rFonts w:ascii="Calibri" w:hAnsi="Calibri" w:eastAsia="Calibri"/>
                <w:b w:val="0"/>
                <w:sz w:val="16"/>
              </w:rPr>
              <w:t xml:space="preserve"> brut</w:t>
            </w:r>
          </w:p>
        </w:tc>
        <w:tc>
          <w:tcPr>
            <w:tcW w:type="dxa" w:w="144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Convertir seulement dans une seconde étape</w:t>
            </w:r>
          </w:p>
        </w:tc>
      </w:tr>
    </w:tbl>
    <w:p>
      <w:pPr>
        <w:spacing w:before="0" w:after="40"/>
      </w:pPr>
    </w:p>
    <w:p>
      <w:pPr>
        <w:pStyle w:val="Heading1"/>
      </w:pPr>
      <w:r>
        <w:rPr>
          <w:rFonts w:ascii="Calibri" w:hAnsi="Calibri" w:eastAsia="Calibri"/>
          <w:b w:val="0"/>
        </w:rPr>
        <w:t>5. Propriétés principales liées aux activités</w:t>
      </w:r>
    </w:p>
    <w:tbl>
      <w:tblPr>
        <w:tblStyle w:val="TableGrid"/>
        <w:tblW w:type="dxa" w:w="9360"/>
        <w:jc w:val="left"/>
        <w:tblLayout w:type="fixed"/>
        <w:tblLook w:firstColumn="1" w:firstRow="1" w:lastColumn="0" w:lastRow="0" w:noHBand="0" w:noVBand="1" w:val="04A0"/>
        <w:tblInd w:type="dxa" w:w="120"/>
      </w:tblPr>
      <w:tblGrid>
        <w:gridCol w:w="893"/>
        <w:gridCol w:w="1800"/>
        <w:gridCol w:w="3456"/>
        <w:gridCol w:w="1411"/>
        <w:gridCol w:w="1800"/>
      </w:tblGrid>
      <w:tr>
        <w:trPr>
          <w:cantSplit w:val="true"/>
          <w:tblHeader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Code brut</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Développement probable</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Sens fonctionnel à retenir</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Type conseillé</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Confiance</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ATY</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Activity Type</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Code ou libellé du type d'activité</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LID</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Développement officiel inconnu</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Identifiant externe permettant de regrouper les traces d'une même activité logique</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DID</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Driver ID</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 xml:space="preserve">Identifiant externe du chauffeur ; peut contenir plusieurs valeurs séparées par </w:t>
            </w:r>
            <w:r>
              <w:rPr>
                <w:rFonts w:ascii="Consolas" w:hAnsi="Consolas" w:eastAsia="Consolas"/>
                <w:color w:val="1F4D78"/>
                <w:sz w:val="16"/>
              </w:rPr>
              <w:t>;</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6"/>
              </w:rPr>
              <w:t>string</w:t>
            </w:r>
            <w:r>
              <w:rPr>
                <w:rFonts w:ascii="Calibri" w:hAnsi="Calibri" w:eastAsia="Calibri"/>
                <w:b w:val="0"/>
                <w:sz w:val="16"/>
              </w:rPr>
              <w:t xml:space="preserve"> brut + collection normalisée</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ALEN</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Activity Length</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Durée de l'activité, observée en millisecondes</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long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AST</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Activity Start Time</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Date et heure de début de l'activité</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texte brut + date analysée</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SST</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Session Start Time</w:t>
            </w:r>
            <w:r>
              <w:rPr>
                <w:rFonts w:ascii="Calibri" w:hAnsi="Calibri" w:eastAsia="Calibri"/>
                <w:b w:val="0"/>
                <w:sz w:val="16"/>
              </w:rPr>
              <w:t xml:space="preserve"> ou </w:t>
            </w:r>
            <w:r>
              <w:rPr>
                <w:rFonts w:ascii="Calibri" w:hAnsi="Calibri" w:eastAsia="Calibri"/>
                <w:i/>
                <w:sz w:val="16"/>
              </w:rPr>
              <w:t>Shift Start Time</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Début de la session ou du service du chauffeur</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texte brut + date analysée</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Déduit — confiance élevée</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SEQ</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Sequence</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Numéro d'ordre d'une activité ou d'un événement dans une session</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int</w:t>
            </w:r>
            <w:r>
              <w:rPr>
                <w:rFonts w:ascii="Calibri" w:hAnsi="Calibri" w:eastAsia="Calibri"/>
                <w:b w:val="0"/>
                <w:sz w:val="16"/>
              </w:rPr>
              <w:t xml:space="preserve"> ou </w:t>
            </w:r>
            <w:r>
              <w:rPr>
                <w:rFonts w:ascii="Consolas" w:hAnsi="Consolas" w:eastAsia="Consolas"/>
                <w:color w:val="1F4D78"/>
                <w:sz w:val="16"/>
              </w:rPr>
              <w:t>long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DRLEN</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6"/>
              </w:rPr>
              <w:t>Driving Length</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Durée de conduite associée à la période, probablement en millisecondes</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long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Déduit — confiance élevée</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AID</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 xml:space="preserve">Probablement </w:t>
            </w:r>
            <w:r>
              <w:rPr>
                <w:rFonts w:ascii="Calibri" w:hAnsi="Calibri" w:eastAsia="Calibri"/>
                <w:i/>
                <w:sz w:val="16"/>
              </w:rPr>
              <w:t>Activity ID</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Rôle exact non déterminé ; valeurs vides dans l'échantillon analysé</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Inconnu</w:t>
            </w:r>
          </w:p>
        </w:tc>
      </w:tr>
      <w:tr>
        <w:trPr>
          <w:cantSplit w:val="true"/>
        </w:trPr>
        <w:tc>
          <w:tcPr>
            <w:tcW w:type="dxa" w:w="893"/>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AMS</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Développement officiel inconnu</w:t>
            </w:r>
          </w:p>
        </w:tc>
        <w:tc>
          <w:tcPr>
            <w:tcW w:type="dxa" w:w="3456"/>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Marqueur possiblement lié au passage à minuit d'une activité en cours</w:t>
            </w:r>
          </w:p>
        </w:tc>
        <w:tc>
          <w:tcPr>
            <w:tcW w:type="dxa" w:w="1411"/>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string</w:t>
            </w:r>
            <w:r>
              <w:rPr>
                <w:rFonts w:ascii="Calibri" w:hAnsi="Calibri" w:eastAsia="Calibri"/>
                <w:b w:val="0"/>
                <w:sz w:val="16"/>
              </w:rPr>
              <w:t xml:space="preserve"> brut</w:t>
            </w:r>
          </w:p>
        </w:tc>
        <w:tc>
          <w:tcPr>
            <w:tcW w:type="dxa" w:w="1800"/>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Hypothèse</w:t>
            </w:r>
          </w:p>
        </w:tc>
      </w:tr>
    </w:tbl>
    <w:p>
      <w:pPr>
        <w:spacing w:before="0" w:after="40"/>
      </w:pPr>
    </w:p>
    <w:p>
      <w:pPr>
        <w:pStyle w:val="Heading2"/>
      </w:pPr>
      <w:r>
        <w:rPr>
          <w:rFonts w:ascii="Calibri" w:hAnsi="Calibri" w:eastAsia="Calibri"/>
          <w:b w:val="0"/>
        </w:rPr>
        <w:t xml:space="preserve">Conversions de </w:t>
      </w:r>
      <w:r>
        <w:rPr>
          <w:rFonts w:ascii="Consolas" w:hAnsi="Consolas" w:eastAsia="Consolas"/>
          <w:color w:val="1F4D78"/>
          <w:sz w:val="21"/>
        </w:rPr>
        <w:t>ALEN</w:t>
      </w:r>
    </w:p>
    <w:tbl>
      <w:tblPr>
        <w:tblStyle w:val="TableGrid"/>
        <w:tblW w:type="dxa" w:w="9360"/>
        <w:jc w:val="left"/>
        <w:tblLayout w:type="fixed"/>
        <w:tblLook w:firstColumn="1" w:firstRow="1" w:lastColumn="0" w:lastRow="0" w:noHBand="0" w:noVBand="1" w:val="04A0"/>
        <w:tblInd w:type="dxa" w:w="120"/>
      </w:tblPr>
      <w:tblGrid>
        <w:gridCol w:w="2088"/>
        <w:gridCol w:w="7272"/>
      </w:tblGrid>
      <w:tr>
        <w:trPr>
          <w:cantSplit w:val="true"/>
          <w:tblHeader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9"/>
              </w:rPr>
              <w:t>Valeur brute</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9"/>
              </w:rPr>
              <w:t>Durée interprétée</w:t>
            </w:r>
          </w:p>
        </w:tc>
      </w:tr>
      <w:tr>
        <w:trPr>
          <w:cantSplit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8"/>
              </w:rPr>
              <w:t>60000</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9"/>
              </w:rPr>
              <w:t>1 minute</w:t>
            </w:r>
          </w:p>
        </w:tc>
      </w:tr>
      <w:tr>
        <w:trPr>
          <w:cantSplit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8"/>
              </w:rPr>
              <w:t>120000</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9"/>
              </w:rPr>
              <w:t>2 minutes</w:t>
            </w:r>
          </w:p>
        </w:tc>
      </w:tr>
      <w:tr>
        <w:trPr>
          <w:cantSplit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8"/>
              </w:rPr>
              <w:t>900000</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9"/>
              </w:rPr>
              <w:t>15 minutes</w:t>
            </w:r>
          </w:p>
        </w:tc>
      </w:tr>
      <w:tr>
        <w:trPr>
          <w:cantSplit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8"/>
              </w:rPr>
              <w:t>1800000</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9"/>
              </w:rPr>
              <w:t>30 minutes</w:t>
            </w:r>
          </w:p>
        </w:tc>
      </w:tr>
      <w:tr>
        <w:trPr>
          <w:cantSplit w:val="true"/>
        </w:trPr>
        <w:tc>
          <w:tcPr>
            <w:tcW w:type="dxa" w:w="2088"/>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8"/>
              </w:rPr>
              <w:t>3600000</w:t>
            </w:r>
          </w:p>
        </w:tc>
        <w:tc>
          <w:tcPr>
            <w:tcW w:type="dxa" w:w="7272"/>
            <w:tcMar>
              <w:top w:w="90" w:type="dxa"/>
              <w:bottom w:w="9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9"/>
              </w:rPr>
              <w:t>1 heure</w:t>
            </w:r>
          </w:p>
        </w:tc>
      </w:tr>
    </w:tbl>
    <w:p>
      <w:pPr>
        <w:spacing w:before="0" w:after="40"/>
      </w:pPr>
    </w:p>
    <w:p>
      <w:r>
        <w:rPr>
          <w:rFonts w:ascii="Consolas" w:hAnsi="Consolas" w:eastAsia="Consolas"/>
          <w:color w:val="1F4D78"/>
          <w:sz w:val="21"/>
        </w:rPr>
        <w:t>ALEN</w:t>
      </w:r>
      <w:r>
        <w:rPr>
          <w:rFonts w:ascii="Calibri" w:hAnsi="Calibri" w:eastAsia="Calibri"/>
          <w:b w:val="0"/>
        </w:rPr>
        <w:t xml:space="preserve"> doit être stocké dans un </w:t>
      </w:r>
      <w:r>
        <w:rPr>
          <w:rFonts w:ascii="Consolas" w:hAnsi="Consolas" w:eastAsia="Consolas"/>
          <w:color w:val="1F4D78"/>
          <w:sz w:val="21"/>
        </w:rPr>
        <w:t>long</w:t>
      </w:r>
      <w:r>
        <w:rPr>
          <w:rFonts w:ascii="Calibri" w:hAnsi="Calibri" w:eastAsia="Calibri"/>
          <w:b w:val="0"/>
        </w:rPr>
        <w:t>. Les durées négatives, nulles dans un contexte inattendu ou anormalement longues doivent être conservées et signalées, pas corrigées silencieusement.</w:t>
      </w:r>
    </w:p>
    <w:p>
      <w:pPr>
        <w:pStyle w:val="Heading1"/>
      </w:pPr>
      <w:r>
        <w:rPr>
          <w:rFonts w:ascii="Calibri" w:hAnsi="Calibri" w:eastAsia="Calibri"/>
          <w:b w:val="0"/>
        </w:rPr>
        <w:t xml:space="preserve">6. Valeurs observées dans </w:t>
      </w:r>
      <w:r>
        <w:rPr>
          <w:rFonts w:ascii="Consolas" w:hAnsi="Consolas" w:eastAsia="Consolas"/>
          <w:color w:val="1F4D78"/>
          <w:sz w:val="21"/>
        </w:rPr>
        <w:t>ATY</w:t>
      </w:r>
    </w:p>
    <w:p>
      <w:pPr>
        <w:pStyle w:val="Heading2"/>
      </w:pPr>
      <w:r>
        <w:rPr>
          <w:rFonts w:ascii="Calibri" w:hAnsi="Calibri" w:eastAsia="Calibri"/>
          <w:b w:val="0"/>
        </w:rPr>
        <w:t>6.1 Codes courts</w:t>
      </w:r>
    </w:p>
    <w:tbl>
      <w:tblPr>
        <w:tblStyle w:val="TableGrid"/>
        <w:tblW w:type="dxa" w:w="9360"/>
        <w:jc w:val="left"/>
        <w:tblLayout w:type="fixed"/>
        <w:tblLook w:firstColumn="1" w:firstRow="1" w:lastColumn="0" w:lastRow="0" w:noHBand="0" w:noVBand="1" w:val="04A0"/>
        <w:tblInd w:type="dxa" w:w="120"/>
      </w:tblPr>
      <w:tblGrid>
        <w:gridCol w:w="1037"/>
        <w:gridCol w:w="1512"/>
        <w:gridCol w:w="2088"/>
        <w:gridCol w:w="1584"/>
        <w:gridCol w:w="3139"/>
      </w:tblGrid>
      <w:tr>
        <w:trPr>
          <w:cantSplit w:val="true"/>
          <w:tblHeader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Valeur brute</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Libellé normalisé</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Sens</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Confiance</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6"/>
              </w:rPr>
              <w:t>Traitement recommandé</w:t>
            </w:r>
          </w:p>
        </w:tc>
      </w:tr>
      <w:tr>
        <w:trPr>
          <w:cantSplit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UN</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Inconnue</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Arrêt ou activité dont la cause n'a pas été sélectionnée ou reconnue</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métier</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Vérification manuelle obligatoire avant calcul définitif</w:t>
            </w:r>
          </w:p>
        </w:tc>
      </w:tr>
      <w:tr>
        <w:trPr>
          <w:cantSplit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DR</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Conduite</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Phase de conduite du véhicule</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Confirmé par les données</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Activité reconnue</w:t>
            </w:r>
          </w:p>
        </w:tc>
      </w:tr>
      <w:tr>
        <w:trPr>
          <w:cantSplit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LI</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Connexion</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Connexion ou début de session du chauffeur</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Déduit — confiance élevée</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Événement technique, pas une activité rémunérée ordinaire</w:t>
            </w:r>
          </w:p>
        </w:tc>
      </w:tr>
      <w:tr>
        <w:trPr>
          <w:cantSplit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LO</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Déconnexion</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Déconnexion ou fin de session du chauffeur</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Déduit — confiance élevée</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Événement technique, pas une activité rémunérée ordinaire</w:t>
            </w:r>
          </w:p>
        </w:tc>
      </w:tr>
      <w:tr>
        <w:trPr>
          <w:cantSplit w:val="true"/>
        </w:trPr>
        <w:tc>
          <w:tcPr>
            <w:tcW w:type="dxa" w:w="1037"/>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6"/>
              </w:rPr>
              <w:t>TJ</w:t>
            </w:r>
          </w:p>
        </w:tc>
        <w:tc>
          <w:tcPr>
            <w:tcW w:type="dxa" w:w="1512"/>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Embouteillage probable</w:t>
            </w:r>
          </w:p>
        </w:tc>
        <w:tc>
          <w:tcPr>
            <w:tcW w:type="dxa" w:w="2088"/>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Arrêt ou ralentissement de courte durée probablement lié au trafic</w:t>
            </w:r>
          </w:p>
        </w:tc>
        <w:tc>
          <w:tcPr>
            <w:tcW w:type="dxa" w:w="1584"/>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6"/>
              </w:rPr>
              <w:t>Hypothèse</w:t>
            </w:r>
          </w:p>
        </w:tc>
        <w:tc>
          <w:tcPr>
            <w:tcW w:type="dxa" w:w="3139"/>
            <w:tcMar>
              <w:top w:w="70" w:type="dxa"/>
              <w:bottom w:w="7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6"/>
              </w:rPr>
              <w:t>Ne pas considérer automatiquement comme rémunéré ou non rémunéré</w:t>
            </w:r>
          </w:p>
        </w:tc>
      </w:tr>
    </w:tbl>
    <w:p>
      <w:pPr>
        <w:spacing w:before="0" w:after="40"/>
      </w:pPr>
    </w:p>
    <w:p>
      <w:r>
        <w:rPr>
          <w:rFonts w:ascii="Consolas" w:hAnsi="Consolas" w:eastAsia="Consolas"/>
          <w:color w:val="1F4D78"/>
          <w:sz w:val="21"/>
        </w:rPr>
        <w:t>UN</w:t>
      </w:r>
      <w:r>
        <w:rPr>
          <w:rFonts w:ascii="Calibri" w:hAnsi="Calibri" w:eastAsia="Calibri"/>
          <w:b w:val="0"/>
        </w:rPr>
        <w:t xml:space="preserve"> peut être compris comme </w:t>
      </w:r>
      <w:r>
        <w:rPr>
          <w:rFonts w:ascii="Calibri" w:hAnsi="Calibri" w:eastAsia="Calibri"/>
          <w:i/>
        </w:rPr>
        <w:t>Unknown</w:t>
      </w:r>
      <w:r>
        <w:rPr>
          <w:rFonts w:ascii="Calibri" w:hAnsi="Calibri" w:eastAsia="Calibri"/>
          <w:b w:val="0"/>
        </w:rPr>
        <w:t xml:space="preserve"> et </w:t>
      </w:r>
      <w:r>
        <w:rPr>
          <w:rFonts w:ascii="Consolas" w:hAnsi="Consolas" w:eastAsia="Consolas"/>
          <w:color w:val="1F4D78"/>
          <w:sz w:val="21"/>
        </w:rPr>
        <w:t>DR</w:t>
      </w:r>
      <w:r>
        <w:rPr>
          <w:rFonts w:ascii="Calibri" w:hAnsi="Calibri" w:eastAsia="Calibri"/>
          <w:b w:val="0"/>
        </w:rPr>
        <w:t xml:space="preserve"> comme </w:t>
      </w:r>
      <w:r>
        <w:rPr>
          <w:rFonts w:ascii="Calibri" w:hAnsi="Calibri" w:eastAsia="Calibri"/>
          <w:i/>
        </w:rPr>
        <w:t>Driving</w:t>
      </w:r>
      <w:r>
        <w:rPr>
          <w:rFonts w:ascii="Calibri" w:hAnsi="Calibri" w:eastAsia="Calibri"/>
          <w:b w:val="0"/>
        </w:rPr>
        <w:t xml:space="preserve">. Les développements </w:t>
      </w:r>
      <w:r>
        <w:rPr>
          <w:rFonts w:ascii="Consolas" w:hAnsi="Consolas" w:eastAsia="Consolas"/>
          <w:color w:val="1F4D78"/>
          <w:sz w:val="21"/>
        </w:rPr>
        <w:t>Log In</w:t>
      </w:r>
      <w:r>
        <w:rPr>
          <w:rFonts w:ascii="Calibri" w:hAnsi="Calibri" w:eastAsia="Calibri"/>
          <w:b w:val="0"/>
        </w:rPr>
        <w:t xml:space="preserve">, </w:t>
      </w:r>
      <w:r>
        <w:rPr>
          <w:rFonts w:ascii="Consolas" w:hAnsi="Consolas" w:eastAsia="Consolas"/>
          <w:color w:val="1F4D78"/>
          <w:sz w:val="21"/>
        </w:rPr>
        <w:t>Log Out</w:t>
      </w:r>
      <w:r>
        <w:rPr>
          <w:rFonts w:ascii="Calibri" w:hAnsi="Calibri" w:eastAsia="Calibri"/>
          <w:b w:val="0"/>
        </w:rPr>
        <w:t xml:space="preserve"> et </w:t>
      </w:r>
      <w:r>
        <w:rPr>
          <w:rFonts w:ascii="Consolas" w:hAnsi="Consolas" w:eastAsia="Consolas"/>
          <w:color w:val="1F4D78"/>
          <w:sz w:val="21"/>
        </w:rPr>
        <w:t>Traffic Jam</w:t>
      </w:r>
      <w:r>
        <w:rPr>
          <w:rFonts w:ascii="Calibri" w:hAnsi="Calibri" w:eastAsia="Calibri"/>
          <w:b w:val="0"/>
        </w:rPr>
        <w:t xml:space="preserve"> pour </w:t>
      </w:r>
      <w:r>
        <w:rPr>
          <w:rFonts w:ascii="Consolas" w:hAnsi="Consolas" w:eastAsia="Consolas"/>
          <w:color w:val="1F4D78"/>
          <w:sz w:val="21"/>
        </w:rPr>
        <w:t>LI</w:t>
      </w:r>
      <w:r>
        <w:rPr>
          <w:rFonts w:ascii="Calibri" w:hAnsi="Calibri" w:eastAsia="Calibri"/>
          <w:b w:val="0"/>
        </w:rPr>
        <w:t xml:space="preserve">, </w:t>
      </w:r>
      <w:r>
        <w:rPr>
          <w:rFonts w:ascii="Consolas" w:hAnsi="Consolas" w:eastAsia="Consolas"/>
          <w:color w:val="1F4D78"/>
          <w:sz w:val="21"/>
        </w:rPr>
        <w:t>LO</w:t>
      </w:r>
      <w:r>
        <w:rPr>
          <w:rFonts w:ascii="Calibri" w:hAnsi="Calibri" w:eastAsia="Calibri"/>
          <w:b w:val="0"/>
        </w:rPr>
        <w:t xml:space="preserve"> et </w:t>
      </w:r>
      <w:r>
        <w:rPr>
          <w:rFonts w:ascii="Consolas" w:hAnsi="Consolas" w:eastAsia="Consolas"/>
          <w:color w:val="1F4D78"/>
          <w:sz w:val="21"/>
        </w:rPr>
        <w:t>TJ</w:t>
      </w:r>
      <w:r>
        <w:rPr>
          <w:rFonts w:ascii="Calibri" w:hAnsi="Calibri" w:eastAsia="Calibri"/>
          <w:b w:val="0"/>
        </w:rPr>
        <w:t xml:space="preserve"> sont plausibles, mais ne sont pas confirmés par un dictionnaire Trimble officiel.</w:t>
      </w:r>
    </w:p>
    <w:p>
      <w:pPr>
        <w:pStyle w:val="Heading2"/>
      </w:pPr>
      <w:r>
        <w:rPr>
          <w:rFonts w:ascii="Calibri" w:hAnsi="Calibri" w:eastAsia="Calibri"/>
          <w:b w:val="0"/>
        </w:rPr>
        <w:t>6.2 Libellés configurés par l'entreprise</w:t>
      </w:r>
    </w:p>
    <w:p>
      <w:r>
        <w:rPr>
          <w:rFonts w:ascii="Calibri" w:hAnsi="Calibri" w:eastAsia="Calibri"/>
          <w:b w:val="0"/>
        </w:rPr>
        <w:t>Ces valeurs sont des libellés métier. L'orthographe brute doit être conservée, même si l'interface affiche un libellé corrigé.</w:t>
      </w:r>
    </w:p>
    <w:tbl>
      <w:tblPr>
        <w:tblStyle w:val="TableGrid"/>
        <w:tblW w:type="dxa" w:w="9360"/>
        <w:jc w:val="left"/>
        <w:tblLayout w:type="fixed"/>
        <w:tblLook w:firstColumn="1" w:firstRow="1" w:lastColumn="0" w:lastRow="0" w:noHBand="0" w:noVBand="1" w:val="04A0"/>
        <w:tblInd w:type="dxa" w:w="120"/>
      </w:tblPr>
      <w:tblGrid>
        <w:gridCol w:w="1944"/>
        <w:gridCol w:w="3096"/>
        <w:gridCol w:w="4320"/>
      </w:tblGrid>
      <w:tr>
        <w:trPr>
          <w:cantSplit w:val="true"/>
          <w:tblHeader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Valeur brute observée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Libellé d'affichage conseillé</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Sens métier</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attente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Attente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Attente, notamment liée au chargement ou au déchargement</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charger</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Chargement</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Chargement normal, avec précision complémentaire à définir</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decharger</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Déchargement</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Déchargement normal</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Charger Regie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Chargement en régie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Chargement en régie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Décharger Regie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Déchargement en régie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Déchargement en régie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faire le plain</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Plein de carburant</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Plein ; la faute appartient à la valeur source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coupure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Coupure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Temps de coupure à distinguer du temps opérationnel</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coupure prive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Coupure privée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Coupure déclarée comme privée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lavage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Lavage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Lavage du véhicule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nuittee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Nuitée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Nuitée à contrôler selon la durée et la position</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bureau</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Passage au bureau</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Arrêt au bureau</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garage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Garage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Passage ou intervention au garage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panne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Panne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Immobilisation liée à une panne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bascule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Bascule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Passage à la bascule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accrochage</w:t>
            </w:r>
            <w:r>
              <w:rPr>
                <w:rFonts w:ascii="Calibri" w:hAnsi="Calibri" w:eastAsia="Calibri"/>
                <w:b w:val="0"/>
                <w:sz w:val="18"/>
              </w:rPr>
              <w:t xml:space="preserve"> / </w:t>
            </w:r>
            <w:r>
              <w:rPr>
                <w:rFonts w:ascii="Consolas" w:hAnsi="Consolas" w:eastAsia="Consolas"/>
                <w:color w:val="1F4D78"/>
                <w:sz w:val="17"/>
              </w:rPr>
              <w:t>décrochage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Accrochage / décrochage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Manipulation d'une remorque ou d'un équipement</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bâchage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Bâchage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Pose, retrait ou manipulation d'une bâche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divers</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Divers</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Autre activité configurée</w:t>
            </w:r>
          </w:p>
        </w:tc>
      </w:tr>
    </w:tbl>
    <w:p>
      <w:pPr>
        <w:spacing w:before="0" w:after="40"/>
      </w:pPr>
    </w:p>
    <w:p>
      <w:pPr>
        <w:spacing w:before="100" w:after="180" w:line="288" w:lineRule="auto"/>
        <w:ind w:left="259" w:right="115"/>
        <w:shd w:fill="F4F6F9" w:val="clear"/>
        <w:pBdr>
          <w:left w:val="single" w:sz="18" w:space="8" w:color="2E74B5"/>
        </w:pBdr>
      </w:pPr>
      <w:r>
        <w:rPr>
          <w:rFonts w:ascii="Calibri" w:hAnsi="Calibri" w:eastAsia="Calibri"/>
          <w:b w:val="0"/>
          <w:color w:val="20384F"/>
          <w:sz w:val="21"/>
        </w:rPr>
        <w:t>Les libellés textuels dépendent de la configuration de l'entreprise. Le backend ne doit pas utiliser directement leur orthographe comme identifiant interne immuable. Il faut prévoir un mapping entre la valeur externe brute et un type d'activité interne.</w:t>
      </w:r>
    </w:p>
    <w:p>
      <w:pPr>
        <w:pStyle w:val="Heading1"/>
      </w:pPr>
      <w:r>
        <w:rPr>
          <w:rFonts w:ascii="Calibri" w:hAnsi="Calibri" w:eastAsia="Calibri"/>
          <w:b w:val="0"/>
        </w:rPr>
        <w:t>7. Types numériques de traces</w:t>
      </w:r>
    </w:p>
    <w:p>
      <w:r>
        <w:rPr>
          <w:rFonts w:ascii="Calibri" w:hAnsi="Calibri" w:eastAsia="Calibri"/>
          <w:b w:val="0"/>
        </w:rPr>
        <w:t xml:space="preserve">Ces significations sont déduites de l'ordre des traces partageant le même </w:t>
      </w:r>
      <w:r>
        <w:rPr>
          <w:rFonts w:ascii="Consolas" w:hAnsi="Consolas" w:eastAsia="Consolas"/>
          <w:color w:val="1F4D78"/>
          <w:sz w:val="21"/>
        </w:rPr>
        <w:t>LID</w:t>
      </w:r>
      <w:r>
        <w:rPr>
          <w:rFonts w:ascii="Calibri" w:hAnsi="Calibri" w:eastAsia="Calibri"/>
          <w:b w:val="0"/>
        </w:rPr>
        <w:t>. Elles décrivent correctement le comportement observé, mais leurs intitulés officiels restent à obtenir.</w:t>
      </w:r>
    </w:p>
    <w:tbl>
      <w:tblPr>
        <w:tblStyle w:val="TableGrid"/>
        <w:tblW w:type="dxa" w:w="9360"/>
        <w:jc w:val="left"/>
        <w:tblLayout w:type="fixed"/>
        <w:tblLook w:firstColumn="1" w:firstRow="1" w:lastColumn="0" w:lastRow="0" w:noHBand="0" w:noVBand="1" w:val="04A0"/>
        <w:tblInd w:type="dxa" w:w="120"/>
      </w:tblPr>
      <w:tblGrid>
        <w:gridCol w:w="936"/>
        <w:gridCol w:w="3384"/>
        <w:gridCol w:w="1944"/>
        <w:gridCol w:w="3096"/>
      </w:tblGrid>
      <w:tr>
        <w:trPr>
          <w:cantSplit w:val="true"/>
          <w:tblHeader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onsolas" w:hAnsi="Consolas" w:eastAsia="Consolas"/>
                <w:color w:val="1F4D78"/>
                <w:sz w:val="17"/>
              </w:rPr>
              <w:t>type</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Rôle observé</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Confiance</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Traitement recommandé</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1</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Connexion d'un chauffeur</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Ouvrir ou rattacher une session</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2</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Déconnexion d'un chauffeur</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Clôturer ou marquer la fin de session</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9</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Marqueur associé au passage à minuit d'une activité en cours</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sans clôturer arbitrairement l'activité</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10</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Commencement d'une activité</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Confirmé par les données</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Créer ou mettre à jour le candidat identifié par </w:t>
            </w:r>
            <w:r>
              <w:rPr>
                <w:rFonts w:ascii="Consolas" w:hAnsi="Consolas" w:eastAsia="Consolas"/>
                <w:color w:val="1F4D78"/>
                <w:sz w:val="17"/>
              </w:rPr>
              <w:t>LID</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11</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Abandon, remplacement ou clôture rapide ; souvent associé à </w:t>
            </w:r>
            <w:r>
              <w:rPr>
                <w:rFonts w:ascii="Consolas" w:hAnsi="Consolas" w:eastAsia="Consolas"/>
                <w:color w:val="1F4D78"/>
                <w:sz w:val="17"/>
              </w:rPr>
              <w:t>UN</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Conserver un statut distinct tant que la nuance officielle avec </w:t>
            </w:r>
            <w:r>
              <w:rPr>
                <w:rFonts w:ascii="Consolas" w:hAnsi="Consolas" w:eastAsia="Consolas"/>
                <w:color w:val="1F4D78"/>
                <w:sz w:val="17"/>
              </w:rPr>
              <w:t>13</w:t>
            </w:r>
            <w:r>
              <w:rPr>
                <w:rFonts w:ascii="Calibri" w:hAnsi="Calibri" w:eastAsia="Calibri"/>
                <w:b w:val="0"/>
                <w:sz w:val="17"/>
              </w:rPr>
              <w:t xml:space="preserve"> est inconnue</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12</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Information, réponse ou rapport complémentaire</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Confirmé par les données</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Rattacher le contenu au même </w:t>
            </w:r>
            <w:r>
              <w:rPr>
                <w:rFonts w:ascii="Consolas" w:hAnsi="Consolas" w:eastAsia="Consolas"/>
                <w:color w:val="1F4D78"/>
                <w:sz w:val="17"/>
              </w:rPr>
              <w:t>LID</w:t>
            </w:r>
          </w:p>
        </w:tc>
      </w:tr>
      <w:tr>
        <w:trPr>
          <w:cantSplit w:val="true"/>
        </w:trPr>
        <w:tc>
          <w:tcPr>
            <w:tcW w:type="dxa" w:w="93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13</w:t>
            </w:r>
          </w:p>
        </w:tc>
        <w:tc>
          <w:tcPr>
            <w:tcW w:type="dxa" w:w="338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Clôture finalisée d'une activité</w:t>
            </w:r>
          </w:p>
        </w:tc>
        <w:tc>
          <w:tcPr>
            <w:tcW w:type="dxa" w:w="19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Confirmé par les données</w:t>
            </w:r>
          </w:p>
        </w:tc>
        <w:tc>
          <w:tcPr>
            <w:tcW w:type="dxa" w:w="3096"/>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Finaliser le candidat si les données sont cohérentes</w:t>
            </w:r>
          </w:p>
        </w:tc>
      </w:tr>
    </w:tbl>
    <w:p>
      <w:pPr>
        <w:spacing w:before="0" w:after="40"/>
      </w:pPr>
    </w:p>
    <w:p>
      <w:pPr>
        <w:keepNext/>
        <w:spacing w:after="80"/>
      </w:pPr>
      <w:r>
        <w:rPr>
          <w:rFonts w:ascii="Calibri" w:hAnsi="Calibri" w:eastAsia="Calibri"/>
          <w:b w:val="0"/>
        </w:rPr>
        <w:t>Séquences courantes observées :</w:t>
      </w:r>
    </w:p>
    <w:p>
      <w:pPr>
        <w:pStyle w:val="VDRTCodeBlock"/>
        <w:shd w:fill="F4F6F9" w:val="clear"/>
        <w:pBdr>
          <w:left w:val="single" w:sz="14" w:space="8" w:color="66717E"/>
        </w:pBdr>
      </w:pPr>
      <w:r>
        <w:rPr>
          <w:rFonts w:ascii="Consolas" w:hAnsi="Consolas" w:eastAsia="Consolas"/>
          <w:color w:val="20384F"/>
          <w:sz w:val="18"/>
        </w:rPr>
        <w:t>10 → 13       début puis clôture finalisée</w:t>
        <w:br/>
        <w:t>10 → 12 → 13 début, information complémentaire, puis clôture</w:t>
        <w:br/>
        <w:t>10 → 11       début puis abandon/remplacement/clôture rapide probable</w:t>
      </w:r>
    </w:p>
    <w:p>
      <w:pPr>
        <w:pStyle w:val="Heading1"/>
      </w:pPr>
      <w:r>
        <w:rPr>
          <w:rFonts w:ascii="Calibri" w:hAnsi="Calibri" w:eastAsia="Calibri"/>
          <w:b w:val="0"/>
        </w:rPr>
        <w:t>8. Rapports et réponses du chauffeur</w:t>
      </w:r>
    </w:p>
    <w:p>
      <w:r>
        <w:rPr>
          <w:rFonts w:ascii="Calibri" w:hAnsi="Calibri" w:eastAsia="Calibri"/>
          <w:b w:val="0"/>
        </w:rPr>
        <w:t>Certaines propriétés contiennent un second fragment XML décrivant les réponses à un formulaire configuré dans le CarCube.</w:t>
      </w:r>
    </w:p>
    <w:tbl>
      <w:tblPr>
        <w:tblStyle w:val="TableGrid"/>
        <w:tblW w:type="dxa" w:w="9360"/>
        <w:jc w:val="left"/>
        <w:tblLayout w:type="fixed"/>
        <w:tblLook w:firstColumn="1" w:firstRow="1" w:lastColumn="0" w:lastRow="0" w:noHBand="0" w:noVBand="1" w:val="04A0"/>
        <w:tblInd w:type="dxa" w:w="120"/>
      </w:tblPr>
      <w:tblGrid>
        <w:gridCol w:w="1368"/>
        <w:gridCol w:w="3744"/>
        <w:gridCol w:w="1800"/>
        <w:gridCol w:w="2448"/>
      </w:tblGrid>
      <w:tr>
        <w:trPr>
          <w:cantSplit w:val="true"/>
          <w:tblHeader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Code brut</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Sens fonctionnel</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Confiance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Précaution</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ARE</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Rapport ou réponse encodée pendant l'activité</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le fragment XML brut</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AFRE</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Version finale du rapport ou des réponses jointe à la clôture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Ne pas supprimer </w:t>
            </w:r>
            <w:r>
              <w:rPr>
                <w:rFonts w:ascii="Consolas" w:hAnsi="Consolas" w:eastAsia="Consolas"/>
                <w:color w:val="1F4D78"/>
                <w:sz w:val="17"/>
              </w:rPr>
              <w:t>ARE</w:t>
            </w:r>
            <w:r>
              <w:rPr>
                <w:rFonts w:ascii="Calibri" w:hAnsi="Calibri" w:eastAsia="Calibri"/>
                <w:b w:val="0"/>
                <w:sz w:val="17"/>
              </w:rPr>
              <w:t xml:space="preserve"> après réception de </w:t>
            </w:r>
            <w:r>
              <w:rPr>
                <w:rFonts w:ascii="Consolas" w:hAnsi="Consolas" w:eastAsia="Consolas"/>
                <w:color w:val="1F4D78"/>
                <w:sz w:val="17"/>
              </w:rPr>
              <w:t>AFRE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ESEQ</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Numéro de séquence de la réponse ou de l'événement</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brut</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ESEQCOUNT</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Nombre de séquences ou réponses associées</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brut</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CMR</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Référence ou information liée au document CMR</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Peut contenir un identifiant métier sensible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RAI</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Raison de l'attente probable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Interpréter avec le formulaire et ses options</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AU</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Autre / commentaire libre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Ne pas exposer sans contrôle des droits</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NCMR</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Question configurée probablement liée au numéro CMR</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Ne pas figer cette expansion dans le modèle métier</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QC</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Question configurée par l'entreprise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Inconnu</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clé, valeur et contexte du formulaire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AREM</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Question configurée par l'entreprise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Inconnu</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clé, valeur et contexte du formulaire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H1</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Question configurée par l'entreprise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Inconnu</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clé, valeur et contexte du formulaire</w:t>
            </w:r>
          </w:p>
        </w:tc>
      </w:tr>
    </w:tbl>
    <w:p>
      <w:pPr>
        <w:spacing w:before="0" w:after="40"/>
      </w:pPr>
    </w:p>
    <w:p>
      <w:r>
        <w:rPr>
          <w:rFonts w:ascii="Calibri" w:hAnsi="Calibri" w:eastAsia="Calibri"/>
          <w:b w:val="0"/>
        </w:rPr>
        <w:t>Exemple de structure interne possible :</w:t>
      </w:r>
    </w:p>
    <w:p>
      <w:pPr>
        <w:pStyle w:val="VDRTCodeBlock"/>
        <w:shd w:fill="F4F6F9" w:val="clear"/>
        <w:pBdr>
          <w:left w:val="single" w:sz="14" w:space="8" w:color="66717E"/>
        </w:pBdr>
      </w:pPr>
      <w:r>
        <w:rPr>
          <w:rFonts w:ascii="Consolas" w:hAnsi="Consolas" w:eastAsia="Consolas"/>
          <w:color w:val="20384F"/>
          <w:sz w:val="18"/>
        </w:rPr>
        <w:t>&lt;Report id="attente"&gt;</w:t>
        <w:br/>
        <w:t xml:space="preserve">  &lt;Answer question="RAI"&gt;</w:t>
        <w:br/>
        <w:t xml:space="preserve">    &lt;Value option="03" value="true" /&gt;</w:t>
        <w:br/>
        <w:t xml:space="preserve">  &lt;/Answer&gt;</w:t>
        <w:br/>
        <w:t xml:space="preserve">  &lt;Answer question="AU"&gt;</w:t>
        <w:br/>
        <w:t xml:space="preserve">    &lt;Value option="in" value="Commentaire du chauffeur" /&gt;</w:t>
        <w:br/>
        <w:t xml:space="preserve">  &lt;/Answer&gt;</w:t>
        <w:br/>
        <w:t>&lt;/Report&gt;</w:t>
      </w:r>
    </w:p>
    <w:p>
      <w:r>
        <w:rPr>
          <w:rFonts w:ascii="Calibri" w:hAnsi="Calibri" w:eastAsia="Calibri"/>
          <w:b w:val="0"/>
        </w:rPr>
        <w:t>Les codes de question et d'option peuvent être propres à la configuration VDRT. Leur véritable libellé doit provenir de la configuration CarCube ou d'un dictionnaire transmis par l'entreprise.</w:t>
      </w:r>
    </w:p>
    <w:p>
      <w:pPr>
        <w:pStyle w:val="Heading1"/>
      </w:pPr>
      <w:r>
        <w:rPr>
          <w:rFonts w:ascii="Calibri" w:hAnsi="Calibri" w:eastAsia="Calibri"/>
          <w:b w:val="0"/>
        </w:rPr>
        <w:t>9. Données GPS, véhicule et carburant</w:t>
      </w:r>
    </w:p>
    <w:tbl>
      <w:tblPr>
        <w:tblStyle w:val="TableGrid"/>
        <w:tblW w:type="dxa" w:w="9360"/>
        <w:jc w:val="left"/>
        <w:tblLayout w:type="fixed"/>
        <w:tblLook w:firstColumn="1" w:firstRow="1" w:lastColumn="0" w:lastRow="0" w:noHBand="0" w:noVBand="1" w:val="04A0"/>
        <w:tblInd w:type="dxa" w:w="120"/>
      </w:tblPr>
      <w:tblGrid>
        <w:gridCol w:w="1368"/>
        <w:gridCol w:w="3744"/>
        <w:gridCol w:w="1800"/>
        <w:gridCol w:w="2448"/>
      </w:tblGrid>
      <w:tr>
        <w:trPr>
          <w:cantSplit w:val="true"/>
          <w:tblHeader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Code ou champ</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Sens fonctionnel probable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Confiance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7"/>
              </w:rPr>
              <w:t>Traitement recommandé</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ACY</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Précision de la position GPS</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Conserver la valeur et son unité brute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FLA</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Niveau de carburant actuel, apparemment exprimé en pourcentage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Ne pas calculer un volume sans capacité confirmée</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FLP</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Valeur entière ou pourcentage du niveau de carburant</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Comparer à </w:t>
            </w:r>
            <w:r>
              <w:rPr>
                <w:rFonts w:ascii="Consolas" w:hAnsi="Consolas" w:eastAsia="Consolas"/>
                <w:color w:val="1F4D78"/>
                <w:sz w:val="17"/>
              </w:rPr>
              <w:t>FLA</w:t>
            </w:r>
            <w:r>
              <w:rPr>
                <w:rFonts w:ascii="Calibri" w:hAnsi="Calibri" w:eastAsia="Calibri"/>
                <w:b w:val="0"/>
                <w:sz w:val="17"/>
              </w:rPr>
              <w:t xml:space="preserve"> et conserver brut</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FLC</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 xml:space="preserve">Échelle ou capacité de référence du niveau, souvent </w:t>
            </w:r>
            <w:r>
              <w:rPr>
                <w:rFonts w:ascii="Consolas" w:hAnsi="Consolas" w:eastAsia="Consolas"/>
                <w:color w:val="1F4D78"/>
                <w:sz w:val="17"/>
              </w:rPr>
              <w:t>100</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Ne pas conclure automatiquement qu'il s'agit de litres</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TFU</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i/>
                <w:sz w:val="17"/>
              </w:rPr>
              <w:t>Total Fuel Used</w:t>
            </w:r>
            <w:r>
              <w:rPr>
                <w:rFonts w:ascii="Calibri" w:hAnsi="Calibri" w:eastAsia="Calibri"/>
                <w:b w:val="0"/>
                <w:sz w:val="17"/>
              </w:rPr>
              <w:t xml:space="preserve"> — compteur cumulé de carburant consommé</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Hypothèse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Unité à confirmer avant tout calcul</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mileage</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Kilométrage cumulé du véhicule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Déduit — confiance élevée</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Unité probablement en mètres, à confirmer</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heading</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Cap ou direction du véhicule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Confirmé par les données</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Probablement en degrés</w:t>
            </w:r>
          </w:p>
        </w:tc>
      </w:tr>
      <w:tr>
        <w:trPr>
          <w:cantSplit w:val="true"/>
        </w:trPr>
        <w:tc>
          <w:tcPr>
            <w:tcW w:type="dxa" w:w="136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onsolas" w:hAnsi="Consolas" w:eastAsia="Consolas"/>
                <w:color w:val="1F4D78"/>
                <w:sz w:val="17"/>
              </w:rPr>
              <w:t>speed</w:t>
            </w:r>
          </w:p>
        </w:tc>
        <w:tc>
          <w:tcPr>
            <w:tcW w:type="dxa" w:w="3744"/>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Vitesse du véhicule</w:t>
            </w:r>
          </w:p>
        </w:tc>
        <w:tc>
          <w:tcPr>
            <w:tcW w:type="dxa" w:w="1800"/>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center"/>
            </w:pPr>
            <w:r/>
            <w:r>
              <w:rPr>
                <w:rFonts w:ascii="Calibri" w:hAnsi="Calibri" w:eastAsia="Calibri"/>
                <w:b w:val="0"/>
                <w:sz w:val="17"/>
              </w:rPr>
              <w:t>Confirmé par les données</w:t>
            </w:r>
          </w:p>
        </w:tc>
        <w:tc>
          <w:tcPr>
            <w:tcW w:type="dxa" w:w="2448"/>
            <w:tcMar>
              <w:top w:w="80" w:type="dxa"/>
              <w:bottom w:w="80"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7"/>
              </w:rPr>
              <w:t>Unité à confirmer</w:t>
            </w:r>
          </w:p>
        </w:tc>
      </w:tr>
    </w:tbl>
    <w:p>
      <w:pPr>
        <w:spacing w:before="0" w:after="40"/>
      </w:pPr>
    </w:p>
    <w:p>
      <w:r>
        <w:rPr>
          <w:rFonts w:ascii="Calibri" w:hAnsi="Calibri" w:eastAsia="Calibri"/>
          <w:b w:val="0"/>
        </w:rPr>
        <w:t>Ces champs peuvent aider à détecter ou contrôler une activité, mais ils ne doivent pas, à eux seuls, déterminer le coût d'une activité tant que leurs unités et règles métier ne sont pas confirmées.</w:t>
      </w:r>
    </w:p>
    <w:p>
      <w:pPr>
        <w:pStyle w:val="Heading1"/>
      </w:pPr>
      <w:r>
        <w:rPr>
          <w:rFonts w:ascii="Calibri" w:hAnsi="Calibri" w:eastAsia="Calibri"/>
          <w:b w:val="0"/>
        </w:rPr>
        <w:t>10. Noms recommandés dans le backend</w:t>
      </w:r>
    </w:p>
    <w:tbl>
      <w:tblPr>
        <w:tblStyle w:val="TableGrid"/>
        <w:tblW w:type="dxa" w:w="9360"/>
        <w:jc w:val="left"/>
        <w:tblLayout w:type="fixed"/>
        <w:tblLook w:firstColumn="1" w:firstRow="1" w:lastColumn="0" w:lastRow="0" w:noHBand="0" w:noVBand="1" w:val="04A0"/>
        <w:tblInd w:type="dxa" w:w="120"/>
      </w:tblPr>
      <w:tblGrid>
        <w:gridCol w:w="1944"/>
        <w:gridCol w:w="3096"/>
        <w:gridCol w:w="4320"/>
      </w:tblGrid>
      <w:tr>
        <w:trPr>
          <w:cantSplit w:val="true"/>
          <w:tblHeader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Valeur source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Nom C# recommandé</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shd w:fill="E8EEF5" w:val="clear"/>
          </w:tcPr>
          <w:p>
            <w:pPr>
              <w:spacing w:before="0" w:after="0" w:line="259" w:lineRule="auto"/>
              <w:jc w:val="center"/>
            </w:pPr>
            <w:r/>
            <w:r>
              <w:rPr>
                <w:rFonts w:ascii="Calibri" w:hAnsi="Calibri" w:eastAsia="Calibri"/>
                <w:b/>
                <w:color w:val="20384F"/>
                <w:sz w:val="18"/>
              </w:rPr>
              <w:t>Remarque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LID</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ExternalActivityId</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Identifiant de regroupement externe, pas forcément une clé primaire globale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DID</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RawExternalDriverIds</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Conserver la chaîne originale ; créer séparément les identifiants normalisés</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ATY</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RawActivityCode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Mapper vers un type interne sans écraser la valeur brute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AST</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RawActivityStartTime</w:t>
            </w:r>
            <w:r>
              <w:rPr>
                <w:rFonts w:ascii="Calibri" w:hAnsi="Calibri" w:eastAsia="Calibri"/>
                <w:b w:val="0"/>
                <w:sz w:val="18"/>
              </w:rPr>
              <w:t xml:space="preserve"> / </w:t>
            </w:r>
            <w:r>
              <w:rPr>
                <w:rFonts w:ascii="Consolas" w:hAnsi="Consolas" w:eastAsia="Consolas"/>
                <w:color w:val="1F4D78"/>
                <w:sz w:val="17"/>
              </w:rPr>
              <w:t>ActivityStartTime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Conserver valeur brute et valeur analysée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SST</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RawSessionStartTime</w:t>
            </w:r>
            <w:r>
              <w:rPr>
                <w:rFonts w:ascii="Calibri" w:hAnsi="Calibri" w:eastAsia="Calibri"/>
                <w:b w:val="0"/>
                <w:sz w:val="18"/>
              </w:rPr>
              <w:t xml:space="preserve"> / </w:t>
            </w:r>
            <w:r>
              <w:rPr>
                <w:rFonts w:ascii="Consolas" w:hAnsi="Consolas" w:eastAsia="Consolas"/>
                <w:color w:val="1F4D78"/>
                <w:sz w:val="17"/>
              </w:rPr>
              <w:t>SessionStartTime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Ne pas supposer le fuseau horaire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ALEN</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DurationMilliseconds</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 xml:space="preserve">Type </w:t>
            </w:r>
            <w:r>
              <w:rPr>
                <w:rFonts w:ascii="Consolas" w:hAnsi="Consolas" w:eastAsia="Consolas"/>
                <w:color w:val="1F4D78"/>
                <w:sz w:val="17"/>
              </w:rPr>
              <w:t>long</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DRLEN</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DrivingDurationMilliseconds</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 xml:space="preserve">Type </w:t>
            </w:r>
            <w:r>
              <w:rPr>
                <w:rFonts w:ascii="Consolas" w:hAnsi="Consolas" w:eastAsia="Consolas"/>
                <w:color w:val="1F4D78"/>
                <w:sz w:val="17"/>
              </w:rPr>
              <w:t>long</w:t>
            </w:r>
            <w:r>
              <w:rPr>
                <w:rFonts w:ascii="Calibri" w:hAnsi="Calibri" w:eastAsia="Calibri"/>
                <w:b w:val="0"/>
                <w:sz w:val="18"/>
              </w:rPr>
              <w:t>, unité encore à surveiller</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SEQ</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ExternalSequenceNumber</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Sert à ordonner les événements</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type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RawTraceType</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Conserver le code numérique</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ARE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RawActivityReport</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Contenu XML brut</w:t>
            </w:r>
          </w:p>
        </w:tc>
      </w:tr>
      <w:tr>
        <w:trPr>
          <w:cantSplit w:val="true"/>
        </w:trPr>
        <w:tc>
          <w:tcPr>
            <w:tcW w:type="dxa" w:w="1944"/>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AFRE</w:t>
            </w:r>
          </w:p>
        </w:tc>
        <w:tc>
          <w:tcPr>
            <w:tcW w:type="dxa" w:w="3096"/>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onsolas" w:hAnsi="Consolas" w:eastAsia="Consolas"/>
                <w:color w:val="1F4D78"/>
                <w:sz w:val="17"/>
              </w:rPr>
              <w:t>RawFinalActivityReport</w:t>
            </w:r>
          </w:p>
        </w:tc>
        <w:tc>
          <w:tcPr>
            <w:tcW w:type="dxa" w:w="4320"/>
            <w:tcMar>
              <w:top w:w="85" w:type="dxa"/>
              <w:bottom w:w="85" w:type="dxa"/>
              <w:start w:w="120" w:type="dxa"/>
              <w:end w:w="120" w:type="dxa"/>
            </w:tcMar>
            <w:vAlign w:val="center"/>
            <w:tcBorders>
              <w:top w:val="single" w:sz="4" w:space="0" w:color="C8D2DC"/>
              <w:left w:val="single" w:sz="4" w:space="0" w:color="C8D2DC"/>
              <w:bottom w:val="single" w:sz="4" w:space="0" w:color="C8D2DC"/>
              <w:right w:val="single" w:sz="4" w:space="0" w:color="C8D2DC"/>
              <w:insideH w:val="single" w:sz="4" w:space="0" w:color="C8D2DC"/>
              <w:insideV w:val="single" w:sz="4" w:space="0" w:color="C8D2DC"/>
            </w:tcBorders>
          </w:tcPr>
          <w:p>
            <w:pPr>
              <w:spacing w:before="0" w:after="0" w:line="259" w:lineRule="auto"/>
              <w:jc w:val="left"/>
            </w:pPr>
            <w:r/>
            <w:r>
              <w:rPr>
                <w:rFonts w:ascii="Calibri" w:hAnsi="Calibri" w:eastAsia="Calibri"/>
                <w:b w:val="0"/>
                <w:sz w:val="18"/>
              </w:rPr>
              <w:t>Contenu XML brut</w:t>
            </w:r>
          </w:p>
        </w:tc>
      </w:tr>
    </w:tbl>
    <w:p>
      <w:pPr>
        <w:spacing w:before="0" w:after="40"/>
      </w:pPr>
    </w:p>
    <w:p>
      <w:r>
        <w:rPr>
          <w:rFonts w:ascii="Calibri" w:hAnsi="Calibri" w:eastAsia="Calibri"/>
          <w:b w:val="0"/>
        </w:rPr>
        <w:t xml:space="preserve">Le préfixe </w:t>
      </w:r>
      <w:r>
        <w:rPr>
          <w:rFonts w:ascii="Consolas" w:hAnsi="Consolas" w:eastAsia="Consolas"/>
          <w:color w:val="1F4D78"/>
          <w:sz w:val="21"/>
        </w:rPr>
        <w:t>Raw</w:t>
      </w:r>
      <w:r>
        <w:rPr>
          <w:rFonts w:ascii="Calibri" w:hAnsi="Calibri" w:eastAsia="Calibri"/>
          <w:b w:val="0"/>
        </w:rPr>
        <w:t xml:space="preserve"> indique qu'il s'agit d'une donnée source qui ne doit pas être modifiée après l'import.</w:t>
      </w:r>
    </w:p>
    <w:p>
      <w:pPr>
        <w:pStyle w:val="Heading1"/>
      </w:pPr>
      <w:r>
        <w:rPr>
          <w:rFonts w:ascii="Calibri" w:hAnsi="Calibri" w:eastAsia="Calibri"/>
          <w:b w:val="0"/>
        </w:rPr>
        <w:t>11. Règles d'importation à respecter</w:t>
      </w:r>
    </w:p>
    <w:p>
      <w:pPr>
        <w:pStyle w:val="VDRTNumber"/>
        <w:numPr>
          <w:ilvl w:val="0"/>
          <w:numId w:val="12"/>
        </w:numPr>
      </w:pPr>
      <w:r>
        <w:rPr>
          <w:rFonts w:ascii="Calibri" w:hAnsi="Calibri" w:eastAsia="Calibri"/>
          <w:b w:val="0"/>
        </w:rPr>
        <w:t>Enregistrer le fichier d'import et son empreinte pour garantir l'idempotence.</w:t>
      </w:r>
    </w:p>
    <w:p>
      <w:pPr>
        <w:pStyle w:val="VDRTNumber"/>
        <w:numPr>
          <w:ilvl w:val="0"/>
          <w:numId w:val="12"/>
        </w:numPr>
      </w:pPr>
      <w:r>
        <w:rPr>
          <w:rFonts w:ascii="Calibri" w:hAnsi="Calibri" w:eastAsia="Calibri"/>
          <w:b w:val="0"/>
        </w:rPr>
        <w:t>Conserver chaque trace et chaque propriété dans leur forme brute.</w:t>
      </w:r>
    </w:p>
    <w:p>
      <w:pPr>
        <w:pStyle w:val="VDRTNumber"/>
        <w:numPr>
          <w:ilvl w:val="0"/>
          <w:numId w:val="12"/>
        </w:numPr>
      </w:pPr>
      <w:r>
        <w:rPr>
          <w:rFonts w:ascii="Calibri" w:hAnsi="Calibri" w:eastAsia="Calibri"/>
          <w:b w:val="0"/>
        </w:rPr>
        <w:t>Accepter les clés, codes et valeurs encore inconnus.</w:t>
      </w:r>
    </w:p>
    <w:p>
      <w:pPr>
        <w:pStyle w:val="VDRTNumber"/>
        <w:numPr>
          <w:ilvl w:val="0"/>
          <w:numId w:val="12"/>
        </w:numPr>
      </w:pPr>
      <w:r>
        <w:rPr>
          <w:rFonts w:ascii="Calibri" w:hAnsi="Calibri" w:eastAsia="Calibri"/>
          <w:b w:val="0"/>
        </w:rPr>
        <w:t xml:space="preserve">Regrouper les traces par source et par </w:t>
      </w:r>
      <w:r>
        <w:rPr>
          <w:rFonts w:ascii="Consolas" w:hAnsi="Consolas" w:eastAsia="Consolas"/>
          <w:color w:val="1F4D78"/>
          <w:sz w:val="21"/>
        </w:rPr>
        <w:t>LID</w:t>
      </w:r>
      <w:r>
        <w:rPr>
          <w:rFonts w:ascii="Calibri" w:hAnsi="Calibri" w:eastAsia="Calibri"/>
          <w:b w:val="0"/>
        </w:rPr>
        <w:t>.</w:t>
      </w:r>
    </w:p>
    <w:p>
      <w:pPr>
        <w:pStyle w:val="VDRTNumber"/>
        <w:numPr>
          <w:ilvl w:val="0"/>
          <w:numId w:val="12"/>
        </w:numPr>
      </w:pPr>
      <w:r>
        <w:rPr>
          <w:rFonts w:ascii="Calibri" w:hAnsi="Calibri" w:eastAsia="Calibri"/>
          <w:b w:val="0"/>
        </w:rPr>
        <w:t xml:space="preserve">Les ordonner par </w:t>
      </w:r>
      <w:r>
        <w:rPr>
          <w:rFonts w:ascii="Consolas" w:hAnsi="Consolas" w:eastAsia="Consolas"/>
          <w:color w:val="1F4D78"/>
          <w:sz w:val="21"/>
        </w:rPr>
        <w:t>time</w:t>
      </w:r>
      <w:r>
        <w:rPr>
          <w:rFonts w:ascii="Calibri" w:hAnsi="Calibri" w:eastAsia="Calibri"/>
          <w:b w:val="0"/>
        </w:rPr>
        <w:t xml:space="preserve">, puis par </w:t>
      </w:r>
      <w:r>
        <w:rPr>
          <w:rFonts w:ascii="Consolas" w:hAnsi="Consolas" w:eastAsia="Consolas"/>
          <w:color w:val="1F4D78"/>
          <w:sz w:val="21"/>
        </w:rPr>
        <w:t>SEQ</w:t>
      </w:r>
      <w:r>
        <w:rPr>
          <w:rFonts w:ascii="Calibri" w:hAnsi="Calibri" w:eastAsia="Calibri"/>
          <w:b w:val="0"/>
        </w:rPr>
        <w:t xml:space="preserve"> lorsqu'il est présent.</w:t>
      </w:r>
    </w:p>
    <w:p>
      <w:pPr>
        <w:pStyle w:val="VDRTNumber"/>
        <w:numPr>
          <w:ilvl w:val="0"/>
          <w:numId w:val="12"/>
        </w:numPr>
      </w:pPr>
      <w:r>
        <w:rPr>
          <w:rFonts w:ascii="Calibri" w:hAnsi="Calibri" w:eastAsia="Calibri"/>
          <w:b w:val="0"/>
        </w:rPr>
        <w:t>Reconstruire une activité candidate sans supprimer les traces ayant servi à la produire.</w:t>
      </w:r>
    </w:p>
    <w:p>
      <w:pPr>
        <w:pStyle w:val="VDRTNumber"/>
        <w:numPr>
          <w:ilvl w:val="0"/>
          <w:numId w:val="12"/>
        </w:numPr>
      </w:pPr>
      <w:r>
        <w:rPr>
          <w:rFonts w:ascii="Calibri" w:hAnsi="Calibri" w:eastAsia="Calibri"/>
          <w:b w:val="0"/>
        </w:rPr>
        <w:t>Séparer les dates brutes des dates analysées et ne pas inventer de fuseau horaire.</w:t>
      </w:r>
    </w:p>
    <w:p>
      <w:pPr>
        <w:pStyle w:val="VDRTNumber"/>
        <w:numPr>
          <w:ilvl w:val="0"/>
          <w:numId w:val="12"/>
        </w:numPr>
      </w:pPr>
      <w:r>
        <w:rPr>
          <w:rFonts w:ascii="Calibri" w:hAnsi="Calibri" w:eastAsia="Calibri"/>
          <w:b w:val="0"/>
        </w:rPr>
        <w:t xml:space="preserve">Stocker </w:t>
      </w:r>
      <w:r>
        <w:rPr>
          <w:rFonts w:ascii="Consolas" w:hAnsi="Consolas" w:eastAsia="Consolas"/>
          <w:color w:val="1F4D78"/>
          <w:sz w:val="21"/>
        </w:rPr>
        <w:t>DID</w:t>
      </w:r>
      <w:r>
        <w:rPr>
          <w:rFonts w:ascii="Calibri" w:hAnsi="Calibri" w:eastAsia="Calibri"/>
          <w:b w:val="0"/>
        </w:rPr>
        <w:t xml:space="preserve"> comme texte brut, puis séparer les identifiants multiples dans une structure liée.</w:t>
      </w:r>
    </w:p>
    <w:p>
      <w:pPr>
        <w:pStyle w:val="VDRTNumber"/>
        <w:numPr>
          <w:ilvl w:val="0"/>
          <w:numId w:val="12"/>
        </w:numPr>
      </w:pPr>
      <w:r>
        <w:rPr>
          <w:rFonts w:ascii="Calibri" w:hAnsi="Calibri" w:eastAsia="Calibri"/>
          <w:b w:val="0"/>
        </w:rPr>
        <w:t xml:space="preserve">Utiliser </w:t>
      </w:r>
      <w:r>
        <w:rPr>
          <w:rFonts w:ascii="Consolas" w:hAnsi="Consolas" w:eastAsia="Consolas"/>
          <w:color w:val="1F4D78"/>
          <w:sz w:val="21"/>
        </w:rPr>
        <w:t>long</w:t>
      </w:r>
      <w:r>
        <w:rPr>
          <w:rFonts w:ascii="Calibri" w:hAnsi="Calibri" w:eastAsia="Calibri"/>
          <w:b w:val="0"/>
        </w:rPr>
        <w:t xml:space="preserve"> pour les durées en millisecondes.</w:t>
      </w:r>
    </w:p>
    <w:p>
      <w:pPr>
        <w:pStyle w:val="VDRTNumber"/>
        <w:numPr>
          <w:ilvl w:val="0"/>
          <w:numId w:val="12"/>
        </w:numPr>
      </w:pPr>
      <w:r>
        <w:rPr>
          <w:rFonts w:ascii="Calibri" w:hAnsi="Calibri" w:eastAsia="Calibri"/>
          <w:b w:val="0"/>
        </w:rPr>
        <w:t>Marquer les valeurs inconnues, incohérentes ou anormales comme anomalies.</w:t>
      </w:r>
    </w:p>
    <w:p>
      <w:pPr>
        <w:pStyle w:val="VDRTNumber"/>
        <w:numPr>
          <w:ilvl w:val="0"/>
          <w:numId w:val="12"/>
        </w:numPr>
      </w:pPr>
      <w:r>
        <w:rPr>
          <w:rFonts w:ascii="Calibri" w:hAnsi="Calibri" w:eastAsia="Calibri"/>
          <w:b w:val="0"/>
        </w:rPr>
        <w:t xml:space="preserve">Exiger une vérification manuelle pour </w:t>
      </w:r>
      <w:r>
        <w:rPr>
          <w:rFonts w:ascii="Consolas" w:hAnsi="Consolas" w:eastAsia="Consolas"/>
          <w:color w:val="1F4D78"/>
          <w:sz w:val="21"/>
        </w:rPr>
        <w:t>UN</w:t>
      </w:r>
      <w:r>
        <w:rPr>
          <w:rFonts w:ascii="Calibri" w:hAnsi="Calibri" w:eastAsia="Calibri"/>
          <w:b w:val="0"/>
        </w:rPr>
        <w:t xml:space="preserve"> et pour toute interprétation insuffisamment fiable.</w:t>
      </w:r>
    </w:p>
    <w:p>
      <w:pPr>
        <w:pStyle w:val="VDRTNumber"/>
        <w:numPr>
          <w:ilvl w:val="0"/>
          <w:numId w:val="12"/>
        </w:numPr>
      </w:pPr>
      <w:r>
        <w:rPr>
          <w:rFonts w:ascii="Calibri" w:hAnsi="Calibri" w:eastAsia="Calibri"/>
          <w:b w:val="0"/>
        </w:rPr>
        <w:t>Ne calculer un coût qu'à partir d'une activité reconstruite, vérifiée et liée à une règle de coût explicite.</w:t>
      </w:r>
    </w:p>
    <w:p>
      <w:r>
        <w:rPr>
          <w:rFonts w:ascii="Calibri" w:hAnsi="Calibri" w:eastAsia="Calibri"/>
          <w:b w:val="0"/>
        </w:rPr>
        <w:t>Statuts conseillés pour une activité candidate :</w:t>
      </w:r>
    </w:p>
    <w:p>
      <w:pPr>
        <w:pStyle w:val="VDRTCodeBlock"/>
        <w:shd w:fill="F4F6F9" w:val="clear"/>
        <w:pBdr>
          <w:left w:val="single" w:sz="14" w:space="8" w:color="66717E"/>
        </w:pBdr>
      </w:pPr>
      <w:r>
        <w:rPr>
          <w:rFonts w:ascii="Consolas" w:hAnsi="Consolas" w:eastAsia="Consolas"/>
          <w:color w:val="20384F"/>
          <w:sz w:val="18"/>
        </w:rPr>
        <w:t>PendingReview</w:t>
        <w:br/>
        <w:t>Recognized</w:t>
        <w:br/>
        <w:t>Unknown</w:t>
        <w:br/>
        <w:t>Invalid</w:t>
      </w:r>
    </w:p>
    <w:p>
      <w:pPr>
        <w:pStyle w:val="Heading1"/>
      </w:pPr>
      <w:r>
        <w:rPr>
          <w:rFonts w:ascii="Calibri" w:hAnsi="Calibri" w:eastAsia="Calibri"/>
          <w:b w:val="0"/>
        </w:rPr>
        <w:t>12. Ce qui reste à confirmer officiellement</w:t>
      </w:r>
    </w:p>
    <w:p>
      <w:r>
        <w:rPr>
          <w:rFonts w:ascii="Calibri" w:hAnsi="Calibri" w:eastAsia="Calibri"/>
          <w:b w:val="0"/>
        </w:rPr>
        <w:t>Les éléments suivants ne doivent pas être présentés comme des définitions Trimble officielles :</w:t>
      </w:r>
    </w:p>
    <w:p>
      <w:pPr>
        <w:pStyle w:val="VDRTBullet"/>
        <w:numPr>
          <w:ilvl w:val="0"/>
          <w:numId w:val="10"/>
        </w:numPr>
      </w:pPr>
      <w:r>
        <w:rPr>
          <w:rFonts w:ascii="Calibri" w:hAnsi="Calibri" w:eastAsia="Calibri"/>
          <w:b w:val="0"/>
        </w:rPr>
        <w:t xml:space="preserve">le développement exact des abréviations </w:t>
      </w:r>
      <w:r>
        <w:rPr>
          <w:rFonts w:ascii="Consolas" w:hAnsi="Consolas" w:eastAsia="Consolas"/>
          <w:color w:val="1F4D78"/>
          <w:sz w:val="21"/>
        </w:rPr>
        <w:t>LID</w:t>
      </w:r>
      <w:r>
        <w:rPr>
          <w:rFonts w:ascii="Calibri" w:hAnsi="Calibri" w:eastAsia="Calibri"/>
          <w:b w:val="0"/>
        </w:rPr>
        <w:t xml:space="preserve">, </w:t>
      </w:r>
      <w:r>
        <w:rPr>
          <w:rFonts w:ascii="Consolas" w:hAnsi="Consolas" w:eastAsia="Consolas"/>
          <w:color w:val="1F4D78"/>
          <w:sz w:val="21"/>
        </w:rPr>
        <w:t>SST</w:t>
      </w:r>
      <w:r>
        <w:rPr>
          <w:rFonts w:ascii="Calibri" w:hAnsi="Calibri" w:eastAsia="Calibri"/>
          <w:b w:val="0"/>
        </w:rPr>
        <w:t xml:space="preserve">, </w:t>
      </w:r>
      <w:r>
        <w:rPr>
          <w:rFonts w:ascii="Consolas" w:hAnsi="Consolas" w:eastAsia="Consolas"/>
          <w:color w:val="1F4D78"/>
          <w:sz w:val="21"/>
        </w:rPr>
        <w:t>AMS</w:t>
      </w:r>
      <w:r>
        <w:rPr>
          <w:rFonts w:ascii="Calibri" w:hAnsi="Calibri" w:eastAsia="Calibri"/>
          <w:b w:val="0"/>
        </w:rPr>
        <w:t xml:space="preserve">, </w:t>
      </w:r>
      <w:r>
        <w:rPr>
          <w:rFonts w:ascii="Consolas" w:hAnsi="Consolas" w:eastAsia="Consolas"/>
          <w:color w:val="1F4D78"/>
          <w:sz w:val="21"/>
        </w:rPr>
        <w:t>ARE</w:t>
      </w:r>
      <w:r>
        <w:rPr>
          <w:rFonts w:ascii="Calibri" w:hAnsi="Calibri" w:eastAsia="Calibri"/>
          <w:b w:val="0"/>
        </w:rPr>
        <w:t xml:space="preserve">, </w:t>
      </w:r>
      <w:r>
        <w:rPr>
          <w:rFonts w:ascii="Consolas" w:hAnsi="Consolas" w:eastAsia="Consolas"/>
          <w:color w:val="1F4D78"/>
          <w:sz w:val="21"/>
        </w:rPr>
        <w:t>AFRE</w:t>
      </w:r>
      <w:r>
        <w:rPr>
          <w:rFonts w:ascii="Calibri" w:hAnsi="Calibri" w:eastAsia="Calibri"/>
          <w:b w:val="0"/>
        </w:rPr>
        <w:t xml:space="preserve">, </w:t>
      </w:r>
      <w:r>
        <w:rPr>
          <w:rFonts w:ascii="Consolas" w:hAnsi="Consolas" w:eastAsia="Consolas"/>
          <w:color w:val="1F4D78"/>
          <w:sz w:val="21"/>
        </w:rPr>
        <w:t>ESEQ</w:t>
      </w:r>
      <w:r>
        <w:rPr>
          <w:rFonts w:ascii="Calibri" w:hAnsi="Calibri" w:eastAsia="Calibri"/>
          <w:b w:val="0"/>
        </w:rPr>
        <w:t xml:space="preserve">, </w:t>
      </w:r>
      <w:r>
        <w:rPr>
          <w:rFonts w:ascii="Consolas" w:hAnsi="Consolas" w:eastAsia="Consolas"/>
          <w:color w:val="1F4D78"/>
          <w:sz w:val="21"/>
        </w:rPr>
        <w:t>ACY</w:t>
      </w:r>
      <w:r>
        <w:rPr>
          <w:rFonts w:ascii="Calibri" w:hAnsi="Calibri" w:eastAsia="Calibri"/>
          <w:b w:val="0"/>
        </w:rPr>
        <w:t xml:space="preserve">, </w:t>
      </w:r>
      <w:r>
        <w:rPr>
          <w:rFonts w:ascii="Consolas" w:hAnsi="Consolas" w:eastAsia="Consolas"/>
          <w:color w:val="1F4D78"/>
          <w:sz w:val="21"/>
        </w:rPr>
        <w:t>FLA</w:t>
      </w:r>
      <w:r>
        <w:rPr>
          <w:rFonts w:ascii="Calibri" w:hAnsi="Calibri" w:eastAsia="Calibri"/>
          <w:b w:val="0"/>
        </w:rPr>
        <w:t xml:space="preserve">, </w:t>
      </w:r>
      <w:r>
        <w:rPr>
          <w:rFonts w:ascii="Consolas" w:hAnsi="Consolas" w:eastAsia="Consolas"/>
          <w:color w:val="1F4D78"/>
          <w:sz w:val="21"/>
        </w:rPr>
        <w:t>FLP</w:t>
      </w:r>
      <w:r>
        <w:rPr>
          <w:rFonts w:ascii="Calibri" w:hAnsi="Calibri" w:eastAsia="Calibri"/>
          <w:b w:val="0"/>
        </w:rPr>
        <w:t xml:space="preserve"> et </w:t>
      </w:r>
      <w:r>
        <w:rPr>
          <w:rFonts w:ascii="Consolas" w:hAnsi="Consolas" w:eastAsia="Consolas"/>
          <w:color w:val="1F4D78"/>
          <w:sz w:val="21"/>
        </w:rPr>
        <w:t>FLC</w:t>
      </w:r>
      <w:r>
        <w:rPr>
          <w:rFonts w:ascii="Calibri" w:hAnsi="Calibri" w:eastAsia="Calibri"/>
          <w:b w:val="0"/>
        </w:rPr>
        <w:t xml:space="preserve"> ;</w:t>
      </w:r>
    </w:p>
    <w:p>
      <w:pPr>
        <w:pStyle w:val="VDRTBullet"/>
        <w:numPr>
          <w:ilvl w:val="0"/>
          <w:numId w:val="10"/>
        </w:numPr>
      </w:pPr>
      <w:r>
        <w:rPr>
          <w:rFonts w:ascii="Calibri" w:hAnsi="Calibri" w:eastAsia="Calibri"/>
          <w:b w:val="0"/>
        </w:rPr>
        <w:t xml:space="preserve">la nuance officielle entre les types de traces </w:t>
      </w:r>
      <w:r>
        <w:rPr>
          <w:rFonts w:ascii="Consolas" w:hAnsi="Consolas" w:eastAsia="Consolas"/>
          <w:color w:val="1F4D78"/>
          <w:sz w:val="21"/>
        </w:rPr>
        <w:t>11</w:t>
      </w:r>
      <w:r>
        <w:rPr>
          <w:rFonts w:ascii="Calibri" w:hAnsi="Calibri" w:eastAsia="Calibri"/>
          <w:b w:val="0"/>
        </w:rPr>
        <w:t xml:space="preserve"> et </w:t>
      </w:r>
      <w:r>
        <w:rPr>
          <w:rFonts w:ascii="Consolas" w:hAnsi="Consolas" w:eastAsia="Consolas"/>
          <w:color w:val="1F4D78"/>
          <w:sz w:val="21"/>
        </w:rPr>
        <w:t>13</w:t>
      </w:r>
      <w:r>
        <w:rPr>
          <w:rFonts w:ascii="Calibri" w:hAnsi="Calibri" w:eastAsia="Calibri"/>
          <w:b w:val="0"/>
        </w:rPr>
        <w:t xml:space="preserve"> ;</w:t>
      </w:r>
    </w:p>
    <w:p>
      <w:pPr>
        <w:pStyle w:val="VDRTBullet"/>
        <w:numPr>
          <w:ilvl w:val="0"/>
          <w:numId w:val="10"/>
        </w:numPr>
      </w:pPr>
      <w:r>
        <w:rPr>
          <w:rFonts w:ascii="Calibri" w:hAnsi="Calibri" w:eastAsia="Calibri"/>
          <w:b w:val="0"/>
        </w:rPr>
        <w:t xml:space="preserve">le rôle exact du type </w:t>
      </w:r>
      <w:r>
        <w:rPr>
          <w:rFonts w:ascii="Consolas" w:hAnsi="Consolas" w:eastAsia="Consolas"/>
          <w:color w:val="1F4D78"/>
          <w:sz w:val="21"/>
        </w:rPr>
        <w:t>9</w:t>
      </w:r>
      <w:r>
        <w:rPr>
          <w:rFonts w:ascii="Calibri" w:hAnsi="Calibri" w:eastAsia="Calibri"/>
          <w:b w:val="0"/>
        </w:rPr>
        <w:t xml:space="preserve"> et de la propriété </w:t>
      </w:r>
      <w:r>
        <w:rPr>
          <w:rFonts w:ascii="Consolas" w:hAnsi="Consolas" w:eastAsia="Consolas"/>
          <w:color w:val="1F4D78"/>
          <w:sz w:val="21"/>
        </w:rPr>
        <w:t>AMS</w:t>
      </w:r>
      <w:r>
        <w:rPr>
          <w:rFonts w:ascii="Calibri" w:hAnsi="Calibri" w:eastAsia="Calibri"/>
          <w:b w:val="0"/>
        </w:rPr>
        <w:t xml:space="preserve"> ;</w:t>
      </w:r>
    </w:p>
    <w:p>
      <w:pPr>
        <w:pStyle w:val="VDRTBullet"/>
        <w:numPr>
          <w:ilvl w:val="0"/>
          <w:numId w:val="10"/>
        </w:numPr>
      </w:pPr>
      <w:r>
        <w:rPr>
          <w:rFonts w:ascii="Calibri" w:hAnsi="Calibri" w:eastAsia="Calibri"/>
          <w:b w:val="0"/>
        </w:rPr>
        <w:t xml:space="preserve">l'unité officielle de </w:t>
      </w:r>
      <w:r>
        <w:rPr>
          <w:rFonts w:ascii="Consolas" w:hAnsi="Consolas" w:eastAsia="Consolas"/>
          <w:color w:val="1F4D78"/>
          <w:sz w:val="21"/>
        </w:rPr>
        <w:t>mileage</w:t>
      </w:r>
      <w:r>
        <w:rPr>
          <w:rFonts w:ascii="Calibri" w:hAnsi="Calibri" w:eastAsia="Calibri"/>
          <w:b w:val="0"/>
        </w:rPr>
        <w:t xml:space="preserve">, </w:t>
      </w:r>
      <w:r>
        <w:rPr>
          <w:rFonts w:ascii="Consolas" w:hAnsi="Consolas" w:eastAsia="Consolas"/>
          <w:color w:val="1F4D78"/>
          <w:sz w:val="21"/>
        </w:rPr>
        <w:t>speed</w:t>
      </w:r>
      <w:r>
        <w:rPr>
          <w:rFonts w:ascii="Calibri" w:hAnsi="Calibri" w:eastAsia="Calibri"/>
          <w:b w:val="0"/>
        </w:rPr>
        <w:t xml:space="preserve">, </w:t>
      </w:r>
      <w:r>
        <w:rPr>
          <w:rFonts w:ascii="Consolas" w:hAnsi="Consolas" w:eastAsia="Consolas"/>
          <w:color w:val="1F4D78"/>
          <w:sz w:val="21"/>
        </w:rPr>
        <w:t>DRLEN</w:t>
      </w:r>
      <w:r>
        <w:rPr>
          <w:rFonts w:ascii="Calibri" w:hAnsi="Calibri" w:eastAsia="Calibri"/>
          <w:b w:val="0"/>
        </w:rPr>
        <w:t xml:space="preserve">, </w:t>
      </w:r>
      <w:r>
        <w:rPr>
          <w:rFonts w:ascii="Consolas" w:hAnsi="Consolas" w:eastAsia="Consolas"/>
          <w:color w:val="1F4D78"/>
          <w:sz w:val="21"/>
        </w:rPr>
        <w:t>TFU</w:t>
      </w:r>
      <w:r>
        <w:rPr>
          <w:rFonts w:ascii="Calibri" w:hAnsi="Calibri" w:eastAsia="Calibri"/>
          <w:b w:val="0"/>
        </w:rPr>
        <w:t xml:space="preserve"> et des données de carburant ;</w:t>
      </w:r>
    </w:p>
    <w:p>
      <w:pPr>
        <w:pStyle w:val="VDRTBullet"/>
        <w:numPr>
          <w:ilvl w:val="0"/>
          <w:numId w:val="10"/>
        </w:numPr>
      </w:pPr>
      <w:r>
        <w:rPr>
          <w:rFonts w:ascii="Calibri" w:hAnsi="Calibri" w:eastAsia="Calibri"/>
          <w:b w:val="0"/>
        </w:rPr>
        <w:t xml:space="preserve">le sens précis de </w:t>
      </w:r>
      <w:r>
        <w:rPr>
          <w:rFonts w:ascii="Consolas" w:hAnsi="Consolas" w:eastAsia="Consolas"/>
          <w:color w:val="1F4D78"/>
          <w:sz w:val="21"/>
        </w:rPr>
        <w:t>AID</w:t>
      </w:r>
      <w:r>
        <w:rPr>
          <w:rFonts w:ascii="Calibri" w:hAnsi="Calibri" w:eastAsia="Calibri"/>
          <w:b w:val="0"/>
        </w:rPr>
        <w:t xml:space="preserve">, </w:t>
      </w:r>
      <w:r>
        <w:rPr>
          <w:rFonts w:ascii="Consolas" w:hAnsi="Consolas" w:eastAsia="Consolas"/>
          <w:color w:val="1F4D78"/>
          <w:sz w:val="21"/>
        </w:rPr>
        <w:t>QC</w:t>
      </w:r>
      <w:r>
        <w:rPr>
          <w:rFonts w:ascii="Calibri" w:hAnsi="Calibri" w:eastAsia="Calibri"/>
          <w:b w:val="0"/>
        </w:rPr>
        <w:t xml:space="preserve">, </w:t>
      </w:r>
      <w:r>
        <w:rPr>
          <w:rFonts w:ascii="Consolas" w:hAnsi="Consolas" w:eastAsia="Consolas"/>
          <w:color w:val="1F4D78"/>
          <w:sz w:val="21"/>
        </w:rPr>
        <w:t>AREM</w:t>
      </w:r>
      <w:r>
        <w:rPr>
          <w:rFonts w:ascii="Calibri" w:hAnsi="Calibri" w:eastAsia="Calibri"/>
          <w:b w:val="0"/>
        </w:rPr>
        <w:t xml:space="preserve"> et </w:t>
      </w:r>
      <w:r>
        <w:rPr>
          <w:rFonts w:ascii="Consolas" w:hAnsi="Consolas" w:eastAsia="Consolas"/>
          <w:color w:val="1F4D78"/>
          <w:sz w:val="21"/>
        </w:rPr>
        <w:t>H1</w:t>
      </w:r>
      <w:r>
        <w:rPr>
          <w:rFonts w:ascii="Calibri" w:hAnsi="Calibri" w:eastAsia="Calibri"/>
          <w:b w:val="0"/>
        </w:rPr>
        <w:t xml:space="preserve"> ;</w:t>
      </w:r>
    </w:p>
    <w:p>
      <w:pPr>
        <w:pStyle w:val="VDRTBullet"/>
        <w:numPr>
          <w:ilvl w:val="0"/>
          <w:numId w:val="10"/>
        </w:numPr>
      </w:pPr>
      <w:r>
        <w:rPr>
          <w:rFonts w:ascii="Calibri" w:hAnsi="Calibri" w:eastAsia="Calibri"/>
          <w:b w:val="0"/>
        </w:rPr>
        <w:t xml:space="preserve">la gestion officielle d'un </w:t>
      </w:r>
      <w:r>
        <w:rPr>
          <w:rFonts w:ascii="Consolas" w:hAnsi="Consolas" w:eastAsia="Consolas"/>
          <w:color w:val="1F4D78"/>
          <w:sz w:val="21"/>
        </w:rPr>
        <w:t>DID</w:t>
      </w:r>
      <w:r>
        <w:rPr>
          <w:rFonts w:ascii="Calibri" w:hAnsi="Calibri" w:eastAsia="Calibri"/>
          <w:b w:val="0"/>
        </w:rPr>
        <w:t xml:space="preserve"> contenant plusieurs identifiants ;</w:t>
      </w:r>
    </w:p>
    <w:p>
      <w:pPr>
        <w:pStyle w:val="VDRTBullet"/>
        <w:numPr>
          <w:ilvl w:val="0"/>
          <w:numId w:val="10"/>
        </w:numPr>
      </w:pPr>
      <w:r>
        <w:rPr>
          <w:rFonts w:ascii="Calibri" w:hAnsi="Calibri" w:eastAsia="Calibri"/>
          <w:b w:val="0"/>
        </w:rPr>
        <w:t>le fuseau horaire des dates ;</w:t>
      </w:r>
    </w:p>
    <w:p>
      <w:pPr>
        <w:pStyle w:val="VDRTBullet"/>
        <w:numPr>
          <w:ilvl w:val="0"/>
          <w:numId w:val="10"/>
        </w:numPr>
      </w:pPr>
      <w:r>
        <w:rPr>
          <w:rFonts w:ascii="Calibri" w:hAnsi="Calibri" w:eastAsia="Calibri"/>
          <w:b w:val="0"/>
        </w:rPr>
        <w:t>les options et libellés associés aux questionnaires configurés par l'entreprise.</w:t>
      </w:r>
    </w:p>
    <w:p>
      <w:r>
        <w:rPr>
          <w:rFonts w:ascii="Calibri" w:hAnsi="Calibri" w:eastAsia="Calibri"/>
          <w:b w:val="0"/>
        </w:rPr>
        <w:t>Pour lever ces incertitudes, il faut obtenir le dictionnaire de champs ou la documentation de l'interface ayant produit les XML, ainsi que la configuration des formulaires CarCube de VDRT.</w:t>
      </w:r>
    </w:p>
    <w:p>
      <w:pPr>
        <w:pStyle w:val="Heading1"/>
      </w:pPr>
      <w:r>
        <w:rPr>
          <w:rFonts w:ascii="Calibri" w:hAnsi="Calibri" w:eastAsia="Calibri"/>
          <w:b w:val="0"/>
        </w:rPr>
        <w:t>13. Sources et périmètre de fiabilité</w:t>
      </w:r>
    </w:p>
    <w:p>
      <w:r>
        <w:rPr>
          <w:rFonts w:ascii="Calibri" w:hAnsi="Calibri" w:eastAsia="Calibri"/>
          <w:b w:val="0"/>
        </w:rPr>
        <w:t>Ce dictionnaire repose sur :</w:t>
      </w:r>
    </w:p>
    <w:p>
      <w:pPr>
        <w:pStyle w:val="VDRTBullet"/>
        <w:numPr>
          <w:ilvl w:val="0"/>
          <w:numId w:val="10"/>
        </w:numPr>
      </w:pPr>
      <w:r>
        <w:rPr>
          <w:rFonts w:ascii="Calibri" w:hAnsi="Calibri" w:eastAsia="Calibri"/>
          <w:b w:val="0"/>
        </w:rPr>
        <w:t xml:space="preserve">l'analyse empirique des fichiers XML de </w:t>
      </w:r>
      <w:r>
        <w:rPr>
          <w:rFonts w:ascii="Consolas" w:hAnsi="Consolas" w:eastAsia="Consolas"/>
          <w:color w:val="1F4D78"/>
          <w:sz w:val="21"/>
        </w:rPr>
        <w:t>Import.rar</w:t>
      </w:r>
      <w:r>
        <w:rPr>
          <w:rFonts w:ascii="Calibri" w:hAnsi="Calibri" w:eastAsia="Calibri"/>
          <w:b w:val="0"/>
        </w:rPr>
        <w:t xml:space="preserve"> ;</w:t>
      </w:r>
    </w:p>
    <w:p>
      <w:pPr>
        <w:pStyle w:val="VDRTBullet"/>
        <w:numPr>
          <w:ilvl w:val="0"/>
          <w:numId w:val="10"/>
        </w:numPr>
      </w:pPr>
      <w:r>
        <w:rPr>
          <w:rFonts w:ascii="Calibri" w:hAnsi="Calibri" w:eastAsia="Calibri"/>
          <w:b w:val="0"/>
        </w:rPr>
        <w:t xml:space="preserve">le document fonctionnel </w:t>
      </w:r>
      <w:r>
        <w:rPr>
          <w:rFonts w:ascii="Consolas" w:hAnsi="Consolas" w:eastAsia="Consolas"/>
          <w:color w:val="1F4D78"/>
          <w:sz w:val="21"/>
        </w:rPr>
        <w:t>VDRT_FonctionnementChauffeur.txt</w:t>
      </w:r>
      <w:r>
        <w:rPr>
          <w:rFonts w:ascii="Calibri" w:hAnsi="Calibri" w:eastAsia="Calibri"/>
          <w:b w:val="0"/>
        </w:rPr>
        <w:t xml:space="preserve"> ;</w:t>
      </w:r>
    </w:p>
    <w:p>
      <w:pPr>
        <w:pStyle w:val="VDRTBullet"/>
        <w:numPr>
          <w:ilvl w:val="0"/>
          <w:numId w:val="10"/>
        </w:numPr>
      </w:pPr>
      <w:r>
        <w:rPr>
          <w:rFonts w:ascii="Calibri" w:hAnsi="Calibri" w:eastAsia="Calibri"/>
          <w:b w:val="0"/>
        </w:rPr>
        <w:t>les règles métier communiquées pour le projet VDRT ;</w:t>
      </w:r>
    </w:p>
    <w:p>
      <w:pPr>
        <w:pStyle w:val="VDRTBullet"/>
        <w:numPr>
          <w:ilvl w:val="0"/>
          <w:numId w:val="10"/>
        </w:numPr>
      </w:pPr>
      <w:r>
        <w:rPr>
          <w:rFonts w:ascii="Calibri" w:hAnsi="Calibri" w:eastAsia="Calibri"/>
          <w:b w:val="0"/>
        </w:rPr>
        <w:t xml:space="preserve">la documentation publique Trimble, qui confirme l'existence d'outils de gestion de flotte, de véhicules, de chauffeurs et d'intégrations, mais ne documente pas les codes de ce flux XML : </w:t>
      </w:r>
      <w:hyperlink r:id="rId13">
        <w:r>
          <w:rPr>
            <w:rFonts w:ascii="Calibri" w:hAnsi="Calibri"/>
            <w:color w:val="2E74B5"/>
            <w:u w:val="single"/>
          </w:rPr>
          <w:t>Trimble Maps Fleet API</w:t>
        </w:r>
      </w:hyperlink>
      <w:r>
        <w:rPr>
          <w:rFonts w:ascii="Calibri" w:hAnsi="Calibri" w:eastAsia="Calibri"/>
          <w:b w:val="0"/>
        </w:rPr>
        <w:t>.</w:t>
      </w:r>
    </w:p>
    <w:p>
      <w:r>
        <w:rPr>
          <w:rFonts w:ascii="Calibri" w:hAnsi="Calibri" w:eastAsia="Calibri"/>
          <w:b w:val="0"/>
        </w:rPr>
        <w:t xml:space="preserve">Ce document est suffisamment fiable pour concevoir un importeur </w:t>
      </w:r>
      <w:r>
        <w:rPr>
          <w:rFonts w:ascii="Calibri" w:hAnsi="Calibri" w:eastAsia="Calibri"/>
          <w:b/>
        </w:rPr>
        <w:t>sans perte</w:t>
      </w:r>
      <w:r>
        <w:rPr>
          <w:rFonts w:ascii="Calibri" w:hAnsi="Calibri" w:eastAsia="Calibri"/>
          <w:b w:val="0"/>
        </w:rPr>
        <w:t xml:space="preserve">, nommer les données et reconstruire des activités candidates. Il ne remplace pas une spécification Trimble officielle pour les champs marqués </w:t>
      </w:r>
      <w:r>
        <w:rPr>
          <w:rFonts w:ascii="Calibri" w:hAnsi="Calibri" w:eastAsia="Calibri"/>
          <w:b/>
        </w:rPr>
        <w:t>Hypothèse</w:t>
      </w:r>
      <w:r>
        <w:rPr>
          <w:rFonts w:ascii="Calibri" w:hAnsi="Calibri" w:eastAsia="Calibri"/>
          <w:b w:val="0"/>
        </w:rPr>
        <w:t xml:space="preserve"> ou </w:t>
      </w:r>
      <w:r>
        <w:rPr>
          <w:rFonts w:ascii="Calibri" w:hAnsi="Calibri" w:eastAsia="Calibri"/>
          <w:b/>
        </w:rPr>
        <w:t>Inconnu</w:t>
      </w:r>
      <w:r>
        <w:rPr>
          <w:rFonts w:ascii="Calibri" w:hAnsi="Calibri" w:eastAsia="Calibri"/>
          <w:b w:val="0"/>
        </w:rPr>
        <w:t>.</w:t>
      </w:r>
    </w:p>
    <w:p>
      <w:pPr>
        <w:pStyle w:val="Heading1"/>
        <w:pageBreakBefore/>
      </w:pPr>
      <w:r>
        <w:rPr>
          <w:rFonts w:ascii="Calibri" w:hAnsi="Calibri" w:eastAsia="Calibri"/>
          <w:b w:val="0"/>
        </w:rPr>
        <w:t>14. Règle de maintenance</w:t>
      </w:r>
    </w:p>
    <w:p>
      <w:r>
        <w:rPr>
          <w:rFonts w:ascii="Calibri" w:hAnsi="Calibri" w:eastAsia="Calibri"/>
          <w:b w:val="0"/>
        </w:rPr>
        <w:t>Lorsqu'une définition officielle est obtenue :</w:t>
      </w:r>
    </w:p>
    <w:p>
      <w:pPr>
        <w:pStyle w:val="VDRTNumber"/>
        <w:numPr>
          <w:ilvl w:val="0"/>
          <w:numId w:val="13"/>
        </w:numPr>
      </w:pPr>
      <w:r>
        <w:rPr>
          <w:rFonts w:ascii="Calibri" w:hAnsi="Calibri" w:eastAsia="Calibri"/>
          <w:b w:val="0"/>
        </w:rPr>
        <w:t>conserver le code brut existant ;</w:t>
      </w:r>
    </w:p>
    <w:p>
      <w:pPr>
        <w:pStyle w:val="VDRTNumber"/>
        <w:numPr>
          <w:ilvl w:val="0"/>
          <w:numId w:val="13"/>
        </w:numPr>
      </w:pPr>
      <w:r>
        <w:rPr>
          <w:rFonts w:ascii="Calibri" w:hAnsi="Calibri" w:eastAsia="Calibri"/>
          <w:b w:val="0"/>
        </w:rPr>
        <w:t>ajouter la définition officielle et sa source ;</w:t>
      </w:r>
    </w:p>
    <w:p>
      <w:pPr>
        <w:pStyle w:val="VDRTNumber"/>
        <w:numPr>
          <w:ilvl w:val="0"/>
          <w:numId w:val="13"/>
        </w:numPr>
      </w:pPr>
      <w:r>
        <w:rPr>
          <w:rFonts w:ascii="Calibri" w:hAnsi="Calibri" w:eastAsia="Calibri"/>
          <w:b w:val="0"/>
        </w:rPr>
        <w:t>modifier le niveau de confiance ;</w:t>
      </w:r>
    </w:p>
    <w:p>
      <w:pPr>
        <w:pStyle w:val="VDRTNumber"/>
        <w:numPr>
          <w:ilvl w:val="0"/>
          <w:numId w:val="13"/>
        </w:numPr>
      </w:pPr>
      <w:r>
        <w:rPr>
          <w:rFonts w:ascii="Calibri" w:hAnsi="Calibri" w:eastAsia="Calibri"/>
          <w:b w:val="0"/>
        </w:rPr>
        <w:t>ajouter ou adapter les tests d'importation ;</w:t>
      </w:r>
    </w:p>
    <w:p>
      <w:pPr>
        <w:pStyle w:val="VDRTNumber"/>
        <w:numPr>
          <w:ilvl w:val="0"/>
          <w:numId w:val="13"/>
        </w:numPr>
      </w:pPr>
      <w:r>
        <w:rPr>
          <w:rFonts w:ascii="Calibri" w:hAnsi="Calibri" w:eastAsia="Calibri"/>
          <w:b w:val="0"/>
        </w:rPr>
        <w:t>ne retraiter les données historiques qu'au moyen d'une migration ou d'une tâche versionnée et traçable.</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17E"/>
        <w:sz w:val="17"/>
      </w:rPr>
    </w:r>
    <w:r>
      <w:rPr>
        <w:rFonts w:ascii="Calibri" w:hAnsi="Calibri" w:eastAsia="Calibri"/>
        <w:color w:val="66717E"/>
        <w:sz w:val="17"/>
      </w:rPr>
      <w:t xml:space="preserve">Page </w:t>
    </w:r>
    <w:r>
      <w:rPr>
        <w:rFonts w:ascii="Calibri" w:hAnsi="Calibri" w:eastAsia="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b/>
        <w:color w:val="66717E"/>
        <w:sz w:val="17"/>
      </w:rPr>
      <w:t>VDRT  |  Dictionnaire des données Trimble / CarCube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before="0"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before="0"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Light" w:hAnsi="Calibri Light"/>
      <w:b w:val="0"/>
      <w:color w:val="2038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DRTBullet">
    <w:name w:val="VDRT Bullet"/>
    <w:basedOn w:val="Normal"/>
    <w:pPr>
      <w:spacing w:before="0" w:after="80" w:line="300" w:lineRule="auto"/>
      <w:ind w:left="540" w:hanging="270"/>
    </w:pPr>
    <w:rPr>
      <w:rFonts w:ascii="Calibri" w:hAnsi="Calibri"/>
      <w:sz w:val="22"/>
    </w:rPr>
  </w:style>
  <w:style w:type="paragraph" w:customStyle="1" w:styleId="VDRTNumber">
    <w:name w:val="VDRT Number"/>
    <w:basedOn w:val="Normal"/>
    <w:pPr>
      <w:spacing w:before="0" w:after="80" w:line="300" w:lineRule="auto"/>
      <w:ind w:left="540" w:hanging="270"/>
    </w:pPr>
    <w:rPr>
      <w:rFonts w:ascii="Calibri" w:hAnsi="Calibri"/>
      <w:sz w:val="22"/>
    </w:rPr>
  </w:style>
  <w:style w:type="paragraph" w:customStyle="1" w:styleId="VDRTCodeBlock">
    <w:name w:val="VDRT Code Block"/>
    <w:basedOn w:val="Normal"/>
    <w:pPr>
      <w:keepLines/>
      <w:spacing w:before="80" w:after="160" w:line="240" w:lineRule="auto"/>
      <w:ind w:left="259" w:right="115"/>
    </w:pPr>
    <w:rPr>
      <w:rFonts w:ascii="Consolas" w:hAnsi="Consolas"/>
      <w:color w:val="2038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eveloper.trimblemaps.com/restful-apis/fleet-configuration/flee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VDRT - Dictionnaire des données Trimble / CarCube</dc:title>
  <dc:subject>Référence technique des champs, codes et règles d'importation</dc:subject>
  <dc:creator>Projet VDRT</dc:creator>
  <cp:keywords>VDRT, Trimble, CarCube, XML, import, backend</cp:keywords>
  <dc:description>Document de référence évolutif - version 1.0</dc:description>
  <cp:lastModifiedBy/>
  <cp:revision>1</cp:revision>
  <dcterms:created xsi:type="dcterms:W3CDTF">2013-12-23T23:15:00Z</dcterms:created>
  <dcterms:modified xsi:type="dcterms:W3CDTF">2013-12-23T23:15:00Z</dcterms:modified>
  <cp:category/>
</cp:coreProperties>
</file>