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t>Assessoria jurídica em aquisição de imóveis em leilão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1.1. A CONTRATADA prestará ao(à) CONTRATANTE assessoria jurídica na aquisição de imóveis em leilões judiciais e extrajudiciais, pelo prazo de 6 (seis) meses contados da assinatura deste contrato, compreendendo: {{objeto_servico}}. Imóvel ou leilão de referência indicado na contratação: {{descricao_imovel}}, leilão {{tipo_leilao}}.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1.2. A assessoria abrange: (a) a triagem jurídica dos imóveis indicados pelo(a) CONTRATANTE, com a análise do edital, da matrícula, de ações e procedimentos que possam afetar a arrematação, da ocupação, dos débitos que acompanham o imóvel e dos custos da aquisição; (b) a indicação dos riscos jurídicos identificados em cada imóvel, para que o(a) CONTRATANTE decida se participa do leilão; (c) a orientação sobre o procedimento do leilão, a habilitação e os documentos exigidos; e (d) o acompanhamento dos atos posteriores à arrematação até a expedição do auto ou da carta de arrematação, ou até a assinatura da escritura, conforme o caso.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1.3. Não estão incluídos neste contrato e serão contratados à parte, com honorários próprios ajustados por escrito: a desocupação judicial ou extrajudicial do imóvel; a defesa da arrematação em ações, embargos ou impugnações movidos por terceiros, inclusive pelo antigo proprietário; a regularização registral e fiscal; recursos, ações autônomas e incidentes.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1.4. A obrigação da CONTRATADA é de meio, e não de resultado. A CONTRATADA não garante a arrematação, a ausência de riscos futuros, o valor de revenda nem qualquer retorno financeiro. A decisão de participar do leilão e o valor de cada lance são de exclusiva responsabilidade do(a) CONTRATANTE.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2ª – DOS HONORÁRIOS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2.1. Pelos serviços descritos na Cláusula 1ª, o(a) CONTRATANTE pagará à CONTRATADA, na contratação, honorários fixos (entrada) no valor total de R$ {{valor_fixo_total}} ({{valor_fixo_extenso}}).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2.2. Do valor total será abatida a quantia de R$ {{valor_consulta}}, já paga pelo(a) CONTRATANTE a título de consulta jurídica de avaliação do caso, restando o saldo de R$ {{valor_saldo}}, a ser pago da seguinte forma: {{forma_pagamento}}.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2.3. Os pagamentos serão realizados por meio dos boletos, links ou chaves Pix emitidos pela CONTRATADA através de sua plataforma de cobrança, sendo vedado o pagamento a terceiros.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2.4. Além do valor do item 2.1, o(a) CONTRATANTE pagará à CONTRATADA honorários de êxito de {{percentual_exito}}% ({{percentual_exito_extenso}} por cento) sobre {{base_exito}}.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2.5. Considera-se êxito a arrematação, pelo(a) CONTRATANTE ou por pessoa física ou jurídica por ele(a) indicada, de imóvel que tenha sido objeto da assessoria da CONTRATADA durante a vigência deste contrato, ainda que a arrematação ocorra em até 90 (noventa) dias após o término da vigência.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2.6. Os honorários de êxito vencem em até 5 (cinco) dias úteis contados da arrematação e serão pagos pelos meios previstos no item 2.3.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2.7. O valor do item 2.1 remunera a disponibilidade e o trabalho de triagem e será deduzido dos primeiros honorários de êxito. Não havendo arrematação durante a vigência, ele não será devolvido, e nada mais será cobrado a título de êxito.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3ª – DAS DESPESAS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3.1. Não estão incluídas nos honorários as despesas com certidões, matrículas, pesquisas pagas, custas, taxas, emolumentos de cartório e despesas de deslocamento fora da região metropolitana de Porto Alegre, que ficarão a cargo do(a) CONTRATANTE, mediante prévia comunicação.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3.2.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4ª – DAS OBRIGAÇÕES DO(A) CONTRATANTE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4.1. O(A) CONTRATANTE obriga-se a: (a) fornecer, com veracidade e dentro dos prazos solicitados, as informações e os documentos necessários; (b) indicar à CONTRATADA, com antecedência razoável, os imóveis em que pretende participar, e comunicar em até 2 (dois) dias úteis cada arrematação realizada por si ou por pessoa por ele(a) indicada; (c) manter atualizados seus dados de contato.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4.2. A CONTRATADA não responde por prejuízos decorrentes de informações incorretas ou incompletas, ou da entrega tardia de documentos por parte do(a) CONTRATANTE, nem por lances ofertados sem a sua prévia análise.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5ª – DA INADIMPLÊNCIA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5.1. O atraso no pagamento de qualquer valor implicará multa de 2% (dois por cento), juros de mora de 1% (um por cento) ao mês e correção monetária pelo IPCA, calculados desde o vencimento até o efetivo pagamento.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5.2. O atraso superior a 30 (trinta) dias faculta à CONTRATADA suspender a execução dos serviços ainda não concluídos, além de promover a cobrança dos valores devidos. Este contrato constitui título executivo extrajudicial, nos termos do art. 24 da Lei nº 8.906/1994.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6ª – DA REVOGAÇÃO, RENÚNCIA E RESCISÃO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6.1. O(A) CONTRATANTE poderá revogar o mandato a qualquer tempo, permanecendo devidos os honorários fixos e os honorários de êxito das arrematações ocorridas até a revogação, bem como das que ocorrerem em até 90 (noventa) dias depois dela em imóveis já analisados pela CONTRATADA.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6.2.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7ª – DO SIGILO E DA PROTEÇÃO DE DADOS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7.1.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8ª – DAS COMUNICAÇÕES E DA ASSINATURA ELETRÔNICA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8.1. As partes admitem como válidas as comunicações feitas por e-mail e WhatsApp nos contatos indicados neste contrato.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8.2.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</w:rPr>
        <w:t>CLÁUSULA 9ª – DO FORO</w:t>
      </w:r>
    </w:p>
    <w:p w14:paraId="50CE847C" w14:textId="77777777" w:rsidR="00720791" w:rsidRDefault="00000000">
      <w:pPr>
        <w:spacing w:after="160" w:line="320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9.1.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7DEB8789" w14:textId="77777777" w:rsidR="00720791" w:rsidRDefault="00000000">
      <w:pPr>
        <w:keepNext/>
        <w:spacing w:after="600"/>
        <w:jc w:val="center"/>
      </w:pPr>
      <w:r>
        <w:t>CONTRATANTE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