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FBF7" w14:textId="77777777" w:rsidR="00720791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13DB0DEC" w14:textId="77777777" w:rsidR="00720791" w:rsidRDefault="00000000">
      <w:pPr>
        <w:spacing w:after="360"/>
        <w:jc w:val="center"/>
      </w:pPr>
      <w:r>
        <w:t>Assessoria jurídica em aquisição de imóveis em leilão</w:t>
      </w:r>
    </w:p>
    <w:p w14:paraId="55B1CC62" w14:textId="77777777" w:rsidR="00720791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20FAA78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 xml:space="preserve">CONTRATANTE: </w:t>
      </w:r>
      <w:proofErr w:type="spellStart"/>
      <w:r>
        <w:rPr>
          <w:b/>
          <w:bCs/>
        </w:rPr>
        <w:t>{{razao_social}}</w:t>
      </w:r>
      <w:proofErr w:type="spellEnd"/>
      <w:r>
        <w:rPr>
          <w:b/>
          <w:bCs/>
        </w:rPr>
      </w:r>
      <w:r>
        <w:t>, pessoa jurídica de direito privado, inscrita no CNPJ sob o nº {{cnpj_cliente}}, com sede em {{endereco_cliente}}, e-mail {{email_cliente}}, telefone {{telefone_cliente}}, neste ato representada por {{nome_cliente}}, {{nacionalidade}}, {{estado_civil}}, {{profissao}}, inscrito(a) no CPF sob o nº {{cpf_cliente}}, na qualidade de {{cargo_representante}}, que declara possuir poderes para firmar este contrato em nome da CONTRATANTE.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AFA2E1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1ª – DO OBJETO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1.1. A CONTRATADA prestará ao(à) CONTRATANTE assessoria jurídica na aquisição de imóveis em leilões judiciais e extrajudiciais, pelo prazo de 6 (seis) meses contados da assinatura deste contrato, compreendendo: {{objeto_servico}}. Imóvel ou leilão de referência indicado na contratação: {{descricao_imovel}}, leilão {{tipo_leilao}}.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1.2. A assessoria abrange: (a) a triagem jurídica dos imóveis indicados pelo(a) CONTRATANTE, com a análise do edital, da matrícula, de ações e procedimentos que possam afetar a arrematação, da ocupação, dos débitos que acompanham o imóvel e dos custos da aquisição; (b) a indicação dos riscos jurídicos identificados em cada imóvel, para que o(a) CONTRATANTE decida se participa do leilão; (c) a orientação sobre o procedimento do leilão, a habilitação e os documentos exigidos; e (d) o acompanhamento dos atos posteriores à arrematação até a expedição do auto ou da carta de arrematação, ou até a assinatura da escritura, conforme o caso.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1.3. Não estão incluídos neste contrato e serão contratados à parte, com honorários próprios ajustados por escrito: a desocupação judicial ou extrajudicial do imóvel; a defesa da arrematação em ações, embargos ou impugnações movidos por terceiros, inclusive pelo antigo proprietário; a regularização registral e fiscal; recursos, ações autônomas e incidentes.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1.4. A obrigação da CONTRATADA é de meio, e não de resultado. A CONTRATADA não garante a arrematação, a ausência de riscos futuros, o valor de revenda nem qualquer retorno financeiro. A decisão de participar do leilão e o valor de cada lance são de exclusiva responsabilidade do(a) CONTRATANTE.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2ª – DOS HONORÁRIOS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2.1. Pelos serviços descritos na Cláusula 1ª, o(a) CONTRATANTE pagará à CONTRATADA, na contratação, honorários fixos (entrada) no valor total de R$ {{valor_fixo_total}} ({{valor_fixo_extenso}}).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2.2. Do valor total será abatida a quantia de R$ {{valor_consulta}}, já paga pelo(a) CONTRATANTE a título de consulta jurídica de avaliação do caso, restando o saldo de R$ {{valor_saldo}}, a ser pago da seguinte forma: {{forma_pagamento}}.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2.3. Os pagamentos serão realizados por meio dos boletos, links ou chaves Pix emitidos pela CONTRATADA através de sua plataforma de cobrança, sendo vedado o pagamento a terceiros.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2.4. Além do valor do item 2.1, o(a) CONTRATANTE pagará à CONTRATADA honorários de êxito de {{percentual_exito}}% ({{percentual_exito_extenso}} por cento) sobre {{base_exito}}.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2.5. Considera-se êxito a arrematação, pelo(a) CONTRATANTE ou por pessoa física ou jurídica por ele(a) indicada, de imóvel que tenha sido objeto da assessoria da CONTRATADA durante a vigência deste contrato, ainda que a arrematação ocorra em até 90 (noventa) dias após o término da vigência.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2.6. Os honorários de êxito vencem em até 5 (cinco) dias úteis contados da arrematação e serão pagos pelos meios previstos no item 2.3.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2.7. O valor do item 2.1 remunera a disponibilidade e o trabalho de triagem e será deduzido dos primeiros honorários de êxito. Não havendo arrematação durante a vigência, ele não será devolvido, e nada mais será cobrado a título de êxito.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3ª – DAS DESPESAS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3.1. Não estão incluídas nos honorários as despesas com certidões, matrículas, pesquisas pagas, custas, taxas, emolumentos de cartório e despesas de deslocamento fora da região metropolitana de Porto Alegre, que ficarão a cargo do(a) CONTRATANTE, mediante prévia comunicação.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3.2. O preço da arrematação, a comissão do leiloeiro, tributos (como ITBI e IPTU), débitos condominiais e demais encargos do imóvel são de responsabilidade exclusiva do(a) CONTRATANTE e não se confundem com os honorários.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4ª – DAS OBRIGAÇÕES DO(A) CONTRATANTE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4.1. O(A) CONTRATANTE obriga-se a: (a) fornecer, com veracidade e dentro dos prazos solicitados, as informações e os documentos necessários; (b) indicar à CONTRATADA, com antecedência razoável, os imóveis em que pretende participar, e comunicar em até 2 (dois) dias úteis cada arrematação realizada por si ou por pessoa por ele(a) indicada; (c) manter atualizados seus dados de contato.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4.2. A CONTRATADA não responde por prejuízos decorrentes de informações incorretas ou incompletas, ou da entrega tardia de documentos por parte do(a) CONTRATANTE, nem por lances ofertados sem a sua prévia análise.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5ª – DA INADIMPLÊNCIA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5.1. O atraso no pagamento de qualquer valor implicará multa de 2% (dois por cento), juros de mora de 1% (um por cento) ao mês e correção monetária pelo IPCA, calculados desde o vencimento até o efetivo pagamento.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5.2. O atraso superior a 30 (trinta) dias faculta à CONTRATADA suspender a execução dos serviços ainda não concluídos, além de promover a cobrança dos valores devidos. Este contrato constitui título executivo extrajudicial, nos termos do art. 24 da Lei nº 8.906/1994.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6ª – DA REVOGAÇÃO, RENÚNCIA E RESCISÃO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6.1. O(A) CONTRATANTE poderá revogar o mandato a qualquer tempo, permanecendo devidos os honorários fixos e os honorários de êxito das arrematações ocorridas até a revogação, bem como das que ocorrerem em até 90 (noventa) dias depois dela em imóveis já analisados pela CONTRATADA.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6.2.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7ª – DO SIGILO E DA PROTEÇÃO DE DADOS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7.1. A CONTRATADA manterá sigilo sobre as informações recebidas, na forma do Estatuto da Advocacia, e tratará os dados pessoais do(a) CONTRATANTE exclusivamente para a execução deste contrato, o cumprimento de obrigações legais e o exercício regular de direitos, nos termos da Lei nº 13.709/2018 (LGPD).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8ª – DAS COMUNICAÇÕES E DA ASSINATURA ELETRÔNICA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8.1. As partes admitem como válidas as comunicações feitas por e-mail e WhatsApp nos contatos indicados neste contrato.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8.2.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9ª – DO FORO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9.1. Fica eleito o foro da Comarca de Novo Hamburgo/RS para dirimir quaisquer questões oriundas deste contrato, ressalvado ao(à) CONTRATANTE, quando consumidor, o direito de demandar no foro de seu domicílio.</w:t>
      </w:r>
    </w:p>
    <w:p w14:paraId="03919637" w14:textId="77777777" w:rsidR="00720791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033C8112" w14:textId="77777777" w:rsidR="00720791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66997FBE" w14:textId="77777777" w:rsidR="00517609" w:rsidRDefault="00517609">
      <w:pPr>
        <w:keepNext/>
        <w:spacing w:before="240" w:after="600"/>
        <w:jc w:val="right"/>
      </w:pPr>
    </w:p>
    <w:p w14:paraId="43302EC9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2A7FA50C" w14:textId="77777777" w:rsidR="00720791" w:rsidRDefault="00000000">
      <w:pPr>
        <w:keepNext/>
        <w:jc w:val="center"/>
      </w:pPr>
      <w:r>
        <w:rPr>
          <w:b/>
          <w:bCs/>
        </w:rPr>
        <w:t>{{razao_social}}</w:t>
      </w:r>
      <w:proofErr w:type="spellStart"/>
      <w:r>
        <w:rPr>
          <w:b/>
          <w:bCs/>
        </w:rPr>
      </w:r>
      <w:proofErr w:type="spellEnd"/>
      <w:r>
        <w:rPr>
          <w:b/>
          <w:bCs/>
        </w:rPr>
      </w:r>
    </w:p>
    <w:p w14:paraId="7DEB8789" w14:textId="77777777" w:rsidR="00720791" w:rsidRDefault="00000000">
      <w:pPr>
        <w:keepNext/>
        <w:spacing w:after="600"/>
        <w:jc w:val="center"/>
      </w:pPr>
      <w:r>
        <w:t>CONTRATANTE, representada por {{nome_cliente}}</w:t>
      </w:r>
    </w:p>
    <w:p w14:paraId="41112983" w14:textId="77777777" w:rsidR="00517609" w:rsidRDefault="00517609">
      <w:pPr>
        <w:keepNext/>
        <w:spacing w:after="600"/>
        <w:jc w:val="center"/>
      </w:pPr>
    </w:p>
    <w:p w14:paraId="4FBB8C3A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68FF77D7" w14:textId="77777777" w:rsidR="00720791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2BA56D17" w14:textId="77777777" w:rsidR="00720791" w:rsidRDefault="00000000">
      <w:pPr>
        <w:jc w:val="center"/>
      </w:pPr>
      <w:r>
        <w:t>Sociedade OAB/RS 15.656 – Dr. Fábio de Castro Emerim, OAB/RS 88.912 – CONTRATADA</w:t>
      </w:r>
    </w:p>
    <w:sectPr w:rsidR="00720791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C5035" w14:textId="77777777" w:rsidR="00CF4E20" w:rsidRDefault="00CF4E20">
      <w:r>
        <w:separator/>
      </w:r>
    </w:p>
  </w:endnote>
  <w:endnote w:type="continuationSeparator" w:id="0">
    <w:p w14:paraId="09334C77" w14:textId="77777777" w:rsidR="00CF4E20" w:rsidRDefault="00CF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B7BC" w14:textId="77777777" w:rsidR="00720791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DE3E" w14:textId="77777777" w:rsidR="00CF4E20" w:rsidRDefault="00CF4E20">
      <w:r>
        <w:separator/>
      </w:r>
    </w:p>
  </w:footnote>
  <w:footnote w:type="continuationSeparator" w:id="0">
    <w:p w14:paraId="7D171507" w14:textId="77777777" w:rsidR="00CF4E20" w:rsidRDefault="00CF4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5AB"/>
    <w:multiLevelType w:val="hybridMultilevel"/>
    <w:tmpl w:val="C6845F66"/>
    <w:lvl w:ilvl="0" w:tplc="5D424090">
      <w:start w:val="1"/>
      <w:numFmt w:val="bullet"/>
      <w:lvlText w:val="●"/>
      <w:lvlJc w:val="left"/>
      <w:pPr>
        <w:ind w:left="720" w:hanging="360"/>
      </w:pPr>
    </w:lvl>
    <w:lvl w:ilvl="1" w:tplc="34E0C9FA">
      <w:start w:val="1"/>
      <w:numFmt w:val="bullet"/>
      <w:lvlText w:val="○"/>
      <w:lvlJc w:val="left"/>
      <w:pPr>
        <w:ind w:left="1440" w:hanging="360"/>
      </w:pPr>
    </w:lvl>
    <w:lvl w:ilvl="2" w:tplc="397CCEF8">
      <w:start w:val="1"/>
      <w:numFmt w:val="bullet"/>
      <w:lvlText w:val="■"/>
      <w:lvlJc w:val="left"/>
      <w:pPr>
        <w:ind w:left="2160" w:hanging="360"/>
      </w:pPr>
    </w:lvl>
    <w:lvl w:ilvl="3" w:tplc="BBFA11CE">
      <w:start w:val="1"/>
      <w:numFmt w:val="bullet"/>
      <w:lvlText w:val="●"/>
      <w:lvlJc w:val="left"/>
      <w:pPr>
        <w:ind w:left="2880" w:hanging="360"/>
      </w:pPr>
    </w:lvl>
    <w:lvl w:ilvl="4" w:tplc="4CD882F8">
      <w:start w:val="1"/>
      <w:numFmt w:val="bullet"/>
      <w:lvlText w:val="○"/>
      <w:lvlJc w:val="left"/>
      <w:pPr>
        <w:ind w:left="3600" w:hanging="360"/>
      </w:pPr>
    </w:lvl>
    <w:lvl w:ilvl="5" w:tplc="F202E4DE">
      <w:start w:val="1"/>
      <w:numFmt w:val="bullet"/>
      <w:lvlText w:val="■"/>
      <w:lvlJc w:val="left"/>
      <w:pPr>
        <w:ind w:left="4320" w:hanging="360"/>
      </w:pPr>
    </w:lvl>
    <w:lvl w:ilvl="6" w:tplc="B652F370">
      <w:start w:val="1"/>
      <w:numFmt w:val="bullet"/>
      <w:lvlText w:val="●"/>
      <w:lvlJc w:val="left"/>
      <w:pPr>
        <w:ind w:left="5040" w:hanging="360"/>
      </w:pPr>
    </w:lvl>
    <w:lvl w:ilvl="7" w:tplc="B2A03B54">
      <w:start w:val="1"/>
      <w:numFmt w:val="bullet"/>
      <w:lvlText w:val="●"/>
      <w:lvlJc w:val="left"/>
      <w:pPr>
        <w:ind w:left="5760" w:hanging="360"/>
      </w:pPr>
    </w:lvl>
    <w:lvl w:ilvl="8" w:tplc="8578D3AE">
      <w:start w:val="1"/>
      <w:numFmt w:val="bullet"/>
      <w:lvlText w:val="●"/>
      <w:lvlJc w:val="left"/>
      <w:pPr>
        <w:ind w:left="6480" w:hanging="360"/>
      </w:pPr>
    </w:lvl>
  </w:abstractNum>
  <w:num w:numId="1" w16cid:durableId="163062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791"/>
    <w:rsid w:val="00517609"/>
    <w:rsid w:val="00720791"/>
    <w:rsid w:val="00892135"/>
    <w:rsid w:val="00CF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69ED61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1107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Arrematante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