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BF7" w14:textId="77777777" w:rsidR="00720791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13DB0DEC" w14:textId="77777777" w:rsidR="00720791" w:rsidRDefault="00000000">
      <w:pPr>
        <w:spacing w:after="360"/>
        <w:jc w:val="center"/>
      </w:pPr>
      <w:r>
        <w:rPr>
          <w:i/>
          <w:iCs/>
        </w:rPr>
        <w:t>Assessoria jurídica a arrematante / investidor em leilão de imóvel</w:t>
      </w:r>
    </w:p>
    <w:p w14:paraId="55B1CC62" w14:textId="77777777" w:rsidR="00720791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20FAA78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4AFA2E1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50CE847C" w14:textId="77777777" w:rsidR="00720791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leilão {{</w:t>
      </w:r>
      <w:proofErr w:type="spellStart"/>
      <w:r>
        <w:t>tipo_leilao</w:t>
      </w:r>
      <w:proofErr w:type="spellEnd"/>
      <w:r>
        <w:t>}}, compreendendo: {{</w:t>
      </w:r>
      <w:proofErr w:type="spellStart"/>
      <w:r>
        <w:t>objeto_servico</w:t>
      </w:r>
      <w:proofErr w:type="spellEnd"/>
      <w:r>
        <w:t>}}.</w:t>
      </w:r>
    </w:p>
    <w:p w14:paraId="1DBD6549" w14:textId="77777777" w:rsidR="00720791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05E36C01" w14:textId="77777777" w:rsidR="00720791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00B3049C" w14:textId="77777777" w:rsidR="00720791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6EC48885" w14:textId="77777777" w:rsidR="00720791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04B64AD6" w14:textId="77777777" w:rsidR="00720791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60619DA0" w14:textId="77777777" w:rsidR="00720791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60619DA0" w14:textId="77777777" w:rsidR="00720791" w:rsidRDefault="00000000">
      <w:pPr>
        <w:spacing w:after="160" w:line="320" w:lineRule="auto"/>
        <w:jc w:val="both"/>
      </w:pPr>
      <w:r>
        <w:t>{{honorarios_variaveis}}</w:t>
      </w:r>
    </w:p>
    <w:p w14:paraId="7B7F6FD2" w14:textId="77777777" w:rsidR="00720791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2F1C8F1" w14:textId="77777777" w:rsidR="00720791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70B6B6EA" w14:textId="77777777" w:rsidR="00720791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2C942865" w14:textId="77777777" w:rsidR="00720791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4ADE680F" w14:textId="77777777" w:rsidR="00720791" w:rsidRDefault="00000000">
      <w:pPr>
        <w:spacing w:after="160" w:line="320" w:lineRule="auto"/>
        <w:jc w:val="both"/>
      </w:pPr>
      <w:r>
        <w:t>4.2. O preço da arrematação, a comissão do leiloeiro, tributos (como ITBI e IPTU), débitos condominiais e demais encargos do imóvel são de responsabilidade exclusiva do(a) CONTRATANTE e não se confundem com os honorários.</w:t>
      </w:r>
    </w:p>
    <w:p w14:paraId="514AD839" w14:textId="77777777" w:rsidR="00720791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3F55D534" w14:textId="77777777" w:rsidR="00720791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5AE10534" w14:textId="77777777" w:rsidR="00720791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05918984" w14:textId="77777777" w:rsidR="00720791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3B553677" w14:textId="77777777" w:rsidR="00720791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4F173ED5" w14:textId="77777777" w:rsidR="00720791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49D255C8" w14:textId="77777777" w:rsidR="00720791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2531C2C8" w14:textId="77777777" w:rsidR="00720791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010A466E" w14:textId="77777777" w:rsidR="00720791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023CA04A" w14:textId="77777777" w:rsidR="00720791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6ADDDE72" w14:textId="77777777" w:rsidR="00720791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5CAB9D27" w14:textId="77777777" w:rsidR="00720791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3EB8DBAD" w14:textId="77777777" w:rsidR="00720791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54D05503" w14:textId="77777777" w:rsidR="00720791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575A33C6" w14:textId="77777777" w:rsidR="00720791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3A810B0C" w14:textId="77777777" w:rsidR="00720791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03919637" w14:textId="77777777" w:rsidR="00720791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033C8112" w14:textId="77777777" w:rsidR="00720791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66997FBE" w14:textId="77777777" w:rsidR="00517609" w:rsidRDefault="00517609">
      <w:pPr>
        <w:keepNext/>
        <w:spacing w:before="240" w:after="600"/>
        <w:jc w:val="right"/>
      </w:pPr>
    </w:p>
    <w:p w14:paraId="43302EC9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2A7FA50C" w14:textId="77777777" w:rsidR="00720791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7DEB8789" w14:textId="77777777" w:rsidR="00720791" w:rsidRDefault="00000000">
      <w:pPr>
        <w:keepNext/>
        <w:spacing w:after="600"/>
        <w:jc w:val="center"/>
      </w:pPr>
      <w:r>
        <w:t>CONTRATANTE</w:t>
      </w:r>
    </w:p>
    <w:p w14:paraId="41112983" w14:textId="77777777" w:rsidR="00517609" w:rsidRDefault="00517609">
      <w:pPr>
        <w:keepNext/>
        <w:spacing w:after="600"/>
        <w:jc w:val="center"/>
      </w:pPr>
    </w:p>
    <w:p w14:paraId="4FBB8C3A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68FF77D7" w14:textId="77777777" w:rsidR="00720791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2BA56D17" w14:textId="77777777" w:rsidR="00720791" w:rsidRDefault="00000000">
      <w:pPr>
        <w:jc w:val="center"/>
      </w:pPr>
      <w:r>
        <w:t>Sociedade OAB/RS 15.656 – Dr. Fábio de Castro Emerim, OAB/RS 88.912 – CONTRATADA</w:t>
      </w:r>
    </w:p>
    <w:sectPr w:rsidR="0072079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5035" w14:textId="77777777" w:rsidR="00CF4E20" w:rsidRDefault="00CF4E20">
      <w:r>
        <w:separator/>
      </w:r>
    </w:p>
  </w:endnote>
  <w:endnote w:type="continuationSeparator" w:id="0">
    <w:p w14:paraId="09334C77" w14:textId="77777777" w:rsidR="00CF4E20" w:rsidRDefault="00CF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B7BC" w14:textId="77777777" w:rsidR="00720791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DE3E" w14:textId="77777777" w:rsidR="00CF4E20" w:rsidRDefault="00CF4E20">
      <w:r>
        <w:separator/>
      </w:r>
    </w:p>
  </w:footnote>
  <w:footnote w:type="continuationSeparator" w:id="0">
    <w:p w14:paraId="7D171507" w14:textId="77777777" w:rsidR="00CF4E20" w:rsidRDefault="00CF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5AB"/>
    <w:multiLevelType w:val="hybridMultilevel"/>
    <w:tmpl w:val="C6845F66"/>
    <w:lvl w:ilvl="0" w:tplc="5D424090">
      <w:start w:val="1"/>
      <w:numFmt w:val="bullet"/>
      <w:lvlText w:val="●"/>
      <w:lvlJc w:val="left"/>
      <w:pPr>
        <w:ind w:left="720" w:hanging="360"/>
      </w:pPr>
    </w:lvl>
    <w:lvl w:ilvl="1" w:tplc="34E0C9FA">
      <w:start w:val="1"/>
      <w:numFmt w:val="bullet"/>
      <w:lvlText w:val="○"/>
      <w:lvlJc w:val="left"/>
      <w:pPr>
        <w:ind w:left="1440" w:hanging="360"/>
      </w:pPr>
    </w:lvl>
    <w:lvl w:ilvl="2" w:tplc="397CCEF8">
      <w:start w:val="1"/>
      <w:numFmt w:val="bullet"/>
      <w:lvlText w:val="■"/>
      <w:lvlJc w:val="left"/>
      <w:pPr>
        <w:ind w:left="2160" w:hanging="360"/>
      </w:pPr>
    </w:lvl>
    <w:lvl w:ilvl="3" w:tplc="BBFA11CE">
      <w:start w:val="1"/>
      <w:numFmt w:val="bullet"/>
      <w:lvlText w:val="●"/>
      <w:lvlJc w:val="left"/>
      <w:pPr>
        <w:ind w:left="2880" w:hanging="360"/>
      </w:pPr>
    </w:lvl>
    <w:lvl w:ilvl="4" w:tplc="4CD882F8">
      <w:start w:val="1"/>
      <w:numFmt w:val="bullet"/>
      <w:lvlText w:val="○"/>
      <w:lvlJc w:val="left"/>
      <w:pPr>
        <w:ind w:left="3600" w:hanging="360"/>
      </w:pPr>
    </w:lvl>
    <w:lvl w:ilvl="5" w:tplc="F202E4DE">
      <w:start w:val="1"/>
      <w:numFmt w:val="bullet"/>
      <w:lvlText w:val="■"/>
      <w:lvlJc w:val="left"/>
      <w:pPr>
        <w:ind w:left="4320" w:hanging="360"/>
      </w:pPr>
    </w:lvl>
    <w:lvl w:ilvl="6" w:tplc="B652F370">
      <w:start w:val="1"/>
      <w:numFmt w:val="bullet"/>
      <w:lvlText w:val="●"/>
      <w:lvlJc w:val="left"/>
      <w:pPr>
        <w:ind w:left="5040" w:hanging="360"/>
      </w:pPr>
    </w:lvl>
    <w:lvl w:ilvl="7" w:tplc="B2A03B54">
      <w:start w:val="1"/>
      <w:numFmt w:val="bullet"/>
      <w:lvlText w:val="●"/>
      <w:lvlJc w:val="left"/>
      <w:pPr>
        <w:ind w:left="5760" w:hanging="360"/>
      </w:pPr>
    </w:lvl>
    <w:lvl w:ilvl="8" w:tplc="8578D3AE">
      <w:start w:val="1"/>
      <w:numFmt w:val="bullet"/>
      <w:lvlText w:val="●"/>
      <w:lvlJc w:val="left"/>
      <w:pPr>
        <w:ind w:left="6480" w:hanging="360"/>
      </w:pPr>
    </w:lvl>
  </w:abstractNum>
  <w:num w:numId="1" w16cid:durableId="163062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91"/>
    <w:rsid w:val="00517609"/>
    <w:rsid w:val="00720791"/>
    <w:rsid w:val="00892135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9ED61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Arrematante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