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Diego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hombre que en el mundo posmoderno que habitamos, a través de su palabra intenta llevar el carácter de quien le escucha hacia una orientación productiva en favor de la vida; haciendo que su espectador permanezca anclado a la realidad, a una realidad que es integral, que incluye el inconsciente y se orienta hacia lo humanamente posible (en lugar de lo técnicamente posible), o como él diría: una “resignificación”.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Además de los anterior un amantes de las motos y las carreteras en definitiva un rebelde con causa.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88</Words>
  <Characters>436</Characters>
  <CharactersWithSpaces>521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2019-01-17T17:57:05Z</dcterms:created>
  <dc:creator/>
  <dc:description/>
  <dc:language>en-US</dc:language>
  <cp:lastModifiedBy/>
  <dcterms:modified xsi:type="dcterms:W3CDTF">2019-01-17T17:58:40Z</dcterms:modified>
  <cp:revision>1</cp:revision>
  <dc:subject/>
  <dc:title/>
</cp:coreProperties>
</file>