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Группа «Доклиника»: экспертиза модели, безопасность и эффективность</w:t>
      </w:r>
    </w:p>
    <w:p>
      <w:pPr/>
      <w:r>
        <w:t xml:space="preserve">Oct 28, 2026</w:t>
      </w:r>
    </w:p>
    <w:p>
      <w:pPr>
        <w:pStyle w:val="Heading2"/>
      </w:pPr>
      <w:r>
        <w:t xml:space="preserve">Краткое содержание</w:t>
      </w:r>
    </w:p>
    <w:p>
      <w:pPr/>
      <w:r>
        <w:t xml:space="preserve">Заключение доклиники: модель «Учёных» выбрана в целом верно и годится для доклинического этапа, но только после пяти исправлений. Без них эксперимент даст либо ложный успех, либо ничего не докажет из-за малой выборки.</w:t>
      </w:r>
    </w:p>
    <w:p>
      <w:pPr/>
      <w:r>
        <w:t xml:space="preserve">Объект оценки — аутологичный культивированный лимбальный эпителий (CLET) при лимбальной стволовоклеточной недостаточности (ЛСКН) после химического ожога. Его готовили «Учёные». Задачи доклиники по заданию: проверить адекватность модели, прописать исследования безопасности, затем исследования эффективности.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07"/>
        <w:gridCol w:w="5752"/>
      </w:tblGrid>
      <w:tr>
        <w:trPr>
          <w:tblHeader/>
        </w:trPr>
        <w:tc>
          <w:tcPr>
            <w:tcW w:w="3607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5752" w:type="dxa"/>
            <w:shd w:val="clear" w:color="auto" w:fill="F2F2F2"/>
          </w:tcPr>
          <w:p>
            <w:pPr/>
            <w:r>
              <w:t xml:space="preserve">Вывод доклиники</w:t>
            </w:r>
          </w:p>
        </w:tc>
      </w:tr>
      <w:tr>
        <w:tc>
          <w:tcPr>
            <w:tcW w:w="3607" w:type="dxa"/>
          </w:tcPr>
          <w:p>
            <w:pPr/>
            <w:r>
              <w:t xml:space="preserve">Вид животного</w:t>
            </w:r>
          </w:p>
        </w:tc>
        <w:tc>
          <w:tcPr>
            <w:tcW w:w="5752" w:type="dxa"/>
          </w:tcPr>
          <w:p>
            <w:pPr/>
            <w:r>
              <w:t xml:space="preserve">Кролик — принимаем. Грызуны не подходят: роговица мелкая, пласт не уложить</w:t>
            </w:r>
          </w:p>
        </w:tc>
      </w:tr>
      <w:tr>
        <w:tc>
          <w:tcPr>
            <w:tcW w:w="3607" w:type="dxa"/>
          </w:tcPr>
          <w:p>
            <w:pPr/>
            <w:r>
              <w:t xml:space="preserve">Модель повреждения</w:t>
            </w:r>
          </w:p>
        </w:tc>
        <w:tc>
          <w:tcPr>
            <w:tcW w:w="5752" w:type="dxa"/>
          </w:tcPr>
          <w:p>
            <w:pPr/>
            <w:r>
              <w:t xml:space="preserve">Лимбэктомия + щелочной ожог — принимаем, но лимб удалять на 360°, а не наполовину: иначе возможно самовосстановление</w:t>
            </w:r>
          </w:p>
        </w:tc>
      </w:tr>
      <w:tr>
        <w:tc>
          <w:tcPr>
            <w:tcW w:w="3607" w:type="dxa"/>
          </w:tcPr>
          <w:p>
            <w:pPr/>
            <w:r>
              <w:t xml:space="preserve">Верификация ЛСКН</w:t>
            </w:r>
          </w:p>
        </w:tc>
        <w:tc>
          <w:tcPr>
            <w:tcW w:w="5752" w:type="dxa"/>
          </w:tcPr>
          <w:p>
            <w:pPr/>
            <w:r>
              <w:t xml:space="preserve">Принимаем идею, переносим срок с 21-х на 42-е сутки: на 14-й день после ожога ещё острая фаза</w:t>
            </w:r>
          </w:p>
        </w:tc>
      </w:tr>
      <w:tr>
        <w:tc>
          <w:tcPr>
            <w:tcW w:w="3607" w:type="dxa"/>
          </w:tcPr>
          <w:p>
            <w:pPr/>
            <w:r>
              <w:t xml:space="preserve">Численность групп</w:t>
            </w:r>
          </w:p>
        </w:tc>
        <w:tc>
          <w:tcPr>
            <w:tcW w:w="5752" w:type="dxa"/>
          </w:tcPr>
          <w:p>
            <w:pPr/>
            <w:r>
              <w:t xml:space="preserve">Не принимаем 8/6/6. Мощность сравнения с обеднённой группой около 25%. Нужно не менее 12 на группу</w:t>
            </w:r>
          </w:p>
        </w:tc>
      </w:tr>
      <w:tr>
        <w:tc>
          <w:tcPr>
            <w:tcW w:w="3607" w:type="dxa"/>
          </w:tcPr>
          <w:p>
            <w:pPr/>
            <w:r>
              <w:t xml:space="preserve">Маркёр CK19</w:t>
            </w:r>
          </w:p>
        </w:tc>
        <w:tc>
          <w:tcPr>
            <w:tcW w:w="5752" w:type="dxa"/>
          </w:tcPr>
          <w:p>
            <w:pPr/>
            <w:r>
              <w:t xml:space="preserve">Ошибка: в одном разделе он маркёр стволовых клеток, в другом — признак примеси конъюнктивы. Заменить на CK13 и MUC5AC</w:t>
            </w:r>
          </w:p>
        </w:tc>
      </w:tr>
      <w:tr>
        <w:tc>
          <w:tcPr>
            <w:tcW w:w="3607" w:type="dxa"/>
          </w:tcPr>
          <w:p>
            <w:pPr/>
            <w:r>
              <w:t xml:space="preserve">Порог 3% и Holoclar 3,5%</w:t>
            </w:r>
          </w:p>
        </w:tc>
        <w:tc>
          <w:tcPr>
            <w:tcW w:w="5752" w:type="dxa"/>
          </w:tcPr>
          <w:p>
            <w:pPr/>
            <w:r>
              <w:t xml:space="preserve">Сравнение некорректно: у этих цифр разные знаменатели</w:t>
            </w:r>
          </w:p>
        </w:tc>
      </w:tr>
      <w:tr>
        <w:tc>
          <w:tcPr>
            <w:tcW w:w="3607" w:type="dxa"/>
          </w:tcPr>
          <w:p>
            <w:pPr/>
            <w:r>
              <w:t xml:space="preserve">Безопасность</w:t>
            </w:r>
          </w:p>
        </w:tc>
        <w:tc>
          <w:tcPr>
            <w:tcW w:w="5752" w:type="dxa"/>
          </w:tcPr>
          <w:p>
            <w:pPr/>
            <w:r>
              <w:t xml:space="preserve">У «Учёных» почти не прописана. Предлагаем пакет из 4 блоков: качество in vitro, туморогенность, местная переносимость, донорский глаз</w:t>
            </w:r>
          </w:p>
        </w:tc>
      </w:tr>
      <w:tr>
        <w:tc>
          <w:tcPr>
            <w:tcW w:w="3607" w:type="dxa"/>
          </w:tcPr>
          <w:p>
            <w:pPr/>
            <w:r>
              <w:t xml:space="preserve">Эффективность</w:t>
            </w:r>
          </w:p>
        </w:tc>
        <w:tc>
          <w:tcPr>
            <w:tcW w:w="5752" w:type="dxa"/>
          </w:tcPr>
          <w:p>
            <w:pPr/>
            <w:r>
              <w:t xml:space="preserve">Модель «Учёных» + рандомизация, слепая оценка, расчёт мощности, отсроченная группа на 180 суток</w:t>
            </w:r>
          </w:p>
        </w:tc>
      </w:tr>
      <w:tr>
        <w:tc>
          <w:tcPr>
            <w:tcW w:w="3607" w:type="dxa"/>
          </w:tcPr>
          <w:p>
            <w:pPr/>
            <w:r>
              <w:t xml:space="preserve">Переход к «Клинике»</w:t>
            </w:r>
          </w:p>
        </w:tc>
        <w:tc>
          <w:tcPr>
            <w:tcW w:w="5752" w:type="dxa"/>
          </w:tcPr>
          <w:p>
            <w:pPr/>
            <w:r>
              <w:t xml:space="preserve">Возможен после выполнения программы. Классические исследования токсичности (репродуктивная, генотоксичность) не нужны, отказ обоснован</w:t>
            </w:r>
          </w:p>
        </w:tc>
      </w:tr>
    </w:tbl>
    <w:p>
      <w:pPr/>
      <w:r>
        <w:t xml:space="preserve">Ключевая фраза для доклада: «Центральный ожог роговицы не моделирует ЛСКН — нужен ожог лимба и доказанная конъюнктивализация до лечения».</w:t>
      </w:r>
    </w:p>
    <w:p>
      <w:pPr>
        <w:pStyle w:val="Heading2"/>
      </w:pPr>
      <w:r>
        <w:t xml:space="preserve">1. Задачи группы и нормативная опора</w:t>
      </w:r>
    </w:p>
    <w:p>
      <w:pPr/>
      <w:r>
        <w:t xml:space="preserve">Доклиника отвечает на один вопрос: можно ли безопасно переходить к человеку. По заданию преподавателя у группы три задачи, и порядок их фиксирован.</w:t>
      </w:r>
    </w:p>
    <w:p>
      <w:pPr>
        <w:pStyle w:val="ListParagraph"/>
        <w:numPr>
          <w:ilvl w:val="0"/>
          <w:numId w:val="2"/>
        </w:numPr>
      </w:pPr>
      <w:r>
        <w:t xml:space="preserve">Оценить цели, задачи и модель «Учёных»: воспроизводит ли она именно ту патологию, которую лечим. Пример из лекции: у крыс нет рвотного рефлекса, поэтому на них не изучают противорвотные средства.</w:t>
      </w:r>
    </w:p>
    <w:p>
      <w:pPr>
        <w:pStyle w:val="ListParagraph"/>
        <w:numPr>
          <w:ilvl w:val="0"/>
          <w:numId w:val="2"/>
        </w:numPr>
      </w:pPr>
      <w:r>
        <w:t xml:space="preserve">Прописать эксперименты, подтверждающие безопасность введения клеток. Безопасность проверяется первой.</w:t>
      </w:r>
    </w:p>
    <w:p>
      <w:pPr>
        <w:pStyle w:val="ListParagraph"/>
        <w:numPr>
          <w:ilvl w:val="0"/>
          <w:numId w:val="2"/>
        </w:numPr>
      </w:pPr>
      <w:r>
        <w:t xml:space="preserve">Прописать эксперименты, подтверждающие эффективность.</w:t>
      </w:r>
    </w:p>
    <w:p>
      <w:pPr/>
      <w:r>
        <w:t xml:space="preserve">Слово «эксперимент» в этом документе относится только к животным и культурам клеток. Применительно к людям — исследование и наблюдение.</w:t>
      </w:r>
    </w:p>
    <w:p>
      <w:pPr>
        <w:pStyle w:val="Heading3"/>
      </w:pPr>
      <w:r>
        <w:t xml:space="preserve">На что опирается доклиника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Документ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Что из него берём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Руководство по проведению доклинических исследований лекарственных средств, часть 1, под ред. А. Н. Миронова (2012)</w:t>
            </w:r>
          </w:p>
        </w:tc>
        <w:tc>
          <w:tcPr>
            <w:tcW w:w="4920" w:type="dxa"/>
          </w:tcPr>
          <w:p>
            <w:pPr/>
            <w:r>
              <w:t xml:space="preserve">Общие принципы: выбор вида, контрольные группы, рандомизация, местнораздражающее действие, статистика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ТКП 125-2008 «Надлежащая лабораторная практика», постановление Минздрава РБ № 56 от 28.03.2008</w:t>
            </w:r>
          </w:p>
        </w:tc>
        <w:tc>
          <w:tcPr>
            <w:tcW w:w="4920" w:type="dxa"/>
          </w:tcPr>
          <w:p>
            <w:pPr/>
            <w:r>
              <w:t xml:space="preserve">Исследования безопасности ведутся по GLP: протокол, СОП, независимый контроль качества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ТКП, утверждённые постановлением Минздрава РБ № 107 от 15.12.2017</w:t>
            </w:r>
          </w:p>
        </w:tc>
        <w:tc>
          <w:tcPr>
            <w:tcW w:w="4920" w:type="dxa"/>
          </w:tcPr>
          <w:p>
            <w:pPr/>
            <w:r>
              <w:t xml:space="preserve">Требования к доклинике клеточных продуктов. Отдельного ТКП для тканеинженерного эпителия там нет, поэтому применяем их по аналогии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EMA. Guideline on human cell-based medicinal products, EMEA/CHMP/410869/2006</w:t>
            </w:r>
          </w:p>
        </w:tc>
        <w:tc>
          <w:tcPr>
            <w:tcW w:w="4920" w:type="dxa"/>
          </w:tcPr>
          <w:p>
            <w:pPr/>
            <w:r>
              <w:t xml:space="preserve">Перечень доклинических данных для клеточных продуктов: доказательство концепции, биораспределение, туморогенность, допустимость аналогичного (животного) продукта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EMA. Guideline on the risk-based approach for ATMPs, EMA/CAT/CPWP/686637/2011</w:t>
            </w:r>
          </w:p>
        </w:tc>
        <w:tc>
          <w:tcPr>
            <w:tcW w:w="4920" w:type="dxa"/>
          </w:tcPr>
          <w:p>
            <w:pPr/>
            <w:r>
              <w:t xml:space="preserve">Объём доклиники определяется рисками продукта, а не стандартным набором тестов. Это обоснование отказа от части исследований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EMA. Guideline on quality, non-clinical and clinical requirements for investigational ATMPs in clinical trials, EMA/CAT/123573/2024 (в силе с 01.07.2025)</w:t>
            </w:r>
          </w:p>
        </w:tc>
        <w:tc>
          <w:tcPr>
            <w:tcW w:w="4920" w:type="dxa"/>
          </w:tcPr>
          <w:p>
            <w:pPr/>
            <w:r>
              <w:t xml:space="preserve">Актуальные требования к данным перед первым применением у человека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Директива 2010/63/EU и ARRIVE 2.0 (Percie du Sert, 2020)</w:t>
            </w:r>
          </w:p>
        </w:tc>
        <w:tc>
          <w:tcPr>
            <w:tcW w:w="4920" w:type="dxa"/>
          </w:tcPr>
          <w:p>
            <w:pPr/>
            <w:r>
              <w:t xml:space="preserve">Этика работы с животными и правила описания эксперимента: рандомизация, слепая оценка, расчёт выборки, учёт выбывших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SmPC Holoclar, раздел 5.3</w:t>
            </w:r>
          </w:p>
        </w:tc>
        <w:tc>
          <w:tcPr>
            <w:tcW w:w="4920" w:type="dxa"/>
          </w:tcPr>
          <w:p>
            <w:pPr/>
            <w:r>
              <w:t xml:space="preserve">Реальный объём доклиники зарегистрированного аналога</w:t>
            </w:r>
          </w:p>
        </w:tc>
      </w:tr>
    </w:tbl>
    <w:p>
      <w:pPr/>
      <w:r>
        <w:t xml:space="preserve">Главный принцип для клеточных продуктов — риск-ориентированный подход. Стандартный «лекарственный» набор (фармакокинетика, хроническая токсичность, репродуктивная токсичность) к аутологичному пласту клеток неприменим. Вместо него мы перечисляем риски продукта и под каждый назначаем исследование (раздел 5).</w:t>
      </w:r>
    </w:p>
    <w:p>
      <w:pPr>
        <w:pStyle w:val="Heading2"/>
      </w:pPr>
      <w:r>
        <w:t xml:space="preserve">2. Работа «Учёных»: что сделано хорошо</w:t>
      </w:r>
    </w:p>
    <w:p>
      <w:pPr/>
      <w:r>
        <w:t xml:space="preserve">Научная логика работы сильная: цель достижима, гипотезу можно опровергнуть, модель выбрана с разбором альтернатив. Это нужно признать в докладе до критики: мы работаем с «Учёными» вместе, а не против них.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Что сделано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Почему это правильно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Отвергнута модель центрального ожога роговицы (CAB)</w:t>
            </w:r>
          </w:p>
        </w:tc>
        <w:tc>
          <w:tcPr>
            <w:tcW w:w="4920" w:type="dxa"/>
          </w:tcPr>
          <w:p>
            <w:pPr/>
            <w:r>
              <w:t xml:space="preserve">При CAB лимб цел, животное выздоравливает само. Обзор </w:t>
            </w:r>
            <w:hyperlink r:id="rId3" w:history="1">
              <w:r>
                <w:rPr>
                  <w:rStyle w:val="Hyperlink"/>
                </w:rPr>
                <w:t xml:space="preserve">Sprogyte 2023</w:t>
              </w:r>
            </w:hyperlink>
            <w:r>
              <w:t xml:space="preserve"> прямо предупреждает: данные CAB нельзя переносить на лимбальный ожог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Выбрана комбинация «лимбэктомия + щелочь»</w:t>
            </w:r>
          </w:p>
        </w:tc>
        <w:tc>
          <w:tcPr>
            <w:tcW w:w="4920" w:type="dxa"/>
          </w:tcPr>
          <w:p>
            <w:pPr/>
            <w:r>
              <w:t xml:space="preserve">Механическое удаление задаёт одинаковый объём потери, щелочь добавляет химический компонент. Протокол взят из опубликованной работы </w:t>
            </w:r>
            <w:hyperlink r:id="rId4" w:history="1">
              <w:r>
                <w:rPr>
                  <w:rStyle w:val="Hyperlink"/>
                </w:rPr>
                <w:t xml:space="preserve">Yu 2024</w:t>
              </w:r>
            </w:hyperlink>
          </w:p>
        </w:tc>
      </w:tr>
      <w:tr>
        <w:tc>
          <w:tcPr>
            <w:tcW w:w="4440" w:type="dxa"/>
          </w:tcPr>
          <w:p>
            <w:pPr/>
            <w:r>
              <w:t xml:space="preserve">Кролик вместо грызунов</w:t>
            </w:r>
          </w:p>
        </w:tc>
        <w:tc>
          <w:tcPr>
            <w:tcW w:w="4920" w:type="dxa"/>
          </w:tcPr>
          <w:p>
            <w:pPr/>
            <w:r>
              <w:t xml:space="preserve">На роговицу крысы или мыши нельзя уложить пласт и провести ту же операцию, что у человека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Обязательная верификация ЛСКН до лечения и исключение животных без неё</w:t>
            </w:r>
          </w:p>
        </w:tc>
        <w:tc>
          <w:tcPr>
            <w:tcW w:w="4920" w:type="dxa"/>
          </w:tcPr>
          <w:p>
            <w:pPr/>
            <w:r>
              <w:t xml:space="preserve">Именно это рекомендует Sprogyte 2023: подтверждать ЛСКН маркёрами, а не предполагать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Группа носителя (фибрин без клеток)</w:t>
            </w:r>
          </w:p>
        </w:tc>
        <w:tc>
          <w:tcPr>
            <w:tcW w:w="4920" w:type="dxa"/>
          </w:tcPr>
          <w:p>
            <w:pPr/>
            <w:r>
              <w:t xml:space="preserve">Отделяет эффект клеток от эффекта операции и иссечения паннуса. У Yu 2024 такой группы не было, контроль получал только капли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Группа с обеднённым по стволовым клеткам пластом</w:t>
            </w:r>
          </w:p>
        </w:tc>
        <w:tc>
          <w:tcPr>
            <w:tcW w:w="4920" w:type="dxa"/>
          </w:tcPr>
          <w:p>
            <w:pPr/>
            <w:r>
              <w:t xml:space="preserve">Проверяет не только факт эффекта, но и механизм. Воспроизводит данные </w:t>
            </w:r>
            <w:hyperlink r:id="rId5" w:history="1">
              <w:r>
                <w:rPr>
                  <w:rStyle w:val="Hyperlink"/>
                </w:rPr>
                <w:t xml:space="preserve">Rama 2010</w:t>
              </w:r>
            </w:hyperlink>
            <w:r>
              <w:t xml:space="preserve"> в контролируемых условиях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Распределение по группам после верификации модели</w:t>
            </w:r>
          </w:p>
        </w:tc>
        <w:tc>
          <w:tcPr>
            <w:tcW w:w="4920" w:type="dxa"/>
          </w:tcPr>
          <w:p>
            <w:pPr/>
            <w:r>
              <w:t xml:space="preserve">Животные без ЛСКН не попадут в анализ и не завысят эффект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Маскирование оценщика и ИГХ как арбитр</w:t>
            </w:r>
          </w:p>
        </w:tc>
        <w:tc>
          <w:tcPr>
            <w:tcW w:w="4920" w:type="dxa"/>
          </w:tcPr>
          <w:p>
            <w:pPr/>
            <w:r>
              <w:t xml:space="preserve">Снимает субъективность полуколичественных шкал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Оценка донорского глаза</w:t>
            </w:r>
          </w:p>
        </w:tc>
        <w:tc>
          <w:tcPr>
            <w:tcW w:w="4920" w:type="dxa"/>
          </w:tcPr>
          <w:p>
            <w:pPr/>
            <w:r>
              <w:t xml:space="preserve">Для аутологичной терапии это обязательный пункт безопасности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Критерии успеха заданы до получения данных</w:t>
            </w:r>
          </w:p>
        </w:tc>
        <w:tc>
          <w:tcPr>
            <w:tcW w:w="4920" w:type="dxa"/>
          </w:tcPr>
          <w:p>
            <w:pPr/>
            <w:r>
              <w:t xml:space="preserve">Результат нельзя подогнать после опыта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Доза привязана к площади, а не к массе тела</w:t>
            </w:r>
          </w:p>
        </w:tc>
        <w:tc>
          <w:tcPr>
            <w:tcW w:w="4920" w:type="dxa"/>
          </w:tcPr>
          <w:p>
            <w:pPr/>
            <w:r>
              <w:t xml:space="preserve">Верно для местного заместительного продукта. Диапазон 79 000–316 000 клеток/см² совпадает со </w:t>
            </w:r>
            <w:hyperlink r:id="rId6" w:history="1">
              <w:r>
                <w:rPr>
                  <w:rStyle w:val="Hyperlink"/>
                </w:rPr>
                <w:t xml:space="preserve">SmPC Holoclar</w:t>
              </w:r>
            </w:hyperlink>
          </w:p>
        </w:tc>
      </w:tr>
      <w:tr>
        <w:tc>
          <w:tcPr>
            <w:tcW w:w="4440" w:type="dxa"/>
          </w:tcPr>
          <w:p>
            <w:pPr/>
            <w:r>
              <w:t xml:space="preserve">Ограничения названы сами</w:t>
            </w:r>
          </w:p>
        </w:tc>
        <w:tc>
          <w:tcPr>
            <w:tcW w:w="4920" w:type="dxa"/>
          </w:tcPr>
          <w:p>
            <w:pPr/>
            <w:r>
              <w:t xml:space="preserve">Отсутствие расчёта мощности и короткий срок наблюдения признаны авторами</w:t>
            </w:r>
          </w:p>
        </w:tc>
      </w:tr>
    </w:tbl>
    <w:p>
      <w:pPr>
        <w:pStyle w:val="Heading2"/>
      </w:pPr>
      <w:r>
        <w:t xml:space="preserve">3. Работа «Учёных»: недостатки и исправления</w:t>
      </w:r>
    </w:p>
    <w:p>
      <w:pPr/>
      <w:r>
        <w:t xml:space="preserve">Найдено 12 замечаний. Пять из них критичные: без исправления эксперимент не докажет заявленное. Остальные существенные или редакционные.</w:t>
      </w:r>
    </w:p>
    <w:p>
      <w:pPr>
        <w:pStyle w:val="Heading3"/>
      </w:pPr>
      <w:r>
        <w:t xml:space="preserve">Критичные замечания</w:t>
      </w:r>
    </w:p>
    <w:p>
      <w:pPr/>
      <w:r>
        <w:rPr>
          <w:b/>
        </w:rPr>
        <w:t xml:space="preserve">1. Выборка слишком мала для главного сравнения.</w:t>
      </w:r>
      <w:r>
        <w:t xml:space="preserve"> «Учёные» взяли 8/6/6 животных «по аналогии с литературой». Но в источнике протокола (Yu 2024) было по 5 кроликов в группе, и статистические тесты там вообще не применялись. Мы посчитали мощность точного теста Фишера (α = 0,05) для их дизайна: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02"/>
        <w:gridCol w:w="2181"/>
        <w:gridCol w:w="1438"/>
        <w:gridCol w:w="1438"/>
      </w:tblGrid>
      <w:tr>
        <w:trPr>
          <w:tblHeader/>
        </w:trPr>
        <w:tc>
          <w:tcPr>
            <w:tcW w:w="4302" w:type="dxa"/>
            <w:shd w:val="clear" w:color="auto" w:fill="F2F2F2"/>
          </w:tcPr>
          <w:p>
            <w:pPr/>
            <w:r>
              <w:t xml:space="preserve">Сравнение</w:t>
            </w:r>
          </w:p>
        </w:tc>
        <w:tc>
          <w:tcPr>
            <w:tcW w:w="2181" w:type="dxa"/>
            <w:shd w:val="clear" w:color="auto" w:fill="F2F2F2"/>
          </w:tcPr>
          <w:p>
            <w:pPr/>
            <w:r>
              <w:t xml:space="preserve">Ожидаемый успех</w:t>
            </w:r>
          </w:p>
        </w:tc>
        <w:tc>
          <w:tcPr>
            <w:tcW w:w="1438" w:type="dxa"/>
            <w:shd w:val="clear" w:color="auto" w:fill="F2F2F2"/>
          </w:tcPr>
          <w:p>
            <w:pPr/>
            <w:r>
              <w:t xml:space="preserve">Мощность при 8 и 6</w:t>
            </w:r>
          </w:p>
        </w:tc>
        <w:tc>
          <w:tcPr>
            <w:tcW w:w="1438" w:type="dxa"/>
            <w:shd w:val="clear" w:color="auto" w:fill="F2F2F2"/>
          </w:tcPr>
          <w:p>
            <w:pPr/>
            <w:r>
              <w:t xml:space="preserve">Мощность при 12 и 12</w:t>
            </w:r>
          </w:p>
        </w:tc>
      </w:tr>
      <w:tr>
        <w:tc>
          <w:tcPr>
            <w:tcW w:w="4302" w:type="dxa"/>
          </w:tcPr>
          <w:p>
            <w:pPr/>
            <w:r>
              <w:t xml:space="preserve">Опыт против носителя</w:t>
            </w:r>
          </w:p>
        </w:tc>
        <w:tc>
          <w:tcPr>
            <w:tcW w:w="2181" w:type="dxa"/>
          </w:tcPr>
          <w:p>
            <w:pPr/>
            <w:r>
              <w:t xml:space="preserve">75% против 5%</w:t>
            </w:r>
          </w:p>
        </w:tc>
        <w:tc>
          <w:tcPr>
            <w:tcW w:w="1438" w:type="dxa"/>
          </w:tcPr>
          <w:p>
            <w:pPr/>
            <w:r>
              <w:t xml:space="preserve">74%</w:t>
            </w:r>
          </w:p>
        </w:tc>
        <w:tc>
          <w:tcPr>
            <w:tcW w:w="1438" w:type="dxa"/>
          </w:tcPr>
          <w:p>
            <w:pPr/>
            <w:r>
              <w:t xml:space="preserve">96%</w:t>
            </w:r>
          </w:p>
        </w:tc>
      </w:tr>
      <w:tr>
        <w:tc>
          <w:tcPr>
            <w:tcW w:w="4302" w:type="dxa"/>
          </w:tcPr>
          <w:p>
            <w:pPr/>
            <w:r>
              <w:t xml:space="preserve">Опыт против обеднённой, как у Rama 2010</w:t>
            </w:r>
          </w:p>
        </w:tc>
        <w:tc>
          <w:tcPr>
            <w:tcW w:w="2181" w:type="dxa"/>
          </w:tcPr>
          <w:p>
            <w:pPr/>
            <w:r>
              <w:t xml:space="preserve">78% против 11%</w:t>
            </w:r>
          </w:p>
        </w:tc>
        <w:tc>
          <w:tcPr>
            <w:tcW w:w="1438" w:type="dxa"/>
          </w:tcPr>
          <w:p>
            <w:pPr/>
            <w:r>
              <w:t xml:space="preserve">64%</w:t>
            </w:r>
          </w:p>
        </w:tc>
        <w:tc>
          <w:tcPr>
            <w:tcW w:w="1438" w:type="dxa"/>
          </w:tcPr>
          <w:p>
            <w:pPr/>
            <w:r>
              <w:t xml:space="preserve">92%</w:t>
            </w:r>
          </w:p>
        </w:tc>
      </w:tr>
      <w:tr>
        <w:tc>
          <w:tcPr>
            <w:tcW w:w="4302" w:type="dxa"/>
          </w:tcPr>
          <w:p>
            <w:pPr/>
            <w:r>
              <w:t xml:space="preserve">Опыт против обеднённой, если эффект «промежуточный»</w:t>
            </w:r>
          </w:p>
        </w:tc>
        <w:tc>
          <w:tcPr>
            <w:tcW w:w="2181" w:type="dxa"/>
          </w:tcPr>
          <w:p>
            <w:pPr/>
            <w:r>
              <w:t xml:space="preserve">75% против 30%</w:t>
            </w:r>
          </w:p>
        </w:tc>
        <w:tc>
          <w:tcPr>
            <w:tcW w:w="1438" w:type="dxa"/>
          </w:tcPr>
          <w:p>
            <w:pPr/>
            <w:r>
              <w:t xml:space="preserve">25%</w:t>
            </w:r>
          </w:p>
        </w:tc>
        <w:tc>
          <w:tcPr>
            <w:tcW w:w="1438" w:type="dxa"/>
          </w:tcPr>
          <w:p>
            <w:pPr/>
            <w:r>
              <w:t xml:space="preserve">50%</w:t>
            </w:r>
          </w:p>
        </w:tc>
      </w:tr>
    </w:tbl>
    <w:p>
      <w:pPr/>
      <w:r>
        <w:t xml:space="preserve">Принятый минимум мощности — 80%. С 8 и 6 животными даже результат «6 из 8 против 1 из 6» даёт p = 0,10, то есть «различий нет». Именно на этом сравнении стоит вся гипотеза о механизме.</w:t>
      </w:r>
    </w:p>
    <w:p>
      <w:pPr/>
      <w:r>
        <w:t xml:space="preserve">Исправление: 12 животных в каждой группе плюс запас 15% на выбывание, то есть 14. Долю p63-bright измерять в каждом пласте и анализировать связь «доля — исход» логистической регрессией по всем животным. Это сильнее сравнения двух групп.</w:t>
      </w:r>
    </w:p>
    <w:p>
      <w:pPr/>
      <w:r>
        <w:rPr>
          <w:b/>
        </w:rPr>
        <w:t xml:space="preserve">2. Удаление половины лимба даёт частичную ЛСКН.</w:t>
      </w:r>
      <w:r>
        <w:t xml:space="preserve"> Вторая половина лимба сохраняет стволовые клетки и может частично закрыть дефект. В обзоре Sprogyte 2023 описано: у части кроликов с лимбальным ожогом через 5–9 месяцев сама восстанавливалась экспрессия K3. Это та самая «мнимая эффективность», о которой предупреждали сами «Учёные». Исправление: лимбэктомия 360° и щелочной ожог всего лимба, то есть тотальная ЛСКН. Именно такая нужна по показанию: неоваскуляризация минимум в двух квадрантах с вовлечением центра.</w:t>
      </w:r>
    </w:p>
    <w:p>
      <w:pPr/>
      <w:r>
        <w:rPr>
          <w:b/>
        </w:rPr>
        <w:t xml:space="preserve">3. Верификация ЛСКН слишком ранняя.</w:t>
      </w:r>
      <w:r>
        <w:t xml:space="preserve"> В плане она на 21-е сутки, то есть через 14 дней после ожога. Это ранняя репаративная фаза (8–21 сутки по МакКалли), исход ещё не определён. У человека CLET делают в хронической фазе. У Yu 2024 группы формировали через месяц после моделирования. Исправление: повторная, решающая верификация на 42-е сутки, непосредственно перед рандомизацией. На 21-е сутки остаётся только биопсия для культивирования.</w:t>
      </w:r>
    </w:p>
    <w:p>
      <w:pPr/>
      <w:r>
        <w:rPr>
          <w:b/>
        </w:rPr>
        <w:t xml:space="preserve">4. Противоречие с маркёром CK19.</w:t>
      </w:r>
      <w:r>
        <w:t xml:space="preserve"> В разделе 3 «Учёных» CK19 назван положительным маркёром лимбальных стволовых клеток. В разделах 7 и 10 требование «CK19−» стоит как доказательство отсутствия конъюнктивы. Оба утверждения сразу верными быть не могут: качественный пласт со стволовыми клетками не пройдёт критерий выпуска. CK19 экспрессируется и в базальном слое лимба, и в конъюнктиве, поэтому он не различает их. Исправление: примесь конъюнктивы оценивать по CK13 и MUC5AC (или PAS-положительным бокаловидным клеткам), а CK19 убрать из критериев выпуска пласта. На роговице в финале опыта схема «K12+ / K13− / MUC5AC−» соответствует рекомендациям Sprogyte 2023.</w:t>
      </w:r>
    </w:p>
    <w:p>
      <w:pPr/>
      <w:r>
        <w:rPr>
          <w:b/>
        </w:rPr>
        <w:t xml:space="preserve">5. Не описано, как получить обеднённый пласт.</w:t>
      </w:r>
      <w:r>
        <w:t xml:space="preserve"> Группа 3 — ядро дизайна, но способ снизить долю p63-bright ниже 3% не назван. Реальный путь — дополнительные пассажи (переход голоклон → параклон, Barrandon, Green 1987). Но тогда меняются и другие свойства клеток: старение, число, плотность. Исправление: фиксировать способ заранее, выровнять плотность и площадь пласта с опытной группой и подтвердить долю p63-bright измерением.</w:t>
      </w:r>
    </w:p>
    <w:p>
      <w:pPr>
        <w:pStyle w:val="Heading3"/>
      </w:pPr>
      <w:r>
        <w:t xml:space="preserve">Существенные замечания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113"/>
        <w:gridCol w:w="3808"/>
        <w:gridCol w:w="271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113" w:type="dxa"/>
            <w:shd w:val="clear" w:color="auto" w:fill="F2F2F2"/>
          </w:tcPr>
          <w:p>
            <w:pPr/>
            <w:r>
              <w:t xml:space="preserve">Что написано у «Учёных»</w:t>
            </w:r>
          </w:p>
        </w:tc>
        <w:tc>
          <w:tcPr>
            <w:tcW w:w="3808" w:type="dxa"/>
            <w:shd w:val="clear" w:color="auto" w:fill="F2F2F2"/>
          </w:tcPr>
          <w:p>
            <w:pPr/>
            <w:r>
              <w:t xml:space="preserve">В чём проблема</w:t>
            </w:r>
          </w:p>
        </w:tc>
        <w:tc>
          <w:tcPr>
            <w:tcW w:w="2719" w:type="dxa"/>
            <w:shd w:val="clear" w:color="auto" w:fill="F2F2F2"/>
          </w:tcPr>
          <w:p>
            <w:pPr/>
            <w:r>
              <w:t xml:space="preserve">Исправление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2113" w:type="dxa"/>
          </w:tcPr>
          <w:p>
            <w:pPr/>
            <w:r>
              <w:t xml:space="preserve">Доля p63-bright 3,5% у Holoclar «подтверждает порог 3%»; порог 3% «станет критерием выпуска серии»</w:t>
            </w:r>
          </w:p>
        </w:tc>
        <w:tc>
          <w:tcPr>
            <w:tcW w:w="3808" w:type="dxa"/>
          </w:tcPr>
          <w:p>
            <w:pPr/>
            <w:r>
              <w:t xml:space="preserve">У Rama 2010 — 3% от клоногенных клеток. В SmPC Holoclar — в среднем 3,5% от всех клеток, диапазон 0,4–10%. Знаменатели разные, а диапазон допускает 0,4%</w:t>
            </w:r>
          </w:p>
        </w:tc>
        <w:tc>
          <w:tcPr>
            <w:tcW w:w="2719" w:type="dxa"/>
          </w:tcPr>
          <w:p>
            <w:pPr/>
            <w:r>
              <w:t xml:space="preserve">Не сравнивать эти числа напрямую. В спецификации сразу указать знаменатель и метод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2113" w:type="dxa"/>
          </w:tcPr>
          <w:p>
            <w:pPr/>
            <w:r>
              <w:t xml:space="preserve">p63 измеряется «за часы», до трансплантации</w:t>
            </w:r>
          </w:p>
        </w:tc>
        <w:tc>
          <w:tcPr>
            <w:tcW w:w="3808" w:type="dxa"/>
          </w:tcPr>
          <w:p>
            <w:pPr/>
            <w:r>
              <w:t xml:space="preserve">Чтобы считать «от клоногенных», нужен тест колониеобразующей эффективности. Он занимает дни</w:t>
            </w:r>
          </w:p>
        </w:tc>
        <w:tc>
          <w:tcPr>
            <w:tcW w:w="2719" w:type="dxa"/>
          </w:tcPr>
          <w:p>
            <w:pPr/>
            <w:r>
              <w:t xml:space="preserve">Делать оба теста на параллельной культуре заранее, до изготовления финального пласта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2113" w:type="dxa"/>
          </w:tcPr>
          <w:p>
            <w:pPr/>
            <w:r>
              <w:t xml:space="preserve">Стерильность — один критерий выпуска</w:t>
            </w:r>
          </w:p>
        </w:tc>
        <w:tc>
          <w:tcPr>
            <w:tcW w:w="3808" w:type="dxa"/>
          </w:tcPr>
          <w:p>
            <w:pPr/>
            <w:r>
              <w:t xml:space="preserve">Фармакопейный тест на стерильность длится 14 суток, а срок годности продукта 36 часов. Нет микоплазм, эндотоксина, остаточных клеток 3T3-J2</w:t>
            </w:r>
          </w:p>
        </w:tc>
        <w:tc>
          <w:tcPr>
            <w:tcW w:w="2719" w:type="dxa"/>
          </w:tcPr>
          <w:p>
            <w:pPr/>
            <w:r>
              <w:t xml:space="preserve">Промежуточный контроль в ходе культивирования + быстрые методы. Полный список — в разделе 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2113" w:type="dxa"/>
          </w:tcPr>
          <w:p>
            <w:pPr/>
            <w:r>
              <w:t xml:space="preserve">Фидер 3T3-J2: «за 30 лет нежелательных эффектов не описано»</w:t>
            </w:r>
          </w:p>
        </w:tc>
        <w:tc>
          <w:tcPr>
            <w:tcW w:w="3808" w:type="dxa"/>
          </w:tcPr>
          <w:p>
            <w:pPr/>
            <w:r>
              <w:t xml:space="preserve">Утверждение без источника. </w:t>
            </w:r>
            <w:hyperlink r:id="rId7" w:history="1">
              <w:r>
                <w:rPr>
                  <w:rStyle w:val="Hyperlink"/>
                </w:rPr>
                <w:t xml:space="preserve">Behaegel 2017</w:t>
              </w:r>
            </w:hyperlink>
            <w:r>
              <w:t xml:space="preserve"> называет компоненты животного происхождения источником риска. В SmPC — противопоказание при гиперчувствительности к 3T3-J2</w:t>
            </w:r>
          </w:p>
        </w:tc>
        <w:tc>
          <w:tcPr>
            <w:tcW w:w="2719" w:type="dxa"/>
          </w:tcPr>
          <w:p>
            <w:pPr/>
            <w:r>
              <w:t xml:space="preserve">Заменить на «риск контролируется тестами на посторонние агенты»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2113" w:type="dxa"/>
          </w:tcPr>
          <w:p>
            <w:pPr/>
            <w:r>
              <w:t xml:space="preserve">Доклиника в РБ «регулируется ТКП из постановления № 107»</w:t>
            </w:r>
          </w:p>
        </w:tc>
        <w:tc>
          <w:tcPr>
            <w:tcW w:w="3808" w:type="dxa"/>
          </w:tcPr>
          <w:p>
            <w:pPr/>
            <w:r>
              <w:t xml:space="preserve">По данным теоретической базы проекта, эти ТКП (617-2017, 618-2017) касаются генетически модифицированных линий и онкологии</w:t>
            </w:r>
          </w:p>
        </w:tc>
        <w:tc>
          <w:tcPr>
            <w:tcW w:w="2719" w:type="dxa"/>
          </w:tcPr>
          <w:p>
            <w:pPr/>
            <w:r>
              <w:t xml:space="preserve">Писать «применяются по аналогии», добавить ТКП 125-2008 (GLP)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2113" w:type="dxa"/>
          </w:tcPr>
          <w:p>
            <w:pPr/>
            <w:r>
              <w:t xml:space="preserve">Рандомизация и статистический тест не названы; в критериях успеха «различие статистически значимо»</w:t>
            </w:r>
          </w:p>
        </w:tc>
        <w:tc>
          <w:tcPr>
            <w:tcW w:w="3808" w:type="dxa"/>
          </w:tcPr>
          <w:p>
            <w:pPr/>
            <w:r>
              <w:t xml:space="preserve">Нельзя проверить, как животных распределят и что считать значимым. Два сравнения требуют поправки на множественность</w:t>
            </w:r>
          </w:p>
        </w:tc>
        <w:tc>
          <w:tcPr>
            <w:tcW w:w="2719" w:type="dxa"/>
          </w:tcPr>
          <w:p>
            <w:pPr/>
            <w:r>
              <w:t xml:space="preserve">Блочная рандомизация по компьютерному списку, точный тест Фишера, поправка Холма. Протокол по ARRIVE 2.0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2113" w:type="dxa"/>
          </w:tcPr>
          <w:p>
            <w:pPr/>
            <w:r>
              <w:t xml:space="preserve">В кролике проверяется «продукт»</w:t>
            </w:r>
          </w:p>
        </w:tc>
        <w:tc>
          <w:tcPr>
            <w:tcW w:w="3808" w:type="dxa"/>
          </w:tcPr>
          <w:p>
            <w:pPr/>
            <w:r>
              <w:t xml:space="preserve">Кролик получает свои клетки, а не человеческий продукт. Это аналогичный продукт, и перенос результатов надо обосновать</w:t>
            </w:r>
          </w:p>
        </w:tc>
        <w:tc>
          <w:tcPr>
            <w:tcW w:w="2719" w:type="dxa"/>
          </w:tcPr>
          <w:p>
            <w:pPr/>
            <w:r>
              <w:t xml:space="preserve">Тот же процесс (фидер, фибрин, число пассажей) и те же тесты выпуска. Проверить, что антитела к p63, K12, K13 работают на ткани кролика</w:t>
            </w:r>
          </w:p>
        </w:tc>
      </w:tr>
    </w:tbl>
    <w:p>
      <w:pPr/>
      <w:r>
        <w:t xml:space="preserve">Редакционное: утверждение «палисады Фогта у кролика выражены слабее» дано без источника. В цитируемом обзоре Sprogyte 2023 сравнения анатомии лимба кролика и человека нет. Нужно либо найти ссылку, либо смягчить формулировку.</w:t>
      </w:r>
    </w:p>
    <w:p>
      <w:pPr>
        <w:pStyle w:val="Heading2"/>
      </w:pPr>
      <w:r>
        <w:t xml:space="preserve">4. Адекватна ли модель: проверка по трём видам валидности</w:t>
      </w:r>
    </w:p>
    <w:p>
      <w:pPr/>
      <w:r>
        <w:t xml:space="preserve">Модель адекватна по внешним признакам и механизму болезни, частично адекватна по предсказательной силе. Оценку ведём по классическим критериям Уиллнера (Willner, 1984), принятым для любой экспериментальной модели.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1543"/>
        <w:gridCol w:w="2083"/>
        <w:gridCol w:w="3394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Критерий</w:t>
            </w:r>
          </w:p>
        </w:tc>
        <w:tc>
          <w:tcPr>
            <w:tcW w:w="1543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083" w:type="dxa"/>
            <w:shd w:val="clear" w:color="auto" w:fill="F2F2F2"/>
          </w:tcPr>
          <w:p>
            <w:pPr/>
            <w:r>
              <w:t xml:space="preserve">Оценка</w:t>
            </w:r>
          </w:p>
        </w:tc>
        <w:tc>
          <w:tcPr>
            <w:tcW w:w="3394" w:type="dxa"/>
            <w:shd w:val="clear" w:color="auto" w:fill="F2F2F2"/>
          </w:tcPr>
          <w:p>
            <w:pPr/>
            <w:r>
              <w:t xml:space="preserve">Обоснование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Подобие по признакам (face validity)</w:t>
            </w:r>
          </w:p>
        </w:tc>
        <w:tc>
          <w:tcPr>
            <w:tcW w:w="1543" w:type="dxa"/>
          </w:tcPr>
          <w:p>
            <w:pPr/>
            <w:r>
              <w:t xml:space="preserve">Выглядит ли болезнь у кролика так же, как у человека?</w:t>
            </w:r>
          </w:p>
        </w:tc>
        <w:tc>
          <w:tcPr>
            <w:tcW w:w="2083" w:type="dxa"/>
          </w:tcPr>
          <w:p>
            <w:pPr/>
            <w:r>
              <w:t xml:space="preserve">Да</w:t>
            </w:r>
          </w:p>
        </w:tc>
        <w:tc>
          <w:tcPr>
            <w:tcW w:w="3394" w:type="dxa"/>
          </w:tcPr>
          <w:p>
            <w:pPr/>
            <w:r>
              <w:t xml:space="preserve">Конъюнктивализация, бокаловидные клетки на роговице, сосуды, стойкий дефект эпителия. Всё фиксируется теми же методами, что и в клинике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Подобие по механизму (construct validity)</w:t>
            </w:r>
          </w:p>
        </w:tc>
        <w:tc>
          <w:tcPr>
            <w:tcW w:w="1543" w:type="dxa"/>
          </w:tcPr>
          <w:p>
            <w:pPr/>
            <w:r>
              <w:t xml:space="preserve">Та же ли причина и патогенез?</w:t>
            </w:r>
          </w:p>
        </w:tc>
        <w:tc>
          <w:tcPr>
            <w:tcW w:w="2083" w:type="dxa"/>
          </w:tcPr>
          <w:p>
            <w:pPr/>
            <w:r>
              <w:t xml:space="preserve">Да, с оговоркой</w:t>
            </w:r>
          </w:p>
        </w:tc>
        <w:tc>
          <w:tcPr>
            <w:tcW w:w="3394" w:type="dxa"/>
          </w:tcPr>
          <w:p>
            <w:pPr/>
            <w:r>
              <w:t xml:space="preserve">Причина та же: гибель стволовых клеток лимба и барьера, плюс химический компонент. Оговорка: у человека лимб разрушает ожог, а в модели — в основном скальпель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Предсказательная сила (predictive validity)</w:t>
            </w:r>
          </w:p>
        </w:tc>
        <w:tc>
          <w:tcPr>
            <w:tcW w:w="1543" w:type="dxa"/>
          </w:tcPr>
          <w:p>
            <w:pPr/>
            <w:r>
              <w:t xml:space="preserve">Реагирует ли модель на лечение так же, как человек?</w:t>
            </w:r>
          </w:p>
        </w:tc>
        <w:tc>
          <w:tcPr>
            <w:tcW w:w="2083" w:type="dxa"/>
          </w:tcPr>
          <w:p>
            <w:pPr/>
            <w:r>
              <w:t xml:space="preserve">Частично</w:t>
            </w:r>
          </w:p>
        </w:tc>
        <w:tc>
          <w:tcPr>
            <w:tcW w:w="3394" w:type="dxa"/>
          </w:tcPr>
          <w:p>
            <w:pPr/>
            <w:r>
              <w:t xml:space="preserve">Лимбальная трансплантация у кроликов работает (Yu 2024). Но возможно самовосстановление через 5–9 месяцев (Sprogyte 2023): без группы носителя результат завышается</w:t>
            </w:r>
          </w:p>
        </w:tc>
      </w:tr>
    </w:tbl>
    <w:p>
      <w:pPr>
        <w:pStyle w:val="Heading3"/>
      </w:pPr>
      <w:r>
        <w:t xml:space="preserve">Выбор вида: почему именно кролик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77"/>
        <w:gridCol w:w="2668"/>
        <w:gridCol w:w="2275"/>
        <w:gridCol w:w="2340"/>
      </w:tblGrid>
      <w:tr>
        <w:trPr>
          <w:tblHeader/>
        </w:trPr>
        <w:tc>
          <w:tcPr>
            <w:tcW w:w="2077" w:type="dxa"/>
            <w:shd w:val="clear" w:color="auto" w:fill="F2F2F2"/>
          </w:tcPr>
          <w:p>
            <w:pPr/>
            <w:r>
              <w:t xml:space="preserve">Вид</w:t>
            </w:r>
          </w:p>
        </w:tc>
        <w:tc>
          <w:tcPr>
            <w:tcW w:w="2668" w:type="dxa"/>
            <w:shd w:val="clear" w:color="auto" w:fill="F2F2F2"/>
          </w:tcPr>
          <w:p>
            <w:pPr/>
            <w:r>
              <w:t xml:space="preserve">За</w:t>
            </w:r>
          </w:p>
        </w:tc>
        <w:tc>
          <w:tcPr>
            <w:tcW w:w="2275" w:type="dxa"/>
            <w:shd w:val="clear" w:color="auto" w:fill="F2F2F2"/>
          </w:tcPr>
          <w:p>
            <w:pPr/>
            <w:r>
              <w:t xml:space="preserve">Против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Решение</w:t>
            </w:r>
          </w:p>
        </w:tc>
      </w:tr>
      <w:tr>
        <w:tc>
          <w:tcPr>
            <w:tcW w:w="2077" w:type="dxa"/>
          </w:tcPr>
          <w:p>
            <w:pPr/>
            <w:r>
              <w:t xml:space="preserve">Кролик</w:t>
            </w:r>
          </w:p>
        </w:tc>
        <w:tc>
          <w:tcPr>
            <w:tcW w:w="2668" w:type="dxa"/>
          </w:tcPr>
          <w:p>
            <w:pPr/>
            <w:r>
              <w:t xml:space="preserve">Роговица пригодна для той же операции; основной вид в литературе по ЛСКН; стандартный вид для офтальмологической токсикологии</w:t>
            </w:r>
          </w:p>
        </w:tc>
        <w:tc>
          <w:tcPr>
            <w:tcW w:w="2275" w:type="dxa"/>
          </w:tcPr>
          <w:p>
            <w:pPr/>
            <w:r>
              <w:t xml:space="preserve">Эпителий заживает быстрее, чем у человека; есть третье веко</w:t>
            </w:r>
          </w:p>
        </w:tc>
        <w:tc>
          <w:tcPr>
            <w:tcW w:w="2340" w:type="dxa"/>
          </w:tcPr>
          <w:p>
            <w:pPr/>
            <w:r>
              <w:t xml:space="preserve">Выбран</w:t>
            </w:r>
          </w:p>
        </w:tc>
      </w:tr>
      <w:tr>
        <w:tc>
          <w:tcPr>
            <w:tcW w:w="2077" w:type="dxa"/>
          </w:tcPr>
          <w:p>
            <w:pPr/>
            <w:r>
              <w:t xml:space="preserve">Мышь, крыса</w:t>
            </w:r>
          </w:p>
        </w:tc>
        <w:tc>
          <w:tcPr>
            <w:tcW w:w="2668" w:type="dxa"/>
          </w:tcPr>
          <w:p>
            <w:pPr/>
            <w:r>
              <w:t xml:space="preserve">Дешево, есть линии без иммунитета</w:t>
            </w:r>
          </w:p>
        </w:tc>
        <w:tc>
          <w:tcPr>
            <w:tcW w:w="2275" w:type="dxa"/>
          </w:tcPr>
          <w:p>
            <w:pPr/>
            <w:r>
              <w:t xml:space="preserve">На роговицу нельзя уложить пласт</w:t>
            </w:r>
          </w:p>
        </w:tc>
        <w:tc>
          <w:tcPr>
            <w:tcW w:w="2340" w:type="dxa"/>
          </w:tcPr>
          <w:p>
            <w:pPr/>
            <w:r>
              <w:t xml:space="preserve">Только для теста на туморогенность человеческих клеток (раздел 5)</w:t>
            </w:r>
          </w:p>
        </w:tc>
      </w:tr>
      <w:tr>
        <w:tc>
          <w:tcPr>
            <w:tcW w:w="2077" w:type="dxa"/>
          </w:tcPr>
          <w:p>
            <w:pPr/>
            <w:r>
              <w:t xml:space="preserve">Свинья, примат</w:t>
            </w:r>
          </w:p>
        </w:tc>
        <w:tc>
          <w:tcPr>
            <w:tcW w:w="2668" w:type="dxa"/>
          </w:tcPr>
          <w:p>
            <w:pPr/>
            <w:r>
              <w:t xml:space="preserve">Анатомия ближе к человеку</w:t>
            </w:r>
          </w:p>
        </w:tc>
        <w:tc>
          <w:tcPr>
            <w:tcW w:w="2275" w:type="dxa"/>
          </w:tcPr>
          <w:p>
            <w:pPr/>
            <w:r>
              <w:t xml:space="preserve">Стоимость, этические ограничения, мало данных для сравнения</w:t>
            </w:r>
          </w:p>
        </w:tc>
        <w:tc>
          <w:tcPr>
            <w:tcW w:w="2340" w:type="dxa"/>
          </w:tcPr>
          <w:p>
            <w:pPr/>
            <w:r>
              <w:t xml:space="preserve">Не оправдано: принцип 3R требует наименее высокоорганизованного достаточного вида</w:t>
            </w:r>
          </w:p>
        </w:tc>
      </w:tr>
    </w:tbl>
    <w:p>
      <w:pPr>
        <w:pStyle w:val="Heading3"/>
      </w:pPr>
      <w:r>
        <w:t xml:space="preserve">Чек-лист корректности модели</w:t>
      </w:r>
    </w:p>
    <w:p>
      <w:pPr/>
      <w:r>
        <w:t xml:space="preserve">Три пункта, которые «Учёные» сами предложили нам проверить, плюс три наших.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4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Пункт</w:t>
            </w:r>
          </w:p>
        </w:tc>
        <w:tc>
          <w:tcPr>
            <w:tcW w:w="4440" w:type="dxa"/>
            <w:shd w:val="clear" w:color="auto" w:fill="F2F2F2"/>
          </w:tcPr>
          <w:p>
            <w:pPr/>
            <w:r>
              <w:t xml:space="preserve">Выполнено?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Ожог затрагивает лимб, а не только центр роговицы</w:t>
            </w:r>
          </w:p>
        </w:tc>
        <w:tc>
          <w:tcPr>
            <w:tcW w:w="4440" w:type="dxa"/>
          </w:tcPr>
          <w:p>
            <w:pPr/>
            <w:r>
              <w:t xml:space="preserve">Да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Конъюнктивализация документируется до лечения</w:t>
            </w:r>
          </w:p>
        </w:tc>
        <w:tc>
          <w:tcPr>
            <w:tcW w:w="4440" w:type="dxa"/>
          </w:tcPr>
          <w:p>
            <w:pPr/>
            <w:r>
              <w:t xml:space="preserve">Да, но слишком рано (замечание 3)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Есть контрольная группа и объективная морфологическая точка</w:t>
            </w:r>
          </w:p>
        </w:tc>
        <w:tc>
          <w:tcPr>
            <w:tcW w:w="4440" w:type="dxa"/>
          </w:tcPr>
          <w:p>
            <w:pPr/>
            <w:r>
              <w:t xml:space="preserve">Да, две контрольные группы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Тяжесть ЛСКН соответствует показанию (тотальная, с вовлечением центра)</w:t>
            </w:r>
          </w:p>
        </w:tc>
        <w:tc>
          <w:tcPr>
            <w:tcW w:w="4440" w:type="dxa"/>
          </w:tcPr>
          <w:p>
            <w:pPr/>
            <w:r>
              <w:t xml:space="preserve">Нет, частичная (замечание 2)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Выборка достаточна для вывода</w:t>
            </w:r>
          </w:p>
        </w:tc>
        <w:tc>
          <w:tcPr>
            <w:tcW w:w="4440" w:type="dxa"/>
          </w:tcPr>
          <w:p>
            <w:pPr/>
            <w:r>
              <w:t xml:space="preserve">Нет (замечание 1)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Срок наблюдения покрывает риск позднего срыва и самовосстановления</w:t>
            </w:r>
          </w:p>
        </w:tc>
        <w:tc>
          <w:tcPr>
            <w:tcW w:w="4440" w:type="dxa"/>
          </w:tcPr>
          <w:p>
            <w:pPr/>
            <w:r>
              <w:t xml:space="preserve">Нет: 90 суток достаточно для приживления, но не для долгосрочности. Нужна группа на 180 суток</w:t>
            </w:r>
          </w:p>
        </w:tc>
      </w:tr>
    </w:tbl>
    <w:p>
      <w:pPr/>
      <w:r>
        <w:t xml:space="preserve">Отдельно о 90 сутках. Эпителий роговицы обновляется за 7–14 дней, то есть за 90 суток — не менее 6 циклов. При отсутствии стволовых клеток ресурс ТАК к этому сроку уже должен исчерпаться. Поэтому для первичной точки срок приемлем, и тут «Учёные» себя недооценили.</w:t>
      </w:r>
    </w:p>
    <w:p>
      <w:pPr/>
      <w:r>
        <w:t xml:space="preserve">Итог раздела: модель пригодна для изучения данной патологии при условии исправлений 1–3.</w:t>
      </w:r>
    </w:p>
    <w:p>
      <w:pPr>
        <w:pStyle w:val="Heading2"/>
      </w:pPr>
      <w:r>
        <w:t xml:space="preserve">5. Исследования безопасности</w:t>
      </w:r>
    </w:p>
    <w:p>
      <w:pPr/>
      <w:r>
        <w:t xml:space="preserve">Программа строится по рискам продукта: четыре блока исследований и обоснованный отказ от классической токсикологии. Безопасность проверяется первой: пока не пройдены блоки А и Б на клетках, животным ничего не пересаживаем.</w:t>
      </w:r>
    </w:p>
    <w:p>
      <w:pPr>
        <w:pStyle w:val="Heading3"/>
      </w:pPr>
      <w:r>
        <w:t xml:space="preserve">Карта рисков</w:t>
      </w:r>
    </w:p>
    <w:p>
      <w:pPr/>
      <w:r>
        <w:t xml:space="preserve">Основной источник риска — не сами клетки, а производство и хирургия (</w:t>
      </w:r>
      <w:hyperlink r:id="rId7" w:history="1">
        <w:r>
          <w:rPr>
            <w:rStyle w:val="Hyperlink"/>
          </w:rPr>
          <w:t xml:space="preserve">Behaegel 2017</w:t>
        </w:r>
      </w:hyperlink>
      <w:r>
        <w:t xml:space="preserve">, </w:t>
      </w:r>
      <w:hyperlink r:id="rId6" w:history="1">
        <w:r>
          <w:rPr>
            <w:rStyle w:val="Hyperlink"/>
          </w:rPr>
          <w:t xml:space="preserve">SmPC Holoclar</w:t>
        </w:r>
      </w:hyperlink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17"/>
        <w:gridCol w:w="3872"/>
        <w:gridCol w:w="2070"/>
      </w:tblGrid>
      <w:tr>
        <w:trPr>
          <w:tblHeader/>
        </w:trPr>
        <w:tc>
          <w:tcPr>
            <w:tcW w:w="3417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3872" w:type="dxa"/>
            <w:shd w:val="clear" w:color="auto" w:fill="F2F2F2"/>
          </w:tcPr>
          <w:p>
            <w:pPr/>
            <w:r>
              <w:t xml:space="preserve">Откуда берётся</w:t>
            </w:r>
          </w:p>
        </w:tc>
        <w:tc>
          <w:tcPr>
            <w:tcW w:w="2070" w:type="dxa"/>
            <w:shd w:val="clear" w:color="auto" w:fill="F2F2F2"/>
          </w:tcPr>
          <w:p>
            <w:pPr/>
            <w:r>
              <w:t xml:space="preserve">Чем проверяем</w:t>
            </w:r>
          </w:p>
        </w:tc>
      </w:tr>
      <w:tr>
        <w:tc>
          <w:tcPr>
            <w:tcW w:w="3417" w:type="dxa"/>
          </w:tcPr>
          <w:p>
            <w:pPr/>
            <w:r>
              <w:t xml:space="preserve">Инфекция, занесённая с продуктом</w:t>
            </w:r>
          </w:p>
        </w:tc>
        <w:tc>
          <w:tcPr>
            <w:tcW w:w="3872" w:type="dxa"/>
          </w:tcPr>
          <w:p>
            <w:pPr/>
            <w:r>
              <w:t xml:space="preserve">Биоптат, культура, мышиный фидер, фетальная бычья сыворотка</w:t>
            </w:r>
          </w:p>
        </w:tc>
        <w:tc>
          <w:tcPr>
            <w:tcW w:w="2070" w:type="dxa"/>
          </w:tcPr>
          <w:p>
            <w:pPr/>
            <w:r>
              <w:t xml:space="preserve">Блок А</w:t>
            </w:r>
          </w:p>
        </w:tc>
      </w:tr>
      <w:tr>
        <w:tc>
          <w:tcPr>
            <w:tcW w:w="3417" w:type="dxa"/>
          </w:tcPr>
          <w:p>
            <w:pPr/>
            <w:r>
              <w:t xml:space="preserve">Опухолевая трансформация</w:t>
            </w:r>
          </w:p>
        </w:tc>
        <w:tc>
          <w:tcPr>
            <w:tcW w:w="3872" w:type="dxa"/>
          </w:tcPr>
          <w:p>
            <w:pPr/>
            <w:r>
              <w:t xml:space="preserve">Деление клеток вне организма</w:t>
            </w:r>
          </w:p>
        </w:tc>
        <w:tc>
          <w:tcPr>
            <w:tcW w:w="2070" w:type="dxa"/>
          </w:tcPr>
          <w:p>
            <w:pPr/>
            <w:r>
              <w:t xml:space="preserve">Блок Б</w:t>
            </w:r>
          </w:p>
        </w:tc>
      </w:tr>
      <w:tr>
        <w:tc>
          <w:tcPr>
            <w:tcW w:w="3417" w:type="dxa"/>
          </w:tcPr>
          <w:p>
            <w:pPr/>
            <w:r>
              <w:t xml:space="preserve">Местное повреждение глаза</w:t>
            </w:r>
          </w:p>
        </w:tc>
        <w:tc>
          <w:tcPr>
            <w:tcW w:w="3872" w:type="dxa"/>
          </w:tcPr>
          <w:p>
            <w:pPr/>
            <w:r>
              <w:t xml:space="preserve">Операция, фибрин, стероиды после операции</w:t>
            </w:r>
          </w:p>
        </w:tc>
        <w:tc>
          <w:tcPr>
            <w:tcW w:w="2070" w:type="dxa"/>
          </w:tcPr>
          <w:p>
            <w:pPr/>
            <w:r>
              <w:t xml:space="preserve">Блок В</w:t>
            </w:r>
          </w:p>
        </w:tc>
      </w:tr>
      <w:tr>
        <w:tc>
          <w:tcPr>
            <w:tcW w:w="3417" w:type="dxa"/>
          </w:tcPr>
          <w:p>
            <w:pPr/>
            <w:r>
              <w:t xml:space="preserve">Миграция клеток за пределы роговицы</w:t>
            </w:r>
          </w:p>
        </w:tc>
        <w:tc>
          <w:tcPr>
            <w:tcW w:w="3872" w:type="dxa"/>
          </w:tcPr>
          <w:p>
            <w:pPr/>
            <w:r>
              <w:t xml:space="preserve">Живые делящиеся клетки</w:t>
            </w:r>
          </w:p>
        </w:tc>
        <w:tc>
          <w:tcPr>
            <w:tcW w:w="2070" w:type="dxa"/>
          </w:tcPr>
          <w:p>
            <w:pPr/>
            <w:r>
              <w:t xml:space="preserve">Блок В</w:t>
            </w:r>
          </w:p>
        </w:tc>
      </w:tr>
      <w:tr>
        <w:tc>
          <w:tcPr>
            <w:tcW w:w="3417" w:type="dxa"/>
          </w:tcPr>
          <w:p>
            <w:pPr/>
            <w:r>
              <w:t xml:space="preserve">Вред единственному здоровому глазу</w:t>
            </w:r>
          </w:p>
        </w:tc>
        <w:tc>
          <w:tcPr>
            <w:tcW w:w="3872" w:type="dxa"/>
          </w:tcPr>
          <w:p>
            <w:pPr/>
            <w:r>
              <w:t xml:space="preserve">Биопсия лимба</w:t>
            </w:r>
          </w:p>
        </w:tc>
        <w:tc>
          <w:tcPr>
            <w:tcW w:w="2070" w:type="dxa"/>
          </w:tcPr>
          <w:p>
            <w:pPr/>
            <w:r>
              <w:t xml:space="preserve">Блок Г</w:t>
            </w:r>
          </w:p>
        </w:tc>
      </w:tr>
    </w:tbl>
    <w:p>
      <w:pPr>
        <w:pStyle w:val="Heading3"/>
      </w:pPr>
      <w:r>
        <w:t xml:space="preserve">Блок А. Качество и чистота продукта (in vitro)</w:t>
      </w:r>
    </w:p>
    <w:p>
      <w:pPr/>
      <w:r>
        <w:t xml:space="preserve">Эти тесты дополняют критерии выпуска «Учёных». Их делают для каждой серии, в том числе для пластов, пересаженных кроликам.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4"/>
        <w:gridCol w:w="4283"/>
        <w:gridCol w:w="2542"/>
      </w:tblGrid>
      <w:tr>
        <w:trPr>
          <w:tblHeader/>
        </w:trPr>
        <w:tc>
          <w:tcPr>
            <w:tcW w:w="2534" w:type="dxa"/>
            <w:shd w:val="clear" w:color="auto" w:fill="F2F2F2"/>
          </w:tcPr>
          <w:p>
            <w:pPr/>
            <w:r>
              <w:t xml:space="preserve">Тест</w:t>
            </w:r>
          </w:p>
        </w:tc>
        <w:tc>
          <w:tcPr>
            <w:tcW w:w="4283" w:type="dxa"/>
            <w:shd w:val="clear" w:color="auto" w:fill="F2F2F2"/>
          </w:tcPr>
          <w:p>
            <w:pPr/>
            <w:r>
              <w:t xml:space="preserve">Метод</w:t>
            </w:r>
          </w:p>
        </w:tc>
        <w:tc>
          <w:tcPr>
            <w:tcW w:w="2542" w:type="dxa"/>
            <w:shd w:val="clear" w:color="auto" w:fill="F2F2F2"/>
          </w:tcPr>
          <w:p>
            <w:pPr/>
            <w:r>
              <w:t xml:space="preserve">Критерий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Стерильность</w:t>
            </w:r>
          </w:p>
        </w:tc>
        <w:tc>
          <w:tcPr>
            <w:tcW w:w="4283" w:type="dxa"/>
          </w:tcPr>
          <w:p>
            <w:pPr/>
            <w:r>
              <w:t xml:space="preserve">Промежуточные пробы среды в ходе культивирования + быстрый метод на финальной пробе</w:t>
            </w:r>
          </w:p>
        </w:tc>
        <w:tc>
          <w:tcPr>
            <w:tcW w:w="2542" w:type="dxa"/>
          </w:tcPr>
          <w:p>
            <w:pPr/>
            <w:r>
              <w:t xml:space="preserve">Роста нет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Микоплазмы</w:t>
            </w:r>
          </w:p>
        </w:tc>
        <w:tc>
          <w:tcPr>
            <w:tcW w:w="4283" w:type="dxa"/>
          </w:tcPr>
          <w:p>
            <w:pPr/>
            <w:r>
              <w:t xml:space="preserve">ПЦР</w:t>
            </w:r>
          </w:p>
        </w:tc>
        <w:tc>
          <w:tcPr>
            <w:tcW w:w="2542" w:type="dxa"/>
          </w:tcPr>
          <w:p>
            <w:pPr/>
            <w:r>
              <w:t xml:space="preserve">Не обнаружены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Эндотоксин</w:t>
            </w:r>
          </w:p>
        </w:tc>
        <w:tc>
          <w:tcPr>
            <w:tcW w:w="4283" w:type="dxa"/>
          </w:tcPr>
          <w:p>
            <w:pPr/>
            <w:r>
              <w:t xml:space="preserve">LAL-тест</w:t>
            </w:r>
          </w:p>
        </w:tc>
        <w:tc>
          <w:tcPr>
            <w:tcW w:w="2542" w:type="dxa"/>
          </w:tcPr>
          <w:p>
            <w:pPr/>
            <w:r>
              <w:t xml:space="preserve">Ниже установленного предела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Посторонние вирусы фидера 3T3-J2</w:t>
            </w:r>
          </w:p>
        </w:tc>
        <w:tc>
          <w:tcPr>
            <w:tcW w:w="4283" w:type="dxa"/>
          </w:tcPr>
          <w:p>
            <w:pPr/>
            <w:r>
              <w:t xml:space="preserve">Один раз на банк клеток: тесты на вирусы грызунов</w:t>
            </w:r>
          </w:p>
        </w:tc>
        <w:tc>
          <w:tcPr>
            <w:tcW w:w="2542" w:type="dxa"/>
          </w:tcPr>
          <w:p>
            <w:pPr/>
            <w:r>
              <w:t xml:space="preserve">Не обнаружены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Фетальная бычья сыворотка</w:t>
            </w:r>
          </w:p>
        </w:tc>
        <w:tc>
          <w:tcPr>
            <w:tcW w:w="4283" w:type="dxa"/>
          </w:tcPr>
          <w:p>
            <w:pPr/>
            <w:r>
              <w:t xml:space="preserve">Сертификат по ТГЭ (прионы) и на вирусы крупного рогатого скота</w:t>
            </w:r>
          </w:p>
        </w:tc>
        <w:tc>
          <w:tcPr>
            <w:tcW w:w="2542" w:type="dxa"/>
          </w:tcPr>
          <w:p>
            <w:pPr/>
            <w:r>
              <w:t xml:space="preserve">Соответствие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Остаточные делящиеся клетки фидера</w:t>
            </w:r>
          </w:p>
        </w:tc>
        <w:tc>
          <w:tcPr>
            <w:tcW w:w="4283" w:type="dxa"/>
          </w:tcPr>
          <w:p>
            <w:pPr/>
            <w:r>
              <w:t xml:space="preserve">Контроль облучения: облучённые 3T3-J2 в отдельной культуре не дают колоний</w:t>
            </w:r>
          </w:p>
        </w:tc>
        <w:tc>
          <w:tcPr>
            <w:tcW w:w="2542" w:type="dxa"/>
          </w:tcPr>
          <w:p>
            <w:pPr/>
            <w:r>
              <w:t xml:space="preserve">Колоний нет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Жизнеспособность и число клеток</w:t>
            </w:r>
          </w:p>
        </w:tc>
        <w:tc>
          <w:tcPr>
            <w:tcW w:w="4283" w:type="dxa"/>
          </w:tcPr>
          <w:p>
            <w:pPr/>
            <w:r>
              <w:t xml:space="preserve">Подсчёт с окраской</w:t>
            </w:r>
          </w:p>
        </w:tc>
        <w:tc>
          <w:tcPr>
            <w:tcW w:w="2542" w:type="dxa"/>
          </w:tcPr>
          <w:p>
            <w:pPr/>
            <w:r>
              <w:t xml:space="preserve">Не менее 3 × 10⁵, плотность 79 000–316 000/см²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Идентичность и доля стволовых клеток</w:t>
            </w:r>
          </w:p>
        </w:tc>
        <w:tc>
          <w:tcPr>
            <w:tcW w:w="4283" w:type="dxa"/>
          </w:tcPr>
          <w:p>
            <w:pPr/>
            <w:r>
              <w:t xml:space="preserve">ИГХ K3/K12, p63; колониеобразующая эффективность</w:t>
            </w:r>
          </w:p>
        </w:tc>
        <w:tc>
          <w:tcPr>
            <w:tcW w:w="2542" w:type="dxa"/>
          </w:tcPr>
          <w:p>
            <w:pPr/>
            <w:r>
              <w:t xml:space="preserve">p63-bright более 3% от клоногенных; K13 и MUC5AC отрицательны</w:t>
            </w:r>
          </w:p>
        </w:tc>
      </w:tr>
    </w:tbl>
    <w:p>
      <w:pPr>
        <w:pStyle w:val="Heading3"/>
      </w:pPr>
      <w:r>
        <w:t xml:space="preserve">Блок Б. Туморогенность и генетическая стабильность</w:t>
      </w:r>
    </w:p>
    <w:p>
      <w:pPr/>
      <w:r>
        <w:t xml:space="preserve">Обязательная часть повторяет пакет, с которым зарегистрирован Holoclar (SmPC, раздел 5.3). Делается на человеческих культурах, полученных по итоговому протоколу, на предельном числе пассажей.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38"/>
        <w:gridCol w:w="3365"/>
        <w:gridCol w:w="2057"/>
      </w:tblGrid>
      <w:tr>
        <w:trPr>
          <w:tblHeader/>
        </w:trPr>
        <w:tc>
          <w:tcPr>
            <w:tcW w:w="3938" w:type="dxa"/>
            <w:shd w:val="clear" w:color="auto" w:fill="F2F2F2"/>
          </w:tcPr>
          <w:p>
            <w:pPr/>
            <w:r>
              <w:t xml:space="preserve">Исследование</w:t>
            </w:r>
          </w:p>
        </w:tc>
        <w:tc>
          <w:tcPr>
            <w:tcW w:w="3365" w:type="dxa"/>
            <w:shd w:val="clear" w:color="auto" w:fill="F2F2F2"/>
          </w:tcPr>
          <w:p>
            <w:pPr/>
            <w:r>
              <w:t xml:space="preserve">Что показывает</w:t>
            </w:r>
          </w:p>
        </w:tc>
        <w:tc>
          <w:tcPr>
            <w:tcW w:w="2057" w:type="dxa"/>
            <w:shd w:val="clear" w:color="auto" w:fill="F2F2F2"/>
          </w:tcPr>
          <w:p>
            <w:pPr/>
            <w:r>
              <w:t xml:space="preserve">Статус</w:t>
            </w:r>
          </w:p>
        </w:tc>
      </w:tr>
      <w:tr>
        <w:tc>
          <w:tcPr>
            <w:tcW w:w="3938" w:type="dxa"/>
          </w:tcPr>
          <w:p>
            <w:pPr/>
            <w:r>
              <w:t xml:space="preserve">Кариотипирование (G-окраска)</w:t>
            </w:r>
          </w:p>
        </w:tc>
        <w:tc>
          <w:tcPr>
            <w:tcW w:w="3365" w:type="dxa"/>
          </w:tcPr>
          <w:p>
            <w:pPr/>
            <w:r>
              <w:t xml:space="preserve">Нет хромосомных перестроек после культивирования</w:t>
            </w:r>
          </w:p>
        </w:tc>
        <w:tc>
          <w:tcPr>
            <w:tcW w:w="2057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938" w:type="dxa"/>
          </w:tcPr>
          <w:p>
            <w:pPr/>
            <w:r>
              <w:t xml:space="preserve">Рост в мягком агаре</w:t>
            </w:r>
          </w:p>
        </w:tc>
        <w:tc>
          <w:tcPr>
            <w:tcW w:w="3365" w:type="dxa"/>
          </w:tcPr>
          <w:p>
            <w:pPr/>
            <w:r>
              <w:t xml:space="preserve">Нет способности делиться без прикрепления — признака опухолевых клеток</w:t>
            </w:r>
          </w:p>
        </w:tc>
        <w:tc>
          <w:tcPr>
            <w:tcW w:w="2057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938" w:type="dxa"/>
          </w:tcPr>
          <w:p>
            <w:pPr/>
            <w:r>
              <w:t xml:space="preserve">Зависимость роста от факторов роста</w:t>
            </w:r>
          </w:p>
        </w:tc>
        <w:tc>
          <w:tcPr>
            <w:tcW w:w="3365" w:type="dxa"/>
          </w:tcPr>
          <w:p>
            <w:pPr/>
            <w:r>
              <w:t xml:space="preserve">Клетки перестают делиться без факторов и фидера</w:t>
            </w:r>
          </w:p>
        </w:tc>
        <w:tc>
          <w:tcPr>
            <w:tcW w:w="2057" w:type="dxa"/>
          </w:tcPr>
          <w:p>
            <w:pPr/>
            <w:r>
              <w:t xml:space="preserve">Обязательно</w:t>
            </w:r>
          </w:p>
        </w:tc>
      </w:tr>
      <w:tr>
        <w:tc>
          <w:tcPr>
            <w:tcW w:w="3938" w:type="dxa"/>
          </w:tcPr>
          <w:p>
            <w:pPr/>
            <w:r>
              <w:t xml:space="preserve">Подкожное введение человеческих клеток иммунодефицитным (nude) мышам, наблюдение 16 недель, положительный контроль — опухолевая линия HeLa</w:t>
            </w:r>
          </w:p>
        </w:tc>
        <w:tc>
          <w:tcPr>
            <w:tcW w:w="3365" w:type="dxa"/>
          </w:tcPr>
          <w:p>
            <w:pPr/>
            <w:r>
              <w:t xml:space="preserve">Нет опухолей in vivo</w:t>
            </w:r>
          </w:p>
        </w:tc>
        <w:tc>
          <w:tcPr>
            <w:tcW w:w="2057" w:type="dxa"/>
          </w:tcPr>
          <w:p>
            <w:pPr/>
            <w:r>
              <w:t xml:space="preserve">Дополнительно, см. ниже</w:t>
            </w:r>
          </w:p>
        </w:tc>
      </w:tr>
    </w:tbl>
    <w:p>
      <w:pPr/>
      <w:r>
        <w:t xml:space="preserve">Почему предлагаем дополнительный тест на мышах, хотя у Holoclar его не было. Holoclar вошёл в регистрацию с клинической историей с 1997 года и через условную регистрацию. У нашего продукта такой истории нет, а аналога условной регистрации в доступных белорусских документах не описано. Тест снимает самый частый вопрос к клеточной терапии.</w:t>
      </w:r>
    </w:p>
    <w:p>
      <w:pPr>
        <w:pStyle w:val="Heading3"/>
      </w:pPr>
      <w:r>
        <w:t xml:space="preserve">Блок В. Местная переносимость и токсичность на кроликах</w:t>
      </w:r>
    </w:p>
    <w:p>
      <w:pPr/>
      <w:r>
        <w:t xml:space="preserve">Отдельных животных не берём: точки безопасности встраиваются в эксперимент на эффективность (раздел 6). Это требование принципа 3R — сокращение числа животных. Оценка ведётся во всех группах, поэтому эффект клеток отделяется от эффекта операции и стероидов.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39"/>
        <w:gridCol w:w="2619"/>
        <w:gridCol w:w="4302"/>
      </w:tblGrid>
      <w:tr>
        <w:trPr>
          <w:tblHeader/>
        </w:trPr>
        <w:tc>
          <w:tcPr>
            <w:tcW w:w="2439" w:type="dxa"/>
            <w:shd w:val="clear" w:color="auto" w:fill="F2F2F2"/>
          </w:tcPr>
          <w:p>
            <w:pPr/>
            <w:r>
              <w:t xml:space="preserve">Показатель</w:t>
            </w:r>
          </w:p>
        </w:tc>
        <w:tc>
          <w:tcPr>
            <w:tcW w:w="2619" w:type="dxa"/>
            <w:shd w:val="clear" w:color="auto" w:fill="F2F2F2"/>
          </w:tcPr>
          <w:p>
            <w:pPr/>
            <w:r>
              <w:t xml:space="preserve">Метод и сроки</w:t>
            </w:r>
          </w:p>
        </w:tc>
        <w:tc>
          <w:tcPr>
            <w:tcW w:w="4302" w:type="dxa"/>
            <w:shd w:val="clear" w:color="auto" w:fill="F2F2F2"/>
          </w:tcPr>
          <w:p>
            <w:pPr/>
            <w:r>
              <w:t xml:space="preserve">Зачем</w:t>
            </w:r>
          </w:p>
        </w:tc>
      </w:tr>
      <w:tr>
        <w:tc>
          <w:tcPr>
            <w:tcW w:w="2439" w:type="dxa"/>
          </w:tcPr>
          <w:p>
            <w:pPr/>
            <w:r>
              <w:t xml:space="preserve">Общее состояние, масса тела</w:t>
            </w:r>
          </w:p>
        </w:tc>
        <w:tc>
          <w:tcPr>
            <w:tcW w:w="2619" w:type="dxa"/>
          </w:tcPr>
          <w:p>
            <w:pPr/>
            <w:r>
              <w:t xml:space="preserve">Ежедневно и еженедельно</w:t>
            </w:r>
          </w:p>
        </w:tc>
        <w:tc>
          <w:tcPr>
            <w:tcW w:w="4302" w:type="dxa"/>
          </w:tcPr>
          <w:p>
            <w:pPr/>
            <w:r>
              <w:t xml:space="preserve">Системные эффекты, гуманные конечные точки</w:t>
            </w:r>
          </w:p>
        </w:tc>
      </w:tr>
      <w:tr>
        <w:tc>
          <w:tcPr>
            <w:tcW w:w="2439" w:type="dxa"/>
          </w:tcPr>
          <w:p>
            <w:pPr/>
            <w:r>
              <w:t xml:space="preserve">Раздражение и воспаление глаза</w:t>
            </w:r>
          </w:p>
        </w:tc>
        <w:tc>
          <w:tcPr>
            <w:tcW w:w="2619" w:type="dxa"/>
          </w:tcPr>
          <w:p>
            <w:pPr/>
            <w:r>
              <w:t xml:space="preserve">Щелевая лампа, шкала МакДональда–Шаддака</w:t>
            </w:r>
          </w:p>
        </w:tc>
        <w:tc>
          <w:tcPr>
            <w:tcW w:w="4302" w:type="dxa"/>
          </w:tcPr>
          <w:p>
            <w:pPr/>
            <w:r>
              <w:t xml:space="preserve">Стандартная шкала оценки глазной токсичности у кроликов</w:t>
            </w:r>
          </w:p>
        </w:tc>
      </w:tr>
      <w:tr>
        <w:tc>
          <w:tcPr>
            <w:tcW w:w="2439" w:type="dxa"/>
          </w:tcPr>
          <w:p>
            <w:pPr/>
            <w:r>
              <w:t xml:space="preserve">Внутриглазное давление</w:t>
            </w:r>
          </w:p>
        </w:tc>
        <w:tc>
          <w:tcPr>
            <w:tcW w:w="2619" w:type="dxa"/>
          </w:tcPr>
          <w:p>
            <w:pPr/>
            <w:r>
              <w:t xml:space="preserve">Тонометрия еженедельно</w:t>
            </w:r>
          </w:p>
        </w:tc>
        <w:tc>
          <w:tcPr>
            <w:tcW w:w="4302" w:type="dxa"/>
          </w:tcPr>
          <w:p>
            <w:pPr/>
            <w:r>
              <w:t xml:space="preserve">У людей глаукома — 3,5% случаев из-за стероидов (SmPC). У «Учёных» этой точки нет</w:t>
            </w:r>
          </w:p>
        </w:tc>
      </w:tr>
      <w:tr>
        <w:tc>
          <w:tcPr>
            <w:tcW w:w="2439" w:type="dxa"/>
          </w:tcPr>
          <w:p>
            <w:pPr/>
            <w:r>
              <w:t xml:space="preserve">Изъязвление, расплавление, перфорация, инфекция</w:t>
            </w:r>
          </w:p>
        </w:tc>
        <w:tc>
          <w:tcPr>
            <w:tcW w:w="2619" w:type="dxa"/>
          </w:tcPr>
          <w:p>
            <w:pPr/>
            <w:r>
              <w:t xml:space="preserve">Осмотр с флуоресцеином</w:t>
            </w:r>
          </w:p>
        </w:tc>
        <w:tc>
          <w:tcPr>
            <w:tcW w:w="4302" w:type="dxa"/>
          </w:tcPr>
          <w:p>
            <w:pPr/>
            <w:r>
              <w:t xml:space="preserve">Самые серьёзные реакции у людей приходятся на первые 3 месяца</w:t>
            </w:r>
          </w:p>
        </w:tc>
      </w:tr>
      <w:tr>
        <w:tc>
          <w:tcPr>
            <w:tcW w:w="2439" w:type="dxa"/>
          </w:tcPr>
          <w:p>
            <w:pPr/>
            <w:r>
              <w:t xml:space="preserve">Толщина роговицы и эпителия</w:t>
            </w:r>
          </w:p>
        </w:tc>
        <w:tc>
          <w:tcPr>
            <w:tcW w:w="2619" w:type="dxa"/>
          </w:tcPr>
          <w:p>
            <w:pPr/>
            <w:r>
              <w:t xml:space="preserve">ОКТ переднего отрезка</w:t>
            </w:r>
          </w:p>
        </w:tc>
        <w:tc>
          <w:tcPr>
            <w:tcW w:w="4302" w:type="dxa"/>
          </w:tcPr>
          <w:p>
            <w:pPr/>
            <w:r>
              <w:t xml:space="preserve">Отёк, гиперплазия эпителия</w:t>
            </w:r>
          </w:p>
        </w:tc>
      </w:tr>
      <w:tr>
        <w:tc>
          <w:tcPr>
            <w:tcW w:w="2439" w:type="dxa"/>
          </w:tcPr>
          <w:p>
            <w:pPr/>
            <w:r>
              <w:t xml:space="preserve">Гистопатология всего глаза, век, конъюнктивы, регионарных лимфоузлов</w:t>
            </w:r>
          </w:p>
        </w:tc>
        <w:tc>
          <w:tcPr>
            <w:tcW w:w="2619" w:type="dxa"/>
          </w:tcPr>
          <w:p>
            <w:pPr/>
            <w:r>
              <w:t xml:space="preserve">На финальной точке</w:t>
            </w:r>
          </w:p>
        </w:tc>
        <w:tc>
          <w:tcPr>
            <w:tcW w:w="4302" w:type="dxa"/>
          </w:tcPr>
          <w:p>
            <w:pPr/>
            <w:r>
              <w:t xml:space="preserve">Нет ли прорастания в строму, переднюю камеру, атипии. У «Учёных» оценивается только роговица</w:t>
            </w:r>
          </w:p>
        </w:tc>
      </w:tr>
      <w:tr>
        <w:tc>
          <w:tcPr>
            <w:tcW w:w="2439" w:type="dxa"/>
          </w:tcPr>
          <w:p>
            <w:pPr/>
            <w:r>
              <w:t xml:space="preserve">Судьба пересаженных клеток</w:t>
            </w:r>
          </w:p>
        </w:tc>
        <w:tc>
          <w:tcPr>
            <w:tcW w:w="2619" w:type="dxa"/>
          </w:tcPr>
          <w:p>
            <w:pPr/>
            <w:r>
              <w:t xml:space="preserve">Сателлитная подгруппа (3 животных): клетки мечены липофильным красителем (PKH26 или CM-DiI), оценка на 7-е и 30-е сутки</w:t>
            </w:r>
          </w:p>
        </w:tc>
        <w:tc>
          <w:tcPr>
            <w:tcW w:w="4302" w:type="dxa"/>
          </w:tcPr>
          <w:p>
            <w:pPr/>
            <w:r>
              <w:t xml:space="preserve">Доказать, что клетки прижились и остаются на поверхности. Краситель разбавляется при делении, поэтому сроки короткие</w:t>
            </w:r>
          </w:p>
        </w:tc>
      </w:tr>
    </w:tbl>
    <w:p>
      <w:pPr>
        <w:pStyle w:val="Heading3"/>
      </w:pPr>
      <w:r>
        <w:t xml:space="preserve">Блок Г. Безопасность донорского глаза</w:t>
      </w:r>
    </w:p>
    <w:p>
      <w:pPr/>
      <w:r>
        <w:t xml:space="preserve">Биопсия 1–2 мм² берётся со здорового глаза каждого животного. Оцениваем время заживления дефекта (флуоресцеин ежедневно до закрытия), отсутствие помутнения и сосудов в зоне забора. На финальной точке — ИГХ лимба донорского глаза на p63. Ориентир из клиники: при SLET на 125 глазах место забора заживало за неделю, осложнений не было (</w:t>
      </w:r>
      <w:hyperlink r:id="rId8" w:history="1">
        <w:r>
          <w:rPr>
            <w:rStyle w:val="Hyperlink"/>
          </w:rPr>
          <w:t xml:space="preserve">Basu 2016</w:t>
        </w:r>
      </w:hyperlink>
      <w:r>
        <w:t xml:space="preserve">).</w:t>
      </w:r>
    </w:p>
    <w:p>
      <w:pPr>
        <w:pStyle w:val="Heading3"/>
      </w:pPr>
      <w:r>
        <w:t xml:space="preserve">Что не проводим и почему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Исследование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Почему не нужно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Фармакокинетика</w:t>
            </w:r>
          </w:p>
        </w:tc>
        <w:tc>
          <w:tcPr>
            <w:tcW w:w="4920" w:type="dxa"/>
          </w:tcPr>
          <w:p>
            <w:pPr/>
            <w:r>
              <w:t xml:space="preserve">Продукт не попадает в кровоток и не метаболизуется как вещество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Острая и хроническая системная токсичность</w:t>
            </w:r>
          </w:p>
        </w:tc>
        <w:tc>
          <w:tcPr>
            <w:tcW w:w="4920" w:type="dxa"/>
          </w:tcPr>
          <w:p>
            <w:pPr/>
            <w:r>
              <w:t xml:space="preserve">Введение местное и однократное; нет «дозы», которую можно наращивать до токсической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Генотоксичность</w:t>
            </w:r>
          </w:p>
        </w:tc>
        <w:tc>
          <w:tcPr>
            <w:tcW w:w="4920" w:type="dxa"/>
          </w:tcPr>
          <w:p>
            <w:pPr/>
            <w:r>
              <w:t xml:space="preserve">Клетки не модифицированы, нового химического вещества нет. Генетическая стабильность проверяется кариотипированием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Канцерогенность</w:t>
            </w:r>
          </w:p>
        </w:tc>
        <w:tc>
          <w:tcPr>
            <w:tcW w:w="4920" w:type="dxa"/>
          </w:tcPr>
          <w:p>
            <w:pPr/>
            <w:r>
              <w:t xml:space="preserve">Заменена тестами на туморогенность (блок Б)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Репродуктивная токсичность</w:t>
            </w:r>
          </w:p>
        </w:tc>
        <w:tc>
          <w:tcPr>
            <w:tcW w:w="4920" w:type="dxa"/>
          </w:tcPr>
          <w:p>
            <w:pPr/>
            <w:r>
              <w:t xml:space="preserve">Признана нерелевантной для аутологичного продукта (SmPC Holoclar, 5.3). В клинике — отложить применение при беременности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Иммунотоксичность на животных</w:t>
            </w:r>
          </w:p>
        </w:tc>
        <w:tc>
          <w:tcPr>
            <w:tcW w:w="4920" w:type="dxa"/>
          </w:tcPr>
          <w:p>
            <w:pPr/>
            <w:r>
              <w:t xml:space="preserve">Клетки собственные. Человеческий продукт в животном дал бы ксенотрансплантацию с другой биологией. Риск аллергии на мышиные и бычьи компоненты закрывается противопоказанием</w:t>
            </w:r>
          </w:p>
        </w:tc>
      </w:tr>
    </w:tbl>
    <w:p>
      <w:pPr>
        <w:pStyle w:val="Heading2"/>
      </w:pPr>
      <w:r>
        <w:t xml:space="preserve">6. Исследования эффективности</w:t>
      </w:r>
    </w:p>
    <w:p>
      <w:pPr/>
      <w:r>
        <w:t xml:space="preserve">Берём дизайн «Учёных» за основу и вносим в него исправления из раздела 3. Итоговый опыт: 57 кроликов, тотальная ЛСКН, трансплантация через 5 недель после ожога, основная оценка на 90-е сутки, долгосрочная — на 180-е.</w:t>
      </w:r>
    </w:p>
    <w:p>
      <w:pPr>
        <w:pStyle w:val="Heading3"/>
      </w:pPr>
      <w:r>
        <w:t xml:space="preserve">Индукция модели</w:t>
      </w:r>
    </w:p>
    <w:p>
      <w:pPr>
        <w:pStyle w:val="ListParagraph"/>
        <w:numPr>
          <w:ilvl w:val="0"/>
          <w:numId w:val="3"/>
        </w:numPr>
      </w:pPr>
      <w:r>
        <w:t xml:space="preserve">День 0: лимбэктомия 360° опытного глаза под общей анестезией.</w:t>
      </w:r>
    </w:p>
    <w:p>
      <w:pPr>
        <w:pStyle w:val="ListParagraph"/>
        <w:numPr>
          <w:ilvl w:val="0"/>
          <w:numId w:val="3"/>
        </w:numPr>
      </w:pPr>
      <w:r>
        <w:t xml:space="preserve">День 7: щелочной ожог зоны лимба 1 M NaOH, 30 секунд, промывание фосфатно-солевым буфером 20 минут (протокол Yu 2024).</w:t>
      </w:r>
    </w:p>
    <w:p>
      <w:pPr>
        <w:pStyle w:val="ListParagraph"/>
        <w:numPr>
          <w:ilvl w:val="0"/>
          <w:numId w:val="3"/>
        </w:numPr>
      </w:pPr>
      <w:r>
        <w:t xml:space="preserve">Обезболивание по протоколу, согласованному с комиссией по биоэтике. Гуманная конечная точка — перфорация роговицы или некупируемая боль.</w:t>
      </w:r>
    </w:p>
    <w:p>
      <w:pPr>
        <w:pStyle w:val="ListParagraph"/>
        <w:numPr>
          <w:ilvl w:val="0"/>
          <w:numId w:val="3"/>
        </w:numPr>
      </w:pPr>
      <w:r>
        <w:t xml:space="preserve">День 21: биопсия 1–2 мм² верхнего лимба здорового глаза, культивирование и тесты выпуска (блок А).</w:t>
      </w:r>
    </w:p>
    <w:p>
      <w:pPr>
        <w:pStyle w:val="ListParagraph"/>
        <w:numPr>
          <w:ilvl w:val="0"/>
          <w:numId w:val="3"/>
        </w:numPr>
      </w:pPr>
      <w:r>
        <w:t xml:space="preserve">День 42: решающая верификация ЛСКН. Все четыре признака: неоваскуляризация не менее чем в 2 квадрантах с вовлечением центра, позднее прокрашивание флуоресцеином, бокаловидные клетки на импрессионной цитологии, отсутствие K12 в центре. Нет хотя бы одного — животное выбывает до рандомизации, с учётом в отчёте.</w:t>
      </w:r>
    </w:p>
    <w:p>
      <w:pPr>
        <w:pStyle w:val="ListParagraph"/>
        <w:numPr>
          <w:ilvl w:val="0"/>
          <w:numId w:val="3"/>
        </w:numPr>
      </w:pPr>
      <w:r>
        <w:t xml:space="preserve">День 42: рандомизация и трансплантация. Далее сроки считаются от операции.</w:t>
      </w:r>
    </w:p>
    <w:p>
      <w:pPr/>
      <w:r>
        <w:drawing>
          <wp:inline distT="0" distB="0" distL="0" distR="0">
            <wp:extent cx="5486400" cy="2596242"/>
            <wp:docPr id="1" name="image1" descr="сроки эксперимента · от лимбэктомии до 180-х суток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сроки эксперимента · от лимбэктомии до 180-х суток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сроки эксперимента · от лимбэктомии до 180-х суток</w:t>
      </w:r>
    </w:p>
    <w:p>
      <w:pPr/>
      <w:r>
        <w:t xml:space="preserve">Между ожогом и пересадкой 35 суток: острая фаза прошла, и ЛСКН проверяется непосредственно перед рандомизацией.</w:t>
      </w:r>
    </w:p>
    <w:p>
      <w:pPr>
        <w:pStyle w:val="Heading3"/>
      </w:pPr>
      <w:r>
        <w:t xml:space="preserve">Группы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02"/>
        <w:gridCol w:w="1801"/>
        <w:gridCol w:w="2901"/>
        <w:gridCol w:w="2456"/>
      </w:tblGrid>
      <w:tr>
        <w:trPr>
          <w:tblHeader/>
        </w:trPr>
        <w:tc>
          <w:tcPr>
            <w:tcW w:w="2202" w:type="dxa"/>
            <w:shd w:val="clear" w:color="auto" w:fill="F2F2F2"/>
          </w:tcPr>
          <w:p>
            <w:pPr/>
            <w:r>
              <w:t xml:space="preserve">Группа</w:t>
            </w:r>
          </w:p>
        </w:tc>
        <w:tc>
          <w:tcPr>
            <w:tcW w:w="1801" w:type="dxa"/>
            <w:shd w:val="clear" w:color="auto" w:fill="F2F2F2"/>
          </w:tcPr>
          <w:p>
            <w:pPr/>
            <w:r>
              <w:t xml:space="preserve">n (с запасом)</w:t>
            </w:r>
          </w:p>
        </w:tc>
        <w:tc>
          <w:tcPr>
            <w:tcW w:w="2901" w:type="dxa"/>
            <w:shd w:val="clear" w:color="auto" w:fill="F2F2F2"/>
          </w:tcPr>
          <w:p>
            <w:pPr/>
            <w:r>
              <w:t xml:space="preserve">Что получает</w:t>
            </w:r>
          </w:p>
        </w:tc>
        <w:tc>
          <w:tcPr>
            <w:tcW w:w="2456" w:type="dxa"/>
            <w:shd w:val="clear" w:color="auto" w:fill="F2F2F2"/>
          </w:tcPr>
          <w:p>
            <w:pPr/>
            <w:r>
              <w:t xml:space="preserve">Вопрос</w:t>
            </w:r>
          </w:p>
        </w:tc>
      </w:tr>
      <w:tr>
        <w:tc>
          <w:tcPr>
            <w:tcW w:w="2202" w:type="dxa"/>
          </w:tcPr>
          <w:p>
            <w:pPr/>
            <w:r>
              <w:t xml:space="preserve">1. Опыт</w:t>
            </w:r>
          </w:p>
        </w:tc>
        <w:tc>
          <w:tcPr>
            <w:tcW w:w="1801" w:type="dxa"/>
          </w:tcPr>
          <w:p>
            <w:pPr/>
            <w:r>
              <w:t xml:space="preserve">14</w:t>
            </w:r>
          </w:p>
        </w:tc>
        <w:tc>
          <w:tcPr>
            <w:tcW w:w="2901" w:type="dxa"/>
          </w:tcPr>
          <w:p>
            <w:pPr/>
            <w:r>
              <w:t xml:space="preserve">Полноценный пласт, p63-bright более 3% от клоногенных</w:t>
            </w:r>
          </w:p>
        </w:tc>
        <w:tc>
          <w:tcPr>
            <w:tcW w:w="2456" w:type="dxa"/>
          </w:tcPr>
          <w:p>
            <w:pPr/>
            <w:r>
              <w:t xml:space="preserve">Работает ли терапия</w:t>
            </w:r>
          </w:p>
        </w:tc>
      </w:tr>
      <w:tr>
        <w:tc>
          <w:tcPr>
            <w:tcW w:w="2202" w:type="dxa"/>
          </w:tcPr>
          <w:p>
            <w:pPr/>
            <w:r>
              <w:t xml:space="preserve">2. Носитель</w:t>
            </w:r>
          </w:p>
        </w:tc>
        <w:tc>
          <w:tcPr>
            <w:tcW w:w="1801" w:type="dxa"/>
          </w:tcPr>
          <w:p>
            <w:pPr/>
            <w:r>
              <w:t xml:space="preserve">14</w:t>
            </w:r>
          </w:p>
        </w:tc>
        <w:tc>
          <w:tcPr>
            <w:tcW w:w="2901" w:type="dxa"/>
          </w:tcPr>
          <w:p>
            <w:pPr/>
            <w:r>
              <w:t xml:space="preserve">Фибрин без клеток, та же операция</w:t>
            </w:r>
          </w:p>
        </w:tc>
        <w:tc>
          <w:tcPr>
            <w:tcW w:w="2456" w:type="dxa"/>
          </w:tcPr>
          <w:p>
            <w:pPr/>
            <w:r>
              <w:t xml:space="preserve">Не объясняется ли эффект хирургией</w:t>
            </w:r>
          </w:p>
        </w:tc>
      </w:tr>
      <w:tr>
        <w:tc>
          <w:tcPr>
            <w:tcW w:w="2202" w:type="dxa"/>
          </w:tcPr>
          <w:p>
            <w:pPr/>
            <w:r>
              <w:t xml:space="preserve">3. Обеднённая</w:t>
            </w:r>
          </w:p>
        </w:tc>
        <w:tc>
          <w:tcPr>
            <w:tcW w:w="1801" w:type="dxa"/>
          </w:tcPr>
          <w:p>
            <w:pPr/>
            <w:r>
              <w:t xml:space="preserve">14</w:t>
            </w:r>
          </w:p>
        </w:tc>
        <w:tc>
          <w:tcPr>
            <w:tcW w:w="2901" w:type="dxa"/>
          </w:tcPr>
          <w:p>
            <w:pPr/>
            <w:r>
              <w:t xml:space="preserve">Пласт той же плотности и площади, p63-bright ниже 3% (дополнительные пассажи)</w:t>
            </w:r>
          </w:p>
        </w:tc>
        <w:tc>
          <w:tcPr>
            <w:tcW w:w="2456" w:type="dxa"/>
          </w:tcPr>
          <w:p>
            <w:pPr/>
            <w:r>
              <w:t xml:space="preserve">Зависит ли исход от доли стволовых клеток</w:t>
            </w:r>
          </w:p>
        </w:tc>
      </w:tr>
      <w:tr>
        <w:tc>
          <w:tcPr>
            <w:tcW w:w="2202" w:type="dxa"/>
          </w:tcPr>
          <w:p>
            <w:pPr/>
            <w:r>
              <w:t xml:space="preserve">4. Долгосрочная</w:t>
            </w:r>
          </w:p>
        </w:tc>
        <w:tc>
          <w:tcPr>
            <w:tcW w:w="1801" w:type="dxa"/>
          </w:tcPr>
          <w:p>
            <w:pPr/>
            <w:r>
              <w:t xml:space="preserve">6 + 6</w:t>
            </w:r>
          </w:p>
        </w:tc>
        <w:tc>
          <w:tcPr>
            <w:tcW w:w="2901" w:type="dxa"/>
          </w:tcPr>
          <w:p>
            <w:pPr/>
            <w:r>
              <w:t xml:space="preserve">Как группы 1 и 2, наблюдение до 180 суток</w:t>
            </w:r>
          </w:p>
        </w:tc>
        <w:tc>
          <w:tcPr>
            <w:tcW w:w="2456" w:type="dxa"/>
          </w:tcPr>
          <w:p>
            <w:pPr/>
            <w:r>
              <w:t xml:space="preserve">Стабилен ли эффект; нет ли позднего самовосстановления или опухолей</w:t>
            </w:r>
          </w:p>
        </w:tc>
      </w:tr>
      <w:tr>
        <w:tc>
          <w:tcPr>
            <w:tcW w:w="2202" w:type="dxa"/>
          </w:tcPr>
          <w:p>
            <w:pPr/>
            <w:r>
              <w:t xml:space="preserve">5. Судьба клеток</w:t>
            </w:r>
          </w:p>
        </w:tc>
        <w:tc>
          <w:tcPr>
            <w:tcW w:w="1801" w:type="dxa"/>
          </w:tcPr>
          <w:p>
            <w:pPr/>
            <w:r>
              <w:t xml:space="preserve">3</w:t>
            </w:r>
          </w:p>
        </w:tc>
        <w:tc>
          <w:tcPr>
            <w:tcW w:w="2901" w:type="dxa"/>
          </w:tcPr>
          <w:p>
            <w:pPr/>
            <w:r>
              <w:t xml:space="preserve">Пласт из меченых клеток</w:t>
            </w:r>
          </w:p>
        </w:tc>
        <w:tc>
          <w:tcPr>
            <w:tcW w:w="2456" w:type="dxa"/>
          </w:tcPr>
          <w:p>
            <w:pPr/>
            <w:r>
              <w:t xml:space="preserve">Где клетки на 7-е и 30-е сутки</w:t>
            </w:r>
          </w:p>
        </w:tc>
      </w:tr>
    </w:tbl>
    <w:p>
      <w:pPr/>
      <w:r>
        <w:t xml:space="preserve">Рандомизация блочная, по компьютерному списку. Пласты и фибрин приходят из лаборатории под кодом, поэтому хирург и оценщики не знают группу. Послеоперационная терапия стероидами и антибиотиком одинакова во всех группах.</w:t>
      </w:r>
    </w:p>
    <w:p>
      <w:pPr>
        <w:pStyle w:val="Heading3"/>
      </w:pPr>
      <w:r>
        <w:t xml:space="preserve">Конечные точки</w:t>
      </w:r>
    </w:p>
    <w:p>
      <w:pPr/>
      <w:r>
        <w:t xml:space="preserve">Первичная точка — доля успехов на 90-е сутки. Успех задан заранее и только при выполнении всех трёх условий:</w:t>
      </w:r>
    </w:p>
    <w:p>
      <w:pPr>
        <w:pStyle w:val="ListParagraph"/>
        <w:numPr>
          <w:ilvl w:val="0"/>
          <w:numId w:val="4"/>
        </w:numPr>
      </w:pPr>
      <w:r>
        <w:t xml:space="preserve">нет прокрашивания флуоресцеином (полная эпителизация);</w:t>
      </w:r>
    </w:p>
    <w:p>
      <w:pPr>
        <w:pStyle w:val="ListParagraph"/>
        <w:numPr>
          <w:ilvl w:val="0"/>
          <w:numId w:val="4"/>
        </w:numPr>
      </w:pPr>
      <w:r>
        <w:t xml:space="preserve">сосуды не доходят до центральных 5 мм роговицы;</w:t>
      </w:r>
    </w:p>
    <w:p>
      <w:pPr>
        <w:pStyle w:val="ListParagraph"/>
        <w:numPr>
          <w:ilvl w:val="0"/>
          <w:numId w:val="4"/>
        </w:numPr>
      </w:pPr>
      <w:r>
        <w:t xml:space="preserve">в центре K12+, при этом K13 и MUC5AC отрицательны, PAS-положительных бокаловидных клеток нет.</w:t>
      </w:r>
    </w:p>
    <w:p>
      <w:pPr/>
      <w:r>
        <w:t xml:space="preserve">Вторичные точки измеряются на 7, 14, 30, 60 и 90-е сутки без убоя животного, чтобы видеть динамику.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4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Точка</w:t>
            </w:r>
          </w:p>
        </w:tc>
        <w:tc>
          <w:tcPr>
            <w:tcW w:w="4440" w:type="dxa"/>
            <w:shd w:val="clear" w:color="auto" w:fill="F2F2F2"/>
          </w:tcPr>
          <w:p>
            <w:pPr/>
            <w:r>
              <w:t xml:space="preserve">Метод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Площадь эпителиального дефекта, мм²</w:t>
            </w:r>
          </w:p>
        </w:tc>
        <w:tc>
          <w:tcPr>
            <w:tcW w:w="4440" w:type="dxa"/>
          </w:tcPr>
          <w:p>
            <w:pPr/>
            <w:r>
              <w:t xml:space="preserve">Флуоресцеин, фото, анализ изображения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Неоваскуляризация, число квадрантов и % площади</w:t>
            </w:r>
          </w:p>
        </w:tc>
        <w:tc>
          <w:tcPr>
            <w:tcW w:w="4440" w:type="dxa"/>
          </w:tcPr>
          <w:p>
            <w:pPr/>
            <w:r>
              <w:t xml:space="preserve">Фото на щелевой лампе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Помутнение, баллы</w:t>
            </w:r>
          </w:p>
        </w:tc>
        <w:tc>
          <w:tcPr>
            <w:tcW w:w="4440" w:type="dxa"/>
          </w:tcPr>
          <w:p>
            <w:pPr/>
            <w:r>
              <w:t xml:space="preserve">Полуколичественная шкала, слепой оценщик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Бокаловидные клетки на роговице</w:t>
            </w:r>
          </w:p>
        </w:tc>
        <w:tc>
          <w:tcPr>
            <w:tcW w:w="4440" w:type="dxa"/>
          </w:tcPr>
          <w:p>
            <w:pPr/>
            <w:r>
              <w:t xml:space="preserve">Импрессионная цитология, PAS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Толщина эпителия, мкм</w:t>
            </w:r>
          </w:p>
        </w:tc>
        <w:tc>
          <w:tcPr>
            <w:tcW w:w="4440" w:type="dxa"/>
          </w:tcPr>
          <w:p>
            <w:pPr/>
            <w:r>
              <w:t xml:space="preserve">ОКТ переднего отрезка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Время до полной эпителизации, сутки</w:t>
            </w:r>
          </w:p>
        </w:tc>
        <w:tc>
          <w:tcPr>
            <w:tcW w:w="4440" w:type="dxa"/>
          </w:tcPr>
          <w:p>
            <w:pPr/>
            <w:r>
              <w:t xml:space="preserve">Ежедневный осмотр до закрытия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Восстановление пула p63+ / ABCG2+ в лимбе</w:t>
            </w:r>
          </w:p>
        </w:tc>
        <w:tc>
          <w:tcPr>
            <w:tcW w:w="4440" w:type="dxa"/>
          </w:tcPr>
          <w:p>
            <w:pPr/>
            <w:r>
              <w:t xml:space="preserve">ИГХ на финальной точке</w:t>
            </w:r>
          </w:p>
        </w:tc>
      </w:tr>
    </w:tbl>
    <w:p>
      <w:pPr>
        <w:pStyle w:val="Heading3"/>
      </w:pPr>
      <w:r>
        <w:t xml:space="preserve">Статистика</w:t>
      </w:r>
    </w:p>
    <w:p>
      <w:pPr>
        <w:pStyle w:val="ListParagraph"/>
        <w:numPr>
          <w:ilvl w:val="0"/>
          <w:numId w:val="5"/>
        </w:numPr>
      </w:pPr>
      <w:r>
        <w:t xml:space="preserve">Доля успехов: точный тест Фишера, два сравнения (опыт против носителя, опыт против обеднённой), поправка Холма, α = 0,05.</w:t>
      </w:r>
    </w:p>
    <w:p>
      <w:pPr>
        <w:pStyle w:val="ListParagraph"/>
        <w:numPr>
          <w:ilvl w:val="0"/>
          <w:numId w:val="5"/>
        </w:numPr>
      </w:pPr>
      <w:r>
        <w:t xml:space="preserve">Связь «доля p63-bright — успех»: логистическая регрессия по всем животным с клеточным пластом.</w:t>
      </w:r>
    </w:p>
    <w:p>
      <w:pPr>
        <w:pStyle w:val="ListParagraph"/>
        <w:numPr>
          <w:ilvl w:val="0"/>
          <w:numId w:val="5"/>
        </w:numPr>
      </w:pPr>
      <w:r>
        <w:t xml:space="preserve">Повторные измерения (площадь дефекта, сосуды): смешанная модель.</w:t>
      </w:r>
    </w:p>
    <w:p>
      <w:pPr>
        <w:pStyle w:val="ListParagraph"/>
        <w:numPr>
          <w:ilvl w:val="0"/>
          <w:numId w:val="5"/>
        </w:numPr>
      </w:pPr>
      <w:r>
        <w:t xml:space="preserve">В анализ идут все рандомизированные животные. Выбывшие после рандомизации считаются неудачей.</w:t>
      </w:r>
    </w:p>
    <w:p>
      <w:pPr>
        <w:pStyle w:val="Heading3"/>
      </w:pPr>
      <w:r>
        <w:t xml:space="preserve">Критерии успеха опыта</w:t>
      </w:r>
    </w:p>
    <w:p>
      <w:pPr/>
      <w:r>
        <w:t xml:space="preserve">Оставляем пороги «Учёных»: не менее 70% успехов в опытной группе и достоверное превосходство над обеими контролями. Добавляем два условия безопасности:</w:t>
      </w:r>
    </w:p>
    <w:p>
      <w:pPr>
        <w:pStyle w:val="ListParagraph"/>
        <w:numPr>
          <w:ilvl w:val="0"/>
          <w:numId w:val="6"/>
        </w:numPr>
      </w:pPr>
      <w:r>
        <w:t xml:space="preserve">нет опухолей и прорастания клеток глубже роговицы в гистологии;</w:t>
      </w:r>
    </w:p>
    <w:p>
      <w:pPr>
        <w:pStyle w:val="ListParagraph"/>
        <w:numPr>
          <w:ilvl w:val="0"/>
          <w:numId w:val="6"/>
        </w:numPr>
      </w:pPr>
      <w:r>
        <w:t xml:space="preserve">частота перфораций и инфекций в опытной группе не выше, чем в группе носителя.</w:t>
      </w:r>
    </w:p>
    <w:p>
      <w:pPr/>
      <w:r>
        <w:t xml:space="preserve">Итого животных: 14 × 3 + 12 + 3 = 57. Это на 37 больше, чем у «Учёных». Но опыт на 20 животных, который не может дать ответа, с точки зрения 3R хуже: животные использованы, а вывода нет.</w:t>
      </w:r>
    </w:p>
    <w:p>
      <w:pPr>
        <w:pStyle w:val="Heading2"/>
      </w:pPr>
      <w:r>
        <w:t xml:space="preserve">7. Заключение и что передаём дальше</w:t>
      </w:r>
    </w:p>
    <w:p>
      <w:pPr/>
      <w:r>
        <w:t xml:space="preserve">Заключение: переход к клиническим исследованиям возможен при выполнении программы из разделов 5 и 6 и при достижении критериев успеха. Сведений, которые запрещали бы применение у человека, не найдено. Зарегистрированный аналог с тем же механизмом применяется в ЕС с 2015 года.</w:t>
      </w:r>
    </w:p>
    <w:p>
      <w:pPr>
        <w:pStyle w:val="Heading3"/>
      </w:pPr>
      <w:r>
        <w:t xml:space="preserve">Условия перехода</w:t>
      </w:r>
    </w:p>
    <w:p>
      <w:pPr>
        <w:pStyle w:val="ListParagraph"/>
        <w:numPr>
          <w:ilvl w:val="0"/>
          <w:numId w:val="7"/>
        </w:numPr>
      </w:pPr>
      <w:r>
        <w:t xml:space="preserve">☐ Исправления 1–5 внесены в протокол «Учёных»</w:t>
      </w:r>
    </w:p>
    <w:p>
      <w:pPr>
        <w:pStyle w:val="ListParagraph"/>
        <w:numPr>
          <w:ilvl w:val="0"/>
          <w:numId w:val="7"/>
        </w:numPr>
      </w:pPr>
      <w:r>
        <w:t xml:space="preserve">☐ Блок А: все серии прошли критерии выпуска</w:t>
      </w:r>
    </w:p>
    <w:p>
      <w:pPr>
        <w:pStyle w:val="ListParagraph"/>
        <w:numPr>
          <w:ilvl w:val="0"/>
          <w:numId w:val="7"/>
        </w:numPr>
      </w:pPr>
      <w:r>
        <w:t xml:space="preserve">☐ Блок Б: нет нарушений кариотипа, нет роста в мягком агаре</w:t>
      </w:r>
    </w:p>
    <w:p>
      <w:pPr>
        <w:pStyle w:val="ListParagraph"/>
        <w:numPr>
          <w:ilvl w:val="0"/>
          <w:numId w:val="7"/>
        </w:numPr>
      </w:pPr>
      <w:r>
        <w:t xml:space="preserve">☐ Раздел 6: не менее 70% успехов, превосходство над носителем и обеднённой группой</w:t>
      </w:r>
    </w:p>
    <w:p>
      <w:pPr>
        <w:pStyle w:val="ListParagraph"/>
        <w:numPr>
          <w:ilvl w:val="0"/>
          <w:numId w:val="7"/>
        </w:numPr>
      </w:pPr>
      <w:r>
        <w:t xml:space="preserve">☐ Блоки В и Г: нет опухолей, инвазии, вреда донорскому глазу</w:t>
      </w:r>
    </w:p>
    <w:p>
      <w:pPr>
        <w:pStyle w:val="Heading3"/>
      </w:pPr>
      <w:r>
        <w:t xml:space="preserve">Что получает «Клиника»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Из доклиники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Как использовать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Способ введения — только местная имплантация пласта</w:t>
            </w:r>
          </w:p>
        </w:tc>
        <w:tc>
          <w:tcPr>
            <w:tcW w:w="4920" w:type="dxa"/>
          </w:tcPr>
          <w:p>
            <w:pPr/>
            <w:r>
              <w:t xml:space="preserve">Та же операция, что у животных; внутривенное и другие пути безсмысленны при заместительном механизме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Контроль ВГД</w:t>
            </w:r>
          </w:p>
        </w:tc>
        <w:tc>
          <w:tcPr>
            <w:tcW w:w="4920" w:type="dxa"/>
          </w:tcPr>
          <w:p>
            <w:pPr/>
            <w:r>
              <w:t xml:space="preserve">Включить в план наблюдения: стероиды — источник глаукомы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Основной риск — первые 3 месяца</w:t>
            </w:r>
          </w:p>
        </w:tc>
        <w:tc>
          <w:tcPr>
            <w:tcW w:w="4920" w:type="dxa"/>
          </w:tcPr>
          <w:p>
            <w:pPr/>
            <w:r>
              <w:t xml:space="preserve">Частые осмотры в этот период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Противопоказание — гиперчувствительность к бычьей сыворотке и мышиным клеткам</w:t>
            </w:r>
          </w:p>
        </w:tc>
        <w:tc>
          <w:tcPr>
            <w:tcW w:w="4920" w:type="dxa"/>
          </w:tcPr>
          <w:p>
            <w:pPr/>
            <w:r>
              <w:t xml:space="preserve">Следует из состава производства (блок А)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Дети и беременные</w:t>
            </w:r>
          </w:p>
        </w:tc>
        <w:tc>
          <w:tcPr>
            <w:tcW w:w="4920" w:type="dxa"/>
          </w:tcPr>
          <w:p>
            <w:pPr/>
            <w:r>
              <w:t xml:space="preserve">Доклинических данных нет, в первое исследование не включать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Донорский глаз</w:t>
            </w:r>
          </w:p>
        </w:tc>
        <w:tc>
          <w:tcPr>
            <w:tcW w:w="4920" w:type="dxa"/>
          </w:tcPr>
          <w:p>
            <w:pPr/>
            <w:r>
              <w:t xml:space="preserve">Отдельная точка безопасности у каждого пациента</w:t>
            </w:r>
          </w:p>
        </w:tc>
      </w:tr>
    </w:tbl>
    <w:p>
      <w:pPr>
        <w:pStyle w:val="Heading3"/>
      </w:pPr>
      <w:r>
        <w:t xml:space="preserve">Что получает «Регистрация»</w:t>
      </w:r>
    </w:p>
    <w:p>
      <w:pPr>
        <w:pStyle w:val="ListParagraph"/>
        <w:numPr>
          <w:ilvl w:val="0"/>
          <w:numId w:val="8"/>
        </w:numPr>
      </w:pPr>
      <w:r>
        <w:t xml:space="preserve">Доклинический пакет шире, чем у Holoclar: там только туморогенность in vitro, у нас ещё модель на животных и местная токсичность. Это частично восполняет отсутствие долгой клинической истории.</w:t>
      </w:r>
    </w:p>
    <w:p>
      <w:pPr>
        <w:pStyle w:val="ListParagraph"/>
        <w:numPr>
          <w:ilvl w:val="0"/>
          <w:numId w:val="8"/>
        </w:numPr>
      </w:pPr>
      <w:r>
        <w:t xml:space="preserve">Отказ от классической токсикологии обоснован риск-ориентированным подходом EMA и прецедентом Holoclar.</w:t>
      </w:r>
    </w:p>
    <w:p>
      <w:pPr>
        <w:pStyle w:val="ListParagraph"/>
        <w:numPr>
          <w:ilvl w:val="0"/>
          <w:numId w:val="8"/>
        </w:numPr>
      </w:pPr>
      <w:r>
        <w:t xml:space="preserve">Критерий качества формулировать с знаменателем: «p63-bright более 3% от клоногенных клеток». С 3,5% Holoclar напрямую не сравнивать.</w:t>
      </w:r>
    </w:p>
    <w:p>
      <w:pPr>
        <w:pStyle w:val="ListParagraph"/>
        <w:numPr>
          <w:ilvl w:val="0"/>
          <w:numId w:val="8"/>
        </w:numPr>
      </w:pPr>
      <w:r>
        <w:t xml:space="preserve">Исследования безопасности вести по GLP (ТКП 125-2008), иначе данные могут не принять при экспертизе.</w:t>
      </w:r>
    </w:p>
    <w:p>
      <w:pPr>
        <w:pStyle w:val="Heading2"/>
      </w:pPr>
      <w:r>
        <w:t xml:space="preserve">8. Вероятные вопросы на защите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Почему вы критикуете «Учёных», если работаете вместе?</w:t>
            </w:r>
          </w:p>
        </w:tc>
        <w:tc>
          <w:tcPr>
            <w:tcW w:w="4920" w:type="dxa"/>
          </w:tcPr>
          <w:p>
            <w:pPr/>
            <w:r>
              <w:t xml:space="preserve">Мы не опровергаем выбор клеток и болезни. Мы усиливаем эксперимент, чтобы он доказал эффективность без оставленных возражений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Почему не центральный ожог — он проще?</w:t>
            </w:r>
          </w:p>
        </w:tc>
        <w:tc>
          <w:tcPr>
            <w:tcW w:w="4920" w:type="dxa"/>
          </w:tcPr>
          <w:p>
            <w:pPr/>
            <w:r>
              <w:t xml:space="preserve">При нём лимб цел и животное выздоравливает само. Это как изучать противорвотное на крысах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Зачем 57 животных вместо 20? Это неэтично</w:t>
            </w:r>
          </w:p>
        </w:tc>
        <w:tc>
          <w:tcPr>
            <w:tcW w:w="4920" w:type="dxa"/>
          </w:tcPr>
          <w:p>
            <w:pPr/>
            <w:r>
              <w:t xml:space="preserve">При 20 животных мощность главного сравнения 25–64%: опыт скорее всего не даст ответа. Неэтично использовать животных без вывода. Безопасность при этом оцениваем на тех же животных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Почему у Holoclar не было опытов на животных, а у вас есть?</w:t>
            </w:r>
          </w:p>
        </w:tc>
        <w:tc>
          <w:tcPr>
            <w:tcW w:w="4920" w:type="dxa"/>
          </w:tcPr>
          <w:p>
            <w:pPr/>
            <w:r>
              <w:t xml:space="preserve">Holoclar применяли у людей с 1997 года, и к моменту регистрации клинические данные давали больше, чем модель. У нового продукта такой истории нет, а условной регистрации в РБ не описано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В кролике ведь не человеческие клетки?</w:t>
            </w:r>
          </w:p>
        </w:tc>
        <w:tc>
          <w:tcPr>
            <w:tcW w:w="4920" w:type="dxa"/>
          </w:tcPr>
          <w:p>
            <w:pPr/>
            <w:r>
              <w:t xml:space="preserve">Да, это аналогичный продукт. Пересадка человеческих клеток кролику дала бы отторжение. Поэтому процесс и тесты выпуска строго те же, а туморогенность человеческих клеток проверяется отдельно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Как оцениваете онкологический риск?</w:t>
            </w:r>
          </w:p>
        </w:tc>
        <w:tc>
          <w:tcPr>
            <w:tcW w:w="4920" w:type="dxa"/>
          </w:tcPr>
          <w:p>
            <w:pPr/>
            <w:r>
              <w:t xml:space="preserve">Кариотип, рост в мягком агаре, зависимость от факторов роста; дополнительно — nude-мыши 16 недель; плюс гистология всего глаза у кроликов до 180 суток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Зачем тотальная ЛСКН, если половинная описана в статье?</w:t>
            </w:r>
          </w:p>
        </w:tc>
        <w:tc>
          <w:tcPr>
            <w:tcW w:w="4920" w:type="dxa"/>
          </w:tcPr>
          <w:p>
            <w:pPr/>
            <w:r>
              <w:t xml:space="preserve">Показание — тяжёлая ЛСКН с вовлечением центра. При половинной сохранившийся лимб способен частично восстановить поверхность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Как вы убедитесь, что вырос роговичный эпителий?</w:t>
            </w:r>
          </w:p>
        </w:tc>
        <w:tc>
          <w:tcPr>
            <w:tcW w:w="4920" w:type="dxa"/>
          </w:tcPr>
          <w:p>
            <w:pPr/>
            <w:r>
              <w:t xml:space="preserve">K12+ при отсутствии K13, MUC5AC и бокаловидных клеток. CK19 не используем: он есть и в лимбе, и в конъюнктиве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Что, если обеднённая группа не отличится от опытной?</w:t>
            </w:r>
          </w:p>
        </w:tc>
        <w:tc>
          <w:tcPr>
            <w:tcW w:w="4920" w:type="dxa"/>
          </w:tcPr>
          <w:p>
            <w:pPr/>
            <w:r>
              <w:t xml:space="preserve">Клетки помогают, но не замещением. Критерий 3% тогда надо пересмотреть вместе с «Учёными» до клиники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Почему не сделана репродуктивная токсичность?</w:t>
            </w:r>
          </w:p>
        </w:tc>
        <w:tc>
          <w:tcPr>
            <w:tcW w:w="4920" w:type="dxa"/>
          </w:tcPr>
          <w:p>
            <w:pPr/>
            <w:r>
              <w:t xml:space="preserve">Продукт аутологичный и местный, в кровоток не попадает. EMA признало такие исследования нерелевантными для Holoclar</w:t>
            </w:r>
          </w:p>
        </w:tc>
      </w:tr>
    </w:tbl>
    <w:p>
      <w:pPr>
        <w:pStyle w:val="Heading2"/>
      </w:pPr>
      <w:r>
        <w:t xml:space="preserve">Источники</w:t>
      </w:r>
    </w:p>
    <w:p>
      <w:pPr/>
      <w:r>
        <w:t xml:space="preserve">Расчёт мощности в разделе 3 выполнен самостоятельно: точный тест Фишера, α = 0,05, перебор всех исходов биномиального распределения. Задание и документы команды (теоретическая база, работа «Учёных») — исходные материалы проекта.</w:t>
      </w:r>
    </w:p>
    <w:p>
      <w:pPr/>
      <w:r>
        <w:rPr>
          <w:b/>
        </w:rPr>
        <w:t xml:space="preserve">Нормативные документы и руководства</w:t>
      </w:r>
    </w:p>
    <w:p>
      <w:pPr>
        <w:pStyle w:val="ListParagraph"/>
        <w:numPr>
          <w:ilvl w:val="0"/>
          <w:numId w:val="9"/>
        </w:numPr>
      </w:pPr>
      <w:r>
        <w:t xml:space="preserve">Руководство по проведению доклинических исследований лекарственных средств. Часть первая / под ред. А. Н. Миронова. — М.: Гриф и К, 2012. — 944 с.</w:t>
      </w:r>
    </w:p>
    <w:p>
      <w:pPr>
        <w:pStyle w:val="ListParagraph"/>
        <w:numPr>
          <w:ilvl w:val="0"/>
          <w:numId w:val="9"/>
        </w:numPr>
      </w:pPr>
      <w:hyperlink r:id="rId10" w:history="1">
        <w:r>
          <w:rPr>
            <w:rStyle w:val="Hyperlink"/>
          </w:rPr>
          <w:t xml:space="preserve">ТКП 125-2008 «Надлежащая лабораторная практика»</w:t>
        </w:r>
      </w:hyperlink>
      <w:r>
        <w:t xml:space="preserve">, утв. постановлением Минздрава РБ от 28.03.2008 № 56.</w:t>
      </w:r>
    </w:p>
    <w:p>
      <w:pPr>
        <w:pStyle w:val="ListParagraph"/>
        <w:numPr>
          <w:ilvl w:val="0"/>
          <w:numId w:val="9"/>
        </w:numPr>
      </w:pPr>
      <w:hyperlink r:id="rId11" w:history="1">
        <w:r>
          <w:rPr>
            <w:rStyle w:val="Hyperlink"/>
          </w:rPr>
          <w:t xml:space="preserve">Постановление Минздрава РБ от 15.12.2017 № 107</w:t>
        </w:r>
      </w:hyperlink>
      <w:r>
        <w:t xml:space="preserve"> об утверждении ТКП по доклиническим исследованиям клеточных продуктов.</w:t>
      </w:r>
    </w:p>
    <w:p>
      <w:pPr>
        <w:pStyle w:val="ListParagraph"/>
        <w:numPr>
          <w:ilvl w:val="0"/>
          <w:numId w:val="9"/>
        </w:numPr>
      </w:pPr>
      <w:hyperlink r:id="rId12" w:history="1">
        <w:r>
          <w:rPr>
            <w:rStyle w:val="Hyperlink"/>
          </w:rPr>
          <w:t xml:space="preserve">РУП «ЦЭИЗ». Регистрация биомедицинских клеточных продуктов</w:t>
        </w:r>
      </w:hyperlink>
      <w:r>
        <w:t xml:space="preserve">.</w:t>
      </w:r>
    </w:p>
    <w:p>
      <w:pPr>
        <w:pStyle w:val="ListParagraph"/>
        <w:numPr>
          <w:ilvl w:val="0"/>
          <w:numId w:val="9"/>
        </w:numPr>
      </w:pPr>
      <w:hyperlink r:id="rId13" w:history="1">
        <w:r>
          <w:rPr>
            <w:rStyle w:val="Hyperlink"/>
          </w:rPr>
          <w:t xml:space="preserve">EMA. Guideline on human cell-based medicinal products, EMEA/CHMP/410869/2006</w:t>
        </w:r>
      </w:hyperlink>
      <w:r>
        <w:t xml:space="preserve">.</w:t>
      </w:r>
    </w:p>
    <w:p>
      <w:pPr>
        <w:pStyle w:val="ListParagraph"/>
        <w:numPr>
          <w:ilvl w:val="0"/>
          <w:numId w:val="9"/>
        </w:numPr>
      </w:pPr>
      <w:hyperlink r:id="rId14" w:history="1">
        <w:r>
          <w:rPr>
            <w:rStyle w:val="Hyperlink"/>
          </w:rPr>
          <w:t xml:space="preserve">EMA. Guideline on the risk-based approach according to Annex I, part IV of Directive 2001/83/EC applied to ATMPs, EMA/CAT/CPWP/686637/2011</w:t>
        </w:r>
      </w:hyperlink>
      <w:r>
        <w:t xml:space="preserve">.</w:t>
      </w:r>
    </w:p>
    <w:p>
      <w:pPr>
        <w:pStyle w:val="ListParagraph"/>
        <w:numPr>
          <w:ilvl w:val="0"/>
          <w:numId w:val="9"/>
        </w:numPr>
      </w:pPr>
      <w:hyperlink r:id="rId15" w:history="1">
        <w:r>
          <w:rPr>
            <w:rStyle w:val="Hyperlink"/>
          </w:rPr>
          <w:t xml:space="preserve">EMA. Guideline on quality, non-clinical and clinical requirements for investigational ATMPs in clinical trials, EMA/CAT/123573/2024</w:t>
        </w:r>
      </w:hyperlink>
      <w:r>
        <w:t xml:space="preserve">.</w:t>
      </w:r>
    </w:p>
    <w:p>
      <w:pPr>
        <w:pStyle w:val="ListParagraph"/>
        <w:numPr>
          <w:ilvl w:val="0"/>
          <w:numId w:val="9"/>
        </w:numPr>
      </w:pPr>
      <w:hyperlink r:id="rId6" w:history="1">
        <w:r>
          <w:rPr>
            <w:rStyle w:val="Hyperlink"/>
          </w:rPr>
          <w:t xml:space="preserve">Holoclar: Summary of Product Characteristics, Annexes I–IV</w:t>
        </w:r>
      </w:hyperlink>
      <w:r>
        <w:t xml:space="preserve"> — состав (3,5% стволовых клеток, 0,4–10%), раздел 5.3, нежелательные явления.</w:t>
      </w:r>
    </w:p>
    <w:p>
      <w:pPr>
        <w:pStyle w:val="ListParagraph"/>
        <w:numPr>
          <w:ilvl w:val="0"/>
          <w:numId w:val="9"/>
        </w:numPr>
      </w:pPr>
      <w:hyperlink r:id="rId16" w:history="1">
        <w:r>
          <w:rPr>
            <w:rStyle w:val="Hyperlink"/>
          </w:rPr>
          <w:t xml:space="preserve">Directive 2010/63/EU on the protection of animals used for scientific purposes</w:t>
        </w:r>
      </w:hyperlink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Percie du Sert N, et al. </w:t>
      </w:r>
      <w:hyperlink r:id="rId17" w:history="1">
        <w:r>
          <w:rPr>
            <w:rStyle w:val="Hyperlink"/>
          </w:rPr>
          <w:t xml:space="preserve">The ARRIVE guidelines 2.0</w:t>
        </w:r>
      </w:hyperlink>
      <w:r>
        <w:t xml:space="preserve">. PLoS Biol. 2020;18(7):e3000410.</w:t>
      </w:r>
    </w:p>
    <w:p>
      <w:pPr/>
      <w:r>
        <w:rPr>
          <w:b/>
        </w:rPr>
        <w:t xml:space="preserve">Научные статьи</w:t>
      </w:r>
    </w:p>
    <w:p>
      <w:pPr>
        <w:pStyle w:val="ListParagraph"/>
        <w:numPr>
          <w:ilvl w:val="0"/>
          <w:numId w:val="10"/>
        </w:numPr>
      </w:pPr>
      <w:r>
        <w:t xml:space="preserve">Rama P, Matuska S, Paganoni G, et al. </w:t>
      </w:r>
      <w:hyperlink r:id="rId5" w:history="1">
        <w:r>
          <w:rPr>
            <w:rStyle w:val="Hyperlink"/>
          </w:rPr>
          <w:t xml:space="preserve">Limbal stem-cell therapy and long-term corneal regeneration</w:t>
        </w:r>
      </w:hyperlink>
      <w:r>
        <w:t xml:space="preserve">. N Engl J Med. 2010;363(2):147–155 — порог 3% p63-bright от клоногенных клеток, 78% против 11%.</w:t>
      </w:r>
    </w:p>
    <w:p>
      <w:pPr>
        <w:pStyle w:val="ListParagraph"/>
        <w:numPr>
          <w:ilvl w:val="0"/>
          <w:numId w:val="10"/>
        </w:numPr>
      </w:pPr>
      <w:r>
        <w:t xml:space="preserve">Sprogyte L, Park M, Di Girolamo N. </w:t>
      </w:r>
      <w:hyperlink r:id="rId3" w:history="1">
        <w:r>
          <w:rPr>
            <w:rStyle w:val="Hyperlink"/>
          </w:rPr>
          <w:t xml:space="preserve">Pathogenesis of alkali injury-induced limbal stem cell deficiency: a literature survey of animal models</w:t>
        </w:r>
      </w:hyperlink>
      <w:r>
        <w:t xml:space="preserve">. Cells. 2023;12(9):1294 — различие CAB и LAB, верификация маркёрами, фазы по МакКалли, частичное самовосстановление у кроликов.</w:t>
      </w:r>
    </w:p>
    <w:p>
      <w:pPr>
        <w:pStyle w:val="ListParagraph"/>
        <w:numPr>
          <w:ilvl w:val="0"/>
          <w:numId w:val="10"/>
        </w:numPr>
      </w:pPr>
      <w:r>
        <w:t xml:space="preserve">Yu Y, Andreev AY, Rogovaya OS, et al. </w:t>
      </w:r>
      <w:hyperlink r:id="rId4" w:history="1">
        <w:r>
          <w:rPr>
            <w:rStyle w:val="Hyperlink"/>
          </w:rPr>
          <w:t xml:space="preserve">Matrix-assisted cell transplantation for the treatment of limbal stem cell deficiency in a rabbit model</w:t>
        </w:r>
      </w:hyperlink>
      <w:r>
        <w:t xml:space="preserve">. Biomedicines. 2024;12(1):101 — протокол модели, 5 животных в группе, без статистических тестов.</w:t>
      </w:r>
    </w:p>
    <w:p>
      <w:pPr>
        <w:pStyle w:val="ListParagraph"/>
        <w:numPr>
          <w:ilvl w:val="0"/>
          <w:numId w:val="10"/>
        </w:numPr>
      </w:pPr>
      <w:r>
        <w:t xml:space="preserve">Behaegel J, Ní Dhubhghaill S, Koppen C, Zakaria N. </w:t>
      </w:r>
      <w:hyperlink r:id="rId7" w:history="1">
        <w:r>
          <w:rPr>
            <w:rStyle w:val="Hyperlink"/>
          </w:rPr>
          <w:t xml:space="preserve">Safety of cultivated limbal epithelial stem cell transplantation for human corneal regeneration</w:t>
        </w:r>
      </w:hyperlink>
      <w:r>
        <w:t xml:space="preserve">. Stem Cells Int. 2017;2017:6978253.</w:t>
      </w:r>
    </w:p>
    <w:p>
      <w:pPr>
        <w:pStyle w:val="ListParagraph"/>
        <w:numPr>
          <w:ilvl w:val="0"/>
          <w:numId w:val="10"/>
        </w:numPr>
      </w:pPr>
      <w:r>
        <w:t xml:space="preserve">Basu S, Sureka SP, Shanbhag SS, et al. </w:t>
      </w:r>
      <w:hyperlink r:id="rId8" w:history="1">
        <w:r>
          <w:rPr>
            <w:rStyle w:val="Hyperlink"/>
          </w:rPr>
          <w:t xml:space="preserve">Simple limbal epithelial transplantation: long-term clinical outcomes in 125 cases of unilateral chronic ocular surface burns</w:t>
        </w:r>
      </w:hyperlink>
      <w:r>
        <w:t xml:space="preserve">. Ophthalmology. 2016;123(5):1000–1010.</w:t>
      </w:r>
    </w:p>
    <w:p>
      <w:pPr>
        <w:pStyle w:val="ListParagraph"/>
        <w:numPr>
          <w:ilvl w:val="0"/>
          <w:numId w:val="10"/>
        </w:numPr>
      </w:pPr>
      <w:r>
        <w:t xml:space="preserve">Barrandon Y, Green H. </w:t>
      </w:r>
      <w:hyperlink r:id="rId18" w:history="1">
        <w:r>
          <w:rPr>
            <w:rStyle w:val="Hyperlink"/>
          </w:rPr>
          <w:t xml:space="preserve">Three clonal types of keratinocyte with different capacities for multiplication</w:t>
        </w:r>
      </w:hyperlink>
      <w:r>
        <w:t xml:space="preserve">. PNAS. 1987;84(8):2302–2306.</w:t>
      </w:r>
    </w:p>
    <w:p>
      <w:pPr>
        <w:pStyle w:val="ListParagraph"/>
        <w:numPr>
          <w:ilvl w:val="0"/>
          <w:numId w:val="10"/>
        </w:numPr>
      </w:pPr>
      <w:r>
        <w:t xml:space="preserve">Willner P. </w:t>
      </w:r>
      <w:hyperlink r:id="rId19" w:history="1">
        <w:r>
          <w:rPr>
            <w:rStyle w:val="Hyperlink"/>
          </w:rPr>
          <w:t xml:space="preserve">The validity of animal models of depression</w:t>
        </w:r>
      </w:hyperlink>
      <w:r>
        <w:t xml:space="preserve">. Psychopharmacology. 1984;83(1):1–16 — три критерия валидности модели.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pmc.ncbi.nlm.nih.gov/articles/PMC10177508/" TargetMode="External"/><Relationship Id="rId4" Type="http://schemas.openxmlformats.org/officeDocument/2006/relationships/hyperlink" Target="https://pmc.ncbi.nlm.nih.gov/articles/PMC10813050/" TargetMode="External"/><Relationship Id="rId5" Type="http://schemas.openxmlformats.org/officeDocument/2006/relationships/hyperlink" Target="https://pubmed.ncbi.nlm.nih.gov/20573916/" TargetMode="External"/><Relationship Id="rId6" Type="http://schemas.openxmlformats.org/officeDocument/2006/relationships/hyperlink" Target="https://ec.europa.eu/health/documents/community-register/2015/20150217130830/anx_130830_en.pdf" TargetMode="External"/><Relationship Id="rId7" Type="http://schemas.openxmlformats.org/officeDocument/2006/relationships/hyperlink" Target="https://doi.org/10.1155/2017/6978253" TargetMode="External"/><Relationship Id="rId8" Type="http://schemas.openxmlformats.org/officeDocument/2006/relationships/hyperlink" Target="https://www.sciencedirect.com/science/article/pii/S0161642016000038" TargetMode="External"/><Relationship Id="rId9" Type="http://schemas.openxmlformats.org/officeDocument/2006/relationships/image" Target="media/image1.png"/><Relationship Id="rId10" Type="http://schemas.openxmlformats.org/officeDocument/2006/relationships/hyperlink" Target="https://www.minzdrav.gov.by/upload/lcfiles/text_tnpa/000394_962965_TKP_Labor_Practik.pdf" TargetMode="External"/><Relationship Id="rId11" Type="http://schemas.openxmlformats.org/officeDocument/2006/relationships/hyperlink" Target="https://minzdrav.gov.by/upload/lcfiles/&#1087;&#1086;&#1089;&#1090;&#1072;&#1085;&#1086;&#1074;&#1083;&#1077;&#1085;&#1080;&#1077;_&#1052;&#1047;_2017_107.pdf" TargetMode="External"/><Relationship Id="rId12" Type="http://schemas.openxmlformats.org/officeDocument/2006/relationships/hyperlink" Target="https://www.rceth.by/ru/Documents/Med/8" TargetMode="External"/><Relationship Id="rId13" Type="http://schemas.openxmlformats.org/officeDocument/2006/relationships/hyperlink" Target="https://www.ema.europa.eu/en/human-cell-based-medicinal-products-scientific-guideline" TargetMode="External"/><Relationship Id="rId14" Type="http://schemas.openxmlformats.org/officeDocument/2006/relationships/hyperlink" Target="https://www.ema.europa.eu/en/risk-based-approach-according-annex-i-part-iv-directive-2001-83-ec-applied-advanced-therapy-medicinal-products-scientific-guideline" TargetMode="External"/><Relationship Id="rId15" Type="http://schemas.openxmlformats.org/officeDocument/2006/relationships/hyperlink" Target="https://www.ema.europa.eu/en/guideline-quality-non-clinical-clinical-requirements-investigational-advanced-therapy-medicinal" TargetMode="External"/><Relationship Id="rId16" Type="http://schemas.openxmlformats.org/officeDocument/2006/relationships/hyperlink" Target="https://eur-lex.europa.eu/eli/dir/2010/63/oj" TargetMode="External"/><Relationship Id="rId17" Type="http://schemas.openxmlformats.org/officeDocument/2006/relationships/hyperlink" Target="https://doi.org/10.1371/journal.pbio.3000410" TargetMode="External"/><Relationship Id="rId18" Type="http://schemas.openxmlformats.org/officeDocument/2006/relationships/hyperlink" Target="https://doi.org/10.1073/pnas.84.8.2302" TargetMode="External"/><Relationship Id="rId19" Type="http://schemas.openxmlformats.org/officeDocument/2006/relationships/hyperlink" Target="https://doi.org/10.1007/BF00427414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Группа «Доклиника» экспертиза модели, безопасность и эффективность</dc:title>
  <dc:description>Claude Docs node/f90d31d1-3691@13 docx-w7</dc:description>
  <cp:revision>13</cp:revision>
</cp:coreProperties>
</file>