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5.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6.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7.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8.xml" ContentType="application/vnd.openxmlformats-officedocument.themeOverrid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746C" w14:textId="55BF6105" w:rsidR="006C2F8A" w:rsidRDefault="00B954CF" w:rsidP="00E52469">
      <w:r>
        <w:rPr>
          <w:noProof/>
          <w:lang w:eastAsia="en-US"/>
        </w:rPr>
        <w:drawing>
          <wp:anchor distT="0" distB="0" distL="114300" distR="114300" simplePos="0" relativeHeight="251658246" behindDoc="0" locked="0" layoutInCell="1" allowOverlap="0" wp14:anchorId="174304E4" wp14:editId="5FA915B6">
            <wp:simplePos x="0" y="0"/>
            <wp:positionH relativeFrom="column">
              <wp:posOffset>3851275</wp:posOffset>
            </wp:positionH>
            <wp:positionV relativeFrom="paragraph">
              <wp:posOffset>-464185</wp:posOffset>
            </wp:positionV>
            <wp:extent cx="2121408" cy="2286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z_Allen_logo_B_R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1408" cy="228655"/>
                    </a:xfrm>
                    <a:prstGeom prst="rect">
                      <a:avLst/>
                    </a:prstGeom>
                  </pic:spPr>
                </pic:pic>
              </a:graphicData>
            </a:graphic>
            <wp14:sizeRelH relativeFrom="margin">
              <wp14:pctWidth>0</wp14:pctWidth>
            </wp14:sizeRelH>
          </wp:anchor>
        </w:drawing>
      </w:r>
      <w:r w:rsidR="004C5734">
        <w:rPr>
          <w:noProof/>
          <w:lang w:eastAsia="en-US"/>
        </w:rPr>
        <w:drawing>
          <wp:anchor distT="0" distB="0" distL="114300" distR="114300" simplePos="0" relativeHeight="251658243" behindDoc="1" locked="0" layoutInCell="1" allowOverlap="1" wp14:anchorId="12E14465" wp14:editId="5EA75D9E">
            <wp:simplePos x="0" y="0"/>
            <wp:positionH relativeFrom="page">
              <wp:align>left</wp:align>
            </wp:positionH>
            <wp:positionV relativeFrom="paragraph">
              <wp:posOffset>0</wp:posOffset>
            </wp:positionV>
            <wp:extent cx="7552944" cy="9235440"/>
            <wp:effectExtent l="0" t="0" r="0" b="3810"/>
            <wp:wrapNone/>
            <wp:docPr id="8" name="Cover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_Imag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552944" cy="923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734">
        <w:rPr>
          <w:noProof/>
          <w:lang w:eastAsia="en-US"/>
        </w:rPr>
        <mc:AlternateContent>
          <mc:Choice Requires="wps">
            <w:drawing>
              <wp:anchor distT="0" distB="0" distL="114300" distR="114300" simplePos="0" relativeHeight="251658240" behindDoc="1" locked="0" layoutInCell="1" allowOverlap="1" wp14:anchorId="76F78368" wp14:editId="67A1FDA9">
                <wp:simplePos x="0" y="0"/>
                <wp:positionH relativeFrom="page">
                  <wp:align>right</wp:align>
                </wp:positionH>
                <wp:positionV relativeFrom="paragraph">
                  <wp:posOffset>0</wp:posOffset>
                </wp:positionV>
                <wp:extent cx="7772400" cy="9436608"/>
                <wp:effectExtent l="0" t="0" r="0" b="12700"/>
                <wp:wrapNone/>
                <wp:docPr id="4" name="Cover_ColorBar"/>
                <wp:cNvGraphicFramePr/>
                <a:graphic xmlns:a="http://schemas.openxmlformats.org/drawingml/2006/main">
                  <a:graphicData uri="http://schemas.microsoft.com/office/word/2010/wordprocessingShape">
                    <wps:wsp>
                      <wps:cNvSpPr/>
                      <wps:spPr>
                        <a:xfrm>
                          <a:off x="0" y="0"/>
                          <a:ext cx="7772400" cy="943660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22EA8" id="Cover_ColorBar" o:spid="_x0000_s1026" style="position:absolute;margin-left:560.8pt;margin-top:0;width:612pt;height:743.0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" fillcolor="#9bb1c1 [1940]" stroked="f" strokeweight="1pt">
                <w10:wrap anchorx="page"/>
              </v:rect>
            </w:pict>
          </mc:Fallback>
        </mc:AlternateContent>
      </w:r>
      <w:r w:rsidR="004C5734">
        <w:rPr>
          <w:noProof/>
          <w:lang w:eastAsia="en-US"/>
        </w:rPr>
        <mc:AlternateContent>
          <mc:Choice Requires="wps">
            <w:drawing>
              <wp:anchor distT="0" distB="0" distL="114300" distR="114300" simplePos="0" relativeHeight="251658244" behindDoc="1" locked="0" layoutInCell="1" allowOverlap="1" wp14:anchorId="12D99BA5" wp14:editId="32FEA556">
                <wp:simplePos x="0" y="0"/>
                <wp:positionH relativeFrom="page">
                  <wp:posOffset>0</wp:posOffset>
                </wp:positionH>
                <wp:positionV relativeFrom="paragraph">
                  <wp:posOffset>0</wp:posOffset>
                </wp:positionV>
                <wp:extent cx="393192" cy="9436608"/>
                <wp:effectExtent l="0" t="0" r="0" b="12700"/>
                <wp:wrapNone/>
                <wp:docPr id="9" name="Cover_ColorBar"/>
                <wp:cNvGraphicFramePr/>
                <a:graphic xmlns:a="http://schemas.openxmlformats.org/drawingml/2006/main">
                  <a:graphicData uri="http://schemas.microsoft.com/office/word/2010/wordprocessingShape">
                    <wps:wsp>
                      <wps:cNvSpPr/>
                      <wps:spPr>
                        <a:xfrm>
                          <a:off x="0" y="0"/>
                          <a:ext cx="393192" cy="9436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6C3CA" id="Cover_ColorBar" o:spid="_x0000_s1026" style="position:absolute;margin-left:0;margin-top:0;width:30.95pt;height:74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" fillcolor="#5d7d95 [3204]" stroked="f" strokeweight="1pt">
                <w10:wrap anchorx="page"/>
              </v:rect>
            </w:pict>
          </mc:Fallback>
        </mc:AlternateContent>
      </w:r>
      <w:r w:rsidR="00540F3A">
        <w:rPr>
          <w:noProof/>
          <w:lang w:eastAsia="en-US"/>
        </w:rPr>
        <mc:AlternateContent>
          <mc:Choice Requires="wps">
            <w:drawing>
              <wp:anchor distT="0" distB="0" distL="114300" distR="114300" simplePos="0" relativeHeight="251658241" behindDoc="1" locked="0" layoutInCell="1" allowOverlap="1" wp14:anchorId="1DD15632" wp14:editId="752B8096">
                <wp:simplePos x="0" y="0"/>
                <wp:positionH relativeFrom="page">
                  <wp:posOffset>0</wp:posOffset>
                </wp:positionH>
                <wp:positionV relativeFrom="paragraph">
                  <wp:posOffset>0</wp:posOffset>
                </wp:positionV>
                <wp:extent cx="7772400" cy="9326880"/>
                <wp:effectExtent l="0" t="0" r="0" b="0"/>
                <wp:wrapNone/>
                <wp:docPr id="6" name="Cover_Gradient"/>
                <wp:cNvGraphicFramePr/>
                <a:graphic xmlns:a="http://schemas.openxmlformats.org/drawingml/2006/main">
                  <a:graphicData uri="http://schemas.microsoft.com/office/word/2010/wordprocessingShape">
                    <wps:wsp>
                      <wps:cNvSpPr/>
                      <wps:spPr>
                        <a:xfrm>
                          <a:off x="0" y="0"/>
                          <a:ext cx="7772400" cy="9326880"/>
                        </a:xfrm>
                        <a:prstGeom prst="rect">
                          <a:avLst/>
                        </a:prstGeom>
                        <a:solidFill>
                          <a:srgbClr val="253746">
                            <a:alpha val="5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ADE36" id="Cover_Gradient" o:spid="_x0000_s1026" style="position:absolute;margin-left:0;margin-top:0;width:612pt;height:734.4pt;z-index:-251658239;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" fillcolor="#253746" stroked="f" strokeweight="1pt">
                <v:fill opacity="33410f"/>
                <w10:wrap anchorx="page"/>
              </v:rect>
            </w:pict>
          </mc:Fallback>
        </mc:AlternateContent>
      </w:r>
    </w:p>
    <w:p w14:paraId="73CBB653" w14:textId="3846D857" w:rsidR="00003C43" w:rsidRPr="00AB24AA" w:rsidRDefault="002E76C1" w:rsidP="00F54E54">
      <w:pPr>
        <w:pStyle w:val="CoverTitle"/>
        <w:spacing w:before="5160"/>
        <w:rPr>
          <w:rStyle w:val="TemplateInstruction"/>
          <w:i w:val="0"/>
          <w:color w:val="FFFFFF" w:themeColor="background1"/>
          <w:sz w:val="28"/>
          <w:szCs w:val="28"/>
        </w:rPr>
      </w:pPr>
      <w:r>
        <w:t xml:space="preserve">D6b Final Validation Report Part </w:t>
      </w:r>
      <w:r w:rsidR="00AF4D3B">
        <w:t>2</w:t>
      </w:r>
    </w:p>
    <w:p w14:paraId="756F565F" w14:textId="0010CD1F" w:rsidR="003A4143" w:rsidRPr="002B551F" w:rsidRDefault="00F96A1B" w:rsidP="003B714D">
      <w:pPr>
        <w:pStyle w:val="CoverPreparedfor"/>
        <w:spacing w:before="3960"/>
        <w:sectPr w:rsidR="003A4143" w:rsidRPr="002B551F" w:rsidSect="00F96A1B">
          <w:headerReference w:type="default" r:id="rId13"/>
          <w:footerReference w:type="even" r:id="rId14"/>
          <w:footerReference w:type="default" r:id="rId15"/>
          <w:pgSz w:w="12240" w:h="15840" w:code="1"/>
          <w:pgMar w:top="1440" w:right="1440" w:bottom="1440" w:left="1440" w:header="720" w:footer="720" w:gutter="0"/>
          <w:cols w:space="720"/>
          <w:noEndnote/>
          <w:docGrid w:linePitch="326"/>
        </w:sectPr>
      </w:pPr>
      <w:r>
        <w:rPr>
          <w:noProof/>
          <w:lang w:eastAsia="en-US"/>
        </w:rPr>
        <w:drawing>
          <wp:anchor distT="0" distB="0" distL="114300" distR="114300" simplePos="0" relativeHeight="251658245" behindDoc="0" locked="0" layoutInCell="1" allowOverlap="1" wp14:anchorId="78F16F62" wp14:editId="7B841A34">
            <wp:simplePos x="0" y="0"/>
            <wp:positionH relativeFrom="margin">
              <wp:posOffset>2359660</wp:posOffset>
            </wp:positionH>
            <wp:positionV relativeFrom="bottomMargin">
              <wp:posOffset>525145</wp:posOffset>
            </wp:positionV>
            <wp:extent cx="3583940" cy="91440"/>
            <wp:effectExtent l="0" t="0" r="0" b="10160"/>
            <wp:wrapSquare wrapText="bothSides"/>
            <wp:docPr id="17"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940" cy="91440"/>
                    </a:xfrm>
                    <a:prstGeom prst="rect">
                      <a:avLst/>
                    </a:prstGeom>
                  </pic:spPr>
                </pic:pic>
              </a:graphicData>
            </a:graphic>
            <wp14:sizeRelH relativeFrom="margin">
              <wp14:pctWidth>0</wp14:pctWidth>
            </wp14:sizeRelH>
            <wp14:sizeRelV relativeFrom="margin">
              <wp14:pctHeight>0</wp14:pctHeight>
            </wp14:sizeRelV>
          </wp:anchor>
        </w:drawing>
      </w:r>
      <w:r w:rsidR="002E2F41">
        <w:rPr>
          <w:noProof/>
          <w:lang w:eastAsia="en-US"/>
        </w:rPr>
        <mc:AlternateContent>
          <mc:Choice Requires="wps">
            <w:drawing>
              <wp:anchor distT="0" distB="0" distL="114300" distR="114300" simplePos="0" relativeHeight="251658242" behindDoc="0" locked="0" layoutInCell="1" allowOverlap="1" wp14:anchorId="15F0E800" wp14:editId="277418B9">
                <wp:simplePos x="0" y="0"/>
                <wp:positionH relativeFrom="page">
                  <wp:posOffset>0</wp:posOffset>
                </wp:positionH>
                <wp:positionV relativeFrom="page">
                  <wp:align>bottom</wp:align>
                </wp:positionV>
                <wp:extent cx="6921500" cy="713232"/>
                <wp:effectExtent l="0" t="0" r="0" b="0"/>
                <wp:wrapThrough wrapText="bothSides">
                  <wp:wrapPolygon edited="0">
                    <wp:start x="0" y="0"/>
                    <wp:lineTo x="0" y="20773"/>
                    <wp:lineTo x="21505" y="20773"/>
                    <wp:lineTo x="21505" y="0"/>
                    <wp:lineTo x="0" y="0"/>
                  </wp:wrapPolygon>
                </wp:wrapThrough>
                <wp:docPr id="13" name="BottomBlank"/>
                <wp:cNvGraphicFramePr/>
                <a:graphic xmlns:a="http://schemas.openxmlformats.org/drawingml/2006/main">
                  <a:graphicData uri="http://schemas.microsoft.com/office/word/2010/wordprocessingShape">
                    <wps:wsp>
                      <wps:cNvSpPr/>
                      <wps:spPr>
                        <a:xfrm>
                          <a:off x="0" y="0"/>
                          <a:ext cx="6921500" cy="7132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101000</wp14:pctWidth>
                </wp14:sizeRelH>
                <wp14:sizeRelV relativeFrom="margin">
                  <wp14:pctHeight>0</wp14:pctHeight>
                </wp14:sizeRelV>
              </wp:anchor>
            </w:drawing>
          </mc:Choice>
          <mc:Fallback>
            <w:pict>
              <v:rect w14:anchorId="32D224E3" id="BottomBlank" o:spid="_x0000_s1026" style="position:absolute;margin-left:0;margin-top:0;width:545pt;height:56.15pt;z-index:251658242;visibility:visible;mso-wrap-style:square;mso-width-percent:1010;mso-height-percent:0;mso-wrap-distance-left:9pt;mso-wrap-distance-top:0;mso-wrap-distance-right:9pt;mso-wrap-distance-bottom:0;mso-position-horizontal:absolute;mso-position-horizontal-relative:page;mso-position-vertical:bottom;mso-position-vertical-relative:page;mso-width-percent:101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" fillcolor="white [3212]" stroked="f" strokeweight="1pt">
                <w10:wrap type="through" anchorx="page" anchory="page"/>
              </v:rect>
            </w:pict>
          </mc:Fallback>
        </mc:AlternateContent>
      </w:r>
      <w:r w:rsidR="00C610AD" w:rsidRPr="00C610AD">
        <w:t xml:space="preserve">Prepared exclusively for </w:t>
      </w:r>
      <w:r w:rsidR="00746148">
        <w:t xml:space="preserve">the </w:t>
      </w:r>
      <w:r w:rsidR="00AB24AA">
        <w:t xml:space="preserve">U.S. </w:t>
      </w:r>
      <w:r w:rsidR="00824209">
        <w:t>Food and Drug Administratio</w:t>
      </w:r>
      <w:r w:rsidR="00230490">
        <w:t>n</w:t>
      </w:r>
    </w:p>
    <w:bookmarkStart w:id="0" w:name="_Toc27077317" w:displacedByCustomXml="next"/>
    <w:bookmarkStart w:id="1" w:name="_Toc24055822" w:displacedByCustomXml="next"/>
    <w:sdt>
      <w:sdtPr>
        <w:rPr>
          <w:rFonts w:ascii="Calibri" w:hAnsi="Calibri" w:cs="ScalaSansOT"/>
          <w:caps w:val="0"/>
          <w:color w:val="262626"/>
          <w:spacing w:val="0"/>
          <w:sz w:val="22"/>
          <w:szCs w:val="20"/>
        </w:rPr>
        <w:id w:val="1188954722"/>
        <w:docPartObj>
          <w:docPartGallery w:val="Table of Contents"/>
          <w:docPartUnique/>
        </w:docPartObj>
      </w:sdtPr>
      <w:sdtEndPr>
        <w:rPr>
          <w:b/>
          <w:bCs/>
          <w:noProof/>
          <w:color w:val="auto"/>
        </w:rPr>
      </w:sdtEndPr>
      <w:sdtContent>
        <w:p w14:paraId="4FC40E95" w14:textId="66AA042E" w:rsidR="00032804" w:rsidRDefault="00032804">
          <w:pPr>
            <w:pStyle w:val="TOCHeading"/>
          </w:pPr>
          <w:r>
            <w:t>Table of Contents</w:t>
          </w:r>
        </w:p>
        <w:p w14:paraId="280AA1B3" w14:textId="450BB08B" w:rsidR="000058C1" w:rsidRDefault="00ED208B">
          <w:pPr>
            <w:pStyle w:val="TOC2"/>
            <w:rPr>
              <w:rFonts w:asciiTheme="minorHAnsi" w:hAnsiTheme="minorHAnsi"/>
              <w:sz w:val="22"/>
              <w:szCs w:val="22"/>
              <w:lang w:eastAsia="en-US"/>
            </w:rPr>
          </w:pPr>
          <w:r>
            <w:fldChar w:fldCharType="begin"/>
          </w:r>
          <w:r>
            <w:instrText xml:space="preserve"> TOC \o "1-3" \h \z \u </w:instrText>
          </w:r>
          <w:r>
            <w:fldChar w:fldCharType="separate"/>
          </w:r>
          <w:hyperlink w:anchor="_Toc59050067" w:history="1">
            <w:r w:rsidR="000058C1" w:rsidRPr="00D42670">
              <w:rPr>
                <w:rStyle w:val="Hyperlink"/>
              </w:rPr>
              <w:t>List of Tables</w:t>
            </w:r>
            <w:r w:rsidR="000058C1">
              <w:rPr>
                <w:webHidden/>
              </w:rPr>
              <w:tab/>
            </w:r>
            <w:r w:rsidR="000058C1">
              <w:rPr>
                <w:webHidden/>
              </w:rPr>
              <w:fldChar w:fldCharType="begin"/>
            </w:r>
            <w:r w:rsidR="000058C1">
              <w:rPr>
                <w:webHidden/>
              </w:rPr>
              <w:instrText xml:space="preserve"> PAGEREF _Toc59050067 \h </w:instrText>
            </w:r>
            <w:r w:rsidR="000058C1">
              <w:rPr>
                <w:webHidden/>
              </w:rPr>
            </w:r>
            <w:r w:rsidR="000058C1">
              <w:rPr>
                <w:webHidden/>
              </w:rPr>
              <w:fldChar w:fldCharType="separate"/>
            </w:r>
            <w:r w:rsidR="000058C1">
              <w:rPr>
                <w:webHidden/>
              </w:rPr>
              <w:t>ii</w:t>
            </w:r>
            <w:r w:rsidR="000058C1">
              <w:rPr>
                <w:webHidden/>
              </w:rPr>
              <w:fldChar w:fldCharType="end"/>
            </w:r>
          </w:hyperlink>
        </w:p>
        <w:p w14:paraId="3AEA0933" w14:textId="2A9055B2" w:rsidR="000058C1" w:rsidRDefault="004C016F">
          <w:pPr>
            <w:pStyle w:val="TOC2"/>
            <w:rPr>
              <w:rFonts w:asciiTheme="minorHAnsi" w:hAnsiTheme="minorHAnsi"/>
              <w:sz w:val="22"/>
              <w:szCs w:val="22"/>
              <w:lang w:eastAsia="en-US"/>
            </w:rPr>
          </w:pPr>
          <w:hyperlink w:anchor="_Toc59050068" w:history="1">
            <w:r w:rsidR="000058C1" w:rsidRPr="00D42670">
              <w:rPr>
                <w:rStyle w:val="Hyperlink"/>
              </w:rPr>
              <w:t>List of Figures</w:t>
            </w:r>
            <w:r w:rsidR="000058C1">
              <w:rPr>
                <w:webHidden/>
              </w:rPr>
              <w:tab/>
            </w:r>
            <w:r w:rsidR="000058C1">
              <w:rPr>
                <w:webHidden/>
              </w:rPr>
              <w:fldChar w:fldCharType="begin"/>
            </w:r>
            <w:r w:rsidR="000058C1">
              <w:rPr>
                <w:webHidden/>
              </w:rPr>
              <w:instrText xml:space="preserve"> PAGEREF _Toc59050068 \h </w:instrText>
            </w:r>
            <w:r w:rsidR="000058C1">
              <w:rPr>
                <w:webHidden/>
              </w:rPr>
            </w:r>
            <w:r w:rsidR="000058C1">
              <w:rPr>
                <w:webHidden/>
              </w:rPr>
              <w:fldChar w:fldCharType="separate"/>
            </w:r>
            <w:r w:rsidR="000058C1">
              <w:rPr>
                <w:webHidden/>
              </w:rPr>
              <w:t>ii</w:t>
            </w:r>
            <w:r w:rsidR="000058C1">
              <w:rPr>
                <w:webHidden/>
              </w:rPr>
              <w:fldChar w:fldCharType="end"/>
            </w:r>
          </w:hyperlink>
        </w:p>
        <w:p w14:paraId="3F6FB3B5" w14:textId="7B676078" w:rsidR="000058C1" w:rsidRDefault="004C016F">
          <w:pPr>
            <w:pStyle w:val="TOC1"/>
            <w:rPr>
              <w:rFonts w:asciiTheme="minorHAnsi" w:hAnsiTheme="minorHAnsi"/>
              <w:sz w:val="22"/>
              <w:szCs w:val="22"/>
              <w:lang w:eastAsia="en-US"/>
            </w:rPr>
          </w:pPr>
          <w:hyperlink w:anchor="_Toc59050069" w:history="1">
            <w:r w:rsidR="000058C1" w:rsidRPr="00D42670">
              <w:rPr>
                <w:rStyle w:val="Hyperlink"/>
              </w:rPr>
              <w:t>1</w:t>
            </w:r>
            <w:r w:rsidR="000058C1">
              <w:rPr>
                <w:rFonts w:asciiTheme="minorHAnsi" w:hAnsiTheme="minorHAnsi"/>
                <w:sz w:val="22"/>
                <w:szCs w:val="22"/>
                <w:lang w:eastAsia="en-US"/>
              </w:rPr>
              <w:tab/>
            </w:r>
            <w:r w:rsidR="000058C1" w:rsidRPr="00D42670">
              <w:rPr>
                <w:rStyle w:val="Hyperlink"/>
              </w:rPr>
              <w:t>Executive Summary</w:t>
            </w:r>
            <w:r w:rsidR="000058C1">
              <w:rPr>
                <w:webHidden/>
              </w:rPr>
              <w:tab/>
            </w:r>
            <w:r w:rsidR="000058C1">
              <w:rPr>
                <w:webHidden/>
              </w:rPr>
              <w:fldChar w:fldCharType="begin"/>
            </w:r>
            <w:r w:rsidR="000058C1">
              <w:rPr>
                <w:webHidden/>
              </w:rPr>
              <w:instrText xml:space="preserve"> PAGEREF _Toc59050069 \h </w:instrText>
            </w:r>
            <w:r w:rsidR="000058C1">
              <w:rPr>
                <w:webHidden/>
              </w:rPr>
            </w:r>
            <w:r w:rsidR="000058C1">
              <w:rPr>
                <w:webHidden/>
              </w:rPr>
              <w:fldChar w:fldCharType="separate"/>
            </w:r>
            <w:r w:rsidR="000058C1">
              <w:rPr>
                <w:webHidden/>
              </w:rPr>
              <w:t>3</w:t>
            </w:r>
            <w:r w:rsidR="000058C1">
              <w:rPr>
                <w:webHidden/>
              </w:rPr>
              <w:fldChar w:fldCharType="end"/>
            </w:r>
          </w:hyperlink>
        </w:p>
        <w:p w14:paraId="3B4DF9DA" w14:textId="66C748EA" w:rsidR="000058C1" w:rsidRDefault="004C016F">
          <w:pPr>
            <w:pStyle w:val="TOC1"/>
            <w:rPr>
              <w:rFonts w:asciiTheme="minorHAnsi" w:hAnsiTheme="minorHAnsi"/>
              <w:sz w:val="22"/>
              <w:szCs w:val="22"/>
              <w:lang w:eastAsia="en-US"/>
            </w:rPr>
          </w:pPr>
          <w:hyperlink w:anchor="_Toc59050070" w:history="1">
            <w:r w:rsidR="000058C1" w:rsidRPr="00D42670">
              <w:rPr>
                <w:rStyle w:val="Hyperlink"/>
              </w:rPr>
              <w:t>2</w:t>
            </w:r>
            <w:r w:rsidR="000058C1">
              <w:rPr>
                <w:rFonts w:asciiTheme="minorHAnsi" w:hAnsiTheme="minorHAnsi"/>
                <w:sz w:val="22"/>
                <w:szCs w:val="22"/>
                <w:lang w:eastAsia="en-US"/>
              </w:rPr>
              <w:tab/>
            </w:r>
            <w:r w:rsidR="000058C1" w:rsidRPr="00D42670">
              <w:rPr>
                <w:rStyle w:val="Hyperlink"/>
              </w:rPr>
              <w:t>Introduction</w:t>
            </w:r>
            <w:r w:rsidR="000058C1">
              <w:rPr>
                <w:webHidden/>
              </w:rPr>
              <w:tab/>
            </w:r>
            <w:r w:rsidR="000058C1">
              <w:rPr>
                <w:webHidden/>
              </w:rPr>
              <w:fldChar w:fldCharType="begin"/>
            </w:r>
            <w:r w:rsidR="000058C1">
              <w:rPr>
                <w:webHidden/>
              </w:rPr>
              <w:instrText xml:space="preserve"> PAGEREF _Toc59050070 \h </w:instrText>
            </w:r>
            <w:r w:rsidR="000058C1">
              <w:rPr>
                <w:webHidden/>
              </w:rPr>
            </w:r>
            <w:r w:rsidR="000058C1">
              <w:rPr>
                <w:webHidden/>
              </w:rPr>
              <w:fldChar w:fldCharType="separate"/>
            </w:r>
            <w:r w:rsidR="000058C1">
              <w:rPr>
                <w:webHidden/>
              </w:rPr>
              <w:t>4</w:t>
            </w:r>
            <w:r w:rsidR="000058C1">
              <w:rPr>
                <w:webHidden/>
              </w:rPr>
              <w:fldChar w:fldCharType="end"/>
            </w:r>
          </w:hyperlink>
        </w:p>
        <w:p w14:paraId="3976E488" w14:textId="4452F523" w:rsidR="000058C1" w:rsidRDefault="004C016F">
          <w:pPr>
            <w:pStyle w:val="TOC1"/>
            <w:rPr>
              <w:rFonts w:asciiTheme="minorHAnsi" w:hAnsiTheme="minorHAnsi"/>
              <w:sz w:val="22"/>
              <w:szCs w:val="22"/>
              <w:lang w:eastAsia="en-US"/>
            </w:rPr>
          </w:pPr>
          <w:hyperlink w:anchor="_Toc59050071" w:history="1">
            <w:r w:rsidR="000058C1" w:rsidRPr="00D42670">
              <w:rPr>
                <w:rStyle w:val="Hyperlink"/>
              </w:rPr>
              <w:t>3</w:t>
            </w:r>
            <w:r w:rsidR="000058C1">
              <w:rPr>
                <w:rFonts w:asciiTheme="minorHAnsi" w:hAnsiTheme="minorHAnsi"/>
                <w:sz w:val="22"/>
                <w:szCs w:val="22"/>
                <w:lang w:eastAsia="en-US"/>
              </w:rPr>
              <w:tab/>
            </w:r>
            <w:r w:rsidR="000058C1" w:rsidRPr="00D42670">
              <w:rPr>
                <w:rStyle w:val="Hyperlink"/>
              </w:rPr>
              <w:t>Constraints and Limitations</w:t>
            </w:r>
            <w:r w:rsidR="000058C1">
              <w:rPr>
                <w:webHidden/>
              </w:rPr>
              <w:tab/>
            </w:r>
            <w:r w:rsidR="000058C1">
              <w:rPr>
                <w:webHidden/>
              </w:rPr>
              <w:fldChar w:fldCharType="begin"/>
            </w:r>
            <w:r w:rsidR="000058C1">
              <w:rPr>
                <w:webHidden/>
              </w:rPr>
              <w:instrText xml:space="preserve"> PAGEREF _Toc59050071 \h </w:instrText>
            </w:r>
            <w:r w:rsidR="000058C1">
              <w:rPr>
                <w:webHidden/>
              </w:rPr>
            </w:r>
            <w:r w:rsidR="000058C1">
              <w:rPr>
                <w:webHidden/>
              </w:rPr>
              <w:fldChar w:fldCharType="separate"/>
            </w:r>
            <w:r w:rsidR="000058C1">
              <w:rPr>
                <w:webHidden/>
              </w:rPr>
              <w:t>4</w:t>
            </w:r>
            <w:r w:rsidR="000058C1">
              <w:rPr>
                <w:webHidden/>
              </w:rPr>
              <w:fldChar w:fldCharType="end"/>
            </w:r>
          </w:hyperlink>
        </w:p>
        <w:p w14:paraId="212A020F" w14:textId="532439AE" w:rsidR="000058C1" w:rsidRDefault="004C016F">
          <w:pPr>
            <w:pStyle w:val="TOC1"/>
            <w:rPr>
              <w:rFonts w:asciiTheme="minorHAnsi" w:hAnsiTheme="minorHAnsi"/>
              <w:sz w:val="22"/>
              <w:szCs w:val="22"/>
              <w:lang w:eastAsia="en-US"/>
            </w:rPr>
          </w:pPr>
          <w:hyperlink w:anchor="_Toc59050072" w:history="1">
            <w:r w:rsidR="000058C1" w:rsidRPr="00D42670">
              <w:rPr>
                <w:rStyle w:val="Hyperlink"/>
              </w:rPr>
              <w:t>4</w:t>
            </w:r>
            <w:r w:rsidR="000058C1">
              <w:rPr>
                <w:rFonts w:asciiTheme="minorHAnsi" w:hAnsiTheme="minorHAnsi"/>
                <w:sz w:val="22"/>
                <w:szCs w:val="22"/>
                <w:lang w:eastAsia="en-US"/>
              </w:rPr>
              <w:tab/>
            </w:r>
            <w:r w:rsidR="000058C1" w:rsidRPr="00D42670">
              <w:rPr>
                <w:rStyle w:val="Hyperlink"/>
              </w:rPr>
              <w:t>Materials Validation</w:t>
            </w:r>
            <w:r w:rsidR="000058C1">
              <w:rPr>
                <w:webHidden/>
              </w:rPr>
              <w:tab/>
            </w:r>
            <w:r w:rsidR="000058C1">
              <w:rPr>
                <w:webHidden/>
              </w:rPr>
              <w:fldChar w:fldCharType="begin"/>
            </w:r>
            <w:r w:rsidR="000058C1">
              <w:rPr>
                <w:webHidden/>
              </w:rPr>
              <w:instrText xml:space="preserve"> PAGEREF _Toc59050072 \h </w:instrText>
            </w:r>
            <w:r w:rsidR="000058C1">
              <w:rPr>
                <w:webHidden/>
              </w:rPr>
            </w:r>
            <w:r w:rsidR="000058C1">
              <w:rPr>
                <w:webHidden/>
              </w:rPr>
              <w:fldChar w:fldCharType="separate"/>
            </w:r>
            <w:r w:rsidR="000058C1">
              <w:rPr>
                <w:webHidden/>
              </w:rPr>
              <w:t>5</w:t>
            </w:r>
            <w:r w:rsidR="000058C1">
              <w:rPr>
                <w:webHidden/>
              </w:rPr>
              <w:fldChar w:fldCharType="end"/>
            </w:r>
          </w:hyperlink>
        </w:p>
        <w:p w14:paraId="639DCC51" w14:textId="4649002D" w:rsidR="000058C1" w:rsidRDefault="004C016F">
          <w:pPr>
            <w:pStyle w:val="TOC2"/>
            <w:tabs>
              <w:tab w:val="left" w:pos="1166"/>
            </w:tabs>
            <w:rPr>
              <w:rFonts w:asciiTheme="minorHAnsi" w:hAnsiTheme="minorHAnsi"/>
              <w:sz w:val="22"/>
              <w:szCs w:val="22"/>
              <w:lang w:eastAsia="en-US"/>
            </w:rPr>
          </w:pPr>
          <w:hyperlink w:anchor="_Toc59050073" w:history="1">
            <w:r w:rsidR="000058C1" w:rsidRPr="00D42670">
              <w:rPr>
                <w:rStyle w:val="Hyperlink"/>
              </w:rPr>
              <w:t>4.1</w:t>
            </w:r>
            <w:r w:rsidR="000058C1">
              <w:rPr>
                <w:rFonts w:asciiTheme="minorHAnsi" w:hAnsiTheme="minorHAnsi"/>
                <w:sz w:val="22"/>
                <w:szCs w:val="22"/>
                <w:lang w:eastAsia="en-US"/>
              </w:rPr>
              <w:tab/>
            </w:r>
            <w:r w:rsidR="000058C1" w:rsidRPr="00D42670">
              <w:rPr>
                <w:rStyle w:val="Hyperlink"/>
              </w:rPr>
              <w:t>Documentation</w:t>
            </w:r>
            <w:r w:rsidR="000058C1">
              <w:rPr>
                <w:webHidden/>
              </w:rPr>
              <w:tab/>
            </w:r>
            <w:r w:rsidR="000058C1">
              <w:rPr>
                <w:webHidden/>
              </w:rPr>
              <w:fldChar w:fldCharType="begin"/>
            </w:r>
            <w:r w:rsidR="000058C1">
              <w:rPr>
                <w:webHidden/>
              </w:rPr>
              <w:instrText xml:space="preserve"> PAGEREF _Toc59050073 \h </w:instrText>
            </w:r>
            <w:r w:rsidR="000058C1">
              <w:rPr>
                <w:webHidden/>
              </w:rPr>
            </w:r>
            <w:r w:rsidR="000058C1">
              <w:rPr>
                <w:webHidden/>
              </w:rPr>
              <w:fldChar w:fldCharType="separate"/>
            </w:r>
            <w:r w:rsidR="000058C1">
              <w:rPr>
                <w:webHidden/>
              </w:rPr>
              <w:t>5</w:t>
            </w:r>
            <w:r w:rsidR="000058C1">
              <w:rPr>
                <w:webHidden/>
              </w:rPr>
              <w:fldChar w:fldCharType="end"/>
            </w:r>
          </w:hyperlink>
        </w:p>
        <w:p w14:paraId="37B43B95" w14:textId="29074424" w:rsidR="000058C1" w:rsidRDefault="004C016F">
          <w:pPr>
            <w:pStyle w:val="TOC2"/>
            <w:tabs>
              <w:tab w:val="left" w:pos="1166"/>
            </w:tabs>
            <w:rPr>
              <w:rFonts w:asciiTheme="minorHAnsi" w:hAnsiTheme="minorHAnsi"/>
              <w:sz w:val="22"/>
              <w:szCs w:val="22"/>
              <w:lang w:eastAsia="en-US"/>
            </w:rPr>
          </w:pPr>
          <w:hyperlink w:anchor="_Toc59050074" w:history="1">
            <w:r w:rsidR="000058C1" w:rsidRPr="00D42670">
              <w:rPr>
                <w:rStyle w:val="Hyperlink"/>
              </w:rPr>
              <w:t>4.2</w:t>
            </w:r>
            <w:r w:rsidR="000058C1">
              <w:rPr>
                <w:rFonts w:asciiTheme="minorHAnsi" w:hAnsiTheme="minorHAnsi"/>
                <w:sz w:val="22"/>
                <w:szCs w:val="22"/>
                <w:lang w:eastAsia="en-US"/>
              </w:rPr>
              <w:tab/>
            </w:r>
            <w:r w:rsidR="000058C1" w:rsidRPr="00D42670">
              <w:rPr>
                <w:rStyle w:val="Hyperlink"/>
              </w:rPr>
              <w:t>Major Findings</w:t>
            </w:r>
            <w:r w:rsidR="000058C1">
              <w:rPr>
                <w:webHidden/>
              </w:rPr>
              <w:tab/>
            </w:r>
            <w:r w:rsidR="000058C1">
              <w:rPr>
                <w:webHidden/>
              </w:rPr>
              <w:fldChar w:fldCharType="begin"/>
            </w:r>
            <w:r w:rsidR="000058C1">
              <w:rPr>
                <w:webHidden/>
              </w:rPr>
              <w:instrText xml:space="preserve"> PAGEREF _Toc59050074 \h </w:instrText>
            </w:r>
            <w:r w:rsidR="000058C1">
              <w:rPr>
                <w:webHidden/>
              </w:rPr>
            </w:r>
            <w:r w:rsidR="000058C1">
              <w:rPr>
                <w:webHidden/>
              </w:rPr>
              <w:fldChar w:fldCharType="separate"/>
            </w:r>
            <w:r w:rsidR="000058C1">
              <w:rPr>
                <w:webHidden/>
              </w:rPr>
              <w:t>5</w:t>
            </w:r>
            <w:r w:rsidR="000058C1">
              <w:rPr>
                <w:webHidden/>
              </w:rPr>
              <w:fldChar w:fldCharType="end"/>
            </w:r>
          </w:hyperlink>
        </w:p>
        <w:p w14:paraId="185E9C25" w14:textId="19953CD9" w:rsidR="000058C1" w:rsidRDefault="004C016F">
          <w:pPr>
            <w:pStyle w:val="TOC1"/>
            <w:rPr>
              <w:rFonts w:asciiTheme="minorHAnsi" w:hAnsiTheme="minorHAnsi"/>
              <w:sz w:val="22"/>
              <w:szCs w:val="22"/>
              <w:lang w:eastAsia="en-US"/>
            </w:rPr>
          </w:pPr>
          <w:hyperlink w:anchor="_Toc59050075" w:history="1">
            <w:r w:rsidR="000058C1" w:rsidRPr="00D42670">
              <w:rPr>
                <w:rStyle w:val="Hyperlink"/>
              </w:rPr>
              <w:t>5</w:t>
            </w:r>
            <w:r w:rsidR="000058C1">
              <w:rPr>
                <w:rFonts w:asciiTheme="minorHAnsi" w:hAnsiTheme="minorHAnsi"/>
                <w:sz w:val="22"/>
                <w:szCs w:val="22"/>
                <w:lang w:eastAsia="en-US"/>
              </w:rPr>
              <w:tab/>
            </w:r>
            <w:r w:rsidR="000058C1" w:rsidRPr="00D42670">
              <w:rPr>
                <w:rStyle w:val="Hyperlink"/>
              </w:rPr>
              <w:t>Review of Harvard Grant Team Responses to Model Verification #2</w:t>
            </w:r>
            <w:r w:rsidR="000058C1">
              <w:rPr>
                <w:webHidden/>
              </w:rPr>
              <w:tab/>
            </w:r>
            <w:r w:rsidR="000058C1">
              <w:rPr>
                <w:webHidden/>
              </w:rPr>
              <w:fldChar w:fldCharType="begin"/>
            </w:r>
            <w:r w:rsidR="000058C1">
              <w:rPr>
                <w:webHidden/>
              </w:rPr>
              <w:instrText xml:space="preserve"> PAGEREF _Toc59050075 \h </w:instrText>
            </w:r>
            <w:r w:rsidR="000058C1">
              <w:rPr>
                <w:webHidden/>
              </w:rPr>
            </w:r>
            <w:r w:rsidR="000058C1">
              <w:rPr>
                <w:webHidden/>
              </w:rPr>
              <w:fldChar w:fldCharType="separate"/>
            </w:r>
            <w:r w:rsidR="000058C1">
              <w:rPr>
                <w:webHidden/>
              </w:rPr>
              <w:t>7</w:t>
            </w:r>
            <w:r w:rsidR="000058C1">
              <w:rPr>
                <w:webHidden/>
              </w:rPr>
              <w:fldChar w:fldCharType="end"/>
            </w:r>
          </w:hyperlink>
        </w:p>
        <w:p w14:paraId="00990931" w14:textId="3CC2E9B7" w:rsidR="000058C1" w:rsidRDefault="004C016F">
          <w:pPr>
            <w:pStyle w:val="TOC1"/>
            <w:rPr>
              <w:rFonts w:asciiTheme="minorHAnsi" w:hAnsiTheme="minorHAnsi"/>
              <w:sz w:val="22"/>
              <w:szCs w:val="22"/>
              <w:lang w:eastAsia="en-US"/>
            </w:rPr>
          </w:pPr>
          <w:hyperlink w:anchor="_Toc59050076" w:history="1">
            <w:r w:rsidR="000058C1" w:rsidRPr="00D42670">
              <w:rPr>
                <w:rStyle w:val="Hyperlink"/>
              </w:rPr>
              <w:t>6</w:t>
            </w:r>
            <w:r w:rsidR="000058C1">
              <w:rPr>
                <w:rFonts w:asciiTheme="minorHAnsi" w:hAnsiTheme="minorHAnsi"/>
                <w:sz w:val="22"/>
                <w:szCs w:val="22"/>
                <w:lang w:eastAsia="en-US"/>
              </w:rPr>
              <w:tab/>
            </w:r>
            <w:r w:rsidR="000058C1" w:rsidRPr="00D42670">
              <w:rPr>
                <w:rStyle w:val="Hyperlink"/>
              </w:rPr>
              <w:t>Review of Harvard Grant Team Responses to Final Validation Part 1</w:t>
            </w:r>
            <w:r w:rsidR="000058C1">
              <w:rPr>
                <w:webHidden/>
              </w:rPr>
              <w:tab/>
            </w:r>
            <w:r w:rsidR="000058C1">
              <w:rPr>
                <w:webHidden/>
              </w:rPr>
              <w:fldChar w:fldCharType="begin"/>
            </w:r>
            <w:r w:rsidR="000058C1">
              <w:rPr>
                <w:webHidden/>
              </w:rPr>
              <w:instrText xml:space="preserve"> PAGEREF _Toc59050076 \h </w:instrText>
            </w:r>
            <w:r w:rsidR="000058C1">
              <w:rPr>
                <w:webHidden/>
              </w:rPr>
            </w:r>
            <w:r w:rsidR="000058C1">
              <w:rPr>
                <w:webHidden/>
              </w:rPr>
              <w:fldChar w:fldCharType="separate"/>
            </w:r>
            <w:r w:rsidR="000058C1">
              <w:rPr>
                <w:webHidden/>
              </w:rPr>
              <w:t>7</w:t>
            </w:r>
            <w:r w:rsidR="000058C1">
              <w:rPr>
                <w:webHidden/>
              </w:rPr>
              <w:fldChar w:fldCharType="end"/>
            </w:r>
          </w:hyperlink>
        </w:p>
        <w:p w14:paraId="0A0256CD" w14:textId="05203D49" w:rsidR="000058C1" w:rsidRDefault="004C016F">
          <w:pPr>
            <w:pStyle w:val="TOC1"/>
            <w:rPr>
              <w:rFonts w:asciiTheme="minorHAnsi" w:hAnsiTheme="minorHAnsi"/>
              <w:sz w:val="22"/>
              <w:szCs w:val="22"/>
              <w:lang w:eastAsia="en-US"/>
            </w:rPr>
          </w:pPr>
          <w:hyperlink w:anchor="_Toc59050077" w:history="1">
            <w:r w:rsidR="000058C1" w:rsidRPr="00D42670">
              <w:rPr>
                <w:rStyle w:val="Hyperlink"/>
              </w:rPr>
              <w:t>7</w:t>
            </w:r>
            <w:r w:rsidR="000058C1">
              <w:rPr>
                <w:rFonts w:asciiTheme="minorHAnsi" w:hAnsiTheme="minorHAnsi"/>
                <w:sz w:val="22"/>
                <w:szCs w:val="22"/>
                <w:lang w:eastAsia="en-US"/>
              </w:rPr>
              <w:tab/>
            </w:r>
            <w:r w:rsidR="000058C1" w:rsidRPr="00D42670">
              <w:rPr>
                <w:rStyle w:val="Hyperlink"/>
              </w:rPr>
              <w:t>Policy Validation</w:t>
            </w:r>
            <w:r w:rsidR="000058C1">
              <w:rPr>
                <w:webHidden/>
              </w:rPr>
              <w:tab/>
            </w:r>
            <w:r w:rsidR="000058C1">
              <w:rPr>
                <w:webHidden/>
              </w:rPr>
              <w:fldChar w:fldCharType="begin"/>
            </w:r>
            <w:r w:rsidR="000058C1">
              <w:rPr>
                <w:webHidden/>
              </w:rPr>
              <w:instrText xml:space="preserve"> PAGEREF _Toc59050077 \h </w:instrText>
            </w:r>
            <w:r w:rsidR="000058C1">
              <w:rPr>
                <w:webHidden/>
              </w:rPr>
            </w:r>
            <w:r w:rsidR="000058C1">
              <w:rPr>
                <w:webHidden/>
              </w:rPr>
              <w:fldChar w:fldCharType="separate"/>
            </w:r>
            <w:r w:rsidR="000058C1">
              <w:rPr>
                <w:webHidden/>
              </w:rPr>
              <w:t>8</w:t>
            </w:r>
            <w:r w:rsidR="000058C1">
              <w:rPr>
                <w:webHidden/>
              </w:rPr>
              <w:fldChar w:fldCharType="end"/>
            </w:r>
          </w:hyperlink>
        </w:p>
        <w:p w14:paraId="16C89A38" w14:textId="7A91EF84" w:rsidR="000058C1" w:rsidRDefault="004C016F">
          <w:pPr>
            <w:pStyle w:val="TOC2"/>
            <w:tabs>
              <w:tab w:val="left" w:pos="1166"/>
            </w:tabs>
            <w:rPr>
              <w:rFonts w:asciiTheme="minorHAnsi" w:hAnsiTheme="minorHAnsi"/>
              <w:sz w:val="22"/>
              <w:szCs w:val="22"/>
              <w:lang w:eastAsia="en-US"/>
            </w:rPr>
          </w:pPr>
          <w:hyperlink w:anchor="_Toc59050078" w:history="1">
            <w:r w:rsidR="000058C1" w:rsidRPr="00D42670">
              <w:rPr>
                <w:rStyle w:val="Hyperlink"/>
              </w:rPr>
              <w:t>7.1</w:t>
            </w:r>
            <w:r w:rsidR="000058C1">
              <w:rPr>
                <w:rFonts w:asciiTheme="minorHAnsi" w:hAnsiTheme="minorHAnsi"/>
                <w:sz w:val="22"/>
                <w:szCs w:val="22"/>
                <w:lang w:eastAsia="en-US"/>
              </w:rPr>
              <w:tab/>
            </w:r>
            <w:r w:rsidR="000058C1" w:rsidRPr="00D42670">
              <w:rPr>
                <w:rStyle w:val="Hyperlink"/>
              </w:rPr>
              <w:t>Background</w:t>
            </w:r>
            <w:r w:rsidR="000058C1">
              <w:rPr>
                <w:webHidden/>
              </w:rPr>
              <w:tab/>
            </w:r>
            <w:r w:rsidR="000058C1">
              <w:rPr>
                <w:webHidden/>
              </w:rPr>
              <w:fldChar w:fldCharType="begin"/>
            </w:r>
            <w:r w:rsidR="000058C1">
              <w:rPr>
                <w:webHidden/>
              </w:rPr>
              <w:instrText xml:space="preserve"> PAGEREF _Toc59050078 \h </w:instrText>
            </w:r>
            <w:r w:rsidR="000058C1">
              <w:rPr>
                <w:webHidden/>
              </w:rPr>
            </w:r>
            <w:r w:rsidR="000058C1">
              <w:rPr>
                <w:webHidden/>
              </w:rPr>
              <w:fldChar w:fldCharType="separate"/>
            </w:r>
            <w:r w:rsidR="000058C1">
              <w:rPr>
                <w:webHidden/>
              </w:rPr>
              <w:t>8</w:t>
            </w:r>
            <w:r w:rsidR="000058C1">
              <w:rPr>
                <w:webHidden/>
              </w:rPr>
              <w:fldChar w:fldCharType="end"/>
            </w:r>
          </w:hyperlink>
        </w:p>
        <w:p w14:paraId="28D1079C" w14:textId="35653E69" w:rsidR="000058C1" w:rsidRDefault="004C016F">
          <w:pPr>
            <w:pStyle w:val="TOC2"/>
            <w:tabs>
              <w:tab w:val="left" w:pos="1166"/>
            </w:tabs>
            <w:rPr>
              <w:rFonts w:asciiTheme="minorHAnsi" w:hAnsiTheme="minorHAnsi"/>
              <w:sz w:val="22"/>
              <w:szCs w:val="22"/>
              <w:lang w:eastAsia="en-US"/>
            </w:rPr>
          </w:pPr>
          <w:hyperlink w:anchor="_Toc59050079" w:history="1">
            <w:r w:rsidR="000058C1" w:rsidRPr="00D42670">
              <w:rPr>
                <w:rStyle w:val="Hyperlink"/>
              </w:rPr>
              <w:t>7.2</w:t>
            </w:r>
            <w:r w:rsidR="000058C1">
              <w:rPr>
                <w:rFonts w:asciiTheme="minorHAnsi" w:hAnsiTheme="minorHAnsi"/>
                <w:sz w:val="22"/>
                <w:szCs w:val="22"/>
                <w:lang w:eastAsia="en-US"/>
              </w:rPr>
              <w:tab/>
            </w:r>
            <w:r w:rsidR="000058C1" w:rsidRPr="00D42670">
              <w:rPr>
                <w:rStyle w:val="Hyperlink"/>
              </w:rPr>
              <w:t>Methods</w:t>
            </w:r>
            <w:r w:rsidR="000058C1">
              <w:rPr>
                <w:webHidden/>
              </w:rPr>
              <w:tab/>
            </w:r>
            <w:r w:rsidR="000058C1">
              <w:rPr>
                <w:webHidden/>
              </w:rPr>
              <w:fldChar w:fldCharType="begin"/>
            </w:r>
            <w:r w:rsidR="000058C1">
              <w:rPr>
                <w:webHidden/>
              </w:rPr>
              <w:instrText xml:space="preserve"> PAGEREF _Toc59050079 \h </w:instrText>
            </w:r>
            <w:r w:rsidR="000058C1">
              <w:rPr>
                <w:webHidden/>
              </w:rPr>
            </w:r>
            <w:r w:rsidR="000058C1">
              <w:rPr>
                <w:webHidden/>
              </w:rPr>
              <w:fldChar w:fldCharType="separate"/>
            </w:r>
            <w:r w:rsidR="000058C1">
              <w:rPr>
                <w:webHidden/>
              </w:rPr>
              <w:t>8</w:t>
            </w:r>
            <w:r w:rsidR="000058C1">
              <w:rPr>
                <w:webHidden/>
              </w:rPr>
              <w:fldChar w:fldCharType="end"/>
            </w:r>
          </w:hyperlink>
        </w:p>
        <w:p w14:paraId="761DC2C6" w14:textId="707F0059" w:rsidR="000058C1" w:rsidRDefault="004C016F">
          <w:pPr>
            <w:pStyle w:val="TOC2"/>
            <w:tabs>
              <w:tab w:val="left" w:pos="1166"/>
            </w:tabs>
            <w:rPr>
              <w:rFonts w:asciiTheme="minorHAnsi" w:hAnsiTheme="minorHAnsi"/>
              <w:sz w:val="22"/>
              <w:szCs w:val="22"/>
              <w:lang w:eastAsia="en-US"/>
            </w:rPr>
          </w:pPr>
          <w:hyperlink w:anchor="_Toc59050080" w:history="1">
            <w:r w:rsidR="000058C1" w:rsidRPr="00D42670">
              <w:rPr>
                <w:rStyle w:val="Hyperlink"/>
              </w:rPr>
              <w:t>7.3</w:t>
            </w:r>
            <w:r w:rsidR="000058C1">
              <w:rPr>
                <w:rFonts w:asciiTheme="minorHAnsi" w:hAnsiTheme="minorHAnsi"/>
                <w:sz w:val="22"/>
                <w:szCs w:val="22"/>
                <w:lang w:eastAsia="en-US"/>
              </w:rPr>
              <w:tab/>
            </w:r>
            <w:r w:rsidR="000058C1" w:rsidRPr="00D42670">
              <w:rPr>
                <w:rStyle w:val="Hyperlink"/>
              </w:rPr>
              <w:t>Summary of Findings</w:t>
            </w:r>
            <w:r w:rsidR="000058C1">
              <w:rPr>
                <w:webHidden/>
              </w:rPr>
              <w:tab/>
            </w:r>
            <w:r w:rsidR="000058C1">
              <w:rPr>
                <w:webHidden/>
              </w:rPr>
              <w:fldChar w:fldCharType="begin"/>
            </w:r>
            <w:r w:rsidR="000058C1">
              <w:rPr>
                <w:webHidden/>
              </w:rPr>
              <w:instrText xml:space="preserve"> PAGEREF _Toc59050080 \h </w:instrText>
            </w:r>
            <w:r w:rsidR="000058C1">
              <w:rPr>
                <w:webHidden/>
              </w:rPr>
            </w:r>
            <w:r w:rsidR="000058C1">
              <w:rPr>
                <w:webHidden/>
              </w:rPr>
              <w:fldChar w:fldCharType="separate"/>
            </w:r>
            <w:r w:rsidR="000058C1">
              <w:rPr>
                <w:webHidden/>
              </w:rPr>
              <w:t>9</w:t>
            </w:r>
            <w:r w:rsidR="000058C1">
              <w:rPr>
                <w:webHidden/>
              </w:rPr>
              <w:fldChar w:fldCharType="end"/>
            </w:r>
          </w:hyperlink>
        </w:p>
        <w:p w14:paraId="6EC618FB" w14:textId="37537EAC" w:rsidR="000058C1" w:rsidRDefault="004C016F">
          <w:pPr>
            <w:pStyle w:val="TOC2"/>
            <w:tabs>
              <w:tab w:val="left" w:pos="1166"/>
            </w:tabs>
            <w:rPr>
              <w:rFonts w:asciiTheme="minorHAnsi" w:hAnsiTheme="minorHAnsi"/>
              <w:sz w:val="22"/>
              <w:szCs w:val="22"/>
              <w:lang w:eastAsia="en-US"/>
            </w:rPr>
          </w:pPr>
          <w:hyperlink w:anchor="_Toc59050081" w:history="1">
            <w:r w:rsidR="000058C1" w:rsidRPr="00D42670">
              <w:rPr>
                <w:rStyle w:val="Hyperlink"/>
              </w:rPr>
              <w:t>7.4</w:t>
            </w:r>
            <w:r w:rsidR="000058C1">
              <w:rPr>
                <w:rFonts w:asciiTheme="minorHAnsi" w:hAnsiTheme="minorHAnsi"/>
                <w:sz w:val="22"/>
                <w:szCs w:val="22"/>
                <w:lang w:eastAsia="en-US"/>
              </w:rPr>
              <w:tab/>
            </w:r>
            <w:r w:rsidR="000058C1" w:rsidRPr="00D42670">
              <w:rPr>
                <w:rStyle w:val="Hyperlink"/>
              </w:rPr>
              <w:t>Use Cases</w:t>
            </w:r>
            <w:r w:rsidR="000058C1">
              <w:rPr>
                <w:webHidden/>
              </w:rPr>
              <w:tab/>
            </w:r>
            <w:r w:rsidR="000058C1">
              <w:rPr>
                <w:webHidden/>
              </w:rPr>
              <w:fldChar w:fldCharType="begin"/>
            </w:r>
            <w:r w:rsidR="000058C1">
              <w:rPr>
                <w:webHidden/>
              </w:rPr>
              <w:instrText xml:space="preserve"> PAGEREF _Toc59050081 \h </w:instrText>
            </w:r>
            <w:r w:rsidR="000058C1">
              <w:rPr>
                <w:webHidden/>
              </w:rPr>
            </w:r>
            <w:r w:rsidR="000058C1">
              <w:rPr>
                <w:webHidden/>
              </w:rPr>
              <w:fldChar w:fldCharType="separate"/>
            </w:r>
            <w:r w:rsidR="000058C1">
              <w:rPr>
                <w:webHidden/>
              </w:rPr>
              <w:t>9</w:t>
            </w:r>
            <w:r w:rsidR="000058C1">
              <w:rPr>
                <w:webHidden/>
              </w:rPr>
              <w:fldChar w:fldCharType="end"/>
            </w:r>
          </w:hyperlink>
        </w:p>
        <w:p w14:paraId="40B93EC2" w14:textId="312F98D3" w:rsidR="000058C1" w:rsidRDefault="004C016F">
          <w:pPr>
            <w:pStyle w:val="TOC3"/>
            <w:rPr>
              <w:rFonts w:asciiTheme="minorHAnsi" w:hAnsiTheme="minorHAnsi"/>
              <w:sz w:val="22"/>
              <w:szCs w:val="22"/>
              <w:lang w:eastAsia="en-US"/>
            </w:rPr>
          </w:pPr>
          <w:hyperlink w:anchor="_Toc59050082" w:history="1">
            <w:r w:rsidR="000058C1" w:rsidRPr="00D42670">
              <w:rPr>
                <w:rStyle w:val="Hyperlink"/>
              </w:rPr>
              <w:t>7.5.1 Increasing Naloxone Availability</w:t>
            </w:r>
            <w:r w:rsidR="000058C1">
              <w:rPr>
                <w:webHidden/>
              </w:rPr>
              <w:tab/>
            </w:r>
            <w:r w:rsidR="000058C1">
              <w:rPr>
                <w:webHidden/>
              </w:rPr>
              <w:fldChar w:fldCharType="begin"/>
            </w:r>
            <w:r w:rsidR="000058C1">
              <w:rPr>
                <w:webHidden/>
              </w:rPr>
              <w:instrText xml:space="preserve"> PAGEREF _Toc59050082 \h </w:instrText>
            </w:r>
            <w:r w:rsidR="000058C1">
              <w:rPr>
                <w:webHidden/>
              </w:rPr>
            </w:r>
            <w:r w:rsidR="000058C1">
              <w:rPr>
                <w:webHidden/>
              </w:rPr>
              <w:fldChar w:fldCharType="separate"/>
            </w:r>
            <w:r w:rsidR="000058C1">
              <w:rPr>
                <w:webHidden/>
              </w:rPr>
              <w:t>9</w:t>
            </w:r>
            <w:r w:rsidR="000058C1">
              <w:rPr>
                <w:webHidden/>
              </w:rPr>
              <w:fldChar w:fldCharType="end"/>
            </w:r>
          </w:hyperlink>
        </w:p>
        <w:p w14:paraId="1DA96FC5" w14:textId="4E3FD188" w:rsidR="000058C1" w:rsidRDefault="004C016F">
          <w:pPr>
            <w:pStyle w:val="TOC3"/>
            <w:rPr>
              <w:rFonts w:asciiTheme="minorHAnsi" w:hAnsiTheme="minorHAnsi"/>
              <w:sz w:val="22"/>
              <w:szCs w:val="22"/>
              <w:lang w:eastAsia="en-US"/>
            </w:rPr>
          </w:pPr>
          <w:hyperlink w:anchor="_Toc59050083" w:history="1">
            <w:r w:rsidR="000058C1" w:rsidRPr="00D42670">
              <w:rPr>
                <w:rStyle w:val="Hyperlink"/>
              </w:rPr>
              <w:t>7.5.2 Treatment Expansion</w:t>
            </w:r>
            <w:r w:rsidR="000058C1">
              <w:rPr>
                <w:webHidden/>
              </w:rPr>
              <w:tab/>
            </w:r>
            <w:r w:rsidR="000058C1">
              <w:rPr>
                <w:webHidden/>
              </w:rPr>
              <w:fldChar w:fldCharType="begin"/>
            </w:r>
            <w:r w:rsidR="000058C1">
              <w:rPr>
                <w:webHidden/>
              </w:rPr>
              <w:instrText xml:space="preserve"> PAGEREF _Toc59050083 \h </w:instrText>
            </w:r>
            <w:r w:rsidR="000058C1">
              <w:rPr>
                <w:webHidden/>
              </w:rPr>
            </w:r>
            <w:r w:rsidR="000058C1">
              <w:rPr>
                <w:webHidden/>
              </w:rPr>
              <w:fldChar w:fldCharType="separate"/>
            </w:r>
            <w:r w:rsidR="000058C1">
              <w:rPr>
                <w:webHidden/>
              </w:rPr>
              <w:t>15</w:t>
            </w:r>
            <w:r w:rsidR="000058C1">
              <w:rPr>
                <w:webHidden/>
              </w:rPr>
              <w:fldChar w:fldCharType="end"/>
            </w:r>
          </w:hyperlink>
        </w:p>
        <w:p w14:paraId="0831A380" w14:textId="68F111C7" w:rsidR="000058C1" w:rsidRDefault="004C016F">
          <w:pPr>
            <w:pStyle w:val="TOC3"/>
            <w:rPr>
              <w:rFonts w:asciiTheme="minorHAnsi" w:hAnsiTheme="minorHAnsi"/>
              <w:sz w:val="22"/>
              <w:szCs w:val="22"/>
              <w:lang w:eastAsia="en-US"/>
            </w:rPr>
          </w:pPr>
          <w:hyperlink w:anchor="_Toc59050084" w:history="1">
            <w:r w:rsidR="000058C1" w:rsidRPr="00D42670">
              <w:rPr>
                <w:rStyle w:val="Hyperlink"/>
              </w:rPr>
              <w:t>7.5.3 Combination of Increasing Nx Availability and Treatment Expansion Policies</w:t>
            </w:r>
            <w:r w:rsidR="000058C1">
              <w:rPr>
                <w:webHidden/>
              </w:rPr>
              <w:tab/>
            </w:r>
            <w:r w:rsidR="000058C1">
              <w:rPr>
                <w:webHidden/>
              </w:rPr>
              <w:fldChar w:fldCharType="begin"/>
            </w:r>
            <w:r w:rsidR="000058C1">
              <w:rPr>
                <w:webHidden/>
              </w:rPr>
              <w:instrText xml:space="preserve"> PAGEREF _Toc59050084 \h </w:instrText>
            </w:r>
            <w:r w:rsidR="000058C1">
              <w:rPr>
                <w:webHidden/>
              </w:rPr>
            </w:r>
            <w:r w:rsidR="000058C1">
              <w:rPr>
                <w:webHidden/>
              </w:rPr>
              <w:fldChar w:fldCharType="separate"/>
            </w:r>
            <w:r w:rsidR="000058C1">
              <w:rPr>
                <w:webHidden/>
              </w:rPr>
              <w:t>20</w:t>
            </w:r>
            <w:r w:rsidR="000058C1">
              <w:rPr>
                <w:webHidden/>
              </w:rPr>
              <w:fldChar w:fldCharType="end"/>
            </w:r>
          </w:hyperlink>
        </w:p>
        <w:p w14:paraId="735A0B30" w14:textId="26F31947" w:rsidR="000058C1" w:rsidRDefault="004C016F">
          <w:pPr>
            <w:pStyle w:val="TOC1"/>
            <w:rPr>
              <w:rFonts w:asciiTheme="minorHAnsi" w:hAnsiTheme="minorHAnsi"/>
              <w:sz w:val="22"/>
              <w:szCs w:val="22"/>
              <w:lang w:eastAsia="en-US"/>
            </w:rPr>
          </w:pPr>
          <w:hyperlink w:anchor="_Toc59050085" w:history="1">
            <w:r w:rsidR="000058C1" w:rsidRPr="00D42670">
              <w:rPr>
                <w:rStyle w:val="Hyperlink"/>
              </w:rPr>
              <w:t>8</w:t>
            </w:r>
            <w:r w:rsidR="000058C1">
              <w:rPr>
                <w:rFonts w:asciiTheme="minorHAnsi" w:hAnsiTheme="minorHAnsi"/>
                <w:sz w:val="22"/>
                <w:szCs w:val="22"/>
                <w:lang w:eastAsia="en-US"/>
              </w:rPr>
              <w:tab/>
            </w:r>
            <w:r w:rsidR="000058C1" w:rsidRPr="00D42670">
              <w:rPr>
                <w:rStyle w:val="Hyperlink"/>
              </w:rPr>
              <w:t>Model Comparator</w:t>
            </w:r>
            <w:r w:rsidR="000058C1">
              <w:rPr>
                <w:webHidden/>
              </w:rPr>
              <w:tab/>
            </w:r>
            <w:r w:rsidR="000058C1">
              <w:rPr>
                <w:webHidden/>
              </w:rPr>
              <w:fldChar w:fldCharType="begin"/>
            </w:r>
            <w:r w:rsidR="000058C1">
              <w:rPr>
                <w:webHidden/>
              </w:rPr>
              <w:instrText xml:space="preserve"> PAGEREF _Toc59050085 \h </w:instrText>
            </w:r>
            <w:r w:rsidR="000058C1">
              <w:rPr>
                <w:webHidden/>
              </w:rPr>
            </w:r>
            <w:r w:rsidR="000058C1">
              <w:rPr>
                <w:webHidden/>
              </w:rPr>
              <w:fldChar w:fldCharType="separate"/>
            </w:r>
            <w:r w:rsidR="000058C1">
              <w:rPr>
                <w:webHidden/>
              </w:rPr>
              <w:t>26</w:t>
            </w:r>
            <w:r w:rsidR="000058C1">
              <w:rPr>
                <w:webHidden/>
              </w:rPr>
              <w:fldChar w:fldCharType="end"/>
            </w:r>
          </w:hyperlink>
        </w:p>
        <w:p w14:paraId="606C1849" w14:textId="4E182C82" w:rsidR="000058C1" w:rsidRDefault="004C016F">
          <w:pPr>
            <w:pStyle w:val="TOC2"/>
            <w:tabs>
              <w:tab w:val="left" w:pos="1166"/>
            </w:tabs>
            <w:rPr>
              <w:rFonts w:asciiTheme="minorHAnsi" w:hAnsiTheme="minorHAnsi"/>
              <w:sz w:val="22"/>
              <w:szCs w:val="22"/>
              <w:lang w:eastAsia="en-US"/>
            </w:rPr>
          </w:pPr>
          <w:hyperlink w:anchor="_Toc59050086" w:history="1">
            <w:r w:rsidR="000058C1" w:rsidRPr="00D42670">
              <w:rPr>
                <w:rStyle w:val="Hyperlink"/>
              </w:rPr>
              <w:t>8.1</w:t>
            </w:r>
            <w:r w:rsidR="000058C1">
              <w:rPr>
                <w:rFonts w:asciiTheme="minorHAnsi" w:hAnsiTheme="minorHAnsi"/>
                <w:sz w:val="22"/>
                <w:szCs w:val="22"/>
                <w:lang w:eastAsia="en-US"/>
              </w:rPr>
              <w:tab/>
            </w:r>
            <w:r w:rsidR="000058C1" w:rsidRPr="00D42670">
              <w:rPr>
                <w:rStyle w:val="Hyperlink"/>
              </w:rPr>
              <w:t>Comparison with Homer and Wakeland 2020</w:t>
            </w:r>
            <w:r w:rsidR="000058C1">
              <w:rPr>
                <w:webHidden/>
              </w:rPr>
              <w:tab/>
            </w:r>
            <w:r w:rsidR="000058C1">
              <w:rPr>
                <w:webHidden/>
              </w:rPr>
              <w:fldChar w:fldCharType="begin"/>
            </w:r>
            <w:r w:rsidR="000058C1">
              <w:rPr>
                <w:webHidden/>
              </w:rPr>
              <w:instrText xml:space="preserve"> PAGEREF _Toc59050086 \h </w:instrText>
            </w:r>
            <w:r w:rsidR="000058C1">
              <w:rPr>
                <w:webHidden/>
              </w:rPr>
            </w:r>
            <w:r w:rsidR="000058C1">
              <w:rPr>
                <w:webHidden/>
              </w:rPr>
              <w:fldChar w:fldCharType="separate"/>
            </w:r>
            <w:r w:rsidR="000058C1">
              <w:rPr>
                <w:webHidden/>
              </w:rPr>
              <w:t>26</w:t>
            </w:r>
            <w:r w:rsidR="000058C1">
              <w:rPr>
                <w:webHidden/>
              </w:rPr>
              <w:fldChar w:fldCharType="end"/>
            </w:r>
          </w:hyperlink>
        </w:p>
        <w:p w14:paraId="2DEC9F6F" w14:textId="33FE3926" w:rsidR="000058C1" w:rsidRDefault="004C016F">
          <w:pPr>
            <w:pStyle w:val="TOC3"/>
            <w:rPr>
              <w:rFonts w:asciiTheme="minorHAnsi" w:hAnsiTheme="minorHAnsi"/>
              <w:sz w:val="22"/>
              <w:szCs w:val="22"/>
              <w:lang w:eastAsia="en-US"/>
            </w:rPr>
          </w:pPr>
          <w:hyperlink w:anchor="_Toc59050087" w:history="1">
            <w:r w:rsidR="000058C1" w:rsidRPr="00D42670">
              <w:rPr>
                <w:rStyle w:val="Hyperlink"/>
              </w:rPr>
              <w:t>8.1.1</w:t>
            </w:r>
            <w:r w:rsidR="000058C1">
              <w:rPr>
                <w:rFonts w:asciiTheme="minorHAnsi" w:hAnsiTheme="minorHAnsi"/>
                <w:sz w:val="22"/>
                <w:szCs w:val="22"/>
                <w:lang w:eastAsia="en-US"/>
              </w:rPr>
              <w:tab/>
            </w:r>
            <w:r w:rsidR="000058C1" w:rsidRPr="00D42670">
              <w:rPr>
                <w:rStyle w:val="Hyperlink"/>
              </w:rPr>
              <w:t>Core Model Logic and Structure</w:t>
            </w:r>
            <w:r w:rsidR="000058C1">
              <w:rPr>
                <w:webHidden/>
              </w:rPr>
              <w:tab/>
            </w:r>
            <w:r w:rsidR="000058C1">
              <w:rPr>
                <w:webHidden/>
              </w:rPr>
              <w:fldChar w:fldCharType="begin"/>
            </w:r>
            <w:r w:rsidR="000058C1">
              <w:rPr>
                <w:webHidden/>
              </w:rPr>
              <w:instrText xml:space="preserve"> PAGEREF _Toc59050087 \h </w:instrText>
            </w:r>
            <w:r w:rsidR="000058C1">
              <w:rPr>
                <w:webHidden/>
              </w:rPr>
            </w:r>
            <w:r w:rsidR="000058C1">
              <w:rPr>
                <w:webHidden/>
              </w:rPr>
              <w:fldChar w:fldCharType="separate"/>
            </w:r>
            <w:r w:rsidR="000058C1">
              <w:rPr>
                <w:webHidden/>
              </w:rPr>
              <w:t>29</w:t>
            </w:r>
            <w:r w:rsidR="000058C1">
              <w:rPr>
                <w:webHidden/>
              </w:rPr>
              <w:fldChar w:fldCharType="end"/>
            </w:r>
          </w:hyperlink>
        </w:p>
        <w:p w14:paraId="69AD22EA" w14:textId="3DF2E11C" w:rsidR="000058C1" w:rsidRDefault="004C016F">
          <w:pPr>
            <w:pStyle w:val="TOC3"/>
            <w:rPr>
              <w:rFonts w:asciiTheme="minorHAnsi" w:hAnsiTheme="minorHAnsi"/>
              <w:sz w:val="22"/>
              <w:szCs w:val="22"/>
              <w:lang w:eastAsia="en-US"/>
            </w:rPr>
          </w:pPr>
          <w:hyperlink w:anchor="_Toc59050088" w:history="1">
            <w:r w:rsidR="000058C1" w:rsidRPr="00D42670">
              <w:rPr>
                <w:rStyle w:val="Hyperlink"/>
              </w:rPr>
              <w:t>8.1.2</w:t>
            </w:r>
            <w:r w:rsidR="000058C1">
              <w:rPr>
                <w:rFonts w:asciiTheme="minorHAnsi" w:hAnsiTheme="minorHAnsi"/>
                <w:sz w:val="22"/>
                <w:szCs w:val="22"/>
                <w:lang w:eastAsia="en-US"/>
              </w:rPr>
              <w:tab/>
            </w:r>
            <w:r w:rsidR="000058C1" w:rsidRPr="00D42670">
              <w:rPr>
                <w:rStyle w:val="Hyperlink"/>
              </w:rPr>
              <w:t>Key Conceptual Feedback Structure</w:t>
            </w:r>
            <w:r w:rsidR="000058C1">
              <w:rPr>
                <w:webHidden/>
              </w:rPr>
              <w:tab/>
            </w:r>
            <w:r w:rsidR="000058C1">
              <w:rPr>
                <w:webHidden/>
              </w:rPr>
              <w:fldChar w:fldCharType="begin"/>
            </w:r>
            <w:r w:rsidR="000058C1">
              <w:rPr>
                <w:webHidden/>
              </w:rPr>
              <w:instrText xml:space="preserve"> PAGEREF _Toc59050088 \h </w:instrText>
            </w:r>
            <w:r w:rsidR="000058C1">
              <w:rPr>
                <w:webHidden/>
              </w:rPr>
            </w:r>
            <w:r w:rsidR="000058C1">
              <w:rPr>
                <w:webHidden/>
              </w:rPr>
              <w:fldChar w:fldCharType="separate"/>
            </w:r>
            <w:r w:rsidR="000058C1">
              <w:rPr>
                <w:webHidden/>
              </w:rPr>
              <w:t>30</w:t>
            </w:r>
            <w:r w:rsidR="000058C1">
              <w:rPr>
                <w:webHidden/>
              </w:rPr>
              <w:fldChar w:fldCharType="end"/>
            </w:r>
          </w:hyperlink>
        </w:p>
        <w:p w14:paraId="322150B0" w14:textId="7E27698F" w:rsidR="000058C1" w:rsidRDefault="004C016F">
          <w:pPr>
            <w:pStyle w:val="TOC3"/>
            <w:rPr>
              <w:rFonts w:asciiTheme="minorHAnsi" w:hAnsiTheme="minorHAnsi"/>
              <w:sz w:val="22"/>
              <w:szCs w:val="22"/>
              <w:lang w:eastAsia="en-US"/>
            </w:rPr>
          </w:pPr>
          <w:hyperlink w:anchor="_Toc59050089" w:history="1">
            <w:r w:rsidR="000058C1" w:rsidRPr="00D42670">
              <w:rPr>
                <w:rStyle w:val="Hyperlink"/>
              </w:rPr>
              <w:t>8.1.3</w:t>
            </w:r>
            <w:r w:rsidR="000058C1">
              <w:rPr>
                <w:rFonts w:asciiTheme="minorHAnsi" w:hAnsiTheme="minorHAnsi"/>
                <w:sz w:val="22"/>
                <w:szCs w:val="22"/>
                <w:lang w:eastAsia="en-US"/>
              </w:rPr>
              <w:tab/>
            </w:r>
            <w:r w:rsidR="000058C1" w:rsidRPr="00D42670">
              <w:rPr>
                <w:rStyle w:val="Hyperlink"/>
              </w:rPr>
              <w:t>Treatment</w:t>
            </w:r>
            <w:r w:rsidR="000058C1">
              <w:rPr>
                <w:webHidden/>
              </w:rPr>
              <w:tab/>
            </w:r>
            <w:r w:rsidR="000058C1">
              <w:rPr>
                <w:webHidden/>
              </w:rPr>
              <w:fldChar w:fldCharType="begin"/>
            </w:r>
            <w:r w:rsidR="000058C1">
              <w:rPr>
                <w:webHidden/>
              </w:rPr>
              <w:instrText xml:space="preserve"> PAGEREF _Toc59050089 \h </w:instrText>
            </w:r>
            <w:r w:rsidR="000058C1">
              <w:rPr>
                <w:webHidden/>
              </w:rPr>
            </w:r>
            <w:r w:rsidR="000058C1">
              <w:rPr>
                <w:webHidden/>
              </w:rPr>
              <w:fldChar w:fldCharType="separate"/>
            </w:r>
            <w:r w:rsidR="000058C1">
              <w:rPr>
                <w:webHidden/>
              </w:rPr>
              <w:t>30</w:t>
            </w:r>
            <w:r w:rsidR="000058C1">
              <w:rPr>
                <w:webHidden/>
              </w:rPr>
              <w:fldChar w:fldCharType="end"/>
            </w:r>
          </w:hyperlink>
        </w:p>
        <w:p w14:paraId="43213612" w14:textId="15944EEA" w:rsidR="000058C1" w:rsidRDefault="004C016F">
          <w:pPr>
            <w:pStyle w:val="TOC3"/>
            <w:rPr>
              <w:rFonts w:asciiTheme="minorHAnsi" w:hAnsiTheme="minorHAnsi"/>
              <w:sz w:val="22"/>
              <w:szCs w:val="22"/>
              <w:lang w:eastAsia="en-US"/>
            </w:rPr>
          </w:pPr>
          <w:hyperlink w:anchor="_Toc59050090" w:history="1">
            <w:r w:rsidR="000058C1" w:rsidRPr="00D42670">
              <w:rPr>
                <w:rStyle w:val="Hyperlink"/>
              </w:rPr>
              <w:t>8.1.4</w:t>
            </w:r>
            <w:r w:rsidR="000058C1">
              <w:rPr>
                <w:rFonts w:asciiTheme="minorHAnsi" w:hAnsiTheme="minorHAnsi"/>
                <w:sz w:val="22"/>
                <w:szCs w:val="22"/>
                <w:lang w:eastAsia="en-US"/>
              </w:rPr>
              <w:tab/>
            </w:r>
            <w:r w:rsidR="000058C1" w:rsidRPr="00D42670">
              <w:rPr>
                <w:rStyle w:val="Hyperlink"/>
              </w:rPr>
              <w:t>Opioid Supply</w:t>
            </w:r>
            <w:r w:rsidR="000058C1">
              <w:rPr>
                <w:webHidden/>
              </w:rPr>
              <w:tab/>
            </w:r>
            <w:r w:rsidR="000058C1">
              <w:rPr>
                <w:webHidden/>
              </w:rPr>
              <w:fldChar w:fldCharType="begin"/>
            </w:r>
            <w:r w:rsidR="000058C1">
              <w:rPr>
                <w:webHidden/>
              </w:rPr>
              <w:instrText xml:space="preserve"> PAGEREF _Toc59050090 \h </w:instrText>
            </w:r>
            <w:r w:rsidR="000058C1">
              <w:rPr>
                <w:webHidden/>
              </w:rPr>
            </w:r>
            <w:r w:rsidR="000058C1">
              <w:rPr>
                <w:webHidden/>
              </w:rPr>
              <w:fldChar w:fldCharType="separate"/>
            </w:r>
            <w:r w:rsidR="000058C1">
              <w:rPr>
                <w:webHidden/>
              </w:rPr>
              <w:t>31</w:t>
            </w:r>
            <w:r w:rsidR="000058C1">
              <w:rPr>
                <w:webHidden/>
              </w:rPr>
              <w:fldChar w:fldCharType="end"/>
            </w:r>
          </w:hyperlink>
        </w:p>
        <w:p w14:paraId="6C242AFA" w14:textId="2260DF0B" w:rsidR="000058C1" w:rsidRDefault="004C016F">
          <w:pPr>
            <w:pStyle w:val="TOC3"/>
            <w:rPr>
              <w:rFonts w:asciiTheme="minorHAnsi" w:hAnsiTheme="minorHAnsi"/>
              <w:sz w:val="22"/>
              <w:szCs w:val="22"/>
              <w:lang w:eastAsia="en-US"/>
            </w:rPr>
          </w:pPr>
          <w:hyperlink w:anchor="_Toc59050091" w:history="1">
            <w:r w:rsidR="000058C1" w:rsidRPr="00D42670">
              <w:rPr>
                <w:rStyle w:val="Hyperlink"/>
              </w:rPr>
              <w:t>8.1.5</w:t>
            </w:r>
            <w:r w:rsidR="000058C1">
              <w:rPr>
                <w:rFonts w:asciiTheme="minorHAnsi" w:hAnsiTheme="minorHAnsi"/>
                <w:sz w:val="22"/>
                <w:szCs w:val="22"/>
                <w:lang w:eastAsia="en-US"/>
              </w:rPr>
              <w:tab/>
            </w:r>
            <w:r w:rsidR="000058C1" w:rsidRPr="00D42670">
              <w:rPr>
                <w:rStyle w:val="Hyperlink"/>
              </w:rPr>
              <w:t>Overdoses, Deaths, and Naloxone</w:t>
            </w:r>
            <w:r w:rsidR="000058C1">
              <w:rPr>
                <w:webHidden/>
              </w:rPr>
              <w:tab/>
            </w:r>
            <w:r w:rsidR="000058C1">
              <w:rPr>
                <w:webHidden/>
              </w:rPr>
              <w:fldChar w:fldCharType="begin"/>
            </w:r>
            <w:r w:rsidR="000058C1">
              <w:rPr>
                <w:webHidden/>
              </w:rPr>
              <w:instrText xml:space="preserve"> PAGEREF _Toc59050091 \h </w:instrText>
            </w:r>
            <w:r w:rsidR="000058C1">
              <w:rPr>
                <w:webHidden/>
              </w:rPr>
            </w:r>
            <w:r w:rsidR="000058C1">
              <w:rPr>
                <w:webHidden/>
              </w:rPr>
              <w:fldChar w:fldCharType="separate"/>
            </w:r>
            <w:r w:rsidR="000058C1">
              <w:rPr>
                <w:webHidden/>
              </w:rPr>
              <w:t>31</w:t>
            </w:r>
            <w:r w:rsidR="000058C1">
              <w:rPr>
                <w:webHidden/>
              </w:rPr>
              <w:fldChar w:fldCharType="end"/>
            </w:r>
          </w:hyperlink>
        </w:p>
        <w:p w14:paraId="42919BE0" w14:textId="7839698D" w:rsidR="000058C1" w:rsidRDefault="004C016F">
          <w:pPr>
            <w:pStyle w:val="TOC3"/>
            <w:rPr>
              <w:rFonts w:asciiTheme="minorHAnsi" w:hAnsiTheme="minorHAnsi"/>
              <w:sz w:val="22"/>
              <w:szCs w:val="22"/>
              <w:lang w:eastAsia="en-US"/>
            </w:rPr>
          </w:pPr>
          <w:hyperlink w:anchor="_Toc59050092" w:history="1">
            <w:r w:rsidR="000058C1" w:rsidRPr="00D42670">
              <w:rPr>
                <w:rStyle w:val="Hyperlink"/>
              </w:rPr>
              <w:t>8.1.6</w:t>
            </w:r>
            <w:r w:rsidR="000058C1">
              <w:rPr>
                <w:rFonts w:asciiTheme="minorHAnsi" w:hAnsiTheme="minorHAnsi"/>
                <w:sz w:val="22"/>
                <w:szCs w:val="22"/>
                <w:lang w:eastAsia="en-US"/>
              </w:rPr>
              <w:tab/>
            </w:r>
            <w:r w:rsidR="000058C1" w:rsidRPr="00D42670">
              <w:rPr>
                <w:rStyle w:val="Hyperlink"/>
              </w:rPr>
              <w:t>Heroin</w:t>
            </w:r>
            <w:r w:rsidR="000058C1">
              <w:rPr>
                <w:webHidden/>
              </w:rPr>
              <w:tab/>
            </w:r>
            <w:r w:rsidR="000058C1">
              <w:rPr>
                <w:webHidden/>
              </w:rPr>
              <w:fldChar w:fldCharType="begin"/>
            </w:r>
            <w:r w:rsidR="000058C1">
              <w:rPr>
                <w:webHidden/>
              </w:rPr>
              <w:instrText xml:space="preserve"> PAGEREF _Toc59050092 \h </w:instrText>
            </w:r>
            <w:r w:rsidR="000058C1">
              <w:rPr>
                <w:webHidden/>
              </w:rPr>
            </w:r>
            <w:r w:rsidR="000058C1">
              <w:rPr>
                <w:webHidden/>
              </w:rPr>
              <w:fldChar w:fldCharType="separate"/>
            </w:r>
            <w:r w:rsidR="000058C1">
              <w:rPr>
                <w:webHidden/>
              </w:rPr>
              <w:t>32</w:t>
            </w:r>
            <w:r w:rsidR="000058C1">
              <w:rPr>
                <w:webHidden/>
              </w:rPr>
              <w:fldChar w:fldCharType="end"/>
            </w:r>
          </w:hyperlink>
        </w:p>
        <w:p w14:paraId="6715BF4F" w14:textId="648076C5" w:rsidR="000058C1" w:rsidRDefault="004C016F">
          <w:pPr>
            <w:pStyle w:val="TOC2"/>
            <w:tabs>
              <w:tab w:val="left" w:pos="1166"/>
            </w:tabs>
            <w:rPr>
              <w:rFonts w:asciiTheme="minorHAnsi" w:hAnsiTheme="minorHAnsi"/>
              <w:sz w:val="22"/>
              <w:szCs w:val="22"/>
              <w:lang w:eastAsia="en-US"/>
            </w:rPr>
          </w:pPr>
          <w:hyperlink w:anchor="_Toc59050093" w:history="1">
            <w:r w:rsidR="000058C1" w:rsidRPr="00D42670">
              <w:rPr>
                <w:rStyle w:val="Hyperlink"/>
              </w:rPr>
              <w:t>8.2</w:t>
            </w:r>
            <w:r w:rsidR="000058C1">
              <w:rPr>
                <w:rFonts w:asciiTheme="minorHAnsi" w:hAnsiTheme="minorHAnsi"/>
                <w:sz w:val="22"/>
                <w:szCs w:val="22"/>
                <w:lang w:eastAsia="en-US"/>
              </w:rPr>
              <w:tab/>
            </w:r>
            <w:r w:rsidR="000058C1" w:rsidRPr="00D42670">
              <w:rPr>
                <w:rStyle w:val="Hyperlink"/>
              </w:rPr>
              <w:t>Policy Comparison</w:t>
            </w:r>
            <w:r w:rsidR="000058C1">
              <w:rPr>
                <w:webHidden/>
              </w:rPr>
              <w:tab/>
            </w:r>
            <w:r w:rsidR="000058C1">
              <w:rPr>
                <w:webHidden/>
              </w:rPr>
              <w:fldChar w:fldCharType="begin"/>
            </w:r>
            <w:r w:rsidR="000058C1">
              <w:rPr>
                <w:webHidden/>
              </w:rPr>
              <w:instrText xml:space="preserve"> PAGEREF _Toc59050093 \h </w:instrText>
            </w:r>
            <w:r w:rsidR="000058C1">
              <w:rPr>
                <w:webHidden/>
              </w:rPr>
            </w:r>
            <w:r w:rsidR="000058C1">
              <w:rPr>
                <w:webHidden/>
              </w:rPr>
              <w:fldChar w:fldCharType="separate"/>
            </w:r>
            <w:r w:rsidR="000058C1">
              <w:rPr>
                <w:webHidden/>
              </w:rPr>
              <w:t>32</w:t>
            </w:r>
            <w:r w:rsidR="000058C1">
              <w:rPr>
                <w:webHidden/>
              </w:rPr>
              <w:fldChar w:fldCharType="end"/>
            </w:r>
          </w:hyperlink>
        </w:p>
        <w:p w14:paraId="485918DC" w14:textId="21C0C33D" w:rsidR="000058C1" w:rsidRDefault="004C016F">
          <w:pPr>
            <w:pStyle w:val="TOC1"/>
            <w:rPr>
              <w:rFonts w:asciiTheme="minorHAnsi" w:hAnsiTheme="minorHAnsi"/>
              <w:sz w:val="22"/>
              <w:szCs w:val="22"/>
              <w:lang w:eastAsia="en-US"/>
            </w:rPr>
          </w:pPr>
          <w:hyperlink w:anchor="_Toc59050094" w:history="1">
            <w:r w:rsidR="000058C1" w:rsidRPr="00D42670">
              <w:rPr>
                <w:rStyle w:val="Hyperlink"/>
              </w:rPr>
              <w:t>9</w:t>
            </w:r>
            <w:r w:rsidR="000058C1">
              <w:rPr>
                <w:rFonts w:asciiTheme="minorHAnsi" w:hAnsiTheme="minorHAnsi"/>
                <w:sz w:val="22"/>
                <w:szCs w:val="22"/>
                <w:lang w:eastAsia="en-US"/>
              </w:rPr>
              <w:tab/>
            </w:r>
            <w:r w:rsidR="000058C1" w:rsidRPr="00D42670">
              <w:rPr>
                <w:rStyle w:val="Hyperlink"/>
              </w:rPr>
              <w:t>Conclusion</w:t>
            </w:r>
            <w:r w:rsidR="000058C1">
              <w:rPr>
                <w:webHidden/>
              </w:rPr>
              <w:tab/>
            </w:r>
            <w:r w:rsidR="000058C1">
              <w:rPr>
                <w:webHidden/>
              </w:rPr>
              <w:fldChar w:fldCharType="begin"/>
            </w:r>
            <w:r w:rsidR="000058C1">
              <w:rPr>
                <w:webHidden/>
              </w:rPr>
              <w:instrText xml:space="preserve"> PAGEREF _Toc59050094 \h </w:instrText>
            </w:r>
            <w:r w:rsidR="000058C1">
              <w:rPr>
                <w:webHidden/>
              </w:rPr>
            </w:r>
            <w:r w:rsidR="000058C1">
              <w:rPr>
                <w:webHidden/>
              </w:rPr>
              <w:fldChar w:fldCharType="separate"/>
            </w:r>
            <w:r w:rsidR="000058C1">
              <w:rPr>
                <w:webHidden/>
              </w:rPr>
              <w:t>34</w:t>
            </w:r>
            <w:r w:rsidR="000058C1">
              <w:rPr>
                <w:webHidden/>
              </w:rPr>
              <w:fldChar w:fldCharType="end"/>
            </w:r>
          </w:hyperlink>
        </w:p>
        <w:p w14:paraId="1D1B7DA0" w14:textId="1E981647" w:rsidR="000058C1" w:rsidRDefault="004C016F">
          <w:pPr>
            <w:pStyle w:val="TOC2"/>
            <w:tabs>
              <w:tab w:val="left" w:pos="1166"/>
            </w:tabs>
            <w:rPr>
              <w:rFonts w:asciiTheme="minorHAnsi" w:hAnsiTheme="minorHAnsi"/>
              <w:sz w:val="22"/>
              <w:szCs w:val="22"/>
              <w:lang w:eastAsia="en-US"/>
            </w:rPr>
          </w:pPr>
          <w:hyperlink w:anchor="_Toc59050095" w:history="1">
            <w:r w:rsidR="000058C1" w:rsidRPr="00D42670">
              <w:rPr>
                <w:rStyle w:val="Hyperlink"/>
              </w:rPr>
              <w:t>9.1</w:t>
            </w:r>
            <w:r w:rsidR="000058C1">
              <w:rPr>
                <w:rFonts w:asciiTheme="minorHAnsi" w:hAnsiTheme="minorHAnsi"/>
                <w:sz w:val="22"/>
                <w:szCs w:val="22"/>
                <w:lang w:eastAsia="en-US"/>
              </w:rPr>
              <w:tab/>
            </w:r>
            <w:r w:rsidR="000058C1" w:rsidRPr="00D42670">
              <w:rPr>
                <w:rStyle w:val="Hyperlink"/>
              </w:rPr>
              <w:t>Summary of Findings</w:t>
            </w:r>
            <w:r w:rsidR="000058C1">
              <w:rPr>
                <w:webHidden/>
              </w:rPr>
              <w:tab/>
            </w:r>
            <w:r w:rsidR="000058C1">
              <w:rPr>
                <w:webHidden/>
              </w:rPr>
              <w:fldChar w:fldCharType="begin"/>
            </w:r>
            <w:r w:rsidR="000058C1">
              <w:rPr>
                <w:webHidden/>
              </w:rPr>
              <w:instrText xml:space="preserve"> PAGEREF _Toc59050095 \h </w:instrText>
            </w:r>
            <w:r w:rsidR="000058C1">
              <w:rPr>
                <w:webHidden/>
              </w:rPr>
            </w:r>
            <w:r w:rsidR="000058C1">
              <w:rPr>
                <w:webHidden/>
              </w:rPr>
              <w:fldChar w:fldCharType="separate"/>
            </w:r>
            <w:r w:rsidR="000058C1">
              <w:rPr>
                <w:webHidden/>
              </w:rPr>
              <w:t>34</w:t>
            </w:r>
            <w:r w:rsidR="000058C1">
              <w:rPr>
                <w:webHidden/>
              </w:rPr>
              <w:fldChar w:fldCharType="end"/>
            </w:r>
          </w:hyperlink>
        </w:p>
        <w:p w14:paraId="42AF2476" w14:textId="7C6F8193" w:rsidR="000058C1" w:rsidRDefault="004C016F">
          <w:pPr>
            <w:pStyle w:val="TOC2"/>
            <w:tabs>
              <w:tab w:val="left" w:pos="1166"/>
            </w:tabs>
            <w:rPr>
              <w:rFonts w:asciiTheme="minorHAnsi" w:hAnsiTheme="minorHAnsi"/>
              <w:sz w:val="22"/>
              <w:szCs w:val="22"/>
              <w:lang w:eastAsia="en-US"/>
            </w:rPr>
          </w:pPr>
          <w:hyperlink w:anchor="_Toc59050096" w:history="1">
            <w:r w:rsidR="000058C1" w:rsidRPr="00D42670">
              <w:rPr>
                <w:rStyle w:val="Hyperlink"/>
              </w:rPr>
              <w:t>9.2</w:t>
            </w:r>
            <w:r w:rsidR="000058C1">
              <w:rPr>
                <w:rFonts w:asciiTheme="minorHAnsi" w:hAnsiTheme="minorHAnsi"/>
                <w:sz w:val="22"/>
                <w:szCs w:val="22"/>
                <w:lang w:eastAsia="en-US"/>
              </w:rPr>
              <w:tab/>
            </w:r>
            <w:r w:rsidR="000058C1" w:rsidRPr="00D42670">
              <w:rPr>
                <w:rStyle w:val="Hyperlink"/>
              </w:rPr>
              <w:t>Summary of Recommendations</w:t>
            </w:r>
            <w:r w:rsidR="000058C1">
              <w:rPr>
                <w:webHidden/>
              </w:rPr>
              <w:tab/>
            </w:r>
            <w:r w:rsidR="000058C1">
              <w:rPr>
                <w:webHidden/>
              </w:rPr>
              <w:fldChar w:fldCharType="begin"/>
            </w:r>
            <w:r w:rsidR="000058C1">
              <w:rPr>
                <w:webHidden/>
              </w:rPr>
              <w:instrText xml:space="preserve"> PAGEREF _Toc59050096 \h </w:instrText>
            </w:r>
            <w:r w:rsidR="000058C1">
              <w:rPr>
                <w:webHidden/>
              </w:rPr>
            </w:r>
            <w:r w:rsidR="000058C1">
              <w:rPr>
                <w:webHidden/>
              </w:rPr>
              <w:fldChar w:fldCharType="separate"/>
            </w:r>
            <w:r w:rsidR="000058C1">
              <w:rPr>
                <w:webHidden/>
              </w:rPr>
              <w:t>35</w:t>
            </w:r>
            <w:r w:rsidR="000058C1">
              <w:rPr>
                <w:webHidden/>
              </w:rPr>
              <w:fldChar w:fldCharType="end"/>
            </w:r>
          </w:hyperlink>
        </w:p>
        <w:p w14:paraId="5416ABB1" w14:textId="011089C3" w:rsidR="000058C1" w:rsidRDefault="004C016F">
          <w:pPr>
            <w:pStyle w:val="TOC2"/>
            <w:tabs>
              <w:tab w:val="left" w:pos="1166"/>
            </w:tabs>
            <w:rPr>
              <w:rFonts w:asciiTheme="minorHAnsi" w:hAnsiTheme="minorHAnsi"/>
              <w:sz w:val="22"/>
              <w:szCs w:val="22"/>
              <w:lang w:eastAsia="en-US"/>
            </w:rPr>
          </w:pPr>
          <w:hyperlink w:anchor="_Toc59050097" w:history="1">
            <w:r w:rsidR="000058C1" w:rsidRPr="00D42670">
              <w:rPr>
                <w:rStyle w:val="Hyperlink"/>
              </w:rPr>
              <w:t>9.3</w:t>
            </w:r>
            <w:r w:rsidR="000058C1">
              <w:rPr>
                <w:rFonts w:asciiTheme="minorHAnsi" w:hAnsiTheme="minorHAnsi"/>
                <w:sz w:val="22"/>
                <w:szCs w:val="22"/>
                <w:lang w:eastAsia="en-US"/>
              </w:rPr>
              <w:tab/>
            </w:r>
            <w:r w:rsidR="000058C1" w:rsidRPr="00D42670">
              <w:rPr>
                <w:rStyle w:val="Hyperlink"/>
              </w:rPr>
              <w:t>Usability Assessment</w:t>
            </w:r>
            <w:r w:rsidR="000058C1">
              <w:rPr>
                <w:webHidden/>
              </w:rPr>
              <w:tab/>
            </w:r>
            <w:r w:rsidR="000058C1">
              <w:rPr>
                <w:webHidden/>
              </w:rPr>
              <w:fldChar w:fldCharType="begin"/>
            </w:r>
            <w:r w:rsidR="000058C1">
              <w:rPr>
                <w:webHidden/>
              </w:rPr>
              <w:instrText xml:space="preserve"> PAGEREF _Toc59050097 \h </w:instrText>
            </w:r>
            <w:r w:rsidR="000058C1">
              <w:rPr>
                <w:webHidden/>
              </w:rPr>
            </w:r>
            <w:r w:rsidR="000058C1">
              <w:rPr>
                <w:webHidden/>
              </w:rPr>
              <w:fldChar w:fldCharType="separate"/>
            </w:r>
            <w:r w:rsidR="000058C1">
              <w:rPr>
                <w:webHidden/>
              </w:rPr>
              <w:t>37</w:t>
            </w:r>
            <w:r w:rsidR="000058C1">
              <w:rPr>
                <w:webHidden/>
              </w:rPr>
              <w:fldChar w:fldCharType="end"/>
            </w:r>
          </w:hyperlink>
        </w:p>
        <w:p w14:paraId="04C58391" w14:textId="02DB6081" w:rsidR="000058C1" w:rsidRDefault="004C016F">
          <w:pPr>
            <w:pStyle w:val="TOC1"/>
            <w:rPr>
              <w:rFonts w:asciiTheme="minorHAnsi" w:hAnsiTheme="minorHAnsi"/>
              <w:sz w:val="22"/>
              <w:szCs w:val="22"/>
              <w:lang w:eastAsia="en-US"/>
            </w:rPr>
          </w:pPr>
          <w:hyperlink w:anchor="_Toc59050098" w:history="1">
            <w:r w:rsidR="000058C1" w:rsidRPr="00D42670">
              <w:rPr>
                <w:rStyle w:val="Hyperlink"/>
              </w:rPr>
              <w:t>10</w:t>
            </w:r>
            <w:r w:rsidR="000058C1">
              <w:rPr>
                <w:rFonts w:asciiTheme="minorHAnsi" w:hAnsiTheme="minorHAnsi"/>
                <w:sz w:val="22"/>
                <w:szCs w:val="22"/>
                <w:lang w:eastAsia="en-US"/>
              </w:rPr>
              <w:tab/>
            </w:r>
            <w:r w:rsidR="000058C1" w:rsidRPr="00D42670">
              <w:rPr>
                <w:rStyle w:val="Hyperlink"/>
              </w:rPr>
              <w:t>References</w:t>
            </w:r>
            <w:r w:rsidR="000058C1">
              <w:rPr>
                <w:webHidden/>
              </w:rPr>
              <w:tab/>
            </w:r>
            <w:r w:rsidR="000058C1">
              <w:rPr>
                <w:webHidden/>
              </w:rPr>
              <w:fldChar w:fldCharType="begin"/>
            </w:r>
            <w:r w:rsidR="000058C1">
              <w:rPr>
                <w:webHidden/>
              </w:rPr>
              <w:instrText xml:space="preserve"> PAGEREF _Toc59050098 \h </w:instrText>
            </w:r>
            <w:r w:rsidR="000058C1">
              <w:rPr>
                <w:webHidden/>
              </w:rPr>
            </w:r>
            <w:r w:rsidR="000058C1">
              <w:rPr>
                <w:webHidden/>
              </w:rPr>
              <w:fldChar w:fldCharType="separate"/>
            </w:r>
            <w:r w:rsidR="000058C1">
              <w:rPr>
                <w:webHidden/>
              </w:rPr>
              <w:t>38</w:t>
            </w:r>
            <w:r w:rsidR="000058C1">
              <w:rPr>
                <w:webHidden/>
              </w:rPr>
              <w:fldChar w:fldCharType="end"/>
            </w:r>
          </w:hyperlink>
        </w:p>
        <w:p w14:paraId="2854F21F" w14:textId="235D2488" w:rsidR="000058C1" w:rsidRDefault="004C016F">
          <w:pPr>
            <w:pStyle w:val="TOC1"/>
            <w:rPr>
              <w:rFonts w:asciiTheme="minorHAnsi" w:hAnsiTheme="minorHAnsi"/>
              <w:sz w:val="22"/>
              <w:szCs w:val="22"/>
              <w:lang w:eastAsia="en-US"/>
            </w:rPr>
          </w:pPr>
          <w:hyperlink w:anchor="_Toc59050099" w:history="1">
            <w:r w:rsidR="000058C1" w:rsidRPr="00D42670">
              <w:rPr>
                <w:rStyle w:val="Hyperlink"/>
              </w:rPr>
              <w:t>11</w:t>
            </w:r>
            <w:r w:rsidR="000058C1">
              <w:rPr>
                <w:rFonts w:asciiTheme="minorHAnsi" w:hAnsiTheme="minorHAnsi"/>
                <w:sz w:val="22"/>
                <w:szCs w:val="22"/>
                <w:lang w:eastAsia="en-US"/>
              </w:rPr>
              <w:tab/>
            </w:r>
            <w:r w:rsidR="000058C1" w:rsidRPr="00D42670">
              <w:rPr>
                <w:rStyle w:val="Hyperlink"/>
              </w:rPr>
              <w:t>Appendix</w:t>
            </w:r>
            <w:r w:rsidR="000058C1">
              <w:rPr>
                <w:webHidden/>
              </w:rPr>
              <w:tab/>
            </w:r>
            <w:r w:rsidR="000058C1">
              <w:rPr>
                <w:webHidden/>
              </w:rPr>
              <w:fldChar w:fldCharType="begin"/>
            </w:r>
            <w:r w:rsidR="000058C1">
              <w:rPr>
                <w:webHidden/>
              </w:rPr>
              <w:instrText xml:space="preserve"> PAGEREF _Toc59050099 \h </w:instrText>
            </w:r>
            <w:r w:rsidR="000058C1">
              <w:rPr>
                <w:webHidden/>
              </w:rPr>
            </w:r>
            <w:r w:rsidR="000058C1">
              <w:rPr>
                <w:webHidden/>
              </w:rPr>
              <w:fldChar w:fldCharType="separate"/>
            </w:r>
            <w:r w:rsidR="000058C1">
              <w:rPr>
                <w:webHidden/>
              </w:rPr>
              <w:t>39</w:t>
            </w:r>
            <w:r w:rsidR="000058C1">
              <w:rPr>
                <w:webHidden/>
              </w:rPr>
              <w:fldChar w:fldCharType="end"/>
            </w:r>
          </w:hyperlink>
        </w:p>
        <w:p w14:paraId="5DD95BB0" w14:textId="2F03F7ED" w:rsidR="000058C1" w:rsidRDefault="004C016F">
          <w:pPr>
            <w:pStyle w:val="TOC2"/>
            <w:tabs>
              <w:tab w:val="left" w:pos="1166"/>
            </w:tabs>
            <w:rPr>
              <w:rFonts w:asciiTheme="minorHAnsi" w:hAnsiTheme="minorHAnsi"/>
              <w:sz w:val="22"/>
              <w:szCs w:val="22"/>
              <w:lang w:eastAsia="en-US"/>
            </w:rPr>
          </w:pPr>
          <w:hyperlink w:anchor="_Toc59050100" w:history="1">
            <w:r w:rsidR="000058C1" w:rsidRPr="00D42670">
              <w:rPr>
                <w:rStyle w:val="Hyperlink"/>
              </w:rPr>
              <w:t>11.1</w:t>
            </w:r>
            <w:r w:rsidR="000058C1">
              <w:rPr>
                <w:rFonts w:asciiTheme="minorHAnsi" w:hAnsiTheme="minorHAnsi"/>
                <w:sz w:val="22"/>
                <w:szCs w:val="22"/>
                <w:lang w:eastAsia="en-US"/>
              </w:rPr>
              <w:tab/>
            </w:r>
            <w:r w:rsidR="000058C1" w:rsidRPr="00D42670">
              <w:rPr>
                <w:rStyle w:val="Hyperlink"/>
              </w:rPr>
              <w:t>Policy Validation Graphs and Tables</w:t>
            </w:r>
            <w:r w:rsidR="000058C1">
              <w:rPr>
                <w:webHidden/>
              </w:rPr>
              <w:tab/>
            </w:r>
            <w:r w:rsidR="000058C1">
              <w:rPr>
                <w:webHidden/>
              </w:rPr>
              <w:fldChar w:fldCharType="begin"/>
            </w:r>
            <w:r w:rsidR="000058C1">
              <w:rPr>
                <w:webHidden/>
              </w:rPr>
              <w:instrText xml:space="preserve"> PAGEREF _Toc59050100 \h </w:instrText>
            </w:r>
            <w:r w:rsidR="000058C1">
              <w:rPr>
                <w:webHidden/>
              </w:rPr>
            </w:r>
            <w:r w:rsidR="000058C1">
              <w:rPr>
                <w:webHidden/>
              </w:rPr>
              <w:fldChar w:fldCharType="separate"/>
            </w:r>
            <w:r w:rsidR="000058C1">
              <w:rPr>
                <w:webHidden/>
              </w:rPr>
              <w:t>40</w:t>
            </w:r>
            <w:r w:rsidR="000058C1">
              <w:rPr>
                <w:webHidden/>
              </w:rPr>
              <w:fldChar w:fldCharType="end"/>
            </w:r>
          </w:hyperlink>
        </w:p>
        <w:p w14:paraId="769F5343" w14:textId="157573B8" w:rsidR="000058C1" w:rsidRDefault="004C016F">
          <w:pPr>
            <w:pStyle w:val="TOC2"/>
            <w:tabs>
              <w:tab w:val="left" w:pos="1166"/>
            </w:tabs>
            <w:rPr>
              <w:rFonts w:asciiTheme="minorHAnsi" w:hAnsiTheme="minorHAnsi"/>
              <w:sz w:val="22"/>
              <w:szCs w:val="22"/>
              <w:lang w:eastAsia="en-US"/>
            </w:rPr>
          </w:pPr>
          <w:hyperlink w:anchor="_Toc59050101" w:history="1">
            <w:r w:rsidR="000058C1" w:rsidRPr="00D42670">
              <w:rPr>
                <w:rStyle w:val="Hyperlink"/>
              </w:rPr>
              <w:t>11.2</w:t>
            </w:r>
            <w:r w:rsidR="000058C1">
              <w:rPr>
                <w:rFonts w:asciiTheme="minorHAnsi" w:hAnsiTheme="minorHAnsi"/>
                <w:sz w:val="22"/>
                <w:szCs w:val="22"/>
                <w:lang w:eastAsia="en-US"/>
              </w:rPr>
              <w:tab/>
            </w:r>
            <w:r w:rsidR="000058C1" w:rsidRPr="00D42670">
              <w:rPr>
                <w:rStyle w:val="Hyperlink"/>
              </w:rPr>
              <w:t>Statement of Work Checklist</w:t>
            </w:r>
            <w:r w:rsidR="000058C1">
              <w:rPr>
                <w:webHidden/>
              </w:rPr>
              <w:tab/>
            </w:r>
            <w:r w:rsidR="000058C1">
              <w:rPr>
                <w:webHidden/>
              </w:rPr>
              <w:fldChar w:fldCharType="begin"/>
            </w:r>
            <w:r w:rsidR="000058C1">
              <w:rPr>
                <w:webHidden/>
              </w:rPr>
              <w:instrText xml:space="preserve"> PAGEREF _Toc59050101 \h </w:instrText>
            </w:r>
            <w:r w:rsidR="000058C1">
              <w:rPr>
                <w:webHidden/>
              </w:rPr>
            </w:r>
            <w:r w:rsidR="000058C1">
              <w:rPr>
                <w:webHidden/>
              </w:rPr>
              <w:fldChar w:fldCharType="separate"/>
            </w:r>
            <w:r w:rsidR="000058C1">
              <w:rPr>
                <w:webHidden/>
              </w:rPr>
              <w:t>43</w:t>
            </w:r>
            <w:r w:rsidR="000058C1">
              <w:rPr>
                <w:webHidden/>
              </w:rPr>
              <w:fldChar w:fldCharType="end"/>
            </w:r>
          </w:hyperlink>
        </w:p>
        <w:p w14:paraId="636E44E9" w14:textId="1632704B" w:rsidR="00D75E99" w:rsidRDefault="00ED208B" w:rsidP="00255EBB">
          <w:r>
            <w:fldChar w:fldCharType="end"/>
          </w:r>
        </w:p>
        <w:p w14:paraId="5B14EDF2" w14:textId="4F1E9606" w:rsidR="009B73A4" w:rsidRPr="00255EBB" w:rsidRDefault="004C016F" w:rsidP="00255EBB"/>
      </w:sdtContent>
    </w:sdt>
    <w:bookmarkEnd w:id="0" w:displacedByCustomXml="prev"/>
    <w:bookmarkEnd w:id="1" w:displacedByCustomXml="prev"/>
    <w:p w14:paraId="2B9588B9" w14:textId="2B83D963" w:rsidR="007D1F5E" w:rsidRPr="003412B5" w:rsidRDefault="007D1F5E" w:rsidP="003412B5">
      <w:pPr>
        <w:pStyle w:val="ListofTablesandFiguresHeading"/>
      </w:pPr>
      <w:bookmarkStart w:id="2" w:name="_Toc25333106"/>
      <w:bookmarkStart w:id="3" w:name="_Toc52395998"/>
      <w:bookmarkStart w:id="4" w:name="_Toc59050067"/>
      <w:r w:rsidRPr="003412B5">
        <w:lastRenderedPageBreak/>
        <w:t>List of Tables</w:t>
      </w:r>
      <w:bookmarkEnd w:id="2"/>
      <w:bookmarkEnd w:id="3"/>
      <w:bookmarkEnd w:id="4"/>
    </w:p>
    <w:p w14:paraId="0A40728D" w14:textId="69181BD5" w:rsidR="000058C1" w:rsidRDefault="00E2189B">
      <w:pPr>
        <w:pStyle w:val="TableofFigures"/>
        <w:tabs>
          <w:tab w:val="right" w:leader="dot" w:pos="9350"/>
        </w:tabs>
        <w:rPr>
          <w:rFonts w:asciiTheme="minorHAnsi" w:hAnsiTheme="minorHAnsi"/>
          <w:noProof/>
          <w:sz w:val="22"/>
          <w:szCs w:val="22"/>
          <w:lang w:eastAsia="en-US"/>
        </w:rPr>
      </w:pPr>
      <w:r>
        <w:fldChar w:fldCharType="begin"/>
      </w:r>
      <w:r>
        <w:instrText xml:space="preserve"> TOC \h \z \c "Table" </w:instrText>
      </w:r>
      <w:r>
        <w:fldChar w:fldCharType="separate"/>
      </w:r>
      <w:hyperlink w:anchor="_Toc59050102" w:history="1">
        <w:r w:rsidR="000058C1" w:rsidRPr="00CB6587">
          <w:rPr>
            <w:rStyle w:val="Hyperlink"/>
            <w:noProof/>
          </w:rPr>
          <w:t>Table 4</w:t>
        </w:r>
        <w:r w:rsidR="000058C1" w:rsidRPr="00CB6587">
          <w:rPr>
            <w:rStyle w:val="Hyperlink"/>
            <w:noProof/>
          </w:rPr>
          <w:noBreakHyphen/>
          <w:t>1: Materials Validation Findings</w:t>
        </w:r>
        <w:r w:rsidR="000058C1">
          <w:rPr>
            <w:noProof/>
            <w:webHidden/>
          </w:rPr>
          <w:tab/>
        </w:r>
        <w:r w:rsidR="000058C1">
          <w:rPr>
            <w:noProof/>
            <w:webHidden/>
          </w:rPr>
          <w:fldChar w:fldCharType="begin"/>
        </w:r>
        <w:r w:rsidR="000058C1">
          <w:rPr>
            <w:noProof/>
            <w:webHidden/>
          </w:rPr>
          <w:instrText xml:space="preserve"> PAGEREF _Toc59050102 \h </w:instrText>
        </w:r>
        <w:r w:rsidR="000058C1">
          <w:rPr>
            <w:noProof/>
            <w:webHidden/>
          </w:rPr>
        </w:r>
        <w:r w:rsidR="000058C1">
          <w:rPr>
            <w:noProof/>
            <w:webHidden/>
          </w:rPr>
          <w:fldChar w:fldCharType="separate"/>
        </w:r>
        <w:r w:rsidR="000058C1">
          <w:rPr>
            <w:noProof/>
            <w:webHidden/>
          </w:rPr>
          <w:t>6</w:t>
        </w:r>
        <w:r w:rsidR="000058C1">
          <w:rPr>
            <w:noProof/>
            <w:webHidden/>
          </w:rPr>
          <w:fldChar w:fldCharType="end"/>
        </w:r>
      </w:hyperlink>
    </w:p>
    <w:p w14:paraId="6577455D" w14:textId="67C8F990" w:rsidR="000058C1" w:rsidRDefault="004C016F">
      <w:pPr>
        <w:pStyle w:val="TableofFigures"/>
        <w:tabs>
          <w:tab w:val="right" w:leader="dot" w:pos="9350"/>
        </w:tabs>
        <w:rPr>
          <w:rFonts w:asciiTheme="minorHAnsi" w:hAnsiTheme="minorHAnsi"/>
          <w:noProof/>
          <w:sz w:val="22"/>
          <w:szCs w:val="22"/>
          <w:lang w:eastAsia="en-US"/>
        </w:rPr>
      </w:pPr>
      <w:hyperlink w:anchor="_Toc59050103" w:history="1">
        <w:r w:rsidR="000058C1" w:rsidRPr="00CB6587">
          <w:rPr>
            <w:rStyle w:val="Hyperlink"/>
            <w:noProof/>
          </w:rPr>
          <w:t>Table 5</w:t>
        </w:r>
        <w:r w:rsidR="000058C1" w:rsidRPr="00CB6587">
          <w:rPr>
            <w:rStyle w:val="Hyperlink"/>
            <w:noProof/>
          </w:rPr>
          <w:noBreakHyphen/>
          <w:t>1: Review of Response to Model Verification #2</w:t>
        </w:r>
        <w:r w:rsidR="000058C1">
          <w:rPr>
            <w:noProof/>
            <w:webHidden/>
          </w:rPr>
          <w:tab/>
        </w:r>
        <w:r w:rsidR="000058C1">
          <w:rPr>
            <w:noProof/>
            <w:webHidden/>
          </w:rPr>
          <w:fldChar w:fldCharType="begin"/>
        </w:r>
        <w:r w:rsidR="000058C1">
          <w:rPr>
            <w:noProof/>
            <w:webHidden/>
          </w:rPr>
          <w:instrText xml:space="preserve"> PAGEREF _Toc59050103 \h </w:instrText>
        </w:r>
        <w:r w:rsidR="000058C1">
          <w:rPr>
            <w:noProof/>
            <w:webHidden/>
          </w:rPr>
        </w:r>
        <w:r w:rsidR="000058C1">
          <w:rPr>
            <w:noProof/>
            <w:webHidden/>
          </w:rPr>
          <w:fldChar w:fldCharType="separate"/>
        </w:r>
        <w:r w:rsidR="000058C1">
          <w:rPr>
            <w:noProof/>
            <w:webHidden/>
          </w:rPr>
          <w:t>7</w:t>
        </w:r>
        <w:r w:rsidR="000058C1">
          <w:rPr>
            <w:noProof/>
            <w:webHidden/>
          </w:rPr>
          <w:fldChar w:fldCharType="end"/>
        </w:r>
      </w:hyperlink>
    </w:p>
    <w:p w14:paraId="2BACFF31" w14:textId="4A34D440" w:rsidR="000058C1" w:rsidRDefault="004C016F">
      <w:pPr>
        <w:pStyle w:val="TableofFigures"/>
        <w:tabs>
          <w:tab w:val="right" w:leader="dot" w:pos="9350"/>
        </w:tabs>
        <w:rPr>
          <w:rFonts w:asciiTheme="minorHAnsi" w:hAnsiTheme="minorHAnsi"/>
          <w:noProof/>
          <w:sz w:val="22"/>
          <w:szCs w:val="22"/>
          <w:lang w:eastAsia="en-US"/>
        </w:rPr>
      </w:pPr>
      <w:hyperlink w:anchor="_Toc59050104" w:history="1">
        <w:r w:rsidR="000058C1" w:rsidRPr="00CB6587">
          <w:rPr>
            <w:rStyle w:val="Hyperlink"/>
            <w:noProof/>
          </w:rPr>
          <w:t>Table 7</w:t>
        </w:r>
        <w:r w:rsidR="000058C1" w:rsidRPr="00CB6587">
          <w:rPr>
            <w:rStyle w:val="Hyperlink"/>
            <w:noProof/>
          </w:rPr>
          <w:noBreakHyphen/>
          <w:t xml:space="preserve">1: </w:t>
        </w:r>
        <w:r w:rsidR="000058C1" w:rsidRPr="00CB6587">
          <w:rPr>
            <w:rStyle w:val="Hyperlink"/>
            <w:bCs/>
            <w:noProof/>
          </w:rPr>
          <w:t>Policy Interventions Tested for Increasing Naloxone Availability</w:t>
        </w:r>
        <w:r w:rsidR="000058C1">
          <w:rPr>
            <w:noProof/>
            <w:webHidden/>
          </w:rPr>
          <w:tab/>
        </w:r>
        <w:r w:rsidR="000058C1">
          <w:rPr>
            <w:noProof/>
            <w:webHidden/>
          </w:rPr>
          <w:fldChar w:fldCharType="begin"/>
        </w:r>
        <w:r w:rsidR="000058C1">
          <w:rPr>
            <w:noProof/>
            <w:webHidden/>
          </w:rPr>
          <w:instrText xml:space="preserve"> PAGEREF _Toc59050104 \h </w:instrText>
        </w:r>
        <w:r w:rsidR="000058C1">
          <w:rPr>
            <w:noProof/>
            <w:webHidden/>
          </w:rPr>
        </w:r>
        <w:r w:rsidR="000058C1">
          <w:rPr>
            <w:noProof/>
            <w:webHidden/>
          </w:rPr>
          <w:fldChar w:fldCharType="separate"/>
        </w:r>
        <w:r w:rsidR="000058C1">
          <w:rPr>
            <w:noProof/>
            <w:webHidden/>
          </w:rPr>
          <w:t>10</w:t>
        </w:r>
        <w:r w:rsidR="000058C1">
          <w:rPr>
            <w:noProof/>
            <w:webHidden/>
          </w:rPr>
          <w:fldChar w:fldCharType="end"/>
        </w:r>
      </w:hyperlink>
    </w:p>
    <w:p w14:paraId="26C6BEB0" w14:textId="4E41BD8A" w:rsidR="000058C1" w:rsidRDefault="004C016F">
      <w:pPr>
        <w:pStyle w:val="TableofFigures"/>
        <w:tabs>
          <w:tab w:val="right" w:leader="dot" w:pos="9350"/>
        </w:tabs>
        <w:rPr>
          <w:rFonts w:asciiTheme="minorHAnsi" w:hAnsiTheme="minorHAnsi"/>
          <w:noProof/>
          <w:sz w:val="22"/>
          <w:szCs w:val="22"/>
          <w:lang w:eastAsia="en-US"/>
        </w:rPr>
      </w:pPr>
      <w:hyperlink w:anchor="_Toc59050105" w:history="1">
        <w:r w:rsidR="000058C1" w:rsidRPr="00CB6587">
          <w:rPr>
            <w:rStyle w:val="Hyperlink"/>
            <w:noProof/>
          </w:rPr>
          <w:t>Table 7</w:t>
        </w:r>
        <w:r w:rsidR="000058C1" w:rsidRPr="00CB6587">
          <w:rPr>
            <w:rStyle w:val="Hyperlink"/>
            <w:noProof/>
          </w:rPr>
          <w:noBreakHyphen/>
          <w:t xml:space="preserve">2: </w:t>
        </w:r>
        <w:r w:rsidR="000058C1" w:rsidRPr="00CB6587">
          <w:rPr>
            <w:rStyle w:val="Hyperlink"/>
            <w:bCs/>
            <w:noProof/>
          </w:rPr>
          <w:t>Policy Interventions Tested for Treatment Expansion</w:t>
        </w:r>
        <w:r w:rsidR="000058C1">
          <w:rPr>
            <w:noProof/>
            <w:webHidden/>
          </w:rPr>
          <w:tab/>
        </w:r>
        <w:r w:rsidR="000058C1">
          <w:rPr>
            <w:noProof/>
            <w:webHidden/>
          </w:rPr>
          <w:fldChar w:fldCharType="begin"/>
        </w:r>
        <w:r w:rsidR="000058C1">
          <w:rPr>
            <w:noProof/>
            <w:webHidden/>
          </w:rPr>
          <w:instrText xml:space="preserve"> PAGEREF _Toc59050105 \h </w:instrText>
        </w:r>
        <w:r w:rsidR="000058C1">
          <w:rPr>
            <w:noProof/>
            <w:webHidden/>
          </w:rPr>
        </w:r>
        <w:r w:rsidR="000058C1">
          <w:rPr>
            <w:noProof/>
            <w:webHidden/>
          </w:rPr>
          <w:fldChar w:fldCharType="separate"/>
        </w:r>
        <w:r w:rsidR="000058C1">
          <w:rPr>
            <w:noProof/>
            <w:webHidden/>
          </w:rPr>
          <w:t>16</w:t>
        </w:r>
        <w:r w:rsidR="000058C1">
          <w:rPr>
            <w:noProof/>
            <w:webHidden/>
          </w:rPr>
          <w:fldChar w:fldCharType="end"/>
        </w:r>
      </w:hyperlink>
    </w:p>
    <w:p w14:paraId="318E2F25" w14:textId="3597E03A" w:rsidR="000058C1" w:rsidRDefault="004C016F">
      <w:pPr>
        <w:pStyle w:val="TableofFigures"/>
        <w:tabs>
          <w:tab w:val="right" w:leader="dot" w:pos="9350"/>
        </w:tabs>
        <w:rPr>
          <w:rFonts w:asciiTheme="minorHAnsi" w:hAnsiTheme="minorHAnsi"/>
          <w:noProof/>
          <w:sz w:val="22"/>
          <w:szCs w:val="22"/>
          <w:lang w:eastAsia="en-US"/>
        </w:rPr>
      </w:pPr>
      <w:hyperlink w:anchor="_Toc59050106" w:history="1">
        <w:r w:rsidR="000058C1" w:rsidRPr="00CB6587">
          <w:rPr>
            <w:rStyle w:val="Hyperlink"/>
            <w:noProof/>
          </w:rPr>
          <w:t>Table 7</w:t>
        </w:r>
        <w:r w:rsidR="000058C1" w:rsidRPr="00CB6587">
          <w:rPr>
            <w:rStyle w:val="Hyperlink"/>
            <w:noProof/>
          </w:rPr>
          <w:noBreakHyphen/>
          <w:t>3: Policy Interventions Tested for Combination of Increasing Naloxone Availability and Treatment Expansion</w:t>
        </w:r>
        <w:r w:rsidR="000058C1">
          <w:rPr>
            <w:noProof/>
            <w:webHidden/>
          </w:rPr>
          <w:tab/>
        </w:r>
        <w:r w:rsidR="000058C1">
          <w:rPr>
            <w:noProof/>
            <w:webHidden/>
          </w:rPr>
          <w:fldChar w:fldCharType="begin"/>
        </w:r>
        <w:r w:rsidR="000058C1">
          <w:rPr>
            <w:noProof/>
            <w:webHidden/>
          </w:rPr>
          <w:instrText xml:space="preserve"> PAGEREF _Toc59050106 \h </w:instrText>
        </w:r>
        <w:r w:rsidR="000058C1">
          <w:rPr>
            <w:noProof/>
            <w:webHidden/>
          </w:rPr>
        </w:r>
        <w:r w:rsidR="000058C1">
          <w:rPr>
            <w:noProof/>
            <w:webHidden/>
          </w:rPr>
          <w:fldChar w:fldCharType="separate"/>
        </w:r>
        <w:r w:rsidR="000058C1">
          <w:rPr>
            <w:noProof/>
            <w:webHidden/>
          </w:rPr>
          <w:t>21</w:t>
        </w:r>
        <w:r w:rsidR="000058C1">
          <w:rPr>
            <w:noProof/>
            <w:webHidden/>
          </w:rPr>
          <w:fldChar w:fldCharType="end"/>
        </w:r>
      </w:hyperlink>
    </w:p>
    <w:p w14:paraId="36B363AD" w14:textId="4DB98575" w:rsidR="000058C1" w:rsidRDefault="004C016F">
      <w:pPr>
        <w:pStyle w:val="TableofFigures"/>
        <w:tabs>
          <w:tab w:val="right" w:leader="dot" w:pos="9350"/>
        </w:tabs>
        <w:rPr>
          <w:rFonts w:asciiTheme="minorHAnsi" w:hAnsiTheme="minorHAnsi"/>
          <w:noProof/>
          <w:sz w:val="22"/>
          <w:szCs w:val="22"/>
          <w:lang w:eastAsia="en-US"/>
        </w:rPr>
      </w:pPr>
      <w:hyperlink w:anchor="_Toc59050107" w:history="1">
        <w:r w:rsidR="000058C1" w:rsidRPr="00CB6587">
          <w:rPr>
            <w:rStyle w:val="Hyperlink"/>
            <w:noProof/>
          </w:rPr>
          <w:t>Table 8</w:t>
        </w:r>
        <w:r w:rsidR="000058C1" w:rsidRPr="00CB6587">
          <w:rPr>
            <w:rStyle w:val="Hyperlink"/>
            <w:noProof/>
          </w:rPr>
          <w:noBreakHyphen/>
          <w:t>1: Model Comparison Between Model v1110 and the HWM</w:t>
        </w:r>
        <w:r w:rsidR="000058C1">
          <w:rPr>
            <w:noProof/>
            <w:webHidden/>
          </w:rPr>
          <w:tab/>
        </w:r>
        <w:r w:rsidR="000058C1">
          <w:rPr>
            <w:noProof/>
            <w:webHidden/>
          </w:rPr>
          <w:fldChar w:fldCharType="begin"/>
        </w:r>
        <w:r w:rsidR="000058C1">
          <w:rPr>
            <w:noProof/>
            <w:webHidden/>
          </w:rPr>
          <w:instrText xml:space="preserve"> PAGEREF _Toc59050107 \h </w:instrText>
        </w:r>
        <w:r w:rsidR="000058C1">
          <w:rPr>
            <w:noProof/>
            <w:webHidden/>
          </w:rPr>
        </w:r>
        <w:r w:rsidR="000058C1">
          <w:rPr>
            <w:noProof/>
            <w:webHidden/>
          </w:rPr>
          <w:fldChar w:fldCharType="separate"/>
        </w:r>
        <w:r w:rsidR="000058C1">
          <w:rPr>
            <w:noProof/>
            <w:webHidden/>
          </w:rPr>
          <w:t>27</w:t>
        </w:r>
        <w:r w:rsidR="000058C1">
          <w:rPr>
            <w:noProof/>
            <w:webHidden/>
          </w:rPr>
          <w:fldChar w:fldCharType="end"/>
        </w:r>
      </w:hyperlink>
    </w:p>
    <w:p w14:paraId="1B03B765" w14:textId="271E42F0" w:rsidR="000058C1" w:rsidRDefault="004C016F">
      <w:pPr>
        <w:pStyle w:val="TableofFigures"/>
        <w:tabs>
          <w:tab w:val="right" w:leader="dot" w:pos="9350"/>
        </w:tabs>
        <w:rPr>
          <w:rFonts w:asciiTheme="minorHAnsi" w:hAnsiTheme="minorHAnsi"/>
          <w:noProof/>
          <w:sz w:val="22"/>
          <w:szCs w:val="22"/>
          <w:lang w:eastAsia="en-US"/>
        </w:rPr>
      </w:pPr>
      <w:hyperlink w:anchor="_Toc59050108" w:history="1">
        <w:r w:rsidR="000058C1" w:rsidRPr="00CB6587">
          <w:rPr>
            <w:rStyle w:val="Hyperlink"/>
            <w:noProof/>
          </w:rPr>
          <w:t>Table 8</w:t>
        </w:r>
        <w:r w:rsidR="000058C1" w:rsidRPr="00CB6587">
          <w:rPr>
            <w:rStyle w:val="Hyperlink"/>
            <w:noProof/>
          </w:rPr>
          <w:noBreakHyphen/>
          <w:t>2: Policy Comparison Between Model v1110 and the HWM</w:t>
        </w:r>
        <w:r w:rsidR="000058C1">
          <w:rPr>
            <w:noProof/>
            <w:webHidden/>
          </w:rPr>
          <w:tab/>
        </w:r>
        <w:r w:rsidR="000058C1">
          <w:rPr>
            <w:noProof/>
            <w:webHidden/>
          </w:rPr>
          <w:fldChar w:fldCharType="begin"/>
        </w:r>
        <w:r w:rsidR="000058C1">
          <w:rPr>
            <w:noProof/>
            <w:webHidden/>
          </w:rPr>
          <w:instrText xml:space="preserve"> PAGEREF _Toc59050108 \h </w:instrText>
        </w:r>
        <w:r w:rsidR="000058C1">
          <w:rPr>
            <w:noProof/>
            <w:webHidden/>
          </w:rPr>
        </w:r>
        <w:r w:rsidR="000058C1">
          <w:rPr>
            <w:noProof/>
            <w:webHidden/>
          </w:rPr>
          <w:fldChar w:fldCharType="separate"/>
        </w:r>
        <w:r w:rsidR="000058C1">
          <w:rPr>
            <w:noProof/>
            <w:webHidden/>
          </w:rPr>
          <w:t>33</w:t>
        </w:r>
        <w:r w:rsidR="000058C1">
          <w:rPr>
            <w:noProof/>
            <w:webHidden/>
          </w:rPr>
          <w:fldChar w:fldCharType="end"/>
        </w:r>
      </w:hyperlink>
    </w:p>
    <w:p w14:paraId="789F6578" w14:textId="2B229876" w:rsidR="000058C1" w:rsidRDefault="004C016F">
      <w:pPr>
        <w:pStyle w:val="TableofFigures"/>
        <w:tabs>
          <w:tab w:val="right" w:leader="dot" w:pos="9350"/>
        </w:tabs>
        <w:rPr>
          <w:rFonts w:asciiTheme="minorHAnsi" w:hAnsiTheme="minorHAnsi"/>
          <w:noProof/>
          <w:sz w:val="22"/>
          <w:szCs w:val="22"/>
          <w:lang w:eastAsia="en-US"/>
        </w:rPr>
      </w:pPr>
      <w:hyperlink w:anchor="_Toc59050109" w:history="1">
        <w:r w:rsidR="000058C1" w:rsidRPr="00CB6587">
          <w:rPr>
            <w:rStyle w:val="Hyperlink"/>
            <w:noProof/>
          </w:rPr>
          <w:t>Table 11</w:t>
        </w:r>
        <w:r w:rsidR="000058C1" w:rsidRPr="00CB6587">
          <w:rPr>
            <w:rStyle w:val="Hyperlink"/>
            <w:noProof/>
          </w:rPr>
          <w:noBreakHyphen/>
          <w:t>1: Results of Increasing Naloxone Kits Distributed for Rx and Heroin Users on the Probability of OD death not averted for Different Scenarios</w:t>
        </w:r>
        <w:r w:rsidR="000058C1">
          <w:rPr>
            <w:noProof/>
            <w:webHidden/>
          </w:rPr>
          <w:tab/>
        </w:r>
        <w:r w:rsidR="000058C1">
          <w:rPr>
            <w:noProof/>
            <w:webHidden/>
          </w:rPr>
          <w:fldChar w:fldCharType="begin"/>
        </w:r>
        <w:r w:rsidR="000058C1">
          <w:rPr>
            <w:noProof/>
            <w:webHidden/>
          </w:rPr>
          <w:instrText xml:space="preserve"> PAGEREF _Toc59050109 \h </w:instrText>
        </w:r>
        <w:r w:rsidR="000058C1">
          <w:rPr>
            <w:noProof/>
            <w:webHidden/>
          </w:rPr>
        </w:r>
        <w:r w:rsidR="000058C1">
          <w:rPr>
            <w:noProof/>
            <w:webHidden/>
          </w:rPr>
          <w:fldChar w:fldCharType="separate"/>
        </w:r>
        <w:r w:rsidR="000058C1">
          <w:rPr>
            <w:noProof/>
            <w:webHidden/>
          </w:rPr>
          <w:t>41</w:t>
        </w:r>
        <w:r w:rsidR="000058C1">
          <w:rPr>
            <w:noProof/>
            <w:webHidden/>
          </w:rPr>
          <w:fldChar w:fldCharType="end"/>
        </w:r>
      </w:hyperlink>
    </w:p>
    <w:p w14:paraId="1604AD40" w14:textId="0553BDC5" w:rsidR="000058C1" w:rsidRDefault="004C016F">
      <w:pPr>
        <w:pStyle w:val="TableofFigures"/>
        <w:tabs>
          <w:tab w:val="right" w:leader="dot" w:pos="9350"/>
        </w:tabs>
        <w:rPr>
          <w:rFonts w:asciiTheme="minorHAnsi" w:hAnsiTheme="minorHAnsi"/>
          <w:noProof/>
          <w:sz w:val="22"/>
          <w:szCs w:val="22"/>
          <w:lang w:eastAsia="en-US"/>
        </w:rPr>
      </w:pPr>
      <w:hyperlink w:anchor="_Toc59050110" w:history="1">
        <w:r w:rsidR="000058C1" w:rsidRPr="00CB6587">
          <w:rPr>
            <w:rStyle w:val="Hyperlink"/>
            <w:noProof/>
          </w:rPr>
          <w:t>Table 11</w:t>
        </w:r>
        <w:r w:rsidR="000058C1" w:rsidRPr="00CB6587">
          <w:rPr>
            <w:rStyle w:val="Hyperlink"/>
            <w:noProof/>
          </w:rPr>
          <w:noBreakHyphen/>
          <w:t>2: Results of Increasing Treatment Seeking Rate on the Overdose Deaths Among Individuals with HUD and Rx OUD for Different Scenarios</w:t>
        </w:r>
        <w:r w:rsidR="000058C1">
          <w:rPr>
            <w:noProof/>
            <w:webHidden/>
          </w:rPr>
          <w:tab/>
        </w:r>
        <w:r w:rsidR="000058C1">
          <w:rPr>
            <w:noProof/>
            <w:webHidden/>
          </w:rPr>
          <w:fldChar w:fldCharType="begin"/>
        </w:r>
        <w:r w:rsidR="000058C1">
          <w:rPr>
            <w:noProof/>
            <w:webHidden/>
          </w:rPr>
          <w:instrText xml:space="preserve"> PAGEREF _Toc59050110 \h </w:instrText>
        </w:r>
        <w:r w:rsidR="000058C1">
          <w:rPr>
            <w:noProof/>
            <w:webHidden/>
          </w:rPr>
        </w:r>
        <w:r w:rsidR="000058C1">
          <w:rPr>
            <w:noProof/>
            <w:webHidden/>
          </w:rPr>
          <w:fldChar w:fldCharType="separate"/>
        </w:r>
        <w:r w:rsidR="000058C1">
          <w:rPr>
            <w:noProof/>
            <w:webHidden/>
          </w:rPr>
          <w:t>41</w:t>
        </w:r>
        <w:r w:rsidR="000058C1">
          <w:rPr>
            <w:noProof/>
            <w:webHidden/>
          </w:rPr>
          <w:fldChar w:fldCharType="end"/>
        </w:r>
      </w:hyperlink>
    </w:p>
    <w:p w14:paraId="4C771F14" w14:textId="3603C842" w:rsidR="000058C1" w:rsidRDefault="004C016F">
      <w:pPr>
        <w:pStyle w:val="TableofFigures"/>
        <w:tabs>
          <w:tab w:val="right" w:leader="dot" w:pos="9350"/>
        </w:tabs>
        <w:rPr>
          <w:rFonts w:asciiTheme="minorHAnsi" w:hAnsiTheme="minorHAnsi"/>
          <w:noProof/>
          <w:sz w:val="22"/>
          <w:szCs w:val="22"/>
          <w:lang w:eastAsia="en-US"/>
        </w:rPr>
      </w:pPr>
      <w:hyperlink w:anchor="_Toc59050111" w:history="1">
        <w:r w:rsidR="000058C1" w:rsidRPr="00CB6587">
          <w:rPr>
            <w:rStyle w:val="Hyperlink"/>
            <w:noProof/>
          </w:rPr>
          <w:t>Table 11</w:t>
        </w:r>
        <w:r w:rsidR="000058C1" w:rsidRPr="00CB6587">
          <w:rPr>
            <w:rStyle w:val="Hyperlink"/>
            <w:noProof/>
          </w:rPr>
          <w:noBreakHyphen/>
          <w:t>3: Simulation Results and Percentage Changes Over Baseline at 2030 for Different Interventions Individually or Combined</w:t>
        </w:r>
        <w:r w:rsidR="000058C1">
          <w:rPr>
            <w:noProof/>
            <w:webHidden/>
          </w:rPr>
          <w:tab/>
        </w:r>
        <w:r w:rsidR="000058C1">
          <w:rPr>
            <w:noProof/>
            <w:webHidden/>
          </w:rPr>
          <w:fldChar w:fldCharType="begin"/>
        </w:r>
        <w:r w:rsidR="000058C1">
          <w:rPr>
            <w:noProof/>
            <w:webHidden/>
          </w:rPr>
          <w:instrText xml:space="preserve"> PAGEREF _Toc59050111 \h </w:instrText>
        </w:r>
        <w:r w:rsidR="000058C1">
          <w:rPr>
            <w:noProof/>
            <w:webHidden/>
          </w:rPr>
        </w:r>
        <w:r w:rsidR="000058C1">
          <w:rPr>
            <w:noProof/>
            <w:webHidden/>
          </w:rPr>
          <w:fldChar w:fldCharType="separate"/>
        </w:r>
        <w:r w:rsidR="000058C1">
          <w:rPr>
            <w:noProof/>
            <w:webHidden/>
          </w:rPr>
          <w:t>42</w:t>
        </w:r>
        <w:r w:rsidR="000058C1">
          <w:rPr>
            <w:noProof/>
            <w:webHidden/>
          </w:rPr>
          <w:fldChar w:fldCharType="end"/>
        </w:r>
      </w:hyperlink>
    </w:p>
    <w:p w14:paraId="10F03043" w14:textId="162A88E6" w:rsidR="000058C1" w:rsidRDefault="004C016F">
      <w:pPr>
        <w:pStyle w:val="TableofFigures"/>
        <w:tabs>
          <w:tab w:val="right" w:leader="dot" w:pos="9350"/>
        </w:tabs>
        <w:rPr>
          <w:rFonts w:asciiTheme="minorHAnsi" w:hAnsiTheme="minorHAnsi"/>
          <w:noProof/>
          <w:sz w:val="22"/>
          <w:szCs w:val="22"/>
          <w:lang w:eastAsia="en-US"/>
        </w:rPr>
      </w:pPr>
      <w:hyperlink w:anchor="_Toc59050112" w:history="1">
        <w:r w:rsidR="000058C1" w:rsidRPr="00CB6587">
          <w:rPr>
            <w:rStyle w:val="Hyperlink"/>
            <w:noProof/>
          </w:rPr>
          <w:t>Table 11</w:t>
        </w:r>
        <w:r w:rsidR="000058C1" w:rsidRPr="00CB6587">
          <w:rPr>
            <w:rStyle w:val="Hyperlink"/>
            <w:noProof/>
          </w:rPr>
          <w:noBreakHyphen/>
          <w:t>4: SOW Checklist</w:t>
        </w:r>
        <w:r w:rsidR="000058C1">
          <w:rPr>
            <w:noProof/>
            <w:webHidden/>
          </w:rPr>
          <w:tab/>
        </w:r>
        <w:r w:rsidR="000058C1">
          <w:rPr>
            <w:noProof/>
            <w:webHidden/>
          </w:rPr>
          <w:fldChar w:fldCharType="begin"/>
        </w:r>
        <w:r w:rsidR="000058C1">
          <w:rPr>
            <w:noProof/>
            <w:webHidden/>
          </w:rPr>
          <w:instrText xml:space="preserve"> PAGEREF _Toc59050112 \h </w:instrText>
        </w:r>
        <w:r w:rsidR="000058C1">
          <w:rPr>
            <w:noProof/>
            <w:webHidden/>
          </w:rPr>
        </w:r>
        <w:r w:rsidR="000058C1">
          <w:rPr>
            <w:noProof/>
            <w:webHidden/>
          </w:rPr>
          <w:fldChar w:fldCharType="separate"/>
        </w:r>
        <w:r w:rsidR="000058C1">
          <w:rPr>
            <w:noProof/>
            <w:webHidden/>
          </w:rPr>
          <w:t>43</w:t>
        </w:r>
        <w:r w:rsidR="000058C1">
          <w:rPr>
            <w:noProof/>
            <w:webHidden/>
          </w:rPr>
          <w:fldChar w:fldCharType="end"/>
        </w:r>
      </w:hyperlink>
    </w:p>
    <w:p w14:paraId="22ED67D8" w14:textId="77777777" w:rsidR="000058C1" w:rsidRDefault="00E2189B" w:rsidP="00CC49EF">
      <w:pPr>
        <w:pStyle w:val="ListofTablesandFiguresHeading"/>
        <w:rPr>
          <w:noProof/>
        </w:rPr>
      </w:pPr>
      <w:r>
        <w:rPr>
          <w:noProof/>
        </w:rPr>
        <w:fldChar w:fldCharType="end"/>
      </w:r>
      <w:bookmarkStart w:id="5" w:name="_Toc52395999"/>
      <w:bookmarkStart w:id="6" w:name="_Toc59050068"/>
      <w:r w:rsidR="009358D2" w:rsidRPr="003B4ACD">
        <w:t xml:space="preserve">List of </w:t>
      </w:r>
      <w:r w:rsidR="009358D2">
        <w:t>Figures</w:t>
      </w:r>
      <w:bookmarkEnd w:id="5"/>
      <w:bookmarkEnd w:id="6"/>
      <w:r w:rsidR="009358D2">
        <w:rPr>
          <w:noProof/>
        </w:rPr>
        <w:fldChar w:fldCharType="begin"/>
      </w:r>
      <w:r w:rsidR="009358D2">
        <w:rPr>
          <w:noProof/>
        </w:rPr>
        <w:instrText xml:space="preserve"> TOC \h \z \c "Figure" </w:instrText>
      </w:r>
      <w:r w:rsidR="009358D2">
        <w:rPr>
          <w:noProof/>
        </w:rPr>
        <w:fldChar w:fldCharType="separate"/>
      </w:r>
    </w:p>
    <w:p w14:paraId="08B5856A" w14:textId="76E585DB" w:rsidR="000058C1" w:rsidRDefault="004C016F">
      <w:pPr>
        <w:pStyle w:val="TableofFigures"/>
        <w:tabs>
          <w:tab w:val="right" w:leader="dot" w:pos="9350"/>
        </w:tabs>
        <w:rPr>
          <w:rFonts w:asciiTheme="minorHAnsi" w:hAnsiTheme="minorHAnsi"/>
          <w:noProof/>
          <w:sz w:val="22"/>
          <w:szCs w:val="22"/>
          <w:lang w:eastAsia="en-US"/>
        </w:rPr>
      </w:pPr>
      <w:hyperlink w:anchor="_Toc59050113" w:history="1">
        <w:r w:rsidR="000058C1" w:rsidRPr="006D64C6">
          <w:rPr>
            <w:rStyle w:val="Hyperlink"/>
            <w:noProof/>
          </w:rPr>
          <w:t>Figure 7</w:t>
        </w:r>
        <w:r w:rsidR="000058C1" w:rsidRPr="006D64C6">
          <w:rPr>
            <w:rStyle w:val="Hyperlink"/>
            <w:noProof/>
          </w:rPr>
          <w:noBreakHyphen/>
          <w:t>1: Result of Increasing Probability Nx bystander Rx (ID 2) on Total overdose deaths Rx</w:t>
        </w:r>
        <w:r w:rsidR="000058C1">
          <w:rPr>
            <w:noProof/>
            <w:webHidden/>
          </w:rPr>
          <w:tab/>
        </w:r>
        <w:r w:rsidR="000058C1">
          <w:rPr>
            <w:noProof/>
            <w:webHidden/>
          </w:rPr>
          <w:fldChar w:fldCharType="begin"/>
        </w:r>
        <w:r w:rsidR="000058C1">
          <w:rPr>
            <w:noProof/>
            <w:webHidden/>
          </w:rPr>
          <w:instrText xml:space="preserve"> PAGEREF _Toc59050113 \h </w:instrText>
        </w:r>
        <w:r w:rsidR="000058C1">
          <w:rPr>
            <w:noProof/>
            <w:webHidden/>
          </w:rPr>
        </w:r>
        <w:r w:rsidR="000058C1">
          <w:rPr>
            <w:noProof/>
            <w:webHidden/>
          </w:rPr>
          <w:fldChar w:fldCharType="separate"/>
        </w:r>
        <w:r w:rsidR="000058C1">
          <w:rPr>
            <w:noProof/>
            <w:webHidden/>
          </w:rPr>
          <w:t>11</w:t>
        </w:r>
        <w:r w:rsidR="000058C1">
          <w:rPr>
            <w:noProof/>
            <w:webHidden/>
          </w:rPr>
          <w:fldChar w:fldCharType="end"/>
        </w:r>
      </w:hyperlink>
    </w:p>
    <w:p w14:paraId="36CBF2F9" w14:textId="18D8722C" w:rsidR="000058C1" w:rsidRDefault="004C016F">
      <w:pPr>
        <w:pStyle w:val="TableofFigures"/>
        <w:tabs>
          <w:tab w:val="right" w:leader="dot" w:pos="9350"/>
        </w:tabs>
        <w:rPr>
          <w:rFonts w:asciiTheme="minorHAnsi" w:hAnsiTheme="minorHAnsi"/>
          <w:noProof/>
          <w:sz w:val="22"/>
          <w:szCs w:val="22"/>
          <w:lang w:eastAsia="en-US"/>
        </w:rPr>
      </w:pPr>
      <w:hyperlink w:anchor="_Toc59050114" w:history="1">
        <w:r w:rsidR="000058C1" w:rsidRPr="006D64C6">
          <w:rPr>
            <w:rStyle w:val="Hyperlink"/>
            <w:noProof/>
          </w:rPr>
          <w:t>Figure 7</w:t>
        </w:r>
        <w:r w:rsidR="000058C1" w:rsidRPr="006D64C6">
          <w:rPr>
            <w:rStyle w:val="Hyperlink"/>
            <w:noProof/>
          </w:rPr>
          <w:noBreakHyphen/>
          <w:t>2: Result of Increasing Probability Nx bystander heroin (ID 5) on Total overdose deaths heroin</w:t>
        </w:r>
        <w:r w:rsidR="000058C1">
          <w:rPr>
            <w:noProof/>
            <w:webHidden/>
          </w:rPr>
          <w:tab/>
        </w:r>
        <w:r w:rsidR="000058C1">
          <w:rPr>
            <w:noProof/>
            <w:webHidden/>
          </w:rPr>
          <w:fldChar w:fldCharType="begin"/>
        </w:r>
        <w:r w:rsidR="000058C1">
          <w:rPr>
            <w:noProof/>
            <w:webHidden/>
          </w:rPr>
          <w:instrText xml:space="preserve"> PAGEREF _Toc59050114 \h </w:instrText>
        </w:r>
        <w:r w:rsidR="000058C1">
          <w:rPr>
            <w:noProof/>
            <w:webHidden/>
          </w:rPr>
        </w:r>
        <w:r w:rsidR="000058C1">
          <w:rPr>
            <w:noProof/>
            <w:webHidden/>
          </w:rPr>
          <w:fldChar w:fldCharType="separate"/>
        </w:r>
        <w:r w:rsidR="000058C1">
          <w:rPr>
            <w:noProof/>
            <w:webHidden/>
          </w:rPr>
          <w:t>11</w:t>
        </w:r>
        <w:r w:rsidR="000058C1">
          <w:rPr>
            <w:noProof/>
            <w:webHidden/>
          </w:rPr>
          <w:fldChar w:fldCharType="end"/>
        </w:r>
      </w:hyperlink>
    </w:p>
    <w:p w14:paraId="49350E87" w14:textId="63A5A9F9" w:rsidR="000058C1" w:rsidRDefault="004C016F">
      <w:pPr>
        <w:pStyle w:val="TableofFigures"/>
        <w:tabs>
          <w:tab w:val="right" w:leader="dot" w:pos="9350"/>
        </w:tabs>
        <w:rPr>
          <w:rFonts w:asciiTheme="minorHAnsi" w:hAnsiTheme="minorHAnsi"/>
          <w:noProof/>
          <w:sz w:val="22"/>
          <w:szCs w:val="22"/>
          <w:lang w:eastAsia="en-US"/>
        </w:rPr>
      </w:pPr>
      <w:hyperlink w:anchor="_Toc59050115" w:history="1">
        <w:r w:rsidR="000058C1" w:rsidRPr="006D64C6">
          <w:rPr>
            <w:rStyle w:val="Hyperlink"/>
            <w:noProof/>
          </w:rPr>
          <w:t>Figure 7</w:t>
        </w:r>
        <w:r w:rsidR="000058C1" w:rsidRPr="006D64C6">
          <w:rPr>
            <w:rStyle w:val="Hyperlink"/>
            <w:noProof/>
          </w:rPr>
          <w:noBreakHyphen/>
          <w:t>3: Results of Increasing the Probability that Naloxone is Available to Rx Bystanders (ID 2) to 20%</w:t>
        </w:r>
        <w:r w:rsidR="000058C1">
          <w:rPr>
            <w:noProof/>
            <w:webHidden/>
          </w:rPr>
          <w:tab/>
        </w:r>
        <w:r w:rsidR="000058C1">
          <w:rPr>
            <w:noProof/>
            <w:webHidden/>
          </w:rPr>
          <w:fldChar w:fldCharType="begin"/>
        </w:r>
        <w:r w:rsidR="000058C1">
          <w:rPr>
            <w:noProof/>
            <w:webHidden/>
          </w:rPr>
          <w:instrText xml:space="preserve"> PAGEREF _Toc59050115 \h </w:instrText>
        </w:r>
        <w:r w:rsidR="000058C1">
          <w:rPr>
            <w:noProof/>
            <w:webHidden/>
          </w:rPr>
        </w:r>
        <w:r w:rsidR="000058C1">
          <w:rPr>
            <w:noProof/>
            <w:webHidden/>
          </w:rPr>
          <w:fldChar w:fldCharType="separate"/>
        </w:r>
        <w:r w:rsidR="000058C1">
          <w:rPr>
            <w:noProof/>
            <w:webHidden/>
          </w:rPr>
          <w:t>12</w:t>
        </w:r>
        <w:r w:rsidR="000058C1">
          <w:rPr>
            <w:noProof/>
            <w:webHidden/>
          </w:rPr>
          <w:fldChar w:fldCharType="end"/>
        </w:r>
      </w:hyperlink>
    </w:p>
    <w:p w14:paraId="137B233E" w14:textId="3822AAE7" w:rsidR="000058C1" w:rsidRDefault="004C016F">
      <w:pPr>
        <w:pStyle w:val="TableofFigures"/>
        <w:tabs>
          <w:tab w:val="right" w:leader="dot" w:pos="9350"/>
        </w:tabs>
        <w:rPr>
          <w:rFonts w:asciiTheme="minorHAnsi" w:hAnsiTheme="minorHAnsi"/>
          <w:noProof/>
          <w:sz w:val="22"/>
          <w:szCs w:val="22"/>
          <w:lang w:eastAsia="en-US"/>
        </w:rPr>
      </w:pPr>
      <w:hyperlink w:anchor="_Toc59050116" w:history="1">
        <w:r w:rsidR="000058C1" w:rsidRPr="006D64C6">
          <w:rPr>
            <w:rStyle w:val="Hyperlink"/>
            <w:noProof/>
          </w:rPr>
          <w:t>Figure 7</w:t>
        </w:r>
        <w:r w:rsidR="000058C1" w:rsidRPr="006D64C6">
          <w:rPr>
            <w:rStyle w:val="Hyperlink"/>
            <w:noProof/>
          </w:rPr>
          <w:noBreakHyphen/>
          <w:t>4: Results of Increasing Nx Availability to both Rx and Heroin Bystanders (ID 6) to 25% from the Baseline Nx Availabilities of 4.7% for Rx Bystanders and 22% for Heroin Bystanders</w:t>
        </w:r>
        <w:r w:rsidR="000058C1">
          <w:rPr>
            <w:noProof/>
            <w:webHidden/>
          </w:rPr>
          <w:tab/>
        </w:r>
        <w:r w:rsidR="000058C1">
          <w:rPr>
            <w:noProof/>
            <w:webHidden/>
          </w:rPr>
          <w:fldChar w:fldCharType="begin"/>
        </w:r>
        <w:r w:rsidR="000058C1">
          <w:rPr>
            <w:noProof/>
            <w:webHidden/>
          </w:rPr>
          <w:instrText xml:space="preserve"> PAGEREF _Toc59050116 \h </w:instrText>
        </w:r>
        <w:r w:rsidR="000058C1">
          <w:rPr>
            <w:noProof/>
            <w:webHidden/>
          </w:rPr>
        </w:r>
        <w:r w:rsidR="000058C1">
          <w:rPr>
            <w:noProof/>
            <w:webHidden/>
          </w:rPr>
          <w:fldChar w:fldCharType="separate"/>
        </w:r>
        <w:r w:rsidR="000058C1">
          <w:rPr>
            <w:noProof/>
            <w:webHidden/>
          </w:rPr>
          <w:t>13</w:t>
        </w:r>
        <w:r w:rsidR="000058C1">
          <w:rPr>
            <w:noProof/>
            <w:webHidden/>
          </w:rPr>
          <w:fldChar w:fldCharType="end"/>
        </w:r>
      </w:hyperlink>
    </w:p>
    <w:p w14:paraId="7603BEF6" w14:textId="78106E68" w:rsidR="000058C1" w:rsidRDefault="004C016F">
      <w:pPr>
        <w:pStyle w:val="TableofFigures"/>
        <w:tabs>
          <w:tab w:val="right" w:leader="dot" w:pos="9350"/>
        </w:tabs>
        <w:rPr>
          <w:rFonts w:asciiTheme="minorHAnsi" w:hAnsiTheme="minorHAnsi"/>
          <w:noProof/>
          <w:sz w:val="22"/>
          <w:szCs w:val="22"/>
          <w:lang w:eastAsia="en-US"/>
        </w:rPr>
      </w:pPr>
      <w:hyperlink w:anchor="_Toc59050117" w:history="1">
        <w:r w:rsidR="000058C1" w:rsidRPr="006D64C6">
          <w:rPr>
            <w:rStyle w:val="Hyperlink"/>
            <w:noProof/>
          </w:rPr>
          <w:t>Figure 7</w:t>
        </w:r>
        <w:r w:rsidR="000058C1" w:rsidRPr="006D64C6">
          <w:rPr>
            <w:rStyle w:val="Hyperlink"/>
            <w:noProof/>
          </w:rPr>
          <w:noBreakHyphen/>
          <w:t>5: Result of I</w:t>
        </w:r>
        <w:r w:rsidR="000058C1" w:rsidRPr="006D64C6">
          <w:rPr>
            <w:rStyle w:val="Hyperlink"/>
            <w:bCs/>
            <w:noProof/>
          </w:rPr>
          <w:t>ncreasing</w:t>
        </w:r>
        <w:r w:rsidR="000058C1" w:rsidRPr="006D64C6">
          <w:rPr>
            <w:rStyle w:val="Hyperlink"/>
            <w:noProof/>
          </w:rPr>
          <w:t xml:space="preserve"> Probability Nx bystander Rx (ID 2) on Probability OD death not averted heroin and Rx </w:t>
        </w:r>
        <w:r w:rsidR="000058C1" w:rsidRPr="006D64C6">
          <w:rPr>
            <w:rStyle w:val="Hyperlink"/>
            <w:bCs/>
            <w:noProof/>
          </w:rPr>
          <w:t>user</w:t>
        </w:r>
        <w:r w:rsidR="000058C1">
          <w:rPr>
            <w:noProof/>
            <w:webHidden/>
          </w:rPr>
          <w:tab/>
        </w:r>
        <w:r w:rsidR="000058C1">
          <w:rPr>
            <w:noProof/>
            <w:webHidden/>
          </w:rPr>
          <w:fldChar w:fldCharType="begin"/>
        </w:r>
        <w:r w:rsidR="000058C1">
          <w:rPr>
            <w:noProof/>
            <w:webHidden/>
          </w:rPr>
          <w:instrText xml:space="preserve"> PAGEREF _Toc59050117 \h </w:instrText>
        </w:r>
        <w:r w:rsidR="000058C1">
          <w:rPr>
            <w:noProof/>
            <w:webHidden/>
          </w:rPr>
        </w:r>
        <w:r w:rsidR="000058C1">
          <w:rPr>
            <w:noProof/>
            <w:webHidden/>
          </w:rPr>
          <w:fldChar w:fldCharType="separate"/>
        </w:r>
        <w:r w:rsidR="000058C1">
          <w:rPr>
            <w:noProof/>
            <w:webHidden/>
          </w:rPr>
          <w:t>14</w:t>
        </w:r>
        <w:r w:rsidR="000058C1">
          <w:rPr>
            <w:noProof/>
            <w:webHidden/>
          </w:rPr>
          <w:fldChar w:fldCharType="end"/>
        </w:r>
      </w:hyperlink>
    </w:p>
    <w:p w14:paraId="08C1E17A" w14:textId="32C05BE9" w:rsidR="000058C1" w:rsidRDefault="004C016F">
      <w:pPr>
        <w:pStyle w:val="TableofFigures"/>
        <w:tabs>
          <w:tab w:val="right" w:leader="dot" w:pos="9350"/>
        </w:tabs>
        <w:rPr>
          <w:rFonts w:asciiTheme="minorHAnsi" w:hAnsiTheme="minorHAnsi"/>
          <w:noProof/>
          <w:sz w:val="22"/>
          <w:szCs w:val="22"/>
          <w:lang w:eastAsia="en-US"/>
        </w:rPr>
      </w:pPr>
      <w:hyperlink w:anchor="_Toc59050118" w:history="1">
        <w:r w:rsidR="000058C1" w:rsidRPr="006D64C6">
          <w:rPr>
            <w:rStyle w:val="Hyperlink"/>
            <w:noProof/>
          </w:rPr>
          <w:t>Figure 7</w:t>
        </w:r>
        <w:r w:rsidR="000058C1" w:rsidRPr="006D64C6">
          <w:rPr>
            <w:rStyle w:val="Hyperlink"/>
            <w:noProof/>
          </w:rPr>
          <w:noBreakHyphen/>
          <w:t xml:space="preserve">6: Result of Increasing Probability Nx bystander heroin (ID 5) on Probability OD death not averted heroin and Probability OD death not averted Rx </w:t>
        </w:r>
        <w:r w:rsidR="000058C1" w:rsidRPr="006D64C6">
          <w:rPr>
            <w:rStyle w:val="Hyperlink"/>
            <w:bCs/>
            <w:noProof/>
          </w:rPr>
          <w:t>user</w:t>
        </w:r>
        <w:r w:rsidR="000058C1">
          <w:rPr>
            <w:noProof/>
            <w:webHidden/>
          </w:rPr>
          <w:tab/>
        </w:r>
        <w:r w:rsidR="000058C1">
          <w:rPr>
            <w:noProof/>
            <w:webHidden/>
          </w:rPr>
          <w:fldChar w:fldCharType="begin"/>
        </w:r>
        <w:r w:rsidR="000058C1">
          <w:rPr>
            <w:noProof/>
            <w:webHidden/>
          </w:rPr>
          <w:instrText xml:space="preserve"> PAGEREF _Toc59050118 \h </w:instrText>
        </w:r>
        <w:r w:rsidR="000058C1">
          <w:rPr>
            <w:noProof/>
            <w:webHidden/>
          </w:rPr>
        </w:r>
        <w:r w:rsidR="000058C1">
          <w:rPr>
            <w:noProof/>
            <w:webHidden/>
          </w:rPr>
          <w:fldChar w:fldCharType="separate"/>
        </w:r>
        <w:r w:rsidR="000058C1">
          <w:rPr>
            <w:noProof/>
            <w:webHidden/>
          </w:rPr>
          <w:t>14</w:t>
        </w:r>
        <w:r w:rsidR="000058C1">
          <w:rPr>
            <w:noProof/>
            <w:webHidden/>
          </w:rPr>
          <w:fldChar w:fldCharType="end"/>
        </w:r>
      </w:hyperlink>
    </w:p>
    <w:p w14:paraId="10F3AD69" w14:textId="2FDE0BCA" w:rsidR="000058C1" w:rsidRDefault="004C016F">
      <w:pPr>
        <w:pStyle w:val="TableofFigures"/>
        <w:tabs>
          <w:tab w:val="right" w:leader="dot" w:pos="9350"/>
        </w:tabs>
        <w:rPr>
          <w:rFonts w:asciiTheme="minorHAnsi" w:hAnsiTheme="minorHAnsi"/>
          <w:noProof/>
          <w:sz w:val="22"/>
          <w:szCs w:val="22"/>
          <w:lang w:eastAsia="en-US"/>
        </w:rPr>
      </w:pPr>
      <w:hyperlink w:anchor="_Toc59050119" w:history="1">
        <w:r w:rsidR="000058C1" w:rsidRPr="006D64C6">
          <w:rPr>
            <w:rStyle w:val="Hyperlink"/>
            <w:noProof/>
          </w:rPr>
          <w:t>Figure 7</w:t>
        </w:r>
        <w:r w:rsidR="000058C1" w:rsidRPr="006D64C6">
          <w:rPr>
            <w:rStyle w:val="Hyperlink"/>
            <w:noProof/>
          </w:rPr>
          <w:noBreakHyphen/>
          <w:t>7: Results of Increasing the Treatment Capacity (ID 9) by 20%</w:t>
        </w:r>
        <w:r w:rsidR="000058C1">
          <w:rPr>
            <w:noProof/>
            <w:webHidden/>
          </w:rPr>
          <w:tab/>
        </w:r>
        <w:r w:rsidR="000058C1">
          <w:rPr>
            <w:noProof/>
            <w:webHidden/>
          </w:rPr>
          <w:fldChar w:fldCharType="begin"/>
        </w:r>
        <w:r w:rsidR="000058C1">
          <w:rPr>
            <w:noProof/>
            <w:webHidden/>
          </w:rPr>
          <w:instrText xml:space="preserve"> PAGEREF _Toc59050119 \h </w:instrText>
        </w:r>
        <w:r w:rsidR="000058C1">
          <w:rPr>
            <w:noProof/>
            <w:webHidden/>
          </w:rPr>
        </w:r>
        <w:r w:rsidR="000058C1">
          <w:rPr>
            <w:noProof/>
            <w:webHidden/>
          </w:rPr>
          <w:fldChar w:fldCharType="separate"/>
        </w:r>
        <w:r w:rsidR="000058C1">
          <w:rPr>
            <w:noProof/>
            <w:webHidden/>
          </w:rPr>
          <w:t>17</w:t>
        </w:r>
        <w:r w:rsidR="000058C1">
          <w:rPr>
            <w:noProof/>
            <w:webHidden/>
          </w:rPr>
          <w:fldChar w:fldCharType="end"/>
        </w:r>
      </w:hyperlink>
    </w:p>
    <w:p w14:paraId="6F504F70" w14:textId="6A7E0EC8" w:rsidR="000058C1" w:rsidRDefault="004C016F">
      <w:pPr>
        <w:pStyle w:val="TableofFigures"/>
        <w:tabs>
          <w:tab w:val="right" w:leader="dot" w:pos="9350"/>
        </w:tabs>
        <w:rPr>
          <w:rFonts w:asciiTheme="minorHAnsi" w:hAnsiTheme="minorHAnsi"/>
          <w:noProof/>
          <w:sz w:val="22"/>
          <w:szCs w:val="22"/>
          <w:lang w:eastAsia="en-US"/>
        </w:rPr>
      </w:pPr>
      <w:hyperlink w:anchor="_Toc59050120" w:history="1">
        <w:r w:rsidR="000058C1" w:rsidRPr="006D64C6">
          <w:rPr>
            <w:rStyle w:val="Hyperlink"/>
            <w:noProof/>
          </w:rPr>
          <w:t>Figure 7</w:t>
        </w:r>
        <w:r w:rsidR="000058C1" w:rsidRPr="006D64C6">
          <w:rPr>
            <w:rStyle w:val="Hyperlink"/>
            <w:noProof/>
          </w:rPr>
          <w:noBreakHyphen/>
          <w:t>8: Number of People with HUD in MOUD Tx for Bup, MMT, and Viv for Different Increases in Treatment Capacities (ID 9).</w:t>
        </w:r>
        <w:r w:rsidR="000058C1">
          <w:rPr>
            <w:noProof/>
            <w:webHidden/>
          </w:rPr>
          <w:tab/>
        </w:r>
        <w:r w:rsidR="000058C1">
          <w:rPr>
            <w:noProof/>
            <w:webHidden/>
          </w:rPr>
          <w:fldChar w:fldCharType="begin"/>
        </w:r>
        <w:r w:rsidR="000058C1">
          <w:rPr>
            <w:noProof/>
            <w:webHidden/>
          </w:rPr>
          <w:instrText xml:space="preserve"> PAGEREF _Toc59050120 \h </w:instrText>
        </w:r>
        <w:r w:rsidR="000058C1">
          <w:rPr>
            <w:noProof/>
            <w:webHidden/>
          </w:rPr>
        </w:r>
        <w:r w:rsidR="000058C1">
          <w:rPr>
            <w:noProof/>
            <w:webHidden/>
          </w:rPr>
          <w:fldChar w:fldCharType="separate"/>
        </w:r>
        <w:r w:rsidR="000058C1">
          <w:rPr>
            <w:noProof/>
            <w:webHidden/>
          </w:rPr>
          <w:t>18</w:t>
        </w:r>
        <w:r w:rsidR="000058C1">
          <w:rPr>
            <w:noProof/>
            <w:webHidden/>
          </w:rPr>
          <w:fldChar w:fldCharType="end"/>
        </w:r>
      </w:hyperlink>
    </w:p>
    <w:p w14:paraId="770461A9" w14:textId="1860B7AA" w:rsidR="000058C1" w:rsidRDefault="004C016F">
      <w:pPr>
        <w:pStyle w:val="TableofFigures"/>
        <w:tabs>
          <w:tab w:val="right" w:leader="dot" w:pos="9350"/>
        </w:tabs>
        <w:rPr>
          <w:rFonts w:asciiTheme="minorHAnsi" w:hAnsiTheme="minorHAnsi"/>
          <w:noProof/>
          <w:sz w:val="22"/>
          <w:szCs w:val="22"/>
          <w:lang w:eastAsia="en-US"/>
        </w:rPr>
      </w:pPr>
      <w:hyperlink w:anchor="_Toc59050121" w:history="1">
        <w:r w:rsidR="000058C1" w:rsidRPr="006D64C6">
          <w:rPr>
            <w:rStyle w:val="Hyperlink"/>
            <w:noProof/>
          </w:rPr>
          <w:t>Figure 7</w:t>
        </w:r>
        <w:r w:rsidR="000058C1" w:rsidRPr="006D64C6">
          <w:rPr>
            <w:rStyle w:val="Hyperlink"/>
            <w:noProof/>
          </w:rPr>
          <w:noBreakHyphen/>
          <w:t>9: Number of People with HUD in MOUD Tx for Bup, MMT, and Viv for the Scenario Only Increasing MMT Capacity by 20%</w:t>
        </w:r>
        <w:r w:rsidR="000058C1">
          <w:rPr>
            <w:noProof/>
            <w:webHidden/>
          </w:rPr>
          <w:tab/>
        </w:r>
        <w:r w:rsidR="000058C1">
          <w:rPr>
            <w:noProof/>
            <w:webHidden/>
          </w:rPr>
          <w:fldChar w:fldCharType="begin"/>
        </w:r>
        <w:r w:rsidR="000058C1">
          <w:rPr>
            <w:noProof/>
            <w:webHidden/>
          </w:rPr>
          <w:instrText xml:space="preserve"> PAGEREF _Toc59050121 \h </w:instrText>
        </w:r>
        <w:r w:rsidR="000058C1">
          <w:rPr>
            <w:noProof/>
            <w:webHidden/>
          </w:rPr>
        </w:r>
        <w:r w:rsidR="000058C1">
          <w:rPr>
            <w:noProof/>
            <w:webHidden/>
          </w:rPr>
          <w:fldChar w:fldCharType="separate"/>
        </w:r>
        <w:r w:rsidR="000058C1">
          <w:rPr>
            <w:noProof/>
            <w:webHidden/>
          </w:rPr>
          <w:t>18</w:t>
        </w:r>
        <w:r w:rsidR="000058C1">
          <w:rPr>
            <w:noProof/>
            <w:webHidden/>
          </w:rPr>
          <w:fldChar w:fldCharType="end"/>
        </w:r>
      </w:hyperlink>
    </w:p>
    <w:p w14:paraId="7E2398D6" w14:textId="4F090CBE" w:rsidR="000058C1" w:rsidRDefault="004C016F">
      <w:pPr>
        <w:pStyle w:val="TableofFigures"/>
        <w:tabs>
          <w:tab w:val="right" w:leader="dot" w:pos="9350"/>
        </w:tabs>
        <w:rPr>
          <w:rFonts w:asciiTheme="minorHAnsi" w:hAnsiTheme="minorHAnsi"/>
          <w:noProof/>
          <w:sz w:val="22"/>
          <w:szCs w:val="22"/>
          <w:lang w:eastAsia="en-US"/>
        </w:rPr>
      </w:pPr>
      <w:hyperlink w:anchor="_Toc59050122" w:history="1">
        <w:r w:rsidR="000058C1" w:rsidRPr="006D64C6">
          <w:rPr>
            <w:rStyle w:val="Hyperlink"/>
            <w:noProof/>
          </w:rPr>
          <w:t>Figure 7</w:t>
        </w:r>
        <w:r w:rsidR="000058C1" w:rsidRPr="006D64C6">
          <w:rPr>
            <w:rStyle w:val="Hyperlink"/>
            <w:noProof/>
          </w:rPr>
          <w:noBreakHyphen/>
          <w:t>10: Number of People with HUD in MOUD Tx for Bup, MMT, and Viv for the Scenario Only Increasing Viv Capacity by 20%</w:t>
        </w:r>
        <w:r w:rsidR="000058C1">
          <w:rPr>
            <w:noProof/>
            <w:webHidden/>
          </w:rPr>
          <w:tab/>
        </w:r>
        <w:r w:rsidR="000058C1">
          <w:rPr>
            <w:noProof/>
            <w:webHidden/>
          </w:rPr>
          <w:fldChar w:fldCharType="begin"/>
        </w:r>
        <w:r w:rsidR="000058C1">
          <w:rPr>
            <w:noProof/>
            <w:webHidden/>
          </w:rPr>
          <w:instrText xml:space="preserve"> PAGEREF _Toc59050122 \h </w:instrText>
        </w:r>
        <w:r w:rsidR="000058C1">
          <w:rPr>
            <w:noProof/>
            <w:webHidden/>
          </w:rPr>
        </w:r>
        <w:r w:rsidR="000058C1">
          <w:rPr>
            <w:noProof/>
            <w:webHidden/>
          </w:rPr>
          <w:fldChar w:fldCharType="separate"/>
        </w:r>
        <w:r w:rsidR="000058C1">
          <w:rPr>
            <w:noProof/>
            <w:webHidden/>
          </w:rPr>
          <w:t>19</w:t>
        </w:r>
        <w:r w:rsidR="000058C1">
          <w:rPr>
            <w:noProof/>
            <w:webHidden/>
          </w:rPr>
          <w:fldChar w:fldCharType="end"/>
        </w:r>
      </w:hyperlink>
    </w:p>
    <w:p w14:paraId="36AB411B" w14:textId="5503E334" w:rsidR="000058C1" w:rsidRDefault="004C016F">
      <w:pPr>
        <w:pStyle w:val="TableofFigures"/>
        <w:tabs>
          <w:tab w:val="right" w:leader="dot" w:pos="9350"/>
        </w:tabs>
        <w:rPr>
          <w:rFonts w:asciiTheme="minorHAnsi" w:hAnsiTheme="minorHAnsi"/>
          <w:noProof/>
          <w:sz w:val="22"/>
          <w:szCs w:val="22"/>
          <w:lang w:eastAsia="en-US"/>
        </w:rPr>
      </w:pPr>
      <w:hyperlink w:anchor="_Toc59050123" w:history="1">
        <w:r w:rsidR="000058C1" w:rsidRPr="006D64C6">
          <w:rPr>
            <w:rStyle w:val="Hyperlink"/>
            <w:noProof/>
          </w:rPr>
          <w:t>Figure 7</w:t>
        </w:r>
        <w:r w:rsidR="000058C1" w:rsidRPr="006D64C6">
          <w:rPr>
            <w:rStyle w:val="Hyperlink"/>
            <w:noProof/>
          </w:rPr>
          <w:noBreakHyphen/>
          <w:t>11: Results of Increasing the Duration of the Treatments on Different Output Variables (ID 7)</w:t>
        </w:r>
        <w:r w:rsidR="000058C1">
          <w:rPr>
            <w:noProof/>
            <w:webHidden/>
          </w:rPr>
          <w:tab/>
        </w:r>
        <w:r w:rsidR="000058C1">
          <w:rPr>
            <w:noProof/>
            <w:webHidden/>
          </w:rPr>
          <w:fldChar w:fldCharType="begin"/>
        </w:r>
        <w:r w:rsidR="000058C1">
          <w:rPr>
            <w:noProof/>
            <w:webHidden/>
          </w:rPr>
          <w:instrText xml:space="preserve"> PAGEREF _Toc59050123 \h </w:instrText>
        </w:r>
        <w:r w:rsidR="000058C1">
          <w:rPr>
            <w:noProof/>
            <w:webHidden/>
          </w:rPr>
        </w:r>
        <w:r w:rsidR="000058C1">
          <w:rPr>
            <w:noProof/>
            <w:webHidden/>
          </w:rPr>
          <w:fldChar w:fldCharType="separate"/>
        </w:r>
        <w:r w:rsidR="000058C1">
          <w:rPr>
            <w:noProof/>
            <w:webHidden/>
          </w:rPr>
          <w:t>19</w:t>
        </w:r>
        <w:r w:rsidR="000058C1">
          <w:rPr>
            <w:noProof/>
            <w:webHidden/>
          </w:rPr>
          <w:fldChar w:fldCharType="end"/>
        </w:r>
      </w:hyperlink>
    </w:p>
    <w:p w14:paraId="62ED69EB" w14:textId="316174B9" w:rsidR="000058C1" w:rsidRDefault="004C016F">
      <w:pPr>
        <w:pStyle w:val="TableofFigures"/>
        <w:tabs>
          <w:tab w:val="right" w:leader="dot" w:pos="9350"/>
        </w:tabs>
        <w:rPr>
          <w:rFonts w:asciiTheme="minorHAnsi" w:hAnsiTheme="minorHAnsi"/>
          <w:noProof/>
          <w:sz w:val="22"/>
          <w:szCs w:val="22"/>
          <w:lang w:eastAsia="en-US"/>
        </w:rPr>
      </w:pPr>
      <w:hyperlink w:anchor="_Toc59050124" w:history="1">
        <w:r w:rsidR="000058C1" w:rsidRPr="006D64C6">
          <w:rPr>
            <w:rStyle w:val="Hyperlink"/>
            <w:noProof/>
          </w:rPr>
          <w:t>Figure 7</w:t>
        </w:r>
        <w:r w:rsidR="000058C1" w:rsidRPr="006D64C6">
          <w:rPr>
            <w:rStyle w:val="Hyperlink"/>
            <w:noProof/>
          </w:rPr>
          <w:noBreakHyphen/>
          <w:t>12: Results of Increasing Probability of Nx Bystander for Rx Users to 20% and Increasing Treatment Capacity by 20% (ID 13, Scenario 1)</w:t>
        </w:r>
        <w:r w:rsidR="000058C1">
          <w:rPr>
            <w:noProof/>
            <w:webHidden/>
          </w:rPr>
          <w:tab/>
        </w:r>
        <w:r w:rsidR="000058C1">
          <w:rPr>
            <w:noProof/>
            <w:webHidden/>
          </w:rPr>
          <w:fldChar w:fldCharType="begin"/>
        </w:r>
        <w:r w:rsidR="000058C1">
          <w:rPr>
            <w:noProof/>
            <w:webHidden/>
          </w:rPr>
          <w:instrText xml:space="preserve"> PAGEREF _Toc59050124 \h </w:instrText>
        </w:r>
        <w:r w:rsidR="000058C1">
          <w:rPr>
            <w:noProof/>
            <w:webHidden/>
          </w:rPr>
        </w:r>
        <w:r w:rsidR="000058C1">
          <w:rPr>
            <w:noProof/>
            <w:webHidden/>
          </w:rPr>
          <w:fldChar w:fldCharType="separate"/>
        </w:r>
        <w:r w:rsidR="000058C1">
          <w:rPr>
            <w:noProof/>
            <w:webHidden/>
          </w:rPr>
          <w:t>22</w:t>
        </w:r>
        <w:r w:rsidR="000058C1">
          <w:rPr>
            <w:noProof/>
            <w:webHidden/>
          </w:rPr>
          <w:fldChar w:fldCharType="end"/>
        </w:r>
      </w:hyperlink>
    </w:p>
    <w:p w14:paraId="490556A7" w14:textId="025CA11E" w:rsidR="000058C1" w:rsidRDefault="004C016F">
      <w:pPr>
        <w:pStyle w:val="TableofFigures"/>
        <w:tabs>
          <w:tab w:val="right" w:leader="dot" w:pos="9350"/>
        </w:tabs>
        <w:rPr>
          <w:rFonts w:asciiTheme="minorHAnsi" w:hAnsiTheme="minorHAnsi"/>
          <w:noProof/>
          <w:sz w:val="22"/>
          <w:szCs w:val="22"/>
          <w:lang w:eastAsia="en-US"/>
        </w:rPr>
      </w:pPr>
      <w:hyperlink w:anchor="_Toc59050125" w:history="1">
        <w:r w:rsidR="000058C1" w:rsidRPr="006D64C6">
          <w:rPr>
            <w:rStyle w:val="Hyperlink"/>
            <w:noProof/>
          </w:rPr>
          <w:t>Figure 7</w:t>
        </w:r>
        <w:r w:rsidR="000058C1" w:rsidRPr="006D64C6">
          <w:rPr>
            <w:rStyle w:val="Hyperlink"/>
            <w:noProof/>
          </w:rPr>
          <w:noBreakHyphen/>
          <w:t>13: Number of People with HUD when Increasing Tx Capacity and Probability Nx Bystander (ID 13)</w:t>
        </w:r>
        <w:r w:rsidR="000058C1">
          <w:rPr>
            <w:noProof/>
            <w:webHidden/>
          </w:rPr>
          <w:tab/>
        </w:r>
        <w:r w:rsidR="000058C1">
          <w:rPr>
            <w:noProof/>
            <w:webHidden/>
          </w:rPr>
          <w:fldChar w:fldCharType="begin"/>
        </w:r>
        <w:r w:rsidR="000058C1">
          <w:rPr>
            <w:noProof/>
            <w:webHidden/>
          </w:rPr>
          <w:instrText xml:space="preserve"> PAGEREF _Toc59050125 \h </w:instrText>
        </w:r>
        <w:r w:rsidR="000058C1">
          <w:rPr>
            <w:noProof/>
            <w:webHidden/>
          </w:rPr>
        </w:r>
        <w:r w:rsidR="000058C1">
          <w:rPr>
            <w:noProof/>
            <w:webHidden/>
          </w:rPr>
          <w:fldChar w:fldCharType="separate"/>
        </w:r>
        <w:r w:rsidR="000058C1">
          <w:rPr>
            <w:noProof/>
            <w:webHidden/>
          </w:rPr>
          <w:t>23</w:t>
        </w:r>
        <w:r w:rsidR="000058C1">
          <w:rPr>
            <w:noProof/>
            <w:webHidden/>
          </w:rPr>
          <w:fldChar w:fldCharType="end"/>
        </w:r>
      </w:hyperlink>
    </w:p>
    <w:p w14:paraId="6CDA2F4A" w14:textId="1635FCD5" w:rsidR="000058C1" w:rsidRDefault="004C016F">
      <w:pPr>
        <w:pStyle w:val="TableofFigures"/>
        <w:tabs>
          <w:tab w:val="right" w:leader="dot" w:pos="9350"/>
        </w:tabs>
        <w:rPr>
          <w:rFonts w:asciiTheme="minorHAnsi" w:hAnsiTheme="minorHAnsi"/>
          <w:noProof/>
          <w:sz w:val="22"/>
          <w:szCs w:val="22"/>
          <w:lang w:eastAsia="en-US"/>
        </w:rPr>
      </w:pPr>
      <w:hyperlink w:anchor="_Toc59050126" w:history="1">
        <w:r w:rsidR="000058C1" w:rsidRPr="006D64C6">
          <w:rPr>
            <w:rStyle w:val="Hyperlink"/>
            <w:noProof/>
          </w:rPr>
          <w:t>Figure 7</w:t>
        </w:r>
        <w:r w:rsidR="000058C1" w:rsidRPr="006D64C6">
          <w:rPr>
            <w:rStyle w:val="Hyperlink"/>
            <w:noProof/>
          </w:rPr>
          <w:noBreakHyphen/>
          <w:t>14: Results of Increasing Probability of Nx bystander for Rx users to 20% and Increasing Treatment Seeking Rate to 0.65 (ID 11, Scenario 1)</w:t>
        </w:r>
        <w:r w:rsidR="000058C1">
          <w:rPr>
            <w:noProof/>
            <w:webHidden/>
          </w:rPr>
          <w:tab/>
        </w:r>
        <w:r w:rsidR="000058C1">
          <w:rPr>
            <w:noProof/>
            <w:webHidden/>
          </w:rPr>
          <w:fldChar w:fldCharType="begin"/>
        </w:r>
        <w:r w:rsidR="000058C1">
          <w:rPr>
            <w:noProof/>
            <w:webHidden/>
          </w:rPr>
          <w:instrText xml:space="preserve"> PAGEREF _Toc59050126 \h </w:instrText>
        </w:r>
        <w:r w:rsidR="000058C1">
          <w:rPr>
            <w:noProof/>
            <w:webHidden/>
          </w:rPr>
        </w:r>
        <w:r w:rsidR="000058C1">
          <w:rPr>
            <w:noProof/>
            <w:webHidden/>
          </w:rPr>
          <w:fldChar w:fldCharType="separate"/>
        </w:r>
        <w:r w:rsidR="000058C1">
          <w:rPr>
            <w:noProof/>
            <w:webHidden/>
          </w:rPr>
          <w:t>23</w:t>
        </w:r>
        <w:r w:rsidR="000058C1">
          <w:rPr>
            <w:noProof/>
            <w:webHidden/>
          </w:rPr>
          <w:fldChar w:fldCharType="end"/>
        </w:r>
      </w:hyperlink>
    </w:p>
    <w:p w14:paraId="095515EF" w14:textId="6275C2FE" w:rsidR="000058C1" w:rsidRDefault="004C016F">
      <w:pPr>
        <w:pStyle w:val="TableofFigures"/>
        <w:tabs>
          <w:tab w:val="right" w:leader="dot" w:pos="9350"/>
        </w:tabs>
        <w:rPr>
          <w:rFonts w:asciiTheme="minorHAnsi" w:hAnsiTheme="minorHAnsi"/>
          <w:noProof/>
          <w:sz w:val="22"/>
          <w:szCs w:val="22"/>
          <w:lang w:eastAsia="en-US"/>
        </w:rPr>
      </w:pPr>
      <w:hyperlink w:anchor="_Toc59050127" w:history="1">
        <w:r w:rsidR="000058C1" w:rsidRPr="006D64C6">
          <w:rPr>
            <w:rStyle w:val="Hyperlink"/>
            <w:noProof/>
          </w:rPr>
          <w:t>Figure 7</w:t>
        </w:r>
        <w:r w:rsidR="000058C1" w:rsidRPr="006D64C6">
          <w:rPr>
            <w:rStyle w:val="Hyperlink"/>
            <w:noProof/>
          </w:rPr>
          <w:noBreakHyphen/>
          <w:t>15: Number of People with HUD not in MOUD Tx and HUD total When Increasing Tx Seeking Rate and Probability Nx Availability Bystander (ID 11)</w:t>
        </w:r>
        <w:r w:rsidR="000058C1">
          <w:rPr>
            <w:noProof/>
            <w:webHidden/>
          </w:rPr>
          <w:tab/>
        </w:r>
        <w:r w:rsidR="000058C1">
          <w:rPr>
            <w:noProof/>
            <w:webHidden/>
          </w:rPr>
          <w:fldChar w:fldCharType="begin"/>
        </w:r>
        <w:r w:rsidR="000058C1">
          <w:rPr>
            <w:noProof/>
            <w:webHidden/>
          </w:rPr>
          <w:instrText xml:space="preserve"> PAGEREF _Toc59050127 \h </w:instrText>
        </w:r>
        <w:r w:rsidR="000058C1">
          <w:rPr>
            <w:noProof/>
            <w:webHidden/>
          </w:rPr>
        </w:r>
        <w:r w:rsidR="000058C1">
          <w:rPr>
            <w:noProof/>
            <w:webHidden/>
          </w:rPr>
          <w:fldChar w:fldCharType="separate"/>
        </w:r>
        <w:r w:rsidR="000058C1">
          <w:rPr>
            <w:noProof/>
            <w:webHidden/>
          </w:rPr>
          <w:t>24</w:t>
        </w:r>
        <w:r w:rsidR="000058C1">
          <w:rPr>
            <w:noProof/>
            <w:webHidden/>
          </w:rPr>
          <w:fldChar w:fldCharType="end"/>
        </w:r>
      </w:hyperlink>
    </w:p>
    <w:p w14:paraId="2037229B" w14:textId="2F029A31" w:rsidR="000058C1" w:rsidRDefault="004C016F">
      <w:pPr>
        <w:pStyle w:val="TableofFigures"/>
        <w:tabs>
          <w:tab w:val="right" w:leader="dot" w:pos="9350"/>
        </w:tabs>
        <w:rPr>
          <w:rFonts w:asciiTheme="minorHAnsi" w:hAnsiTheme="minorHAnsi"/>
          <w:noProof/>
          <w:sz w:val="22"/>
          <w:szCs w:val="22"/>
          <w:lang w:eastAsia="en-US"/>
        </w:rPr>
      </w:pPr>
      <w:hyperlink w:anchor="_Toc59050128" w:history="1">
        <w:r w:rsidR="000058C1" w:rsidRPr="006D64C6">
          <w:rPr>
            <w:rStyle w:val="Hyperlink"/>
            <w:noProof/>
          </w:rPr>
          <w:t>Figure 7</w:t>
        </w:r>
        <w:r w:rsidR="000058C1" w:rsidRPr="006D64C6">
          <w:rPr>
            <w:rStyle w:val="Hyperlink"/>
            <w:noProof/>
          </w:rPr>
          <w:noBreakHyphen/>
          <w:t>16: Number of Overdose death HUD in MOUD Tx[Bup] When Increasing Tx Seeking Rate and Probability Nx Availability Bystander (ID 11)</w:t>
        </w:r>
        <w:r w:rsidR="000058C1">
          <w:rPr>
            <w:noProof/>
            <w:webHidden/>
          </w:rPr>
          <w:tab/>
        </w:r>
        <w:r w:rsidR="000058C1">
          <w:rPr>
            <w:noProof/>
            <w:webHidden/>
          </w:rPr>
          <w:fldChar w:fldCharType="begin"/>
        </w:r>
        <w:r w:rsidR="000058C1">
          <w:rPr>
            <w:noProof/>
            <w:webHidden/>
          </w:rPr>
          <w:instrText xml:space="preserve"> PAGEREF _Toc59050128 \h </w:instrText>
        </w:r>
        <w:r w:rsidR="000058C1">
          <w:rPr>
            <w:noProof/>
            <w:webHidden/>
          </w:rPr>
        </w:r>
        <w:r w:rsidR="000058C1">
          <w:rPr>
            <w:noProof/>
            <w:webHidden/>
          </w:rPr>
          <w:fldChar w:fldCharType="separate"/>
        </w:r>
        <w:r w:rsidR="000058C1">
          <w:rPr>
            <w:noProof/>
            <w:webHidden/>
          </w:rPr>
          <w:t>25</w:t>
        </w:r>
        <w:r w:rsidR="000058C1">
          <w:rPr>
            <w:noProof/>
            <w:webHidden/>
          </w:rPr>
          <w:fldChar w:fldCharType="end"/>
        </w:r>
      </w:hyperlink>
    </w:p>
    <w:p w14:paraId="7E37514C" w14:textId="3EE49FEB" w:rsidR="000058C1" w:rsidRDefault="004C016F">
      <w:pPr>
        <w:pStyle w:val="TableofFigures"/>
        <w:tabs>
          <w:tab w:val="right" w:leader="dot" w:pos="9350"/>
        </w:tabs>
        <w:rPr>
          <w:rFonts w:asciiTheme="minorHAnsi" w:hAnsiTheme="minorHAnsi"/>
          <w:noProof/>
          <w:sz w:val="22"/>
          <w:szCs w:val="22"/>
          <w:lang w:eastAsia="en-US"/>
        </w:rPr>
      </w:pPr>
      <w:hyperlink w:anchor="_Toc59050129" w:history="1">
        <w:r w:rsidR="000058C1" w:rsidRPr="006D64C6">
          <w:rPr>
            <w:rStyle w:val="Hyperlink"/>
            <w:noProof/>
          </w:rPr>
          <w:t>Figure 7</w:t>
        </w:r>
        <w:r w:rsidR="000058C1" w:rsidRPr="006D64C6">
          <w:rPr>
            <w:rStyle w:val="Hyperlink"/>
            <w:noProof/>
          </w:rPr>
          <w:noBreakHyphen/>
          <w:t>17: Number of Overdose death Rx OUD no H in Tx[Bup] When Increasing Tx Seeking Rate and Nx Availability Bystander (ID 11)</w:t>
        </w:r>
        <w:r w:rsidR="000058C1">
          <w:rPr>
            <w:noProof/>
            <w:webHidden/>
          </w:rPr>
          <w:tab/>
        </w:r>
        <w:r w:rsidR="000058C1">
          <w:rPr>
            <w:noProof/>
            <w:webHidden/>
          </w:rPr>
          <w:fldChar w:fldCharType="begin"/>
        </w:r>
        <w:r w:rsidR="000058C1">
          <w:rPr>
            <w:noProof/>
            <w:webHidden/>
          </w:rPr>
          <w:instrText xml:space="preserve"> PAGEREF _Toc59050129 \h </w:instrText>
        </w:r>
        <w:r w:rsidR="000058C1">
          <w:rPr>
            <w:noProof/>
            <w:webHidden/>
          </w:rPr>
        </w:r>
        <w:r w:rsidR="000058C1">
          <w:rPr>
            <w:noProof/>
            <w:webHidden/>
          </w:rPr>
          <w:fldChar w:fldCharType="separate"/>
        </w:r>
        <w:r w:rsidR="000058C1">
          <w:rPr>
            <w:noProof/>
            <w:webHidden/>
          </w:rPr>
          <w:t>26</w:t>
        </w:r>
        <w:r w:rsidR="000058C1">
          <w:rPr>
            <w:noProof/>
            <w:webHidden/>
          </w:rPr>
          <w:fldChar w:fldCharType="end"/>
        </w:r>
      </w:hyperlink>
    </w:p>
    <w:p w14:paraId="2B36CB45" w14:textId="303B1C2A" w:rsidR="000058C1" w:rsidRDefault="004C016F">
      <w:pPr>
        <w:pStyle w:val="TableofFigures"/>
        <w:tabs>
          <w:tab w:val="right" w:leader="dot" w:pos="9350"/>
        </w:tabs>
        <w:rPr>
          <w:rFonts w:asciiTheme="minorHAnsi" w:hAnsiTheme="minorHAnsi"/>
          <w:noProof/>
          <w:sz w:val="22"/>
          <w:szCs w:val="22"/>
          <w:lang w:eastAsia="en-US"/>
        </w:rPr>
      </w:pPr>
      <w:hyperlink w:anchor="_Toc59050130" w:history="1">
        <w:r w:rsidR="000058C1" w:rsidRPr="006D64C6">
          <w:rPr>
            <w:rStyle w:val="Hyperlink"/>
            <w:noProof/>
          </w:rPr>
          <w:t>Figure 11</w:t>
        </w:r>
        <w:r w:rsidR="000058C1" w:rsidRPr="006D64C6">
          <w:rPr>
            <w:rStyle w:val="Hyperlink"/>
            <w:noProof/>
          </w:rPr>
          <w:noBreakHyphen/>
          <w:t>1: Graph-Over-Time Plots of Total overdose deaths Rx, Total nonfatal overdoses, and Total overdose deaths for Different Interventions and Scenarios Individually or Combined</w:t>
        </w:r>
        <w:r w:rsidR="000058C1">
          <w:rPr>
            <w:noProof/>
            <w:webHidden/>
          </w:rPr>
          <w:tab/>
        </w:r>
        <w:r w:rsidR="000058C1">
          <w:rPr>
            <w:noProof/>
            <w:webHidden/>
          </w:rPr>
          <w:fldChar w:fldCharType="begin"/>
        </w:r>
        <w:r w:rsidR="000058C1">
          <w:rPr>
            <w:noProof/>
            <w:webHidden/>
          </w:rPr>
          <w:instrText xml:space="preserve"> PAGEREF _Toc59050130 \h </w:instrText>
        </w:r>
        <w:r w:rsidR="000058C1">
          <w:rPr>
            <w:noProof/>
            <w:webHidden/>
          </w:rPr>
        </w:r>
        <w:r w:rsidR="000058C1">
          <w:rPr>
            <w:noProof/>
            <w:webHidden/>
          </w:rPr>
          <w:fldChar w:fldCharType="separate"/>
        </w:r>
        <w:r w:rsidR="000058C1">
          <w:rPr>
            <w:noProof/>
            <w:webHidden/>
          </w:rPr>
          <w:t>40</w:t>
        </w:r>
        <w:r w:rsidR="000058C1">
          <w:rPr>
            <w:noProof/>
            <w:webHidden/>
          </w:rPr>
          <w:fldChar w:fldCharType="end"/>
        </w:r>
      </w:hyperlink>
    </w:p>
    <w:p w14:paraId="33BE57B8" w14:textId="4475D74B" w:rsidR="009358D2" w:rsidRDefault="009358D2" w:rsidP="00170B18">
      <w:pPr>
        <w:pStyle w:val="TableofFigures"/>
        <w:tabs>
          <w:tab w:val="right" w:leader="dot" w:pos="9350"/>
        </w:tabs>
        <w:rPr>
          <w:noProof/>
        </w:rPr>
      </w:pPr>
      <w:r>
        <w:rPr>
          <w:b/>
          <w:bCs/>
          <w:noProof/>
        </w:rPr>
        <w:fldChar w:fldCharType="end"/>
      </w:r>
      <w:r w:rsidR="005F5639" w:rsidRPr="006A1ECA">
        <w:fldChar w:fldCharType="begin"/>
      </w:r>
      <w:r w:rsidR="005F5639" w:rsidRPr="006A1ECA">
        <w:instrText xml:space="preserve"> TOC \h \z \c "Figure" </w:instrText>
      </w:r>
      <w:r w:rsidR="005F5639" w:rsidRPr="006A1ECA">
        <w:fldChar w:fldCharType="separate"/>
      </w:r>
    </w:p>
    <w:p w14:paraId="21C9DD0A" w14:textId="28380895" w:rsidR="00F36D45" w:rsidRPr="006A1ECA" w:rsidRDefault="005F5639" w:rsidP="00170B18">
      <w:pPr>
        <w:pStyle w:val="TableofFigures"/>
        <w:tabs>
          <w:tab w:val="right" w:leader="dot" w:pos="9350"/>
        </w:tabs>
        <w:sectPr w:rsidR="00F36D45" w:rsidRPr="006A1ECA" w:rsidSect="00F96A1B">
          <w:headerReference w:type="default" r:id="rId17"/>
          <w:footerReference w:type="default" r:id="rId18"/>
          <w:pgSz w:w="12240" w:h="15840" w:code="1"/>
          <w:pgMar w:top="1440" w:right="1440" w:bottom="1440" w:left="1440" w:header="720" w:footer="720" w:gutter="0"/>
          <w:pgNumType w:fmt="lowerRoman" w:start="1"/>
          <w:cols w:space="720"/>
          <w:noEndnote/>
          <w:docGrid w:linePitch="326"/>
        </w:sectPr>
      </w:pPr>
      <w:r w:rsidRPr="006A1ECA">
        <w:fldChar w:fldCharType="end"/>
      </w:r>
    </w:p>
    <w:p w14:paraId="251B7E5C" w14:textId="644FD4AD" w:rsidR="00230490" w:rsidRPr="007B05E7" w:rsidRDefault="002E76C1" w:rsidP="002E76C1">
      <w:pPr>
        <w:pStyle w:val="Heading1"/>
      </w:pPr>
      <w:bookmarkStart w:id="8" w:name="_Toc51849676"/>
      <w:bookmarkStart w:id="9" w:name="_Toc52396000"/>
      <w:bookmarkStart w:id="10" w:name="_Toc59050069"/>
      <w:r>
        <w:lastRenderedPageBreak/>
        <w:t>Executive Summary</w:t>
      </w:r>
      <w:bookmarkEnd w:id="8"/>
      <w:bookmarkEnd w:id="9"/>
      <w:bookmarkEnd w:id="10"/>
    </w:p>
    <w:p w14:paraId="6C3A38B7" w14:textId="72109E0D" w:rsidR="006D1E05" w:rsidRDefault="00B9799C" w:rsidP="006D1E05">
      <w:pPr>
        <w:rPr>
          <w:szCs w:val="22"/>
        </w:rPr>
      </w:pPr>
      <w:r w:rsidRPr="003C6BDC">
        <w:rPr>
          <w:szCs w:val="22"/>
        </w:rPr>
        <w:t xml:space="preserve">The D6b </w:t>
      </w:r>
      <w:r w:rsidR="006D1E05" w:rsidRPr="003C6BDC">
        <w:rPr>
          <w:szCs w:val="22"/>
        </w:rPr>
        <w:t xml:space="preserve">Final Validation Part </w:t>
      </w:r>
      <w:r w:rsidR="00AF4D3B">
        <w:rPr>
          <w:szCs w:val="22"/>
        </w:rPr>
        <w:t>2</w:t>
      </w:r>
      <w:r w:rsidRPr="003C6BDC">
        <w:rPr>
          <w:szCs w:val="22"/>
        </w:rPr>
        <w:t xml:space="preserve"> details our high-level findings and recommendations for the U.S. Food and Drug Administration’s (FDA) opioid systems dynamics model version “OSM_Master_</w:t>
      </w:r>
      <w:r w:rsidR="00376997">
        <w:rPr>
          <w:szCs w:val="22"/>
        </w:rPr>
        <w:t>1110</w:t>
      </w:r>
      <w:r w:rsidRPr="003C6BDC">
        <w:rPr>
          <w:szCs w:val="22"/>
        </w:rPr>
        <w:t>”</w:t>
      </w:r>
      <w:r w:rsidR="00C50628" w:rsidRPr="003C6BDC">
        <w:rPr>
          <w:rFonts w:asciiTheme="minorHAnsi" w:hAnsiTheme="minorHAnsi" w:cstheme="minorBidi"/>
          <w:szCs w:val="22"/>
        </w:rPr>
        <w:t xml:space="preserve"> </w:t>
      </w:r>
      <w:r w:rsidRPr="003C6BDC">
        <w:rPr>
          <w:rFonts w:asciiTheme="minorHAnsi" w:hAnsiTheme="minorHAnsi" w:cstheme="minorBidi"/>
          <w:szCs w:val="22"/>
        </w:rPr>
        <w:t>(hereinafter</w:t>
      </w:r>
      <w:r w:rsidR="00F9680A" w:rsidRPr="003C6BDC">
        <w:rPr>
          <w:rFonts w:asciiTheme="minorHAnsi" w:hAnsiTheme="minorHAnsi" w:cstheme="minorBidi"/>
          <w:szCs w:val="22"/>
        </w:rPr>
        <w:t xml:space="preserve"> </w:t>
      </w:r>
      <w:r w:rsidRPr="003C6BDC">
        <w:rPr>
          <w:rFonts w:asciiTheme="minorHAnsi" w:hAnsiTheme="minorHAnsi" w:cstheme="minorBidi"/>
          <w:szCs w:val="22"/>
        </w:rPr>
        <w:t>“model</w:t>
      </w:r>
      <w:r w:rsidR="006A6B07">
        <w:rPr>
          <w:rFonts w:asciiTheme="minorHAnsi" w:hAnsiTheme="minorHAnsi" w:cstheme="minorBidi"/>
          <w:szCs w:val="22"/>
        </w:rPr>
        <w:t xml:space="preserve"> v</w:t>
      </w:r>
      <w:r w:rsidR="00FD2229">
        <w:rPr>
          <w:rFonts w:asciiTheme="minorHAnsi" w:hAnsiTheme="minorHAnsi" w:cstheme="minorBidi"/>
          <w:szCs w:val="22"/>
        </w:rPr>
        <w:t>1110</w:t>
      </w:r>
      <w:r w:rsidR="00756ACB">
        <w:rPr>
          <w:rFonts w:asciiTheme="minorHAnsi" w:hAnsiTheme="minorHAnsi" w:cstheme="minorBidi"/>
          <w:szCs w:val="22"/>
        </w:rPr>
        <w:t>”</w:t>
      </w:r>
      <w:r w:rsidRPr="003C6BDC">
        <w:rPr>
          <w:rFonts w:asciiTheme="minorHAnsi" w:hAnsiTheme="minorHAnsi" w:cstheme="minorBidi"/>
          <w:szCs w:val="22"/>
        </w:rPr>
        <w:t xml:space="preserve">) </w:t>
      </w:r>
      <w:r w:rsidRPr="003C6BDC">
        <w:rPr>
          <w:szCs w:val="22"/>
        </w:rPr>
        <w:t xml:space="preserve">submitted by the </w:t>
      </w:r>
      <w:r w:rsidRPr="003C6BDC">
        <w:rPr>
          <w:rFonts w:asciiTheme="minorHAnsi" w:hAnsiTheme="minorHAnsi" w:cstheme="minorBidi"/>
          <w:szCs w:val="22"/>
        </w:rPr>
        <w:t xml:space="preserve">Harvard Medical School </w:t>
      </w:r>
      <w:r w:rsidR="00535924">
        <w:rPr>
          <w:rFonts w:asciiTheme="minorHAnsi" w:hAnsiTheme="minorHAnsi" w:cstheme="minorBidi"/>
          <w:szCs w:val="22"/>
        </w:rPr>
        <w:t>Grant Team</w:t>
      </w:r>
      <w:r w:rsidRPr="003C6BDC">
        <w:rPr>
          <w:rFonts w:asciiTheme="minorHAnsi" w:hAnsiTheme="minorHAnsi" w:cstheme="minorBidi"/>
          <w:szCs w:val="22"/>
        </w:rPr>
        <w:t xml:space="preserve"> (hereinafter “</w:t>
      </w:r>
      <w:r w:rsidR="00535924">
        <w:rPr>
          <w:rFonts w:asciiTheme="minorHAnsi" w:hAnsiTheme="minorHAnsi" w:cstheme="minorBidi"/>
          <w:szCs w:val="22"/>
        </w:rPr>
        <w:t>Grant Team</w:t>
      </w:r>
      <w:r w:rsidRPr="003C6BDC">
        <w:rPr>
          <w:rFonts w:asciiTheme="minorHAnsi" w:hAnsiTheme="minorHAnsi" w:cstheme="minorBidi"/>
          <w:szCs w:val="22"/>
        </w:rPr>
        <w:t xml:space="preserve">”) </w:t>
      </w:r>
      <w:r w:rsidR="00502E37">
        <w:rPr>
          <w:rFonts w:asciiTheme="minorHAnsi" w:hAnsiTheme="minorHAnsi" w:cstheme="minorBidi"/>
          <w:szCs w:val="22"/>
        </w:rPr>
        <w:t xml:space="preserve">on </w:t>
      </w:r>
      <w:r w:rsidR="00B328B5">
        <w:rPr>
          <w:rFonts w:asciiTheme="minorHAnsi" w:hAnsiTheme="minorHAnsi" w:cstheme="minorBidi"/>
          <w:szCs w:val="22"/>
        </w:rPr>
        <w:t>November 12</w:t>
      </w:r>
      <w:r w:rsidRPr="003C6BDC">
        <w:rPr>
          <w:szCs w:val="22"/>
        </w:rPr>
        <w:t xml:space="preserve">, 2020. </w:t>
      </w:r>
      <w:r w:rsidRPr="006951CD">
        <w:rPr>
          <w:szCs w:val="22"/>
        </w:rPr>
        <w:t xml:space="preserve">The </w:t>
      </w:r>
      <w:r w:rsidR="00DE7401" w:rsidRPr="006951CD">
        <w:rPr>
          <w:szCs w:val="22"/>
        </w:rPr>
        <w:t xml:space="preserve">objectives of </w:t>
      </w:r>
      <w:r w:rsidR="009870E7" w:rsidRPr="006951CD">
        <w:rPr>
          <w:szCs w:val="22"/>
        </w:rPr>
        <w:t>Final Validation Part 2</w:t>
      </w:r>
      <w:r w:rsidRPr="006951CD">
        <w:rPr>
          <w:szCs w:val="22"/>
        </w:rPr>
        <w:t xml:space="preserve"> were to: </w:t>
      </w:r>
      <w:r w:rsidR="00AE6B6F" w:rsidRPr="006951CD">
        <w:rPr>
          <w:szCs w:val="22"/>
        </w:rPr>
        <w:t xml:space="preserve">1) review and verify updates resulting from </w:t>
      </w:r>
      <w:r w:rsidR="009870E7" w:rsidRPr="006951CD">
        <w:rPr>
          <w:szCs w:val="22"/>
        </w:rPr>
        <w:t>Final Validation Part 1 feedback</w:t>
      </w:r>
      <w:r w:rsidR="008D18F0" w:rsidRPr="006951CD">
        <w:rPr>
          <w:szCs w:val="22"/>
        </w:rPr>
        <w:t xml:space="preserve">; 2) verify technical documentation is complete and accurate; 3) </w:t>
      </w:r>
      <w:r w:rsidR="00C547B6" w:rsidRPr="006951CD">
        <w:rPr>
          <w:szCs w:val="22"/>
        </w:rPr>
        <w:t>certify the model adheres to sounds modeling principals</w:t>
      </w:r>
      <w:r w:rsidR="00EE43E4" w:rsidRPr="006951CD">
        <w:rPr>
          <w:szCs w:val="22"/>
        </w:rPr>
        <w:t>; and</w:t>
      </w:r>
      <w:r w:rsidR="00C547B6" w:rsidRPr="006951CD">
        <w:rPr>
          <w:szCs w:val="22"/>
        </w:rPr>
        <w:t xml:space="preserve"> </w:t>
      </w:r>
      <w:r w:rsidR="00892094" w:rsidRPr="006951CD">
        <w:rPr>
          <w:szCs w:val="22"/>
        </w:rPr>
        <w:t>4</w:t>
      </w:r>
      <w:r w:rsidR="00C547B6" w:rsidRPr="006951CD">
        <w:rPr>
          <w:szCs w:val="22"/>
        </w:rPr>
        <w:t>) provide an un-biased evaluation of the model’s readin</w:t>
      </w:r>
      <w:r w:rsidR="00437B14" w:rsidRPr="006951CD">
        <w:rPr>
          <w:szCs w:val="22"/>
        </w:rPr>
        <w:t>ess to be used in FDA decision-making</w:t>
      </w:r>
      <w:r w:rsidRPr="003C6BDC">
        <w:rPr>
          <w:szCs w:val="22"/>
        </w:rPr>
        <w:t xml:space="preserve">. </w:t>
      </w:r>
      <w:r w:rsidR="000D404E" w:rsidRPr="000D404E">
        <w:rPr>
          <w:szCs w:val="22"/>
        </w:rPr>
        <w:t xml:space="preserve">For Part </w:t>
      </w:r>
      <w:r w:rsidR="005A7A48">
        <w:rPr>
          <w:szCs w:val="22"/>
        </w:rPr>
        <w:t>2</w:t>
      </w:r>
      <w:r w:rsidR="000D404E" w:rsidRPr="000D404E">
        <w:rPr>
          <w:szCs w:val="22"/>
        </w:rPr>
        <w:t>,</w:t>
      </w:r>
      <w:r w:rsidR="00EA4A10" w:rsidRPr="000D404E">
        <w:rPr>
          <w:szCs w:val="22"/>
        </w:rPr>
        <w:t xml:space="preserve"> we focused our activities around</w:t>
      </w:r>
      <w:r w:rsidR="00A53463">
        <w:rPr>
          <w:szCs w:val="22"/>
        </w:rPr>
        <w:t xml:space="preserve">: </w:t>
      </w:r>
      <w:r w:rsidR="00481691">
        <w:rPr>
          <w:szCs w:val="22"/>
        </w:rPr>
        <w:t>1) a review of the Grant Team’s re</w:t>
      </w:r>
      <w:r w:rsidR="00C560AC">
        <w:rPr>
          <w:szCs w:val="22"/>
        </w:rPr>
        <w:t>s</w:t>
      </w:r>
      <w:r w:rsidR="00481691">
        <w:rPr>
          <w:szCs w:val="22"/>
        </w:rPr>
        <w:t xml:space="preserve">ponses to Model Verification #2 related to policy validation; </w:t>
      </w:r>
      <w:r w:rsidR="00C560AC">
        <w:rPr>
          <w:szCs w:val="22"/>
        </w:rPr>
        <w:t>2</w:t>
      </w:r>
      <w:r w:rsidR="00A53463">
        <w:rPr>
          <w:szCs w:val="22"/>
        </w:rPr>
        <w:t>)</w:t>
      </w:r>
      <w:r w:rsidR="00E033A5">
        <w:rPr>
          <w:szCs w:val="22"/>
        </w:rPr>
        <w:t xml:space="preserve"> a review of the Grant Team’s responses to </w:t>
      </w:r>
      <w:r w:rsidR="00A53463">
        <w:rPr>
          <w:szCs w:val="22"/>
        </w:rPr>
        <w:t xml:space="preserve">Final Validation Part 1 findings; </w:t>
      </w:r>
      <w:r w:rsidR="00C560AC">
        <w:rPr>
          <w:szCs w:val="22"/>
        </w:rPr>
        <w:t>3</w:t>
      </w:r>
      <w:r w:rsidR="00A53463">
        <w:rPr>
          <w:szCs w:val="22"/>
        </w:rPr>
        <w:t xml:space="preserve">) policy validation; and </w:t>
      </w:r>
      <w:r w:rsidR="00C560AC">
        <w:rPr>
          <w:szCs w:val="22"/>
        </w:rPr>
        <w:t>4</w:t>
      </w:r>
      <w:r w:rsidR="00A53463">
        <w:rPr>
          <w:szCs w:val="22"/>
        </w:rPr>
        <w:t xml:space="preserve">) model </w:t>
      </w:r>
      <w:r w:rsidR="00C560AC">
        <w:rPr>
          <w:szCs w:val="22"/>
        </w:rPr>
        <w:t>comparator</w:t>
      </w:r>
      <w:r w:rsidR="00116A38" w:rsidRPr="000D404E">
        <w:t xml:space="preserve">. </w:t>
      </w:r>
      <w:r w:rsidR="006D1E05" w:rsidRPr="003C6BDC">
        <w:rPr>
          <w:szCs w:val="22"/>
        </w:rPr>
        <w:t xml:space="preserve">The following is a list of key findings </w:t>
      </w:r>
      <w:r w:rsidR="00547ABA">
        <w:rPr>
          <w:szCs w:val="22"/>
        </w:rPr>
        <w:t>and recommendations</w:t>
      </w:r>
      <w:r w:rsidR="006D1E05" w:rsidRPr="003C6BDC">
        <w:rPr>
          <w:szCs w:val="22"/>
        </w:rPr>
        <w:t xml:space="preserve"> from this report:</w:t>
      </w:r>
    </w:p>
    <w:p w14:paraId="39C9B139" w14:textId="77936639" w:rsidR="000F6529" w:rsidRPr="000F6529" w:rsidRDefault="00252D07" w:rsidP="00A3009B">
      <w:pPr>
        <w:pStyle w:val="ListParagraph"/>
        <w:numPr>
          <w:ilvl w:val="0"/>
          <w:numId w:val="10"/>
        </w:numPr>
      </w:pPr>
      <w:r>
        <w:t>We found that m</w:t>
      </w:r>
      <w:r w:rsidR="00734ABA">
        <w:t>odel v1110</w:t>
      </w:r>
      <w:r w:rsidR="000F78AB">
        <w:t xml:space="preserve"> </w:t>
      </w:r>
      <w:r w:rsidR="00362755">
        <w:t xml:space="preserve">enables </w:t>
      </w:r>
      <w:r w:rsidR="003516FA">
        <w:t xml:space="preserve">the </w:t>
      </w:r>
      <w:r w:rsidR="002F577F">
        <w:t>model user</w:t>
      </w:r>
      <w:r w:rsidR="003516FA">
        <w:t xml:space="preserve"> to easily </w:t>
      </w:r>
      <w:r w:rsidR="00672C8A">
        <w:t xml:space="preserve">generate results </w:t>
      </w:r>
      <w:r w:rsidR="0078539E">
        <w:t>to assess</w:t>
      </w:r>
      <w:r w:rsidR="00672C8A">
        <w:t xml:space="preserve"> combined</w:t>
      </w:r>
      <w:r w:rsidR="00244125">
        <w:t xml:space="preserve"> </w:t>
      </w:r>
      <w:r w:rsidR="00F04848">
        <w:t xml:space="preserve">opioid </w:t>
      </w:r>
      <w:r w:rsidR="00672C8A">
        <w:t xml:space="preserve">policies </w:t>
      </w:r>
      <w:r w:rsidR="00950795">
        <w:t xml:space="preserve">and </w:t>
      </w:r>
      <w:r w:rsidR="00C07E8B">
        <w:t xml:space="preserve">to </w:t>
      </w:r>
      <w:r w:rsidR="001425DC">
        <w:t>rigorously</w:t>
      </w:r>
      <w:r w:rsidR="00BD3920">
        <w:t xml:space="preserve"> evaluate results </w:t>
      </w:r>
      <w:r w:rsidR="003349C9">
        <w:t>by</w:t>
      </w:r>
      <w:r w:rsidR="00BD3920">
        <w:t xml:space="preserve"> </w:t>
      </w:r>
      <w:r w:rsidR="00A23CEE">
        <w:t>adjusting output</w:t>
      </w:r>
      <w:r w:rsidR="006523F5">
        <w:t xml:space="preserve"> variables as necessary</w:t>
      </w:r>
      <w:r w:rsidR="00DD1578">
        <w:t>.</w:t>
      </w:r>
    </w:p>
    <w:p w14:paraId="15A717EA" w14:textId="08E2E68C" w:rsidR="00F12F26" w:rsidRDefault="005E1D09" w:rsidP="00A3009B">
      <w:pPr>
        <w:pStyle w:val="ListParagraph"/>
        <w:numPr>
          <w:ilvl w:val="0"/>
          <w:numId w:val="10"/>
        </w:numPr>
      </w:pPr>
      <w:r>
        <w:t xml:space="preserve">We found that </w:t>
      </w:r>
      <w:r w:rsidR="00734ABA">
        <w:t>model v1110</w:t>
      </w:r>
      <w:r>
        <w:t xml:space="preserve"> results were generally intuitive, and we did not identify any scenarios where the model produced results that were qualitatively inconsistent with previously published results.</w:t>
      </w:r>
    </w:p>
    <w:p w14:paraId="368E1009" w14:textId="184A5588" w:rsidR="00866AF6" w:rsidRDefault="00252D07" w:rsidP="00385F8D">
      <w:pPr>
        <w:pStyle w:val="ListParagraph"/>
        <w:numPr>
          <w:ilvl w:val="0"/>
          <w:numId w:val="10"/>
        </w:numPr>
      </w:pPr>
      <w:r>
        <w:t>We found that m</w:t>
      </w:r>
      <w:r w:rsidR="005E1430">
        <w:t>odel</w:t>
      </w:r>
      <w:r w:rsidR="000534AD">
        <w:t xml:space="preserve"> v1110</w:t>
      </w:r>
      <w:r w:rsidR="00BA70EB">
        <w:t xml:space="preserve"> compares favorably with the </w:t>
      </w:r>
      <w:r w:rsidR="002D3937">
        <w:t>Homer</w:t>
      </w:r>
      <w:r w:rsidR="00156DB1">
        <w:t xml:space="preserve"> </w:t>
      </w:r>
      <w:r w:rsidR="00B65B82">
        <w:t xml:space="preserve">and </w:t>
      </w:r>
      <w:r w:rsidR="002D3937">
        <w:t xml:space="preserve">Wakeland </w:t>
      </w:r>
      <w:r w:rsidR="00156DB1">
        <w:t xml:space="preserve">2020 </w:t>
      </w:r>
      <w:r w:rsidR="002D3937">
        <w:t>Model (</w:t>
      </w:r>
      <w:r w:rsidR="00652D2B">
        <w:t>hereinafter “</w:t>
      </w:r>
      <w:r w:rsidR="002D3937">
        <w:t>HWM</w:t>
      </w:r>
      <w:r w:rsidR="00652D2B">
        <w:t>”</w:t>
      </w:r>
      <w:r w:rsidR="006E7035">
        <w:t>)</w:t>
      </w:r>
      <w:r w:rsidR="00D13840">
        <w:t>;</w:t>
      </w:r>
      <w:r w:rsidR="00BA70EB">
        <w:t xml:space="preserve"> </w:t>
      </w:r>
      <w:r w:rsidR="00AA7E88">
        <w:t xml:space="preserve">the structure of </w:t>
      </w:r>
      <w:r w:rsidR="00165664">
        <w:t>model v1110</w:t>
      </w:r>
      <w:r w:rsidR="008F19D5">
        <w:t xml:space="preserve"> </w:t>
      </w:r>
      <w:r w:rsidR="00BA70EB">
        <w:t xml:space="preserve">is consistent with and </w:t>
      </w:r>
      <w:r w:rsidR="003A072D">
        <w:t xml:space="preserve">has additional </w:t>
      </w:r>
      <w:r w:rsidR="00C32FCE">
        <w:t xml:space="preserve">important and useful </w:t>
      </w:r>
      <w:r w:rsidR="00005EE7">
        <w:t xml:space="preserve">details and </w:t>
      </w:r>
      <w:r w:rsidR="00305EFA">
        <w:t>c</w:t>
      </w:r>
      <w:r w:rsidR="00005EE7">
        <w:t>omplexity</w:t>
      </w:r>
      <w:r w:rsidR="00305EFA">
        <w:t xml:space="preserve"> compared to</w:t>
      </w:r>
      <w:r w:rsidR="000F3BB5">
        <w:t xml:space="preserve"> the HWM</w:t>
      </w:r>
      <w:r w:rsidR="00BA70EB">
        <w:t>.</w:t>
      </w:r>
    </w:p>
    <w:p w14:paraId="24A73517" w14:textId="388F0E1F" w:rsidR="0063189E" w:rsidRDefault="00CC0E8A" w:rsidP="00385F8D">
      <w:pPr>
        <w:pStyle w:val="ListParagraph"/>
        <w:numPr>
          <w:ilvl w:val="0"/>
          <w:numId w:val="10"/>
        </w:numPr>
      </w:pPr>
      <w:r>
        <w:rPr>
          <w:lang w:eastAsia="zh-CN"/>
        </w:rPr>
        <w:t>We found that model v110</w:t>
      </w:r>
      <w:r w:rsidR="0063189E">
        <w:rPr>
          <w:lang w:eastAsia="zh-CN"/>
        </w:rPr>
        <w:t xml:space="preserve"> is suitable for use </w:t>
      </w:r>
      <w:r w:rsidR="00D44CFD">
        <w:rPr>
          <w:lang w:eastAsia="zh-CN"/>
        </w:rPr>
        <w:t>in evaluating</w:t>
      </w:r>
      <w:r w:rsidR="0063189E">
        <w:rPr>
          <w:lang w:eastAsia="zh-CN"/>
        </w:rPr>
        <w:t xml:space="preserve"> a variety of </w:t>
      </w:r>
      <w:r w:rsidR="004A4B93">
        <w:rPr>
          <w:lang w:eastAsia="zh-CN"/>
        </w:rPr>
        <w:t xml:space="preserve">policies related to </w:t>
      </w:r>
      <w:r w:rsidR="00587165">
        <w:rPr>
          <w:lang w:eastAsia="zh-CN"/>
        </w:rPr>
        <w:t xml:space="preserve">opioid </w:t>
      </w:r>
      <w:r w:rsidR="0063189E">
        <w:rPr>
          <w:lang w:eastAsia="zh-CN"/>
        </w:rPr>
        <w:t>interventions.</w:t>
      </w:r>
      <w:r w:rsidR="00C47DA5">
        <w:rPr>
          <w:lang w:eastAsia="zh-CN"/>
        </w:rPr>
        <w:t xml:space="preserve"> </w:t>
      </w:r>
    </w:p>
    <w:p w14:paraId="55155CFE" w14:textId="3E4E8FBA" w:rsidR="00346C9F" w:rsidRPr="003F1C87" w:rsidRDefault="00612871" w:rsidP="00346C9F">
      <w:pPr>
        <w:pStyle w:val="ListParagraph"/>
        <w:numPr>
          <w:ilvl w:val="0"/>
          <w:numId w:val="10"/>
        </w:numPr>
        <w:rPr>
          <w:rFonts w:eastAsia="Times New Roman" w:cs="Calibri"/>
        </w:rPr>
      </w:pPr>
      <w:r>
        <w:t>W</w:t>
      </w:r>
      <w:r w:rsidR="00DB43CD">
        <w:t xml:space="preserve">e recommend </w:t>
      </w:r>
      <w:r w:rsidR="008549A5">
        <w:t>enhancing</w:t>
      </w:r>
      <w:r w:rsidR="00346C9F" w:rsidRPr="003F1C87">
        <w:t xml:space="preserve"> information </w:t>
      </w:r>
      <w:r w:rsidR="00233ED9">
        <w:t>around</w:t>
      </w:r>
      <w:r w:rsidR="0076330C">
        <w:t xml:space="preserve"> model</w:t>
      </w:r>
      <w:r w:rsidR="00346C9F" w:rsidRPr="003F1C87">
        <w:t xml:space="preserve"> limitations</w:t>
      </w:r>
      <w:r w:rsidR="00346C9F">
        <w:t xml:space="preserve"> and</w:t>
      </w:r>
      <w:r w:rsidR="00346C9F" w:rsidRPr="003F1C87">
        <w:t xml:space="preserve"> assumptions</w:t>
      </w:r>
      <w:r w:rsidR="00346C9F">
        <w:t xml:space="preserve"> in the appropriate </w:t>
      </w:r>
      <w:r w:rsidR="00F841A2">
        <w:t>documentation</w:t>
      </w:r>
      <w:r w:rsidR="00346C9F">
        <w:t xml:space="preserve">. </w:t>
      </w:r>
    </w:p>
    <w:p w14:paraId="2F9D4D46" w14:textId="2008165B" w:rsidR="00346C9F" w:rsidRPr="007B4309" w:rsidRDefault="006A74D7" w:rsidP="00346C9F">
      <w:pPr>
        <w:pStyle w:val="ListParagraph"/>
        <w:numPr>
          <w:ilvl w:val="0"/>
          <w:numId w:val="10"/>
        </w:numPr>
        <w:spacing w:after="0"/>
      </w:pPr>
      <w:r>
        <w:t xml:space="preserve">We recommend </w:t>
      </w:r>
      <w:r w:rsidR="00612871">
        <w:t>providing</w:t>
      </w:r>
      <w:r w:rsidR="00DB7830">
        <w:t xml:space="preserve"> justification for</w:t>
      </w:r>
      <w:r w:rsidR="009C49E2">
        <w:t xml:space="preserve"> setting</w:t>
      </w:r>
      <w:r w:rsidR="00DB7830">
        <w:t xml:space="preserve"> the </w:t>
      </w:r>
      <w:r w:rsidR="00D44CFD">
        <w:t>value</w:t>
      </w:r>
      <w:r w:rsidR="00346C9F">
        <w:rPr>
          <w:rFonts w:cs="Calibri"/>
        </w:rPr>
        <w:t xml:space="preserve"> </w:t>
      </w:r>
      <w:r w:rsidR="00346C9F">
        <w:t xml:space="preserve">of nonfatal overdose risk (i.e., </w:t>
      </w:r>
      <w:r w:rsidR="00346C9F" w:rsidRPr="000F5E28">
        <w:rPr>
          <w:b/>
          <w:bCs/>
        </w:rPr>
        <w:t>Perceived risk weight NFOD</w:t>
      </w:r>
      <w:r w:rsidR="00346C9F">
        <w:t xml:space="preserve">) </w:t>
      </w:r>
      <w:r w:rsidR="005E12B2">
        <w:t>to</w:t>
      </w:r>
      <w:r w:rsidR="00346C9F">
        <w:rPr>
          <w:rFonts w:cs="Calibri"/>
        </w:rPr>
        <w:t xml:space="preserve"> 0.1 or</w:t>
      </w:r>
      <w:r w:rsidR="0077239D">
        <w:rPr>
          <w:rFonts w:cs="Calibri"/>
        </w:rPr>
        <w:t xml:space="preserve"> </w:t>
      </w:r>
      <w:r w:rsidR="00D44CFD">
        <w:rPr>
          <w:rFonts w:cs="Calibri"/>
        </w:rPr>
        <w:t>increasing the v</w:t>
      </w:r>
      <w:r w:rsidR="00346C9F">
        <w:t>alue to at least 0.5</w:t>
      </w:r>
      <w:r w:rsidR="00346C9F">
        <w:rPr>
          <w:rFonts w:cs="Calibri"/>
        </w:rPr>
        <w:t>.</w:t>
      </w:r>
    </w:p>
    <w:p w14:paraId="3C4CC85F" w14:textId="77777777" w:rsidR="00A47543" w:rsidRPr="007E1542" w:rsidRDefault="00A47543" w:rsidP="00A47543">
      <w:pPr>
        <w:pStyle w:val="ListParagraph"/>
        <w:numPr>
          <w:ilvl w:val="0"/>
          <w:numId w:val="10"/>
        </w:numPr>
        <w:spacing w:after="0"/>
      </w:pPr>
      <w:r w:rsidRPr="007E1542">
        <w:t>We found differences in both the magnitude and dynamics of elements related to street supply disruptions compared to HWM. We recommend further exploration of these differences to check for proper implementation of this area of the model.</w:t>
      </w:r>
    </w:p>
    <w:p w14:paraId="3FFD7C40" w14:textId="4D186C18" w:rsidR="00C47DA5" w:rsidRPr="00C47DA5" w:rsidRDefault="00CC0E8A" w:rsidP="00346C9F">
      <w:pPr>
        <w:pStyle w:val="ListParagraph"/>
        <w:numPr>
          <w:ilvl w:val="0"/>
          <w:numId w:val="10"/>
        </w:numPr>
      </w:pPr>
      <w:r>
        <w:t>We found that m</w:t>
      </w:r>
      <w:r w:rsidR="004C7CFB">
        <w:t xml:space="preserve">odel v1110 operates on the assumption that </w:t>
      </w:r>
      <w:r w:rsidR="00E36803">
        <w:t>t</w:t>
      </w:r>
      <w:r w:rsidR="00346C9F">
        <w:t xml:space="preserve">here is no feedback from capacity utilization that affects </w:t>
      </w:r>
      <w:r w:rsidR="00953432">
        <w:t>individuals’</w:t>
      </w:r>
      <w:r w:rsidR="00346C9F">
        <w:t xml:space="preserve"> decision</w:t>
      </w:r>
      <w:r w:rsidR="00953432">
        <w:t>s</w:t>
      </w:r>
      <w:r w:rsidR="00346C9F">
        <w:t xml:space="preserve"> for seeking one treatment versus another. </w:t>
      </w:r>
      <w:r w:rsidR="00072D1F">
        <w:t>We recommend this</w:t>
      </w:r>
      <w:r w:rsidR="00346C9F">
        <w:t xml:space="preserve"> area </w:t>
      </w:r>
      <w:r w:rsidR="001E61FC">
        <w:t>of</w:t>
      </w:r>
      <w:r w:rsidR="00346C9F">
        <w:t xml:space="preserve"> the model </w:t>
      </w:r>
      <w:r w:rsidR="00072D1F">
        <w:t xml:space="preserve">be </w:t>
      </w:r>
      <w:r w:rsidR="00A32E4E">
        <w:t>considered</w:t>
      </w:r>
      <w:r w:rsidR="00346C9F">
        <w:t xml:space="preserve"> f</w:t>
      </w:r>
      <w:r w:rsidR="00072D1F">
        <w:t>or</w:t>
      </w:r>
      <w:r w:rsidR="00346C9F">
        <w:t xml:space="preserve"> further adjustment or development</w:t>
      </w:r>
      <w:r w:rsidR="00CC6295">
        <w:t>;</w:t>
      </w:r>
      <w:r w:rsidR="00346C9F" w:rsidRPr="00B11E17">
        <w:t xml:space="preserve"> </w:t>
      </w:r>
      <w:r w:rsidR="00CC6295">
        <w:rPr>
          <w:color w:val="000000"/>
        </w:rPr>
        <w:t>a</w:t>
      </w:r>
      <w:r w:rsidR="00346C9F" w:rsidRPr="00F342D5">
        <w:rPr>
          <w:color w:val="000000"/>
        </w:rPr>
        <w:t>ddressing limitation</w:t>
      </w:r>
      <w:r w:rsidR="007E1542">
        <w:rPr>
          <w:color w:val="000000"/>
        </w:rPr>
        <w:t>s</w:t>
      </w:r>
      <w:r w:rsidR="00346C9F" w:rsidRPr="00F342D5">
        <w:rPr>
          <w:color w:val="000000"/>
        </w:rPr>
        <w:t xml:space="preserve"> </w:t>
      </w:r>
      <w:r w:rsidR="008D2F94">
        <w:rPr>
          <w:color w:val="000000"/>
        </w:rPr>
        <w:t>i</w:t>
      </w:r>
      <w:r w:rsidR="00346C9F" w:rsidRPr="00F342D5">
        <w:rPr>
          <w:color w:val="000000"/>
        </w:rPr>
        <w:t>n the treatment</w:t>
      </w:r>
      <w:r w:rsidR="008D2F94">
        <w:rPr>
          <w:color w:val="000000"/>
        </w:rPr>
        <w:t xml:space="preserve"> area of the model</w:t>
      </w:r>
      <w:r w:rsidR="00346C9F" w:rsidRPr="00F342D5">
        <w:rPr>
          <w:color w:val="000000"/>
        </w:rPr>
        <w:t xml:space="preserve"> could lead to increased confidence in the model's results.</w:t>
      </w:r>
    </w:p>
    <w:p w14:paraId="3853AC81" w14:textId="77777777" w:rsidR="00C47DA5" w:rsidRDefault="00C47DA5" w:rsidP="00C47DA5"/>
    <w:p w14:paraId="0D976CE1" w14:textId="77777777" w:rsidR="00C47DA5" w:rsidRDefault="00C47DA5" w:rsidP="00C47DA5"/>
    <w:p w14:paraId="62C7B779" w14:textId="77777777" w:rsidR="00C47DA5" w:rsidRDefault="00C47DA5" w:rsidP="00C47DA5"/>
    <w:p w14:paraId="5D1EC38B" w14:textId="4435E60F" w:rsidR="00346C9F" w:rsidRPr="00F342D5" w:rsidRDefault="00346C9F" w:rsidP="00C47DA5"/>
    <w:p w14:paraId="34163CE1" w14:textId="7BE150DE" w:rsidR="00230490" w:rsidRPr="007B05E7" w:rsidRDefault="002E76C1" w:rsidP="00F54E54">
      <w:pPr>
        <w:pStyle w:val="Heading1"/>
      </w:pPr>
      <w:bookmarkStart w:id="11" w:name="_Introduction"/>
      <w:bookmarkStart w:id="12" w:name="_Toc51849677"/>
      <w:bookmarkStart w:id="13" w:name="_Toc52396001"/>
      <w:bookmarkStart w:id="14" w:name="_Toc59050070"/>
      <w:bookmarkEnd w:id="11"/>
      <w:r>
        <w:lastRenderedPageBreak/>
        <w:t>Introduction</w:t>
      </w:r>
      <w:bookmarkEnd w:id="12"/>
      <w:bookmarkEnd w:id="13"/>
      <w:bookmarkEnd w:id="14"/>
    </w:p>
    <w:p w14:paraId="6B65B9DB" w14:textId="574E6987" w:rsidR="00F171C9" w:rsidRDefault="00152F4B" w:rsidP="00F171C9">
      <w:pPr>
        <w:rPr>
          <w:szCs w:val="22"/>
        </w:rPr>
      </w:pPr>
      <w:bookmarkStart w:id="15" w:name="_MODEL_MAINTENANCE_PREPARATION"/>
      <w:bookmarkEnd w:id="15"/>
      <w:r w:rsidRPr="003C6BDC">
        <w:rPr>
          <w:rFonts w:asciiTheme="minorHAnsi" w:hAnsiTheme="minorHAnsi" w:cstheme="minorHAnsi"/>
          <w:szCs w:val="22"/>
        </w:rPr>
        <w:t xml:space="preserve">Booz Allen </w:t>
      </w:r>
      <w:r w:rsidR="004C016F">
        <w:rPr>
          <w:rFonts w:asciiTheme="minorHAnsi" w:hAnsiTheme="minorHAnsi" w:cstheme="minorHAnsi"/>
          <w:szCs w:val="22"/>
        </w:rPr>
        <w:t>and a s</w:t>
      </w:r>
      <w:r w:rsidR="004C016F" w:rsidRPr="003C6BDC">
        <w:rPr>
          <w:rFonts w:asciiTheme="minorHAnsi" w:hAnsiTheme="minorHAnsi" w:cstheme="minorHAnsi"/>
          <w:szCs w:val="22"/>
        </w:rPr>
        <w:t xml:space="preserve">ystem dynamics subject matter expert </w:t>
      </w:r>
      <w:r w:rsidR="004C016F">
        <w:rPr>
          <w:rFonts w:asciiTheme="minorHAnsi" w:hAnsiTheme="minorHAnsi" w:cstheme="minorHAnsi"/>
          <w:szCs w:val="22"/>
        </w:rPr>
        <w:t xml:space="preserve">(SME) </w:t>
      </w:r>
      <w:r w:rsidRPr="003C6BDC">
        <w:rPr>
          <w:rFonts w:asciiTheme="minorHAnsi" w:hAnsiTheme="minorHAnsi" w:cstheme="minorHAnsi"/>
          <w:szCs w:val="22"/>
        </w:rPr>
        <w:t>previously reviewed versions 406b</w:t>
      </w:r>
      <w:r w:rsidR="006D0EA2" w:rsidRPr="003C6BDC">
        <w:rPr>
          <w:rFonts w:asciiTheme="minorHAnsi" w:hAnsiTheme="minorHAnsi" w:cstheme="minorHAnsi"/>
          <w:szCs w:val="22"/>
        </w:rPr>
        <w:t xml:space="preserve">, </w:t>
      </w:r>
      <w:r w:rsidR="00553705">
        <w:rPr>
          <w:rFonts w:asciiTheme="minorHAnsi" w:hAnsiTheme="minorHAnsi" w:cstheme="minorHAnsi"/>
          <w:szCs w:val="22"/>
        </w:rPr>
        <w:t>511</w:t>
      </w:r>
      <w:r w:rsidR="006D0EA2" w:rsidRPr="003C6BDC">
        <w:rPr>
          <w:rFonts w:asciiTheme="minorHAnsi" w:hAnsiTheme="minorHAnsi" w:cstheme="minorHAnsi"/>
          <w:szCs w:val="22"/>
        </w:rPr>
        <w:t xml:space="preserve">, and </w:t>
      </w:r>
      <w:r w:rsidR="00553705">
        <w:rPr>
          <w:rFonts w:asciiTheme="minorHAnsi" w:hAnsiTheme="minorHAnsi" w:cstheme="minorHAnsi"/>
          <w:szCs w:val="22"/>
        </w:rPr>
        <w:t>622</w:t>
      </w:r>
      <w:r w:rsidRPr="003C6BDC">
        <w:rPr>
          <w:rFonts w:asciiTheme="minorHAnsi" w:hAnsiTheme="minorHAnsi" w:cstheme="minorHAnsi"/>
          <w:szCs w:val="22"/>
        </w:rPr>
        <w:t xml:space="preserve"> of FDA’s model and documented findings and recommendations in the </w:t>
      </w:r>
      <w:hyperlink r:id="rId19" w:history="1">
        <w:r w:rsidRPr="003C6BDC">
          <w:rPr>
            <w:rStyle w:val="Hyperlink"/>
            <w:rFonts w:asciiTheme="minorHAnsi" w:hAnsiTheme="minorHAnsi" w:cstheme="minorHAnsi"/>
            <w:szCs w:val="22"/>
          </w:rPr>
          <w:t>Initial Validation Report</w:t>
        </w:r>
      </w:hyperlink>
      <w:r w:rsidR="00474FD8">
        <w:rPr>
          <w:rFonts w:asciiTheme="minorHAnsi" w:hAnsiTheme="minorHAnsi" w:cstheme="minorHAnsi"/>
          <w:szCs w:val="22"/>
        </w:rPr>
        <w:t xml:space="preserve">, </w:t>
      </w:r>
      <w:hyperlink r:id="rId20" w:history="1">
        <w:r w:rsidRPr="003C6BDC">
          <w:rPr>
            <w:rStyle w:val="Hyperlink"/>
            <w:rFonts w:asciiTheme="minorHAnsi" w:hAnsiTheme="minorHAnsi" w:cstheme="minorHAnsi"/>
            <w:szCs w:val="22"/>
          </w:rPr>
          <w:t>Model Verification #1</w:t>
        </w:r>
      </w:hyperlink>
      <w:r w:rsidRPr="003C6BDC">
        <w:rPr>
          <w:rFonts w:asciiTheme="minorHAnsi" w:hAnsiTheme="minorHAnsi" w:cstheme="minorHAnsi"/>
          <w:szCs w:val="22"/>
        </w:rPr>
        <w:t xml:space="preserve">, and </w:t>
      </w:r>
      <w:hyperlink r:id="rId21" w:history="1">
        <w:r w:rsidRPr="00AB6D21">
          <w:rPr>
            <w:rStyle w:val="Hyperlink"/>
            <w:rFonts w:asciiTheme="minorHAnsi" w:hAnsiTheme="minorHAnsi" w:cstheme="minorHAnsi"/>
            <w:szCs w:val="22"/>
          </w:rPr>
          <w:t xml:space="preserve">Model </w:t>
        </w:r>
        <w:r w:rsidR="00E43F86" w:rsidRPr="00AB6D21">
          <w:rPr>
            <w:rStyle w:val="Hyperlink"/>
            <w:rFonts w:asciiTheme="minorHAnsi" w:hAnsiTheme="minorHAnsi" w:cstheme="minorHAnsi"/>
            <w:szCs w:val="22"/>
          </w:rPr>
          <w:t>Verification #2</w:t>
        </w:r>
      </w:hyperlink>
      <w:r w:rsidRPr="003C6BDC">
        <w:rPr>
          <w:rFonts w:asciiTheme="minorHAnsi" w:hAnsiTheme="minorHAnsi" w:cstheme="minorHAnsi"/>
          <w:szCs w:val="22"/>
        </w:rPr>
        <w:t xml:space="preserve"> respectively. For </w:t>
      </w:r>
      <w:r w:rsidR="00F65376">
        <w:rPr>
          <w:rFonts w:asciiTheme="minorHAnsi" w:hAnsiTheme="minorHAnsi" w:cstheme="minorHAnsi"/>
          <w:szCs w:val="22"/>
        </w:rPr>
        <w:t>Final Validation Part</w:t>
      </w:r>
      <w:r w:rsidR="00B6712C">
        <w:rPr>
          <w:rFonts w:asciiTheme="minorHAnsi" w:hAnsiTheme="minorHAnsi" w:cstheme="minorHAnsi"/>
          <w:szCs w:val="22"/>
        </w:rPr>
        <w:t xml:space="preserve"> 1</w:t>
      </w:r>
      <w:r w:rsidR="00BC33AF" w:rsidRPr="003C6BDC">
        <w:rPr>
          <w:rFonts w:asciiTheme="minorHAnsi" w:hAnsiTheme="minorHAnsi" w:cstheme="minorHAnsi"/>
          <w:szCs w:val="22"/>
        </w:rPr>
        <w:t>,</w:t>
      </w:r>
      <w:r w:rsidRPr="003C6BDC">
        <w:rPr>
          <w:rFonts w:asciiTheme="minorHAnsi" w:hAnsiTheme="minorHAnsi" w:cstheme="minorHAnsi"/>
          <w:szCs w:val="22"/>
        </w:rPr>
        <w:t xml:space="preserve"> </w:t>
      </w:r>
      <w:r w:rsidR="009B3DEA" w:rsidRPr="003C6BDC">
        <w:rPr>
          <w:rFonts w:asciiTheme="minorHAnsi" w:hAnsiTheme="minorHAnsi" w:cstheme="minorHAnsi"/>
          <w:szCs w:val="22"/>
        </w:rPr>
        <w:t xml:space="preserve">a </w:t>
      </w:r>
      <w:r w:rsidR="000E14CE">
        <w:rPr>
          <w:rFonts w:asciiTheme="minorHAnsi" w:hAnsiTheme="minorHAnsi" w:cstheme="minorHAnsi"/>
          <w:szCs w:val="22"/>
        </w:rPr>
        <w:t>V</w:t>
      </w:r>
      <w:r w:rsidR="009B3DEA" w:rsidRPr="003C6BDC">
        <w:rPr>
          <w:rFonts w:asciiTheme="minorHAnsi" w:hAnsiTheme="minorHAnsi" w:cstheme="minorHAnsi"/>
          <w:szCs w:val="22"/>
        </w:rPr>
        <w:t xml:space="preserve">alidation </w:t>
      </w:r>
      <w:r w:rsidR="000E14CE">
        <w:rPr>
          <w:rFonts w:asciiTheme="minorHAnsi" w:hAnsiTheme="minorHAnsi" w:cstheme="minorHAnsi"/>
          <w:szCs w:val="22"/>
        </w:rPr>
        <w:t>T</w:t>
      </w:r>
      <w:r w:rsidR="009B3DEA" w:rsidRPr="003C6BDC">
        <w:rPr>
          <w:rFonts w:asciiTheme="minorHAnsi" w:hAnsiTheme="minorHAnsi" w:cstheme="minorHAnsi"/>
          <w:szCs w:val="22"/>
        </w:rPr>
        <w:t>eam comprised of</w:t>
      </w:r>
      <w:r w:rsidR="00147541" w:rsidRPr="003C6BDC">
        <w:rPr>
          <w:rFonts w:asciiTheme="minorHAnsi" w:hAnsiTheme="minorHAnsi" w:cstheme="minorHAnsi"/>
          <w:szCs w:val="22"/>
        </w:rPr>
        <w:t xml:space="preserve"> </w:t>
      </w:r>
      <w:r w:rsidR="0076254F" w:rsidRPr="003C6BDC">
        <w:rPr>
          <w:rFonts w:asciiTheme="minorHAnsi" w:hAnsiTheme="minorHAnsi" w:cstheme="minorHAnsi"/>
          <w:szCs w:val="22"/>
        </w:rPr>
        <w:t>Booz Allen</w:t>
      </w:r>
      <w:r w:rsidR="00147541" w:rsidRPr="003C6BDC">
        <w:rPr>
          <w:rFonts w:asciiTheme="minorHAnsi" w:hAnsiTheme="minorHAnsi" w:cstheme="minorHAnsi"/>
          <w:szCs w:val="22"/>
        </w:rPr>
        <w:t xml:space="preserve"> </w:t>
      </w:r>
      <w:r w:rsidR="00825FA3" w:rsidRPr="003C6BDC">
        <w:rPr>
          <w:rFonts w:asciiTheme="minorHAnsi" w:hAnsiTheme="minorHAnsi" w:cstheme="minorHAnsi"/>
          <w:szCs w:val="22"/>
        </w:rPr>
        <w:t>modelers and analysts</w:t>
      </w:r>
      <w:r w:rsidR="00147541" w:rsidRPr="003C6BDC">
        <w:rPr>
          <w:rFonts w:asciiTheme="minorHAnsi" w:hAnsiTheme="minorHAnsi" w:cstheme="minorHAnsi"/>
          <w:szCs w:val="22"/>
        </w:rPr>
        <w:t xml:space="preserve"> </w:t>
      </w:r>
      <w:r w:rsidR="004C016F">
        <w:rPr>
          <w:rFonts w:asciiTheme="minorHAnsi" w:hAnsiTheme="minorHAnsi" w:cstheme="minorHAnsi"/>
          <w:szCs w:val="22"/>
        </w:rPr>
        <w:t xml:space="preserve">along with another system dynamics SME </w:t>
      </w:r>
      <w:r w:rsidR="00147541" w:rsidRPr="003C6BDC">
        <w:rPr>
          <w:rFonts w:asciiTheme="minorHAnsi" w:hAnsiTheme="minorHAnsi" w:cstheme="minorHAnsi"/>
          <w:szCs w:val="22"/>
        </w:rPr>
        <w:t>reviewed model v</w:t>
      </w:r>
      <w:r w:rsidR="00814A28">
        <w:rPr>
          <w:rFonts w:asciiTheme="minorHAnsi" w:hAnsiTheme="minorHAnsi" w:cstheme="minorHAnsi"/>
          <w:szCs w:val="22"/>
        </w:rPr>
        <w:t>831</w:t>
      </w:r>
      <w:r w:rsidR="00AA7A52">
        <w:rPr>
          <w:rFonts w:asciiTheme="minorHAnsi" w:hAnsiTheme="minorHAnsi" w:cstheme="minorHAnsi"/>
          <w:szCs w:val="22"/>
        </w:rPr>
        <w:t xml:space="preserve"> and documented findings and recommendations in the </w:t>
      </w:r>
      <w:hyperlink r:id="rId22" w:history="1">
        <w:r w:rsidR="00AA7A52" w:rsidRPr="003B2138">
          <w:rPr>
            <w:rStyle w:val="Hyperlink"/>
            <w:rFonts w:asciiTheme="minorHAnsi" w:hAnsiTheme="minorHAnsi" w:cstheme="minorHAnsi"/>
            <w:szCs w:val="22"/>
          </w:rPr>
          <w:t>Final Validation Part 1 Report</w:t>
        </w:r>
      </w:hyperlink>
      <w:r w:rsidR="00814A28">
        <w:rPr>
          <w:rFonts w:asciiTheme="minorHAnsi" w:hAnsiTheme="minorHAnsi" w:cstheme="minorHAnsi"/>
          <w:szCs w:val="22"/>
        </w:rPr>
        <w:t xml:space="preserve">. </w:t>
      </w:r>
      <w:r w:rsidR="0068588E">
        <w:rPr>
          <w:szCs w:val="22"/>
        </w:rPr>
        <w:t xml:space="preserve">For Final Validation Part 2, </w:t>
      </w:r>
      <w:r w:rsidR="00B6712C">
        <w:rPr>
          <w:szCs w:val="22"/>
        </w:rPr>
        <w:t>the Validation Team</w:t>
      </w:r>
      <w:r w:rsidRPr="003C6BDC">
        <w:rPr>
          <w:szCs w:val="22"/>
        </w:rPr>
        <w:t xml:space="preserve"> evaluated </w:t>
      </w:r>
      <w:r w:rsidR="00904C84">
        <w:rPr>
          <w:szCs w:val="22"/>
        </w:rPr>
        <w:t>v1110 of the</w:t>
      </w:r>
      <w:r w:rsidR="00904C84" w:rsidRPr="003C6BDC">
        <w:rPr>
          <w:szCs w:val="22"/>
        </w:rPr>
        <w:t xml:space="preserve"> </w:t>
      </w:r>
      <w:r w:rsidRPr="003C6BDC">
        <w:rPr>
          <w:szCs w:val="22"/>
        </w:rPr>
        <w:t xml:space="preserve">model </w:t>
      </w:r>
      <w:r w:rsidR="009A2598" w:rsidRPr="003C6BDC">
        <w:rPr>
          <w:szCs w:val="22"/>
        </w:rPr>
        <w:t xml:space="preserve">to: </w:t>
      </w:r>
      <w:r w:rsidR="009D058A" w:rsidRPr="006951CD">
        <w:rPr>
          <w:szCs w:val="22"/>
        </w:rPr>
        <w:t>1) review and verify updates resulting from Final Validation Part 1 feedback; 2) verify technical documentation is complete and accurate; 3) certify the model adheres to sounds modeling principals; and 4) provide an un-biased evaluation of the model’s readiness to be used in FDA decision-</w:t>
      </w:r>
      <w:r w:rsidR="009D058A" w:rsidRPr="009D058A">
        <w:rPr>
          <w:szCs w:val="22"/>
        </w:rPr>
        <w:t>making</w:t>
      </w:r>
      <w:r w:rsidR="008F50E5" w:rsidRPr="009D058A">
        <w:rPr>
          <w:szCs w:val="22"/>
        </w:rPr>
        <w:t>.</w:t>
      </w:r>
      <w:r w:rsidR="001600B8" w:rsidRPr="009D058A" w:rsidDel="001600B8">
        <w:rPr>
          <w:szCs w:val="22"/>
        </w:rPr>
        <w:t xml:space="preserve"> </w:t>
      </w:r>
      <w:r w:rsidRPr="009D058A">
        <w:rPr>
          <w:szCs w:val="22"/>
        </w:rPr>
        <w:t>We</w:t>
      </w:r>
      <w:r w:rsidRPr="003C6BDC">
        <w:rPr>
          <w:szCs w:val="22"/>
        </w:rPr>
        <w:t xml:space="preserve"> present the following sections in this </w:t>
      </w:r>
      <w:r w:rsidR="00F65376">
        <w:rPr>
          <w:szCs w:val="22"/>
        </w:rPr>
        <w:t>document:</w:t>
      </w:r>
    </w:p>
    <w:bookmarkStart w:id="16" w:name="_Review_of_Harvard"/>
    <w:bookmarkStart w:id="17" w:name="_Constraints_and_Limitations"/>
    <w:bookmarkStart w:id="18" w:name="_Toc51849679"/>
    <w:bookmarkStart w:id="19" w:name="_Toc52396002"/>
    <w:bookmarkEnd w:id="16"/>
    <w:bookmarkEnd w:id="17"/>
    <w:p w14:paraId="3D884D17" w14:textId="30E603D5" w:rsidR="0027123A" w:rsidRPr="0027123A" w:rsidRDefault="00422E75" w:rsidP="00C07103">
      <w:pPr>
        <w:pStyle w:val="ListParagraph"/>
        <w:numPr>
          <w:ilvl w:val="0"/>
          <w:numId w:val="9"/>
        </w:numPr>
      </w:pPr>
      <w:r>
        <w:fldChar w:fldCharType="begin"/>
      </w:r>
      <w:r w:rsidR="00E65B56">
        <w:instrText>HYPERLINK  \l "_Constraints_and_Limitations_1"</w:instrText>
      </w:r>
      <w:r>
        <w:fldChar w:fldCharType="separate"/>
      </w:r>
      <w:r w:rsidR="00E65B56">
        <w:rPr>
          <w:rStyle w:val="Hyperlink"/>
        </w:rPr>
        <w:t>Validation Constraints and Limitations</w:t>
      </w:r>
      <w:r>
        <w:rPr>
          <w:rStyle w:val="Hyperlink"/>
        </w:rPr>
        <w:fldChar w:fldCharType="end"/>
      </w:r>
    </w:p>
    <w:p w14:paraId="31023B9B" w14:textId="26A911F6" w:rsidR="0027123A" w:rsidRPr="0027123A" w:rsidRDefault="004C016F" w:rsidP="00C07103">
      <w:pPr>
        <w:pStyle w:val="ListParagraph"/>
        <w:numPr>
          <w:ilvl w:val="0"/>
          <w:numId w:val="9"/>
        </w:numPr>
      </w:pPr>
      <w:hyperlink w:anchor="_Materials_Validation" w:history="1">
        <w:r w:rsidR="0027123A" w:rsidRPr="0027123A">
          <w:rPr>
            <w:rStyle w:val="Hyperlink"/>
          </w:rPr>
          <w:t>Materials Validation</w:t>
        </w:r>
      </w:hyperlink>
    </w:p>
    <w:p w14:paraId="3DB58865" w14:textId="6A22263E" w:rsidR="0027123A" w:rsidRPr="0027123A" w:rsidRDefault="004C016F" w:rsidP="00C07103">
      <w:pPr>
        <w:pStyle w:val="ListParagraph"/>
        <w:numPr>
          <w:ilvl w:val="0"/>
          <w:numId w:val="9"/>
        </w:numPr>
      </w:pPr>
      <w:hyperlink w:anchor="_Validation_by_Section" w:history="1">
        <w:r w:rsidR="0027123A" w:rsidRPr="0027123A">
          <w:rPr>
            <w:rStyle w:val="Hyperlink"/>
          </w:rPr>
          <w:t>Review of Harvard Grant Team Responses to Model Verification #2</w:t>
        </w:r>
      </w:hyperlink>
    </w:p>
    <w:p w14:paraId="783E516C" w14:textId="5E9746A4" w:rsidR="0027123A" w:rsidRPr="0027123A" w:rsidRDefault="004C016F" w:rsidP="00C07103">
      <w:pPr>
        <w:pStyle w:val="ListParagraph"/>
        <w:numPr>
          <w:ilvl w:val="0"/>
          <w:numId w:val="9"/>
        </w:numPr>
      </w:pPr>
      <w:hyperlink w:anchor="_Validation_by_Section_1" w:history="1">
        <w:r w:rsidR="0027123A">
          <w:rPr>
            <w:rStyle w:val="Hyperlink"/>
          </w:rPr>
          <w:t>Review of Harvard Grant Team Responses to Final Validation Part 1</w:t>
        </w:r>
      </w:hyperlink>
    </w:p>
    <w:p w14:paraId="09C6880F" w14:textId="66561B1D" w:rsidR="0027123A" w:rsidRPr="0027123A" w:rsidRDefault="004C016F" w:rsidP="00C07103">
      <w:pPr>
        <w:pStyle w:val="ListParagraph"/>
        <w:numPr>
          <w:ilvl w:val="0"/>
          <w:numId w:val="9"/>
        </w:numPr>
      </w:pPr>
      <w:hyperlink w:anchor="_Policy_Validation" w:history="1">
        <w:r w:rsidR="0027123A" w:rsidRPr="0027123A">
          <w:rPr>
            <w:rStyle w:val="Hyperlink"/>
          </w:rPr>
          <w:t>Policy Validation</w:t>
        </w:r>
      </w:hyperlink>
    </w:p>
    <w:p w14:paraId="205E699D" w14:textId="06368DBF" w:rsidR="0027123A" w:rsidRPr="0027123A" w:rsidRDefault="004C016F" w:rsidP="00C07103">
      <w:pPr>
        <w:pStyle w:val="ListParagraph"/>
        <w:numPr>
          <w:ilvl w:val="0"/>
          <w:numId w:val="9"/>
        </w:numPr>
      </w:pPr>
      <w:hyperlink w:anchor="_Conclusion_1" w:history="1">
        <w:r w:rsidR="0027123A" w:rsidRPr="0027123A">
          <w:rPr>
            <w:rStyle w:val="Hyperlink"/>
          </w:rPr>
          <w:t>Model Comparator</w:t>
        </w:r>
      </w:hyperlink>
    </w:p>
    <w:p w14:paraId="61066E6C" w14:textId="2D597A35" w:rsidR="0027123A" w:rsidRPr="0027123A" w:rsidRDefault="004C016F" w:rsidP="00C07103">
      <w:pPr>
        <w:pStyle w:val="ListParagraph"/>
        <w:numPr>
          <w:ilvl w:val="0"/>
          <w:numId w:val="9"/>
        </w:numPr>
      </w:pPr>
      <w:hyperlink w:anchor="_Conclusion_2" w:history="1">
        <w:r w:rsidR="0027123A" w:rsidRPr="0027123A">
          <w:rPr>
            <w:rStyle w:val="Hyperlink"/>
          </w:rPr>
          <w:t>Conclusion</w:t>
        </w:r>
      </w:hyperlink>
    </w:p>
    <w:p w14:paraId="17D9B20D" w14:textId="77777777" w:rsidR="00E2698D" w:rsidRDefault="00E2698D" w:rsidP="00E2698D">
      <w:pPr>
        <w:pStyle w:val="Heading1"/>
      </w:pPr>
      <w:bookmarkStart w:id="20" w:name="_Constraints_and_Limitations_1"/>
      <w:bookmarkStart w:id="21" w:name="_Toc59050071"/>
      <w:bookmarkEnd w:id="20"/>
      <w:r>
        <w:t>Constraints and Limitations</w:t>
      </w:r>
      <w:bookmarkEnd w:id="18"/>
      <w:bookmarkEnd w:id="19"/>
      <w:bookmarkEnd w:id="21"/>
    </w:p>
    <w:p w14:paraId="1590682E" w14:textId="13CAADF2" w:rsidR="00E2698D" w:rsidRPr="00D921A3" w:rsidRDefault="00E2698D" w:rsidP="00E2698D">
      <w:r w:rsidRPr="00D921A3">
        <w:t xml:space="preserve">System dynamics model validation can be limited by the nature of the modeling itself which allows for a range of approaches (Homer 2019). The absence of a standardized system dynamics modeling approach and prescriptive validation process can make it challenging to compare validation findings between different versions of a model. We attempted to address this by following our </w:t>
      </w:r>
      <w:hyperlink r:id="rId23" w:history="1">
        <w:r w:rsidRPr="00AB6D21">
          <w:rPr>
            <w:rStyle w:val="Hyperlink"/>
          </w:rPr>
          <w:t>Validation Plan</w:t>
        </w:r>
      </w:hyperlink>
      <w:r w:rsidRPr="00D921A3">
        <w:t>, which provided a systematic, reproducible, and adaptable model validation framework.</w:t>
      </w:r>
    </w:p>
    <w:p w14:paraId="4CB2C912" w14:textId="77777777" w:rsidR="00013D67" w:rsidRDefault="00E2698D" w:rsidP="00E2698D">
      <w:r w:rsidRPr="00D921A3">
        <w:t xml:space="preserve">While there are many ways to validate a model, the Validation Plan focuses on the most relevant validation activities and tests as highlighted by the literature (Department of Defense 2018; </w:t>
      </w:r>
      <w:proofErr w:type="spellStart"/>
      <w:r w:rsidRPr="00D921A3">
        <w:t>Sterman</w:t>
      </w:r>
      <w:proofErr w:type="spellEnd"/>
      <w:r w:rsidRPr="00D921A3">
        <w:t xml:space="preserve"> 2000). Select tests and standards require judgment from SMEs. SME judgement is necessary where there is no standard test or metric described in the literature to assess appropriateness or reasonableness for a component of the model. </w:t>
      </w:r>
    </w:p>
    <w:p w14:paraId="7C6A88ED" w14:textId="69CF2F07" w:rsidR="00E2698D" w:rsidRPr="0060106F" w:rsidRDefault="00E2698D" w:rsidP="00E2698D">
      <w:pPr>
        <w:rPr>
          <w:rFonts w:eastAsia="Times New Roman" w:cs="Calibri"/>
        </w:rPr>
      </w:pPr>
      <w:r w:rsidRPr="0061128F">
        <w:rPr>
          <w:rStyle w:val="normaltextrun"/>
          <w:szCs w:val="22"/>
        </w:rPr>
        <w:t xml:space="preserve">To make </w:t>
      </w:r>
      <w:r w:rsidRPr="0060106F">
        <w:rPr>
          <w:rStyle w:val="normaltextrun"/>
          <w:szCs w:val="22"/>
        </w:rPr>
        <w:t xml:space="preserve">efficient use of resources while providing an impactful validation, </w:t>
      </w:r>
      <w:r w:rsidR="00D921A3" w:rsidRPr="0060106F">
        <w:rPr>
          <w:rStyle w:val="normaltextrun"/>
          <w:szCs w:val="22"/>
        </w:rPr>
        <w:t xml:space="preserve">Part </w:t>
      </w:r>
      <w:r w:rsidR="0060106F" w:rsidRPr="0060106F">
        <w:rPr>
          <w:rStyle w:val="normaltextrun"/>
          <w:szCs w:val="22"/>
        </w:rPr>
        <w:t>2</w:t>
      </w:r>
      <w:r w:rsidR="00D921A3" w:rsidRPr="00A52F87">
        <w:rPr>
          <w:rStyle w:val="normaltextrun"/>
          <w:szCs w:val="22"/>
        </w:rPr>
        <w:t xml:space="preserve"> of th</w:t>
      </w:r>
      <w:r w:rsidR="00D921A3" w:rsidRPr="00737AC1">
        <w:rPr>
          <w:rStyle w:val="normaltextrun"/>
          <w:szCs w:val="22"/>
        </w:rPr>
        <w:t xml:space="preserve">e </w:t>
      </w:r>
      <w:r w:rsidR="003E3F61" w:rsidRPr="00737AC1">
        <w:rPr>
          <w:rStyle w:val="normaltextrun"/>
          <w:szCs w:val="22"/>
        </w:rPr>
        <w:t>Final Validation</w:t>
      </w:r>
      <w:r w:rsidRPr="0060106F">
        <w:rPr>
          <w:rFonts w:eastAsia="Times New Roman" w:cs="Calibri"/>
        </w:rPr>
        <w:t xml:space="preserve"> is not </w:t>
      </w:r>
      <w:r w:rsidR="000A17F3" w:rsidRPr="0060106F">
        <w:rPr>
          <w:rFonts w:eastAsia="Times New Roman" w:cs="Calibri"/>
        </w:rPr>
        <w:t>exhaustive</w:t>
      </w:r>
      <w:r w:rsidRPr="0060106F">
        <w:rPr>
          <w:rFonts w:eastAsia="Times New Roman" w:cs="Calibri"/>
        </w:rPr>
        <w:t xml:space="preserve"> (</w:t>
      </w:r>
      <w:r w:rsidR="009D36A2" w:rsidRPr="0060106F">
        <w:rPr>
          <w:rFonts w:eastAsia="Times New Roman" w:cs="Calibri"/>
        </w:rPr>
        <w:t>i.e</w:t>
      </w:r>
      <w:r w:rsidRPr="0060106F">
        <w:rPr>
          <w:rFonts w:eastAsia="Times New Roman" w:cs="Calibri"/>
        </w:rPr>
        <w:t xml:space="preserve">., we did not review every single </w:t>
      </w:r>
      <w:r w:rsidR="00366136">
        <w:rPr>
          <w:rFonts w:eastAsia="Times New Roman" w:cs="Calibri"/>
        </w:rPr>
        <w:t>policy lever</w:t>
      </w:r>
      <w:r w:rsidR="00366136" w:rsidRPr="0060106F">
        <w:rPr>
          <w:rFonts w:eastAsia="Times New Roman" w:cs="Calibri"/>
        </w:rPr>
        <w:t xml:space="preserve"> </w:t>
      </w:r>
      <w:r w:rsidRPr="0060106F">
        <w:rPr>
          <w:rFonts w:eastAsia="Times New Roman" w:cs="Calibri"/>
        </w:rPr>
        <w:t xml:space="preserve">in the model). However, the validation was thorough, and there are sufficient findings to </w:t>
      </w:r>
      <w:r w:rsidR="00EA7C98" w:rsidRPr="0060106F">
        <w:rPr>
          <w:rFonts w:eastAsia="Times New Roman" w:cs="Calibri"/>
        </w:rPr>
        <w:t>substantiate</w:t>
      </w:r>
      <w:r w:rsidR="00A87C9B" w:rsidRPr="0060106F">
        <w:rPr>
          <w:rFonts w:eastAsia="Times New Roman" w:cs="Calibri"/>
        </w:rPr>
        <w:t xml:space="preserve"> </w:t>
      </w:r>
      <w:r w:rsidRPr="0060106F">
        <w:rPr>
          <w:rFonts w:eastAsia="Times New Roman" w:cs="Calibri"/>
        </w:rPr>
        <w:t>a strong base model.</w:t>
      </w:r>
    </w:p>
    <w:p w14:paraId="1E13E57C" w14:textId="6148376B" w:rsidR="00E2698D" w:rsidRPr="0060106F" w:rsidRDefault="008B42E7" w:rsidP="00E2698D">
      <w:r w:rsidRPr="0060106F">
        <w:t>We outline the constraints</w:t>
      </w:r>
      <w:r w:rsidR="00E85EF7" w:rsidRPr="0060106F">
        <w:t xml:space="preserve"> and limitations of the report below:</w:t>
      </w:r>
    </w:p>
    <w:p w14:paraId="3539D588" w14:textId="02FBDE8B" w:rsidR="00A52F87" w:rsidRPr="00737AC1" w:rsidRDefault="00A52F87" w:rsidP="00D01180">
      <w:pPr>
        <w:pStyle w:val="paragraph"/>
        <w:numPr>
          <w:ilvl w:val="0"/>
          <w:numId w:val="29"/>
        </w:numPr>
        <w:spacing w:before="0" w:beforeAutospacing="0" w:after="0" w:afterAutospacing="0"/>
        <w:textAlignment w:val="baseline"/>
        <w:rPr>
          <w:rFonts w:ascii="Calibri" w:hAnsi="Calibri" w:cs="Calibri"/>
          <w:sz w:val="22"/>
          <w:szCs w:val="22"/>
        </w:rPr>
      </w:pPr>
      <w:r w:rsidRPr="00737AC1">
        <w:rPr>
          <w:rFonts w:asciiTheme="minorHAnsi" w:eastAsiaTheme="minorHAnsi" w:hAnsiTheme="minorHAnsi" w:cstheme="minorBidi"/>
          <w:b/>
          <w:sz w:val="22"/>
          <w:szCs w:val="22"/>
          <w:lang w:eastAsia="en-US"/>
        </w:rPr>
        <w:t>Validation P</w:t>
      </w:r>
      <w:r w:rsidR="005D02D8" w:rsidRPr="00737AC1">
        <w:rPr>
          <w:rFonts w:asciiTheme="minorHAnsi" w:eastAsiaTheme="minorHAnsi" w:hAnsiTheme="minorHAnsi" w:cstheme="minorBidi"/>
          <w:b/>
          <w:sz w:val="22"/>
          <w:szCs w:val="22"/>
          <w:lang w:eastAsia="en-US"/>
        </w:rPr>
        <w:t>rocess</w:t>
      </w:r>
      <w:r w:rsidR="005D02D8">
        <w:t xml:space="preserve"> </w:t>
      </w:r>
      <w:r w:rsidR="005D02D8" w:rsidRPr="00737AC1">
        <w:rPr>
          <w:b/>
          <w:bCs/>
        </w:rPr>
        <w:t>-</w:t>
      </w:r>
      <w:r w:rsidR="005D02D8">
        <w:t xml:space="preserve"> </w:t>
      </w:r>
      <w:r w:rsidR="005D02D8" w:rsidRPr="00175ACC">
        <w:rPr>
          <w:rStyle w:val="normaltextrun"/>
          <w:rFonts w:ascii="Calibri" w:hAnsi="Calibri" w:cs="Calibri"/>
          <w:sz w:val="22"/>
          <w:szCs w:val="22"/>
        </w:rPr>
        <w:t>This is the first time FDA has implemented a</w:t>
      </w:r>
      <w:r w:rsidR="007E1542">
        <w:rPr>
          <w:rStyle w:val="normaltextrun"/>
          <w:rFonts w:ascii="Calibri" w:hAnsi="Calibri" w:cs="Calibri"/>
          <w:sz w:val="22"/>
          <w:szCs w:val="22"/>
        </w:rPr>
        <w:t>n</w:t>
      </w:r>
      <w:r w:rsidR="005D02D8" w:rsidRPr="00175ACC">
        <w:rPr>
          <w:rStyle w:val="normaltextrun"/>
          <w:rFonts w:ascii="Calibri" w:hAnsi="Calibri" w:cs="Calibri"/>
          <w:sz w:val="22"/>
          <w:szCs w:val="22"/>
        </w:rPr>
        <w:t xml:space="preserve"> </w:t>
      </w:r>
      <w:r w:rsidR="00447414">
        <w:rPr>
          <w:rStyle w:val="normaltextrun"/>
          <w:rFonts w:ascii="Calibri" w:hAnsi="Calibri" w:cs="Calibri"/>
          <w:sz w:val="22"/>
          <w:szCs w:val="22"/>
        </w:rPr>
        <w:t xml:space="preserve">opioid </w:t>
      </w:r>
      <w:r w:rsidR="005D02D8" w:rsidRPr="00175ACC">
        <w:rPr>
          <w:rStyle w:val="normaltextrun"/>
          <w:rFonts w:ascii="Calibri" w:hAnsi="Calibri" w:cs="Calibri"/>
          <w:sz w:val="22"/>
          <w:szCs w:val="22"/>
        </w:rPr>
        <w:t>system dynamics model for policy analysis</w:t>
      </w:r>
      <w:r w:rsidR="005D02D8">
        <w:rPr>
          <w:rStyle w:val="normaltextrun"/>
          <w:rFonts w:ascii="Calibri" w:hAnsi="Calibri" w:cs="Calibri"/>
          <w:sz w:val="22"/>
          <w:szCs w:val="22"/>
        </w:rPr>
        <w:t xml:space="preserve"> which limited the </w:t>
      </w:r>
      <w:r w:rsidR="00734AA0">
        <w:rPr>
          <w:rStyle w:val="normaltextrun"/>
          <w:rFonts w:ascii="Calibri" w:hAnsi="Calibri" w:cs="Calibri"/>
          <w:sz w:val="22"/>
          <w:szCs w:val="22"/>
        </w:rPr>
        <w:t>V</w:t>
      </w:r>
      <w:r w:rsidR="005D02D8">
        <w:rPr>
          <w:rStyle w:val="normaltextrun"/>
          <w:rFonts w:ascii="Calibri" w:hAnsi="Calibri" w:cs="Calibri"/>
          <w:sz w:val="22"/>
          <w:szCs w:val="22"/>
        </w:rPr>
        <w:t xml:space="preserve">alidation </w:t>
      </w:r>
      <w:r w:rsidR="00734AA0">
        <w:rPr>
          <w:rStyle w:val="normaltextrun"/>
          <w:rFonts w:ascii="Calibri" w:hAnsi="Calibri" w:cs="Calibri"/>
          <w:sz w:val="22"/>
          <w:szCs w:val="22"/>
        </w:rPr>
        <w:t>T</w:t>
      </w:r>
      <w:r w:rsidR="005D02D8">
        <w:rPr>
          <w:rStyle w:val="normaltextrun"/>
          <w:rFonts w:ascii="Calibri" w:hAnsi="Calibri" w:cs="Calibri"/>
          <w:sz w:val="22"/>
          <w:szCs w:val="22"/>
        </w:rPr>
        <w:t xml:space="preserve">eam in </w:t>
      </w:r>
      <w:proofErr w:type="gramStart"/>
      <w:r w:rsidR="005D02D8">
        <w:rPr>
          <w:rStyle w:val="normaltextrun"/>
          <w:rFonts w:ascii="Calibri" w:hAnsi="Calibri" w:cs="Calibri"/>
          <w:sz w:val="22"/>
          <w:szCs w:val="22"/>
        </w:rPr>
        <w:t>comparing and contrasting</w:t>
      </w:r>
      <w:proofErr w:type="gramEnd"/>
      <w:r w:rsidR="005D02D8">
        <w:rPr>
          <w:rStyle w:val="normaltextrun"/>
          <w:rFonts w:ascii="Calibri" w:hAnsi="Calibri" w:cs="Calibri"/>
          <w:sz w:val="22"/>
          <w:szCs w:val="22"/>
        </w:rPr>
        <w:t xml:space="preserve"> the results of all the performed tests with other preexist</w:t>
      </w:r>
      <w:r w:rsidR="00326058">
        <w:rPr>
          <w:rStyle w:val="normaltextrun"/>
          <w:rFonts w:ascii="Calibri" w:hAnsi="Calibri" w:cs="Calibri"/>
          <w:sz w:val="22"/>
          <w:szCs w:val="22"/>
        </w:rPr>
        <w:t>ing</w:t>
      </w:r>
      <w:r w:rsidR="005D02D8">
        <w:rPr>
          <w:rStyle w:val="normaltextrun"/>
          <w:rFonts w:ascii="Calibri" w:hAnsi="Calibri" w:cs="Calibri"/>
          <w:sz w:val="22"/>
          <w:szCs w:val="22"/>
        </w:rPr>
        <w:t xml:space="preserve"> results or studies.</w:t>
      </w:r>
      <w:r w:rsidR="005D02D8" w:rsidRPr="00175ACC">
        <w:rPr>
          <w:rStyle w:val="normaltextrun"/>
          <w:rFonts w:ascii="Calibri" w:hAnsi="Calibri" w:cs="Calibri"/>
          <w:sz w:val="22"/>
          <w:szCs w:val="22"/>
        </w:rPr>
        <w:t xml:space="preserve"> Instead, the team conduct</w:t>
      </w:r>
      <w:r w:rsidR="001C4E55">
        <w:rPr>
          <w:rStyle w:val="normaltextrun"/>
          <w:rFonts w:ascii="Calibri" w:hAnsi="Calibri" w:cs="Calibri"/>
          <w:sz w:val="22"/>
          <w:szCs w:val="22"/>
        </w:rPr>
        <w:t>ed</w:t>
      </w:r>
      <w:r w:rsidR="005D02D8" w:rsidRPr="00175ACC">
        <w:rPr>
          <w:rStyle w:val="normaltextrun"/>
          <w:rFonts w:ascii="Calibri" w:hAnsi="Calibri" w:cs="Calibri"/>
          <w:sz w:val="22"/>
          <w:szCs w:val="22"/>
        </w:rPr>
        <w:t xml:space="preserve"> </w:t>
      </w:r>
      <w:r w:rsidR="00E1323D">
        <w:rPr>
          <w:rStyle w:val="normaltextrun"/>
          <w:rFonts w:ascii="Calibri" w:hAnsi="Calibri" w:cs="Calibri"/>
          <w:sz w:val="22"/>
          <w:szCs w:val="22"/>
        </w:rPr>
        <w:t xml:space="preserve">qualitative and </w:t>
      </w:r>
      <w:r w:rsidR="003455F4">
        <w:rPr>
          <w:rStyle w:val="normaltextrun"/>
          <w:rFonts w:ascii="Calibri" w:hAnsi="Calibri" w:cs="Calibri"/>
          <w:sz w:val="22"/>
          <w:szCs w:val="22"/>
        </w:rPr>
        <w:t xml:space="preserve">quantitative </w:t>
      </w:r>
      <w:r w:rsidR="005D02D8" w:rsidRPr="00175ACC">
        <w:rPr>
          <w:rStyle w:val="normaltextrun"/>
          <w:rFonts w:ascii="Calibri" w:hAnsi="Calibri" w:cs="Calibri"/>
          <w:sz w:val="22"/>
          <w:szCs w:val="22"/>
        </w:rPr>
        <w:t xml:space="preserve">use case testing that </w:t>
      </w:r>
      <w:r w:rsidR="007E1542">
        <w:rPr>
          <w:rStyle w:val="normaltextrun"/>
          <w:rFonts w:ascii="Calibri" w:hAnsi="Calibri" w:cs="Calibri"/>
          <w:sz w:val="22"/>
          <w:szCs w:val="22"/>
        </w:rPr>
        <w:t>was</w:t>
      </w:r>
      <w:r w:rsidR="005D02D8" w:rsidRPr="00175ACC">
        <w:rPr>
          <w:rStyle w:val="normaltextrun"/>
          <w:rFonts w:ascii="Calibri" w:hAnsi="Calibri" w:cs="Calibri"/>
          <w:sz w:val="22"/>
          <w:szCs w:val="22"/>
        </w:rPr>
        <w:t xml:space="preserve"> informed by previous interviews with FDA stakeholders and scenarios tested in the </w:t>
      </w:r>
      <w:r w:rsidR="007E1542">
        <w:rPr>
          <w:rStyle w:val="normaltextrun"/>
          <w:rFonts w:ascii="Calibri" w:hAnsi="Calibri" w:cs="Calibri"/>
          <w:sz w:val="22"/>
          <w:szCs w:val="22"/>
        </w:rPr>
        <w:t>HWM</w:t>
      </w:r>
      <w:r w:rsidR="005D02D8">
        <w:rPr>
          <w:rStyle w:val="normaltextrun"/>
          <w:rFonts w:ascii="Calibri" w:hAnsi="Calibri" w:cs="Calibri"/>
          <w:sz w:val="22"/>
          <w:szCs w:val="22"/>
        </w:rPr>
        <w:t xml:space="preserve">. For </w:t>
      </w:r>
      <w:r w:rsidR="005404BC">
        <w:rPr>
          <w:rStyle w:val="normaltextrun"/>
          <w:rFonts w:ascii="Calibri" w:hAnsi="Calibri" w:cs="Calibri"/>
          <w:sz w:val="22"/>
          <w:szCs w:val="22"/>
        </w:rPr>
        <w:t>p</w:t>
      </w:r>
      <w:r w:rsidR="005D02D8">
        <w:rPr>
          <w:rStyle w:val="normaltextrun"/>
          <w:rFonts w:ascii="Calibri" w:hAnsi="Calibri" w:cs="Calibri"/>
          <w:sz w:val="22"/>
          <w:szCs w:val="22"/>
        </w:rPr>
        <w:t>olicy validation tests, we focused on</w:t>
      </w:r>
      <w:r w:rsidR="005404BC">
        <w:rPr>
          <w:rStyle w:val="normaltextrun"/>
          <w:rFonts w:ascii="Calibri" w:hAnsi="Calibri" w:cs="Calibri"/>
          <w:sz w:val="22"/>
          <w:szCs w:val="22"/>
        </w:rPr>
        <w:t xml:space="preserve"> </w:t>
      </w:r>
      <w:r w:rsidR="005D02D8">
        <w:rPr>
          <w:rStyle w:val="normaltextrun"/>
          <w:rFonts w:ascii="Calibri" w:hAnsi="Calibri" w:cs="Calibri"/>
          <w:sz w:val="22"/>
          <w:szCs w:val="22"/>
        </w:rPr>
        <w:t>interventions related to increasing naloxone (Nx) availability and treatment (Tx) expansion. We also performed tests including the combination</w:t>
      </w:r>
      <w:r w:rsidR="00833F48">
        <w:rPr>
          <w:rStyle w:val="normaltextrun"/>
          <w:rFonts w:ascii="Calibri" w:hAnsi="Calibri" w:cs="Calibri"/>
          <w:sz w:val="22"/>
          <w:szCs w:val="22"/>
        </w:rPr>
        <w:t>s</w:t>
      </w:r>
      <w:r w:rsidR="005D02D8">
        <w:rPr>
          <w:rStyle w:val="normaltextrun"/>
          <w:rFonts w:ascii="Calibri" w:hAnsi="Calibri" w:cs="Calibri"/>
          <w:sz w:val="22"/>
          <w:szCs w:val="22"/>
        </w:rPr>
        <w:t xml:space="preserve"> of these two policies. </w:t>
      </w:r>
    </w:p>
    <w:p w14:paraId="039A713C" w14:textId="4913E1A9" w:rsidR="00E2698D" w:rsidRPr="00B9023D" w:rsidRDefault="00E2698D" w:rsidP="00C07103">
      <w:pPr>
        <w:pStyle w:val="ListParagraph"/>
        <w:numPr>
          <w:ilvl w:val="0"/>
          <w:numId w:val="8"/>
        </w:numPr>
      </w:pPr>
      <w:r w:rsidRPr="00B9023D">
        <w:rPr>
          <w:b/>
        </w:rPr>
        <w:lastRenderedPageBreak/>
        <w:t xml:space="preserve">Validation </w:t>
      </w:r>
      <w:r w:rsidR="001257C4">
        <w:rPr>
          <w:b/>
        </w:rPr>
        <w:t>F</w:t>
      </w:r>
      <w:r w:rsidRPr="00B9023D">
        <w:rPr>
          <w:b/>
        </w:rPr>
        <w:t xml:space="preserve">indings </w:t>
      </w:r>
      <w:r w:rsidR="0038464A" w:rsidRPr="00B9023D">
        <w:t>-</w:t>
      </w:r>
      <w:r w:rsidRPr="00B9023D">
        <w:t xml:space="preserve"> The </w:t>
      </w:r>
      <w:r w:rsidR="0055478F" w:rsidRPr="00B9023D">
        <w:t>Final</w:t>
      </w:r>
      <w:r w:rsidRPr="00B9023D">
        <w:t xml:space="preserve"> Validation </w:t>
      </w:r>
      <w:r w:rsidR="00833F48">
        <w:t xml:space="preserve">Part 2 </w:t>
      </w:r>
      <w:r w:rsidR="00EC78BA">
        <w:t>R</w:t>
      </w:r>
      <w:r w:rsidR="00833F48">
        <w:t>eport</w:t>
      </w:r>
      <w:r w:rsidR="00F16C2D" w:rsidRPr="00B9023D">
        <w:t xml:space="preserve"> </w:t>
      </w:r>
      <w:r w:rsidRPr="00B9023D">
        <w:t>is only relevant to model v</w:t>
      </w:r>
      <w:r w:rsidR="00A31482" w:rsidRPr="00B9023D">
        <w:t>1110</w:t>
      </w:r>
      <w:r w:rsidRPr="00B9023D">
        <w:t xml:space="preserve">. If model development has progressed </w:t>
      </w:r>
      <w:r w:rsidR="00886184" w:rsidRPr="00B9023D">
        <w:t xml:space="preserve">(e.g., </w:t>
      </w:r>
      <w:r w:rsidR="007948E0" w:rsidRPr="00B9023D">
        <w:t>addition of</w:t>
      </w:r>
      <w:r w:rsidR="00DD7E6D" w:rsidRPr="00B9023D">
        <w:t xml:space="preserve"> </w:t>
      </w:r>
      <w:r w:rsidR="000921A4" w:rsidRPr="00B9023D">
        <w:t>new componen</w:t>
      </w:r>
      <w:r w:rsidR="00566D73" w:rsidRPr="00B9023D">
        <w:t>ts</w:t>
      </w:r>
      <w:r w:rsidR="00C4703C" w:rsidRPr="00B9023D">
        <w:t>,</w:t>
      </w:r>
      <w:r w:rsidR="001F4F14" w:rsidRPr="00B9023D">
        <w:t xml:space="preserve"> chang</w:t>
      </w:r>
      <w:r w:rsidR="007948E0" w:rsidRPr="00B9023D">
        <w:t>ing</w:t>
      </w:r>
      <w:r w:rsidR="001F4F14" w:rsidRPr="00B9023D">
        <w:t xml:space="preserve"> the structure of the </w:t>
      </w:r>
      <w:r w:rsidR="006313DD" w:rsidRPr="00B9023D">
        <w:t xml:space="preserve">current model) </w:t>
      </w:r>
      <w:r w:rsidRPr="00B9023D">
        <w:t xml:space="preserve">since the </w:t>
      </w:r>
      <w:r w:rsidR="00C4703C" w:rsidRPr="00B9023D">
        <w:t>Validation Team</w:t>
      </w:r>
      <w:r w:rsidRPr="00B9023D">
        <w:t xml:space="preserve"> began validation</w:t>
      </w:r>
      <w:r w:rsidR="00DD7373" w:rsidRPr="00B9023D">
        <w:t>,</w:t>
      </w:r>
      <w:r w:rsidRPr="00B9023D">
        <w:t xml:space="preserve"> findings and recommendations may no longer be relevant</w:t>
      </w:r>
      <w:r w:rsidR="0008558C" w:rsidRPr="00B9023D">
        <w:t>.</w:t>
      </w:r>
    </w:p>
    <w:p w14:paraId="6AF3A5BB" w14:textId="3EC379D7" w:rsidR="005E2966" w:rsidRPr="00B9023D" w:rsidRDefault="000F5F48" w:rsidP="00C07103">
      <w:pPr>
        <w:pStyle w:val="ListParagraph"/>
        <w:numPr>
          <w:ilvl w:val="0"/>
          <w:numId w:val="8"/>
        </w:numPr>
      </w:pPr>
      <w:r w:rsidRPr="00B9023D">
        <w:rPr>
          <w:b/>
        </w:rPr>
        <w:t xml:space="preserve">Review of </w:t>
      </w:r>
      <w:r w:rsidR="001257C4">
        <w:rPr>
          <w:b/>
        </w:rPr>
        <w:t>D</w:t>
      </w:r>
      <w:r w:rsidRPr="00B9023D">
        <w:rPr>
          <w:b/>
        </w:rPr>
        <w:t xml:space="preserve">ata </w:t>
      </w:r>
      <w:r w:rsidR="001257C4">
        <w:rPr>
          <w:b/>
        </w:rPr>
        <w:t>P</w:t>
      </w:r>
      <w:r w:rsidRPr="00B9023D">
        <w:rPr>
          <w:b/>
        </w:rPr>
        <w:t xml:space="preserve">rocessing </w:t>
      </w:r>
      <w:r w:rsidR="001257C4">
        <w:rPr>
          <w:b/>
        </w:rPr>
        <w:t>F</w:t>
      </w:r>
      <w:r w:rsidR="00F91F6D" w:rsidRPr="00B9023D">
        <w:rPr>
          <w:b/>
        </w:rPr>
        <w:t>iles</w:t>
      </w:r>
      <w:r w:rsidR="00F91F6D" w:rsidRPr="00B9023D">
        <w:t xml:space="preserve"> </w:t>
      </w:r>
      <w:r w:rsidR="00833F48">
        <w:t>–</w:t>
      </w:r>
      <w:r w:rsidR="00F91F6D" w:rsidRPr="00B9023D">
        <w:t xml:space="preserve"> </w:t>
      </w:r>
      <w:r w:rsidR="00833F48">
        <w:t xml:space="preserve">Final Validation Part 2 </w:t>
      </w:r>
      <w:r w:rsidR="00E552BC">
        <w:t>materials validation</w:t>
      </w:r>
      <w:r w:rsidR="00CC27A7" w:rsidRPr="00B9023D">
        <w:t xml:space="preserve"> focused on </w:t>
      </w:r>
      <w:r w:rsidR="00E552BC">
        <w:rPr>
          <w:bCs/>
        </w:rPr>
        <w:t>verifying that</w:t>
      </w:r>
      <w:r w:rsidR="00BF7EAF" w:rsidRPr="00B9023D">
        <w:rPr>
          <w:bCs/>
        </w:rPr>
        <w:t xml:space="preserve"> </w:t>
      </w:r>
      <w:r w:rsidR="00555FAF" w:rsidRPr="00B9023D">
        <w:rPr>
          <w:bCs/>
        </w:rPr>
        <w:t>documentation</w:t>
      </w:r>
      <w:r w:rsidR="00E552BC">
        <w:rPr>
          <w:bCs/>
        </w:rPr>
        <w:t xml:space="preserve"> necessary for </w:t>
      </w:r>
      <w:r w:rsidR="00555FAF" w:rsidRPr="00B9023D">
        <w:rPr>
          <w:bCs/>
        </w:rPr>
        <w:t>model validation w</w:t>
      </w:r>
      <w:r w:rsidR="00271136">
        <w:rPr>
          <w:bCs/>
        </w:rPr>
        <w:t>as</w:t>
      </w:r>
      <w:r w:rsidR="00555FAF" w:rsidRPr="00B9023D">
        <w:rPr>
          <w:bCs/>
        </w:rPr>
        <w:t xml:space="preserve"> available and complete</w:t>
      </w:r>
      <w:r w:rsidR="00761E96" w:rsidRPr="00B9023D">
        <w:t xml:space="preserve"> rather </w:t>
      </w:r>
      <w:r w:rsidR="000E7362" w:rsidRPr="00B9023D">
        <w:t>than</w:t>
      </w:r>
      <w:r w:rsidR="00D060CA" w:rsidRPr="00B9023D">
        <w:t xml:space="preserve"> reviewing</w:t>
      </w:r>
      <w:r w:rsidR="000E7362" w:rsidRPr="00B9023D">
        <w:t xml:space="preserve"> </w:t>
      </w:r>
      <w:r w:rsidR="00CC430F" w:rsidRPr="00B9023D">
        <w:t xml:space="preserve">supporting documentation </w:t>
      </w:r>
      <w:r w:rsidR="00271136">
        <w:t xml:space="preserve">for </w:t>
      </w:r>
      <w:r w:rsidR="00F86DA5" w:rsidRPr="00B9023D">
        <w:t>how constants in the model were calculated.</w:t>
      </w:r>
      <w:r w:rsidR="00CC27A7" w:rsidRPr="00B9023D">
        <w:t xml:space="preserve"> </w:t>
      </w:r>
      <w:r w:rsidR="00F91F6D" w:rsidRPr="00B9023D">
        <w:t xml:space="preserve">The </w:t>
      </w:r>
      <w:r w:rsidR="000B4AA7" w:rsidRPr="00B9023D">
        <w:t>data processing files</w:t>
      </w:r>
      <w:r w:rsidR="00271136">
        <w:rPr>
          <w:bCs/>
        </w:rPr>
        <w:t xml:space="preserve"> </w:t>
      </w:r>
      <w:r w:rsidR="00B72F22" w:rsidRPr="00B9023D">
        <w:t>and related data documentation</w:t>
      </w:r>
      <w:r w:rsidR="000B4AA7" w:rsidRPr="00B9023D">
        <w:t xml:space="preserve"> sent</w:t>
      </w:r>
      <w:r w:rsidR="00163981" w:rsidRPr="00B9023D">
        <w:t xml:space="preserve"> by the </w:t>
      </w:r>
      <w:r w:rsidR="00535924" w:rsidRPr="00B9023D">
        <w:t>Grant Team</w:t>
      </w:r>
      <w:r w:rsidR="00163981" w:rsidRPr="00B9023D">
        <w:t xml:space="preserve"> will be assessed </w:t>
      </w:r>
      <w:r w:rsidR="00271136">
        <w:t>as part of model maintenance activities</w:t>
      </w:r>
      <w:r w:rsidR="00163981" w:rsidRPr="00B9023D">
        <w:t>.</w:t>
      </w:r>
    </w:p>
    <w:p w14:paraId="349AFFAF" w14:textId="0B496DBE" w:rsidR="00086F45" w:rsidRDefault="00086F45" w:rsidP="00086F45">
      <w:pPr>
        <w:pStyle w:val="Heading1"/>
      </w:pPr>
      <w:bookmarkStart w:id="22" w:name="_Materials_Validation_1"/>
      <w:bookmarkStart w:id="23" w:name="_Materials_Validation"/>
      <w:bookmarkStart w:id="24" w:name="_Toc59050072"/>
      <w:bookmarkEnd w:id="22"/>
      <w:bookmarkEnd w:id="23"/>
      <w:r>
        <w:t>Materials Validation</w:t>
      </w:r>
      <w:bookmarkEnd w:id="24"/>
    </w:p>
    <w:p w14:paraId="7D408B31" w14:textId="40D5401A" w:rsidR="00E95333" w:rsidRPr="00A909CC" w:rsidRDefault="00C23765" w:rsidP="00E95333">
      <w:pPr>
        <w:spacing w:after="0"/>
        <w:rPr>
          <w:rFonts w:eastAsia="Times New Roman" w:cs="Calibri"/>
          <w:b/>
        </w:rPr>
      </w:pPr>
      <w:r>
        <w:t xml:space="preserve">The </w:t>
      </w:r>
      <w:r w:rsidR="00E95333">
        <w:t xml:space="preserve">Validation Team performed the materials validation </w:t>
      </w:r>
      <w:r w:rsidR="00E95333" w:rsidRPr="00B356BA">
        <w:t>to verify documentation and technical materials (e.g., model files) necessary for model validation were available, complete, and accurate. We</w:t>
      </w:r>
      <w:r w:rsidR="00E95333">
        <w:t xml:space="preserve"> used these materials to understand the scope of model </w:t>
      </w:r>
      <w:r w:rsidR="00A57B8B">
        <w:t xml:space="preserve">v1110 </w:t>
      </w:r>
      <w:r w:rsidR="00E95333">
        <w:t xml:space="preserve">including </w:t>
      </w:r>
      <w:r w:rsidR="00E95333" w:rsidRPr="000F2AFE">
        <w:t xml:space="preserve">assumptions, capabilities, and limitations of </w:t>
      </w:r>
      <w:r w:rsidR="00A57B8B">
        <w:t>model v1110</w:t>
      </w:r>
      <w:r w:rsidR="00E95333" w:rsidRPr="000F2AFE">
        <w:t>.</w:t>
      </w:r>
    </w:p>
    <w:p w14:paraId="3028E235" w14:textId="77777777" w:rsidR="00E95333" w:rsidRDefault="00E95333" w:rsidP="00CC49EF">
      <w:pPr>
        <w:pStyle w:val="Heading2"/>
      </w:pPr>
      <w:bookmarkStart w:id="25" w:name="_Toc59050073"/>
      <w:r>
        <w:t>Documentation</w:t>
      </w:r>
      <w:bookmarkEnd w:id="25"/>
    </w:p>
    <w:p w14:paraId="2B7ACFD1" w14:textId="00F3F133" w:rsidR="00E95333" w:rsidRDefault="00E95333" w:rsidP="00E95333">
      <w:pPr>
        <w:rPr>
          <w:rFonts w:eastAsia="Times New Roman" w:cs="Calibri"/>
        </w:rPr>
      </w:pPr>
      <w:r>
        <w:rPr>
          <w:rFonts w:eastAsia="Times New Roman" w:cs="Calibri"/>
        </w:rPr>
        <w:t>On November 12, 2020, the Validation Team received model v1</w:t>
      </w:r>
      <w:r w:rsidR="009457B8">
        <w:rPr>
          <w:rFonts w:eastAsia="Times New Roman" w:cs="Calibri"/>
        </w:rPr>
        <w:t>1</w:t>
      </w:r>
      <w:r>
        <w:rPr>
          <w:rFonts w:eastAsia="Times New Roman" w:cs="Calibri"/>
        </w:rPr>
        <w:t>10 for validation. This package included:</w:t>
      </w:r>
    </w:p>
    <w:p w14:paraId="433FABC5" w14:textId="56662147" w:rsidR="00E95333" w:rsidRPr="002530C5" w:rsidRDefault="00E95333" w:rsidP="00C07103">
      <w:pPr>
        <w:pStyle w:val="ListParagraph"/>
        <w:numPr>
          <w:ilvl w:val="0"/>
          <w:numId w:val="8"/>
        </w:numPr>
        <w:rPr>
          <w:rFonts w:eastAsia="Times New Roman" w:cs="Calibri"/>
        </w:rPr>
      </w:pPr>
      <w:r w:rsidRPr="002530C5">
        <w:rPr>
          <w:rFonts w:eastAsia="Times New Roman" w:cs="Calibri"/>
          <w:b/>
        </w:rPr>
        <w:t xml:space="preserve">Vensim </w:t>
      </w:r>
      <w:r w:rsidR="00653FC2">
        <w:rPr>
          <w:rFonts w:eastAsia="Times New Roman" w:cs="Calibri"/>
          <w:b/>
        </w:rPr>
        <w:t>M</w:t>
      </w:r>
      <w:r w:rsidRPr="002530C5">
        <w:rPr>
          <w:rFonts w:eastAsia="Times New Roman" w:cs="Calibri"/>
          <w:b/>
        </w:rPr>
        <w:t xml:space="preserve">odel </w:t>
      </w:r>
      <w:r w:rsidR="00653FC2">
        <w:rPr>
          <w:rFonts w:eastAsia="Times New Roman" w:cs="Calibri"/>
          <w:b/>
        </w:rPr>
        <w:t>F</w:t>
      </w:r>
      <w:r w:rsidRPr="002530C5">
        <w:rPr>
          <w:rFonts w:eastAsia="Times New Roman" w:cs="Calibri"/>
          <w:b/>
        </w:rPr>
        <w:t>ile</w:t>
      </w:r>
    </w:p>
    <w:p w14:paraId="26671280" w14:textId="2EF04B43" w:rsidR="00E95333" w:rsidRPr="002530C5" w:rsidRDefault="00E95333" w:rsidP="00C07103">
      <w:pPr>
        <w:pStyle w:val="ListParagraph"/>
        <w:numPr>
          <w:ilvl w:val="0"/>
          <w:numId w:val="8"/>
        </w:numPr>
        <w:rPr>
          <w:rFonts w:eastAsia="Times New Roman" w:cs="Calibri"/>
        </w:rPr>
      </w:pPr>
      <w:r w:rsidRPr="002530C5">
        <w:rPr>
          <w:rFonts w:eastAsia="Times New Roman" w:cs="Calibri"/>
          <w:b/>
        </w:rPr>
        <w:t>Documentation Master File.xlsx –</w:t>
      </w:r>
      <w:r w:rsidRPr="002530C5">
        <w:rPr>
          <w:rFonts w:eastAsia="Times New Roman" w:cs="Calibri"/>
        </w:rPr>
        <w:t xml:space="preserve"> This document is hereinafter referred to as “documentation.” It contains: information on model variables and assumptions; a list of model equations; a hard copy of input time series</w:t>
      </w:r>
      <w:r w:rsidR="00C2228E">
        <w:rPr>
          <w:rFonts w:eastAsia="Times New Roman" w:cs="Calibri"/>
        </w:rPr>
        <w:t>;</w:t>
      </w:r>
      <w:r w:rsidRPr="002530C5">
        <w:rPr>
          <w:rFonts w:eastAsia="Times New Roman" w:cs="Calibri"/>
        </w:rPr>
        <w:t xml:space="preserve"> validation time series</w:t>
      </w:r>
      <w:r w:rsidR="00C2228E">
        <w:rPr>
          <w:rFonts w:eastAsia="Times New Roman" w:cs="Calibri"/>
        </w:rPr>
        <w:t xml:space="preserve">; </w:t>
      </w:r>
      <w:r w:rsidR="00B07168" w:rsidRPr="002530C5">
        <w:rPr>
          <w:rFonts w:eastAsia="Times New Roman" w:cs="Calibri"/>
        </w:rPr>
        <w:t xml:space="preserve">and calibration weights; and </w:t>
      </w:r>
      <w:r w:rsidR="00E422E3" w:rsidRPr="002530C5">
        <w:rPr>
          <w:rFonts w:eastAsia="Times New Roman" w:cs="Calibri"/>
        </w:rPr>
        <w:t xml:space="preserve">background on </w:t>
      </w:r>
      <w:r w:rsidR="0088364F" w:rsidRPr="002530C5">
        <w:rPr>
          <w:rFonts w:eastAsia="Times New Roman" w:cs="Calibri"/>
        </w:rPr>
        <w:t xml:space="preserve">background </w:t>
      </w:r>
      <w:r w:rsidR="00E5380F" w:rsidRPr="002530C5">
        <w:rPr>
          <w:rFonts w:eastAsia="Times New Roman" w:cs="Calibri"/>
        </w:rPr>
        <w:t>on data analysis</w:t>
      </w:r>
      <w:r w:rsidRPr="002530C5">
        <w:rPr>
          <w:rFonts w:eastAsia="Times New Roman" w:cs="Calibri"/>
        </w:rPr>
        <w:t>.</w:t>
      </w:r>
    </w:p>
    <w:p w14:paraId="5B3D72DE" w14:textId="14B8B36F" w:rsidR="00E95333" w:rsidRPr="002530C5" w:rsidRDefault="00242073" w:rsidP="00C07103">
      <w:pPr>
        <w:pStyle w:val="ListParagraph"/>
        <w:numPr>
          <w:ilvl w:val="0"/>
          <w:numId w:val="8"/>
        </w:numPr>
        <w:rPr>
          <w:rFonts w:eastAsia="Times New Roman" w:cs="Calibri"/>
        </w:rPr>
      </w:pPr>
      <w:r w:rsidRPr="002530C5">
        <w:rPr>
          <w:rFonts w:eastAsia="Times New Roman" w:cs="Calibri"/>
          <w:b/>
        </w:rPr>
        <w:t xml:space="preserve">Combined </w:t>
      </w:r>
      <w:r w:rsidR="00BA52D9" w:rsidRPr="002530C5">
        <w:rPr>
          <w:rFonts w:eastAsia="Times New Roman" w:cs="Calibri"/>
          <w:b/>
        </w:rPr>
        <w:t xml:space="preserve">Modeling Files.xlsx – </w:t>
      </w:r>
      <w:r w:rsidR="00BA52D9" w:rsidRPr="00C2228E">
        <w:rPr>
          <w:rFonts w:eastAsia="Times New Roman" w:cs="Calibri"/>
        </w:rPr>
        <w:t xml:space="preserve">This document </w:t>
      </w:r>
      <w:r w:rsidR="00732899" w:rsidRPr="00C2228E">
        <w:rPr>
          <w:rFonts w:eastAsia="Times New Roman" w:cs="Calibri"/>
        </w:rPr>
        <w:t xml:space="preserve">includes </w:t>
      </w:r>
      <w:r w:rsidR="00CD30B4" w:rsidRPr="00C2228E">
        <w:rPr>
          <w:rFonts w:eastAsia="Times New Roman" w:cs="Calibri"/>
        </w:rPr>
        <w:t>data transformations and source data.</w:t>
      </w:r>
      <w:r w:rsidR="00CD30B4" w:rsidRPr="002530C5">
        <w:rPr>
          <w:rFonts w:eastAsia="Times New Roman" w:cs="Calibri"/>
          <w:b/>
        </w:rPr>
        <w:t xml:space="preserve"> </w:t>
      </w:r>
      <w:r w:rsidR="00E95333" w:rsidRPr="002530C5">
        <w:rPr>
          <w:rFonts w:eastAsia="Times New Roman" w:cs="Calibri"/>
        </w:rPr>
        <w:t>We will assess th</w:t>
      </w:r>
      <w:r w:rsidR="008D0564" w:rsidRPr="002530C5">
        <w:rPr>
          <w:rFonts w:eastAsia="Times New Roman" w:cs="Calibri"/>
        </w:rPr>
        <w:t>is</w:t>
      </w:r>
      <w:r w:rsidR="00E95333" w:rsidRPr="002530C5">
        <w:rPr>
          <w:rFonts w:eastAsia="Times New Roman" w:cs="Calibri"/>
        </w:rPr>
        <w:t xml:space="preserve"> file during the next model maintenance cycle.</w:t>
      </w:r>
    </w:p>
    <w:p w14:paraId="5F6C9B98" w14:textId="2F86A907" w:rsidR="00E95333" w:rsidRPr="002530C5" w:rsidRDefault="00E95333" w:rsidP="00C07103">
      <w:pPr>
        <w:pStyle w:val="ListParagraph"/>
        <w:numPr>
          <w:ilvl w:val="0"/>
          <w:numId w:val="8"/>
        </w:numPr>
        <w:rPr>
          <w:rFonts w:eastAsia="Times New Roman" w:cs="Calibri"/>
        </w:rPr>
      </w:pPr>
      <w:r w:rsidRPr="002530C5">
        <w:rPr>
          <w:rFonts w:eastAsia="Times New Roman" w:cs="Calibri"/>
          <w:b/>
          <w:bCs/>
        </w:rPr>
        <w:t>NSDUH for Documentation</w:t>
      </w:r>
      <w:r w:rsidR="003F75A4" w:rsidRPr="002530C5">
        <w:rPr>
          <w:rFonts w:eastAsia="Times New Roman" w:cs="Calibri"/>
          <w:b/>
          <w:bCs/>
        </w:rPr>
        <w:t xml:space="preserve"> 11062020</w:t>
      </w:r>
      <w:r w:rsidRPr="002530C5">
        <w:rPr>
          <w:rFonts w:eastAsia="Times New Roman" w:cs="Calibri"/>
          <w:b/>
          <w:bCs/>
        </w:rPr>
        <w:t>.sas</w:t>
      </w:r>
      <w:r w:rsidRPr="002530C5">
        <w:rPr>
          <w:rFonts w:eastAsia="Times New Roman" w:cs="Calibri"/>
        </w:rPr>
        <w:t xml:space="preserve"> - SAS code required for transformation of NSDUH data. We will assess th</w:t>
      </w:r>
      <w:r w:rsidR="008D0564" w:rsidRPr="002530C5">
        <w:rPr>
          <w:rFonts w:eastAsia="Times New Roman" w:cs="Calibri"/>
        </w:rPr>
        <w:t>is</w:t>
      </w:r>
      <w:r w:rsidRPr="002530C5">
        <w:rPr>
          <w:rFonts w:eastAsia="Times New Roman" w:cs="Calibri"/>
        </w:rPr>
        <w:t xml:space="preserve"> file during model maintenance.</w:t>
      </w:r>
    </w:p>
    <w:p w14:paraId="6499F41A" w14:textId="39DF530D" w:rsidR="00E95333" w:rsidRPr="002530C5" w:rsidRDefault="00E95333" w:rsidP="00C07103">
      <w:pPr>
        <w:pStyle w:val="ListParagraph"/>
        <w:numPr>
          <w:ilvl w:val="0"/>
          <w:numId w:val="8"/>
        </w:numPr>
        <w:rPr>
          <w:rFonts w:eastAsia="Times New Roman" w:cs="Calibri"/>
        </w:rPr>
      </w:pPr>
      <w:r w:rsidRPr="002530C5">
        <w:rPr>
          <w:rFonts w:eastAsia="Times New Roman" w:cs="Calibri"/>
          <w:b/>
        </w:rPr>
        <w:t xml:space="preserve">Input </w:t>
      </w:r>
      <w:r w:rsidR="00653FC2">
        <w:rPr>
          <w:rFonts w:eastAsia="Times New Roman" w:cs="Calibri"/>
          <w:b/>
        </w:rPr>
        <w:t>T</w:t>
      </w:r>
      <w:r w:rsidRPr="002530C5">
        <w:rPr>
          <w:rFonts w:eastAsia="Times New Roman" w:cs="Calibri"/>
          <w:b/>
        </w:rPr>
        <w:t xml:space="preserve">ime </w:t>
      </w:r>
      <w:r w:rsidR="00653FC2">
        <w:rPr>
          <w:rFonts w:eastAsia="Times New Roman" w:cs="Calibri"/>
          <w:b/>
        </w:rPr>
        <w:t>S</w:t>
      </w:r>
      <w:r w:rsidRPr="002530C5">
        <w:rPr>
          <w:rFonts w:eastAsia="Times New Roman" w:cs="Calibri"/>
          <w:b/>
        </w:rPr>
        <w:t xml:space="preserve">eries and </w:t>
      </w:r>
      <w:r w:rsidR="00653FC2">
        <w:rPr>
          <w:rFonts w:eastAsia="Times New Roman" w:cs="Calibri"/>
          <w:b/>
        </w:rPr>
        <w:t>V</w:t>
      </w:r>
      <w:r w:rsidRPr="002530C5">
        <w:rPr>
          <w:rFonts w:eastAsia="Times New Roman" w:cs="Calibri"/>
          <w:b/>
        </w:rPr>
        <w:t xml:space="preserve">alidation </w:t>
      </w:r>
      <w:r w:rsidR="00653FC2">
        <w:rPr>
          <w:rFonts w:eastAsia="Times New Roman" w:cs="Calibri"/>
          <w:b/>
        </w:rPr>
        <w:t>S</w:t>
      </w:r>
      <w:r w:rsidRPr="002530C5">
        <w:rPr>
          <w:rFonts w:eastAsia="Times New Roman" w:cs="Calibri"/>
          <w:b/>
        </w:rPr>
        <w:t>eries</w:t>
      </w:r>
      <w:r w:rsidRPr="002530C5">
        <w:rPr>
          <w:rFonts w:eastAsia="Times New Roman" w:cs="Calibri"/>
        </w:rPr>
        <w:t xml:space="preserve"> - The time series are included in .</w:t>
      </w:r>
      <w:proofErr w:type="spellStart"/>
      <w:r w:rsidRPr="002530C5">
        <w:rPr>
          <w:rFonts w:eastAsia="Times New Roman" w:cs="Calibri"/>
        </w:rPr>
        <w:t>vdfx</w:t>
      </w:r>
      <w:proofErr w:type="spellEnd"/>
      <w:r w:rsidRPr="002530C5">
        <w:rPr>
          <w:rFonts w:eastAsia="Times New Roman" w:cs="Calibri"/>
        </w:rPr>
        <w:t xml:space="preserve"> files delivered alongside the Vensim model.</w:t>
      </w:r>
    </w:p>
    <w:p w14:paraId="24441DC8" w14:textId="0CEA99C0" w:rsidR="00B46327" w:rsidRPr="002530C5" w:rsidRDefault="00E55C0D" w:rsidP="00C07103">
      <w:pPr>
        <w:pStyle w:val="ListParagraph"/>
        <w:numPr>
          <w:ilvl w:val="0"/>
          <w:numId w:val="8"/>
        </w:numPr>
        <w:rPr>
          <w:rFonts w:eastAsia="Times New Roman" w:cs="Calibri"/>
          <w:b/>
        </w:rPr>
      </w:pPr>
      <w:r w:rsidRPr="002530C5">
        <w:rPr>
          <w:rFonts w:eastAsia="Times New Roman" w:cs="Calibri"/>
          <w:b/>
        </w:rPr>
        <w:t>Sensi</w:t>
      </w:r>
      <w:r w:rsidR="00237041" w:rsidRPr="002530C5">
        <w:rPr>
          <w:rFonts w:eastAsia="Times New Roman" w:cs="Calibri"/>
          <w:b/>
        </w:rPr>
        <w:t xml:space="preserve">tivity </w:t>
      </w:r>
      <w:r w:rsidR="00653FC2">
        <w:rPr>
          <w:rFonts w:eastAsia="Times New Roman" w:cs="Calibri"/>
          <w:b/>
        </w:rPr>
        <w:t>F</w:t>
      </w:r>
      <w:r w:rsidR="00237041" w:rsidRPr="002530C5">
        <w:rPr>
          <w:rFonts w:eastAsia="Times New Roman" w:cs="Calibri"/>
          <w:b/>
        </w:rPr>
        <w:t>iles</w:t>
      </w:r>
      <w:r w:rsidR="00465FF0" w:rsidRPr="002530C5">
        <w:rPr>
          <w:rFonts w:eastAsia="Times New Roman" w:cs="Calibri"/>
          <w:b/>
        </w:rPr>
        <w:t xml:space="preserve"> </w:t>
      </w:r>
      <w:r w:rsidR="00653FC2">
        <w:rPr>
          <w:rFonts w:eastAsia="Times New Roman" w:cs="Calibri"/>
          <w:b/>
        </w:rPr>
        <w:t>G</w:t>
      </w:r>
      <w:r w:rsidR="00372AF6" w:rsidRPr="002530C5">
        <w:rPr>
          <w:rFonts w:eastAsia="Times New Roman" w:cs="Calibri"/>
          <w:b/>
        </w:rPr>
        <w:t>raphs</w:t>
      </w:r>
      <w:r w:rsidR="00B73DE0" w:rsidRPr="002530C5">
        <w:rPr>
          <w:rFonts w:eastAsia="Times New Roman" w:cs="Calibri"/>
          <w:b/>
        </w:rPr>
        <w:t xml:space="preserve"> </w:t>
      </w:r>
      <w:r w:rsidR="00657EB0" w:rsidRPr="002530C5">
        <w:rPr>
          <w:rFonts w:eastAsia="Times New Roman" w:cs="Calibri"/>
          <w:bCs/>
        </w:rPr>
        <w:t>–</w:t>
      </w:r>
      <w:r w:rsidR="00B73DE0" w:rsidRPr="002530C5">
        <w:rPr>
          <w:rFonts w:eastAsia="Times New Roman" w:cs="Calibri"/>
          <w:bCs/>
        </w:rPr>
        <w:t xml:space="preserve"> </w:t>
      </w:r>
      <w:r w:rsidR="00657EB0" w:rsidRPr="002530C5">
        <w:rPr>
          <w:rFonts w:eastAsia="Times New Roman" w:cs="Calibri"/>
          <w:bCs/>
        </w:rPr>
        <w:t>A series of graphs that show the sensitivity of outcomes with respect to value changes of model parameters.</w:t>
      </w:r>
    </w:p>
    <w:p w14:paraId="53308ED8" w14:textId="6D51A2D5" w:rsidR="00E95333" w:rsidRPr="002530C5" w:rsidRDefault="00E97D46" w:rsidP="00C07103">
      <w:pPr>
        <w:pStyle w:val="ListParagraph"/>
        <w:numPr>
          <w:ilvl w:val="0"/>
          <w:numId w:val="8"/>
        </w:numPr>
        <w:rPr>
          <w:rFonts w:eastAsia="Times New Roman" w:cs="Calibri"/>
        </w:rPr>
      </w:pPr>
      <w:r w:rsidRPr="002530C5">
        <w:rPr>
          <w:rFonts w:eastAsia="Times New Roman" w:cs="Calibri"/>
          <w:b/>
        </w:rPr>
        <w:t>Bibliography</w:t>
      </w:r>
      <w:r w:rsidR="00E95333" w:rsidRPr="002530C5">
        <w:rPr>
          <w:rFonts w:eastAsia="Times New Roman" w:cs="Calibri"/>
          <w:b/>
        </w:rPr>
        <w:t xml:space="preserve"> -</w:t>
      </w:r>
      <w:r w:rsidR="00E95333" w:rsidRPr="002530C5">
        <w:rPr>
          <w:rFonts w:eastAsia="Times New Roman" w:cs="Calibri"/>
        </w:rPr>
        <w:t xml:space="preserve"> This Word document contains a list of the supporting literature used in the model.</w:t>
      </w:r>
    </w:p>
    <w:p w14:paraId="2748E546" w14:textId="47B12C62" w:rsidR="00690777" w:rsidRPr="002530C5" w:rsidRDefault="00F70AF7" w:rsidP="00E95333">
      <w:pPr>
        <w:rPr>
          <w:rFonts w:eastAsia="Times New Roman" w:cs="Calibri"/>
        </w:rPr>
      </w:pPr>
      <w:r>
        <w:rPr>
          <w:rFonts w:eastAsia="Times New Roman" w:cs="Calibri"/>
        </w:rPr>
        <w:t xml:space="preserve">We </w:t>
      </w:r>
      <w:r w:rsidR="001C783F">
        <w:rPr>
          <w:rFonts w:eastAsia="Times New Roman" w:cs="Calibri"/>
        </w:rPr>
        <w:t xml:space="preserve">updated the “Materials Validation” tab in </w:t>
      </w:r>
      <w:hyperlink r:id="rId24" w:history="1">
        <w:r w:rsidR="009870D8" w:rsidRPr="009870D8">
          <w:rPr>
            <w:rStyle w:val="Hyperlink"/>
            <w:rFonts w:eastAsia="Times New Roman" w:cs="Calibri"/>
          </w:rPr>
          <w:t xml:space="preserve">Version 2 of </w:t>
        </w:r>
        <w:r w:rsidR="001C783F" w:rsidRPr="009870D8">
          <w:rPr>
            <w:rStyle w:val="Hyperlink"/>
            <w:rFonts w:eastAsia="Times New Roman" w:cs="Calibri"/>
          </w:rPr>
          <w:t>the</w:t>
        </w:r>
        <w:r w:rsidR="00F1167F" w:rsidRPr="009870D8">
          <w:rPr>
            <w:rStyle w:val="Hyperlink"/>
            <w:rFonts w:eastAsia="Times New Roman" w:cs="Calibri"/>
          </w:rPr>
          <w:t xml:space="preserve"> </w:t>
        </w:r>
        <w:r w:rsidR="00E95333" w:rsidRPr="009870D8">
          <w:rPr>
            <w:rStyle w:val="Hyperlink"/>
            <w:rFonts w:eastAsia="Times New Roman" w:cs="Calibri"/>
          </w:rPr>
          <w:t>Final Validation</w:t>
        </w:r>
        <w:r w:rsidR="00E702E0" w:rsidRPr="009870D8">
          <w:rPr>
            <w:rStyle w:val="Hyperlink"/>
            <w:rFonts w:eastAsia="Times New Roman" w:cs="Calibri"/>
          </w:rPr>
          <w:t xml:space="preserve"> Part</w:t>
        </w:r>
        <w:r w:rsidR="00E95333" w:rsidRPr="009870D8">
          <w:rPr>
            <w:rStyle w:val="Hyperlink"/>
            <w:rFonts w:eastAsia="Times New Roman" w:cs="Calibri"/>
          </w:rPr>
          <w:t xml:space="preserve"> </w:t>
        </w:r>
        <w:r w:rsidR="00197272" w:rsidRPr="009870D8">
          <w:rPr>
            <w:rStyle w:val="Hyperlink"/>
            <w:rFonts w:eastAsia="Times New Roman" w:cs="Calibri"/>
          </w:rPr>
          <w:t xml:space="preserve">1 </w:t>
        </w:r>
        <w:r w:rsidR="003F2F4F" w:rsidRPr="009870D8">
          <w:rPr>
            <w:rStyle w:val="Hyperlink"/>
            <w:rFonts w:eastAsia="Times New Roman" w:cs="Calibri"/>
          </w:rPr>
          <w:t>F</w:t>
        </w:r>
        <w:r w:rsidR="00E95333" w:rsidRPr="009870D8">
          <w:rPr>
            <w:rStyle w:val="Hyperlink"/>
            <w:rFonts w:eastAsia="Times New Roman" w:cs="Calibri"/>
          </w:rPr>
          <w:t>indings punch list</w:t>
        </w:r>
      </w:hyperlink>
      <w:r w:rsidR="00E95333" w:rsidRPr="002530C5">
        <w:rPr>
          <w:rFonts w:eastAsia="Times New Roman" w:cs="Calibri"/>
        </w:rPr>
        <w:t xml:space="preserve"> </w:t>
      </w:r>
      <w:r w:rsidR="003A5484">
        <w:rPr>
          <w:rFonts w:eastAsia="Times New Roman" w:cs="Calibri"/>
        </w:rPr>
        <w:t>to provide</w:t>
      </w:r>
      <w:r w:rsidR="00E95333" w:rsidRPr="002530C5">
        <w:rPr>
          <w:rFonts w:eastAsia="Times New Roman" w:cs="Calibri"/>
        </w:rPr>
        <w:t xml:space="preserve"> a summary evaluation of the validation documents</w:t>
      </w:r>
      <w:r w:rsidR="003A5484">
        <w:rPr>
          <w:rFonts w:eastAsia="Times New Roman" w:cs="Calibri"/>
        </w:rPr>
        <w:t xml:space="preserve"> listed above</w:t>
      </w:r>
      <w:r w:rsidR="00E95333" w:rsidRPr="002530C5">
        <w:rPr>
          <w:rFonts w:eastAsia="Times New Roman" w:cs="Calibri"/>
        </w:rPr>
        <w:t>.</w:t>
      </w:r>
    </w:p>
    <w:p w14:paraId="2098A5CA" w14:textId="77777777" w:rsidR="00E95333" w:rsidRPr="00664B1A" w:rsidRDefault="00E95333" w:rsidP="00CC49EF">
      <w:pPr>
        <w:pStyle w:val="Heading2"/>
      </w:pPr>
      <w:bookmarkStart w:id="26" w:name="_Toc59050074"/>
      <w:r>
        <w:t>Major Findings</w:t>
      </w:r>
      <w:bookmarkEnd w:id="26"/>
    </w:p>
    <w:p w14:paraId="0FDCA4BB" w14:textId="77777777" w:rsidR="00E95333" w:rsidRDefault="007C30C3" w:rsidP="00482581">
      <w:r w:rsidRPr="00FB47C5">
        <w:rPr>
          <w:rFonts w:eastAsia="Times New Roman" w:cs="Calibri"/>
        </w:rPr>
        <w:t xml:space="preserve">Overall, the </w:t>
      </w:r>
      <w:r w:rsidR="008C54A0" w:rsidRPr="00FB47C5">
        <w:rPr>
          <w:rFonts w:eastAsia="Times New Roman" w:cs="Calibri"/>
        </w:rPr>
        <w:t xml:space="preserve">documentation </w:t>
      </w:r>
      <w:r w:rsidR="00F0525A" w:rsidRPr="00FB47C5">
        <w:rPr>
          <w:rFonts w:eastAsia="Times New Roman" w:cs="Calibri"/>
        </w:rPr>
        <w:t>inclu</w:t>
      </w:r>
      <w:r w:rsidR="00E0312D" w:rsidRPr="00FB47C5">
        <w:rPr>
          <w:rFonts w:eastAsia="Times New Roman" w:cs="Calibri"/>
        </w:rPr>
        <w:t xml:space="preserve">des </w:t>
      </w:r>
      <w:r w:rsidR="00214749" w:rsidRPr="00FB47C5">
        <w:rPr>
          <w:rFonts w:eastAsia="Times New Roman" w:cs="Calibri"/>
        </w:rPr>
        <w:t>sufficient</w:t>
      </w:r>
      <w:r w:rsidR="00FD0044">
        <w:rPr>
          <w:rFonts w:eastAsia="Times New Roman" w:cs="Calibri"/>
        </w:rPr>
        <w:t xml:space="preserve"> </w:t>
      </w:r>
      <w:r w:rsidR="006130A8" w:rsidRPr="00FB47C5">
        <w:rPr>
          <w:rFonts w:eastAsia="Times New Roman" w:cs="Calibri"/>
        </w:rPr>
        <w:t xml:space="preserve">technical </w:t>
      </w:r>
      <w:r w:rsidR="00442ECD" w:rsidRPr="00FB47C5">
        <w:rPr>
          <w:rFonts w:eastAsia="Times New Roman" w:cs="Calibri"/>
        </w:rPr>
        <w:t xml:space="preserve">details such as </w:t>
      </w:r>
      <w:r w:rsidR="00790058" w:rsidRPr="00FB47C5">
        <w:rPr>
          <w:rFonts w:eastAsia="Times New Roman" w:cs="Calibri"/>
        </w:rPr>
        <w:t xml:space="preserve">inputs, </w:t>
      </w:r>
      <w:r w:rsidR="00E0312D" w:rsidRPr="00FB47C5">
        <w:rPr>
          <w:rFonts w:eastAsia="Times New Roman" w:cs="Calibri"/>
        </w:rPr>
        <w:t>model variables,</w:t>
      </w:r>
      <w:r w:rsidR="00CB0900" w:rsidRPr="00FB47C5">
        <w:rPr>
          <w:rFonts w:eastAsia="Times New Roman" w:cs="Calibri"/>
        </w:rPr>
        <w:t xml:space="preserve"> and</w:t>
      </w:r>
      <w:r w:rsidR="00E0312D" w:rsidRPr="00FB47C5">
        <w:rPr>
          <w:rFonts w:eastAsia="Times New Roman" w:cs="Calibri"/>
        </w:rPr>
        <w:t xml:space="preserve"> </w:t>
      </w:r>
      <w:r w:rsidR="00357442" w:rsidRPr="00FB47C5">
        <w:rPr>
          <w:rFonts w:eastAsia="Times New Roman" w:cs="Calibri"/>
        </w:rPr>
        <w:t>data transformations</w:t>
      </w:r>
      <w:r w:rsidR="00790058" w:rsidRPr="00FB47C5">
        <w:rPr>
          <w:rFonts w:eastAsia="Times New Roman" w:cs="Calibri"/>
        </w:rPr>
        <w:t xml:space="preserve">. However, </w:t>
      </w:r>
      <w:r w:rsidR="00F83D2D" w:rsidRPr="00FB47C5">
        <w:rPr>
          <w:rFonts w:eastAsia="Times New Roman" w:cs="Calibri"/>
        </w:rPr>
        <w:t>the documentation include</w:t>
      </w:r>
      <w:r w:rsidR="00FE037F">
        <w:rPr>
          <w:rFonts w:eastAsia="Times New Roman" w:cs="Calibri"/>
        </w:rPr>
        <w:t xml:space="preserve">s limited </w:t>
      </w:r>
      <w:r w:rsidR="00F7455C">
        <w:rPr>
          <w:rFonts w:eastAsia="Times New Roman" w:cs="Calibri"/>
        </w:rPr>
        <w:t>information</w:t>
      </w:r>
      <w:r w:rsidR="00393687" w:rsidRPr="00FB47C5">
        <w:rPr>
          <w:rFonts w:eastAsia="Times New Roman" w:cs="Calibri"/>
        </w:rPr>
        <w:t xml:space="preserve"> </w:t>
      </w:r>
      <w:r w:rsidR="002C59E3">
        <w:rPr>
          <w:rFonts w:eastAsia="Times New Roman" w:cs="Calibri"/>
        </w:rPr>
        <w:t>and</w:t>
      </w:r>
      <w:r w:rsidR="00393687" w:rsidRPr="00FB47C5">
        <w:rPr>
          <w:rFonts w:eastAsia="Times New Roman" w:cs="Calibri"/>
        </w:rPr>
        <w:t xml:space="preserve"> discussion around model assumptions, capabilities, or </w:t>
      </w:r>
      <w:r w:rsidR="00393687" w:rsidRPr="00C65DFE">
        <w:rPr>
          <w:rFonts w:eastAsia="Times New Roman" w:cs="Calibri"/>
        </w:rPr>
        <w:t>limitations (see</w:t>
      </w:r>
      <w:r w:rsidR="00101A9A" w:rsidRPr="00C65DFE">
        <w:rPr>
          <w:rFonts w:eastAsia="Times New Roman" w:cs="Calibri"/>
        </w:rPr>
        <w:t xml:space="preserve"> </w:t>
      </w:r>
      <w:r w:rsidR="00C65DFE" w:rsidRPr="00C65DFE">
        <w:fldChar w:fldCharType="begin"/>
      </w:r>
      <w:r w:rsidR="00C65DFE" w:rsidRPr="00C65DFE">
        <w:rPr>
          <w:rFonts w:eastAsia="Times New Roman" w:cs="Calibri"/>
        </w:rPr>
        <w:instrText xml:space="preserve"> REF _Ref57191932 \h </w:instrText>
      </w:r>
      <w:r w:rsidR="00C65DFE">
        <w:instrText xml:space="preserve"> \* MERGEFORMAT </w:instrText>
      </w:r>
      <w:r w:rsidR="00C65DFE" w:rsidRPr="00C65DFE">
        <w:fldChar w:fldCharType="separate"/>
      </w:r>
      <w:r w:rsidR="00C65DFE" w:rsidRPr="00C65DFE">
        <w:t xml:space="preserve">Table </w:t>
      </w:r>
      <w:r w:rsidR="00C65DFE" w:rsidRPr="00C65DFE">
        <w:rPr>
          <w:noProof/>
        </w:rPr>
        <w:t>4</w:t>
      </w:r>
      <w:r w:rsidR="00C65DFE" w:rsidRPr="00C65DFE">
        <w:noBreakHyphen/>
      </w:r>
      <w:r w:rsidR="00C65DFE" w:rsidRPr="00C65DFE">
        <w:rPr>
          <w:noProof/>
        </w:rPr>
        <w:t>1</w:t>
      </w:r>
      <w:r w:rsidR="00C65DFE" w:rsidRPr="00C65DFE">
        <w:fldChar w:fldCharType="end"/>
      </w:r>
      <w:r w:rsidR="00393687" w:rsidRPr="00C65DFE">
        <w:t>).</w:t>
      </w:r>
      <w:r w:rsidR="00871A27" w:rsidRPr="00C65DFE">
        <w:t xml:space="preserve"> </w:t>
      </w:r>
      <w:r w:rsidR="00607E9B" w:rsidRPr="00C65DFE">
        <w:t>In t</w:t>
      </w:r>
      <w:r w:rsidR="007404DD" w:rsidRPr="00C65DFE">
        <w:t>he documentation for m</w:t>
      </w:r>
      <w:r w:rsidR="00B70878" w:rsidRPr="00C65DFE">
        <w:t>odel v</w:t>
      </w:r>
      <w:r w:rsidR="00E67470" w:rsidRPr="00C65DFE">
        <w:t>831</w:t>
      </w:r>
      <w:r w:rsidR="00607E9B" w:rsidRPr="00C65DFE">
        <w:t>,</w:t>
      </w:r>
      <w:r w:rsidR="001B05C5" w:rsidRPr="00C65DFE">
        <w:t xml:space="preserve"> </w:t>
      </w:r>
      <w:r w:rsidR="00A16ED1" w:rsidRPr="00C65DFE">
        <w:t xml:space="preserve">the </w:t>
      </w:r>
      <w:r w:rsidR="00D17E11" w:rsidRPr="00C65DFE">
        <w:t xml:space="preserve">cover letter </w:t>
      </w:r>
      <w:r w:rsidR="00A16ED1" w:rsidRPr="00C65DFE">
        <w:t xml:space="preserve">and </w:t>
      </w:r>
      <w:r w:rsidR="0062499C" w:rsidRPr="00C65DFE">
        <w:t>model overview</w:t>
      </w:r>
      <w:r w:rsidR="0062499C">
        <w:t xml:space="preserve"> PowerPoint</w:t>
      </w:r>
      <w:r w:rsidR="00D00036">
        <w:t xml:space="preserve"> contained these details</w:t>
      </w:r>
      <w:r w:rsidR="007404DD">
        <w:t>.</w:t>
      </w:r>
      <w:r w:rsidR="00013417">
        <w:t xml:space="preserve"> </w:t>
      </w:r>
      <w:r w:rsidR="00A97043">
        <w:t xml:space="preserve">While it is likely that </w:t>
      </w:r>
      <w:r w:rsidR="00971F23">
        <w:t xml:space="preserve">the old </w:t>
      </w:r>
      <w:r w:rsidR="00971F23">
        <w:lastRenderedPageBreak/>
        <w:t>versions of these</w:t>
      </w:r>
      <w:r w:rsidR="00A97043">
        <w:t xml:space="preserve"> files </w:t>
      </w:r>
      <w:r w:rsidR="00971F23">
        <w:t>remain</w:t>
      </w:r>
      <w:r w:rsidR="00A97043">
        <w:t xml:space="preserve"> mostly accurate</w:t>
      </w:r>
      <w:r w:rsidR="00971F23">
        <w:t xml:space="preserve">, </w:t>
      </w:r>
      <w:r w:rsidR="00FF71F7">
        <w:t xml:space="preserve">it is important for updated versions to be included </w:t>
      </w:r>
      <w:r w:rsidR="001D2623">
        <w:t>as part of</w:t>
      </w:r>
      <w:r w:rsidR="00FF71F7">
        <w:t xml:space="preserve"> the </w:t>
      </w:r>
      <w:r w:rsidR="001D2623">
        <w:t>documentation.</w:t>
      </w:r>
      <w:r w:rsidR="00D00CFC">
        <w:t xml:space="preserve"> </w:t>
      </w:r>
      <w:r w:rsidR="00BB3F74">
        <w:t>T</w:t>
      </w:r>
      <w:r w:rsidR="008A17EF">
        <w:t>hese documents</w:t>
      </w:r>
      <w:r w:rsidR="00BB3F74">
        <w:t xml:space="preserve"> are </w:t>
      </w:r>
      <w:r w:rsidR="00F34026">
        <w:t>essential</w:t>
      </w:r>
      <w:r w:rsidR="00BB3F74">
        <w:t xml:space="preserve"> for </w:t>
      </w:r>
      <w:r w:rsidR="00500C3A">
        <w:t xml:space="preserve">proper interpretation of model </w:t>
      </w:r>
      <w:r w:rsidR="006806B7">
        <w:t>output</w:t>
      </w:r>
      <w:r w:rsidR="00D00036">
        <w:t>s</w:t>
      </w:r>
      <w:r w:rsidR="00082F10">
        <w:t xml:space="preserve">. </w:t>
      </w:r>
    </w:p>
    <w:p w14:paraId="1FB39CA7" w14:textId="514F4FB7" w:rsidR="00690777" w:rsidRDefault="00690777" w:rsidP="00D05863">
      <w:pPr>
        <w:pStyle w:val="Caption"/>
      </w:pPr>
      <w:bookmarkStart w:id="27" w:name="_Ref57191932"/>
      <w:bookmarkStart w:id="28" w:name="_Toc59050102"/>
      <w:r>
        <w:t xml:space="preserve">Table </w:t>
      </w:r>
      <w:fldSimple w:instr=" STYLEREF 1 \s ">
        <w:r w:rsidR="00564EC2">
          <w:rPr>
            <w:noProof/>
          </w:rPr>
          <w:t>4</w:t>
        </w:r>
      </w:fldSimple>
      <w:r w:rsidR="00564EC2">
        <w:noBreakHyphen/>
      </w:r>
      <w:fldSimple w:instr=" SEQ Table \* ARABIC \s 1 ">
        <w:r w:rsidR="00564EC2">
          <w:rPr>
            <w:noProof/>
          </w:rPr>
          <w:t>1</w:t>
        </w:r>
      </w:fldSimple>
      <w:bookmarkEnd w:id="27"/>
      <w:r>
        <w:t>: Materials Validation Findings</w:t>
      </w:r>
      <w:bookmarkEnd w:id="28"/>
    </w:p>
    <w:tbl>
      <w:tblPr>
        <w:tblStyle w:val="PlainTable1"/>
        <w:tblW w:w="0" w:type="auto"/>
        <w:tblLook w:val="04A0" w:firstRow="1" w:lastRow="0" w:firstColumn="1" w:lastColumn="0" w:noHBand="0" w:noVBand="1"/>
      </w:tblPr>
      <w:tblGrid>
        <w:gridCol w:w="1681"/>
        <w:gridCol w:w="1832"/>
        <w:gridCol w:w="3812"/>
        <w:gridCol w:w="2025"/>
      </w:tblGrid>
      <w:tr w:rsidR="00690777" w:rsidRPr="00622641" w14:paraId="2143C34C" w14:textId="77777777" w:rsidTr="009D043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488D6C23" w14:textId="77777777" w:rsidR="00690777" w:rsidRPr="00622641" w:rsidRDefault="00690777" w:rsidP="009D0435">
            <w:pPr>
              <w:spacing w:after="0"/>
              <w:jc w:val="center"/>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vAlign w:val="center"/>
          </w:tcPr>
          <w:p w14:paraId="747A60C4" w14:textId="77777777" w:rsidR="00690777" w:rsidRPr="00622641" w:rsidRDefault="00690777" w:rsidP="009D043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0" w:type="auto"/>
            <w:shd w:val="clear" w:color="auto" w:fill="5D7D95" w:themeFill="accent1"/>
            <w:vAlign w:val="center"/>
          </w:tcPr>
          <w:p w14:paraId="15DF282E" w14:textId="77777777" w:rsidR="00690777" w:rsidRPr="00622641" w:rsidRDefault="00690777" w:rsidP="009D043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2D15329F" w14:textId="77777777" w:rsidR="00690777" w:rsidRPr="00622641" w:rsidRDefault="00690777" w:rsidP="009D043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690777" w:rsidRPr="005A1822" w14:paraId="7BEAD2ED" w14:textId="77777777" w:rsidTr="009D0435">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3FA803AA" w14:textId="77777777" w:rsidR="00690777" w:rsidRPr="005A1822" w:rsidRDefault="00690777" w:rsidP="009D0435">
            <w:pPr>
              <w:spacing w:after="120"/>
              <w:jc w:val="center"/>
              <w:rPr>
                <w:rFonts w:eastAsia="Times New Roman" w:cs="Calibri"/>
                <w:color w:val="000000"/>
                <w:szCs w:val="22"/>
              </w:rPr>
            </w:pPr>
            <w:r>
              <w:rPr>
                <w:rFonts w:eastAsia="Times New Roman" w:cs="Calibri"/>
                <w:color w:val="000000"/>
                <w:szCs w:val="22"/>
              </w:rPr>
              <w:t>Materials Validation</w:t>
            </w:r>
          </w:p>
        </w:tc>
        <w:tc>
          <w:tcPr>
            <w:tcW w:w="0" w:type="auto"/>
          </w:tcPr>
          <w:p w14:paraId="2BA16E6B" w14:textId="77777777" w:rsidR="00690777" w:rsidRPr="005A1822" w:rsidRDefault="00690777" w:rsidP="009D043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Lack of material relating to model assumptions, capabilities, and limitations.</w:t>
            </w:r>
          </w:p>
        </w:tc>
        <w:tc>
          <w:tcPr>
            <w:tcW w:w="0" w:type="auto"/>
          </w:tcPr>
          <w:p w14:paraId="6B15DAA8" w14:textId="77777777" w:rsidR="00690777" w:rsidRPr="005A1822" w:rsidRDefault="00690777" w:rsidP="009D043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eastAsia="Times New Roman" w:cs="Calibri"/>
                <w:szCs w:val="22"/>
              </w:rPr>
              <w:t>These aspects of the documentation were previously part of the cover letter as well as the model overview PowerPoint, but those documents were not included with v1110 of the model. We note that some specific assumptions are included in the Excel files, but there is not broader discussion around assumptions and their implications.</w:t>
            </w:r>
          </w:p>
        </w:tc>
        <w:tc>
          <w:tcPr>
            <w:tcW w:w="0" w:type="auto"/>
          </w:tcPr>
          <w:p w14:paraId="40724C6D" w14:textId="77777777" w:rsidR="00690777" w:rsidRPr="005A1822" w:rsidRDefault="00690777" w:rsidP="009D043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eastAsia="Times New Roman" w:cs="Calibri"/>
                <w:szCs w:val="22"/>
              </w:rPr>
              <w:t>Include updated versions of the cover letter and model overview PowerPoint.</w:t>
            </w:r>
          </w:p>
        </w:tc>
      </w:tr>
    </w:tbl>
    <w:p w14:paraId="17935E90" w14:textId="538F926D" w:rsidR="00E95333" w:rsidRPr="003130D0" w:rsidRDefault="00E95333" w:rsidP="00690777">
      <w:pPr>
        <w:tabs>
          <w:tab w:val="left" w:pos="2412"/>
        </w:tabs>
        <w:rPr>
          <w:sz w:val="24"/>
          <w:szCs w:val="24"/>
        </w:rPr>
        <w:sectPr w:rsidR="00E95333" w:rsidRPr="003130D0" w:rsidSect="00690777">
          <w:pgSz w:w="12240" w:h="15840" w:code="1"/>
          <w:pgMar w:top="1440" w:right="1440" w:bottom="1440" w:left="1440" w:header="720" w:footer="720" w:gutter="0"/>
          <w:cols w:space="720"/>
          <w:noEndnote/>
          <w:docGrid w:linePitch="326"/>
        </w:sectPr>
      </w:pPr>
    </w:p>
    <w:p w14:paraId="358527B6" w14:textId="017A9314" w:rsidR="00E369EB" w:rsidRPr="00F11367" w:rsidRDefault="004A6C5F">
      <w:pPr>
        <w:pStyle w:val="Heading1"/>
      </w:pPr>
      <w:bookmarkStart w:id="29" w:name="_Validation_by_Section"/>
      <w:bookmarkStart w:id="30" w:name="_Toc52396003"/>
      <w:bookmarkStart w:id="31" w:name="_Toc59050075"/>
      <w:bookmarkStart w:id="32" w:name="_Toc51849680"/>
      <w:bookmarkEnd w:id="29"/>
      <w:r w:rsidRPr="00E94290">
        <w:lastRenderedPageBreak/>
        <w:t>Review of Harvard Grant Team Responses to Model Verification</w:t>
      </w:r>
      <w:r w:rsidR="003254B9" w:rsidRPr="00F11367">
        <w:t xml:space="preserve"> </w:t>
      </w:r>
      <w:r w:rsidR="00433DAB" w:rsidRPr="009B43BF">
        <w:t>#2</w:t>
      </w:r>
      <w:bookmarkEnd w:id="30"/>
      <w:bookmarkEnd w:id="31"/>
    </w:p>
    <w:p w14:paraId="70308992" w14:textId="781F7E5C" w:rsidR="00C3059B" w:rsidRPr="00F11367" w:rsidRDefault="005A1CD3" w:rsidP="00E70DEB">
      <w:r w:rsidRPr="009B43BF">
        <w:t>This sec</w:t>
      </w:r>
      <w:r w:rsidR="009A61E8" w:rsidRPr="009B43BF">
        <w:t xml:space="preserve">tion </w:t>
      </w:r>
      <w:r w:rsidR="00463BA8">
        <w:t xml:space="preserve">summarizes </w:t>
      </w:r>
      <w:r w:rsidR="00A21725">
        <w:t xml:space="preserve">the </w:t>
      </w:r>
      <w:r w:rsidR="0072502D">
        <w:t xml:space="preserve">review of </w:t>
      </w:r>
      <w:r w:rsidR="002321ED">
        <w:t>model</w:t>
      </w:r>
      <w:r w:rsidR="00A21725">
        <w:t xml:space="preserve"> </w:t>
      </w:r>
      <w:r w:rsidR="00A21725" w:rsidRPr="009B43BF">
        <w:t>v1</w:t>
      </w:r>
      <w:r w:rsidR="00195869">
        <w:t>110</w:t>
      </w:r>
      <w:r w:rsidR="00A21725" w:rsidRPr="009B43BF">
        <w:t xml:space="preserve"> </w:t>
      </w:r>
      <w:r w:rsidR="0013697D">
        <w:t>against</w:t>
      </w:r>
      <w:r w:rsidR="009C04B3" w:rsidRPr="009B43BF">
        <w:t xml:space="preserve"> </w:t>
      </w:r>
      <w:hyperlink r:id="rId25" w:history="1">
        <w:r w:rsidR="00CD6519" w:rsidRPr="009870D8">
          <w:rPr>
            <w:rStyle w:val="Hyperlink"/>
          </w:rPr>
          <w:t>Model Verification #2</w:t>
        </w:r>
      </w:hyperlink>
      <w:r w:rsidR="00CD6519" w:rsidRPr="009B43BF">
        <w:t xml:space="preserve"> f</w:t>
      </w:r>
      <w:r w:rsidR="009C04B3" w:rsidRPr="009B43BF">
        <w:t>eedback</w:t>
      </w:r>
      <w:r w:rsidR="00063675">
        <w:t xml:space="preserve"> rela</w:t>
      </w:r>
      <w:r w:rsidR="00406E9F">
        <w:t>ted to policy validation</w:t>
      </w:r>
      <w:r w:rsidR="00182D0B">
        <w:t>.</w:t>
      </w:r>
      <w:r w:rsidR="001A1D66" w:rsidRPr="00E70DEB">
        <w:rPr>
          <w:szCs w:val="22"/>
        </w:rPr>
        <w:t xml:space="preserve"> </w:t>
      </w:r>
      <w:r w:rsidR="001D57B8">
        <w:rPr>
          <w:szCs w:val="22"/>
        </w:rPr>
        <w:fldChar w:fldCharType="begin"/>
      </w:r>
      <w:r w:rsidR="001D57B8">
        <w:rPr>
          <w:szCs w:val="22"/>
        </w:rPr>
        <w:instrText xml:space="preserve"> REF _Ref52285816 \h </w:instrText>
      </w:r>
      <w:r w:rsidR="001D57B8">
        <w:rPr>
          <w:szCs w:val="22"/>
        </w:rPr>
      </w:r>
      <w:r w:rsidR="001D57B8">
        <w:rPr>
          <w:szCs w:val="22"/>
        </w:rPr>
        <w:fldChar w:fldCharType="separate"/>
      </w:r>
      <w:r w:rsidR="002D74C2" w:rsidRPr="009B43BF">
        <w:t xml:space="preserve">Table </w:t>
      </w:r>
      <w:r w:rsidR="002D74C2">
        <w:rPr>
          <w:noProof/>
        </w:rPr>
        <w:t>5</w:t>
      </w:r>
      <w:r w:rsidR="002D74C2">
        <w:noBreakHyphen/>
      </w:r>
      <w:r w:rsidR="002D74C2">
        <w:rPr>
          <w:noProof/>
        </w:rPr>
        <w:t>1</w:t>
      </w:r>
      <w:r w:rsidR="001D57B8">
        <w:rPr>
          <w:szCs w:val="22"/>
        </w:rPr>
        <w:fldChar w:fldCharType="end"/>
      </w:r>
      <w:r w:rsidR="001A1D66" w:rsidRPr="00E70DEB">
        <w:t xml:space="preserve"> summarizes </w:t>
      </w:r>
      <w:r w:rsidR="001A1D66" w:rsidRPr="00F11367">
        <w:t xml:space="preserve">our review of </w:t>
      </w:r>
      <w:r w:rsidR="00EC6DFB">
        <w:t xml:space="preserve">those </w:t>
      </w:r>
      <w:r w:rsidR="001A1D66" w:rsidRPr="00F11367">
        <w:t>Model Verification #2 find</w:t>
      </w:r>
      <w:r w:rsidR="001A1D66" w:rsidRPr="00516ECD">
        <w:t>ings</w:t>
      </w:r>
      <w:r w:rsidR="001A1D66" w:rsidRPr="00E96B61">
        <w:t>.</w:t>
      </w:r>
      <w:r w:rsidR="00A80874">
        <w:t xml:space="preserve"> </w:t>
      </w:r>
    </w:p>
    <w:p w14:paraId="785B11D1" w14:textId="5417B941" w:rsidR="00A80874" w:rsidRDefault="00B766A0" w:rsidP="00D05863">
      <w:pPr>
        <w:pStyle w:val="Caption"/>
      </w:pPr>
      <w:bookmarkStart w:id="33" w:name="_Ref52285816"/>
      <w:bookmarkStart w:id="34" w:name="_Toc52396035"/>
      <w:bookmarkStart w:id="35" w:name="_Toc59050103"/>
      <w:r w:rsidRPr="009B43BF">
        <w:t xml:space="preserve">Table </w:t>
      </w:r>
      <w:fldSimple w:instr=" STYLEREF 1 \s ">
        <w:r w:rsidR="00564EC2">
          <w:rPr>
            <w:noProof/>
          </w:rPr>
          <w:t>5</w:t>
        </w:r>
      </w:fldSimple>
      <w:r w:rsidR="00564EC2">
        <w:noBreakHyphen/>
      </w:r>
      <w:fldSimple w:instr=" SEQ Table \* ARABIC \s 1 ">
        <w:r w:rsidR="00564EC2">
          <w:rPr>
            <w:noProof/>
          </w:rPr>
          <w:t>1</w:t>
        </w:r>
      </w:fldSimple>
      <w:bookmarkEnd w:id="33"/>
      <w:r w:rsidR="00482F00">
        <w:t>:</w:t>
      </w:r>
      <w:r w:rsidRPr="00E94290">
        <w:t xml:space="preserve"> Review of Response to Model Verification #2</w:t>
      </w:r>
      <w:bookmarkEnd w:id="34"/>
      <w:bookmarkEnd w:id="35"/>
    </w:p>
    <w:tbl>
      <w:tblPr>
        <w:tblStyle w:val="PlainTable11"/>
        <w:tblW w:w="5000" w:type="pct"/>
        <w:tblLook w:val="04A0" w:firstRow="1" w:lastRow="0" w:firstColumn="1" w:lastColumn="0" w:noHBand="0" w:noVBand="1"/>
      </w:tblPr>
      <w:tblGrid>
        <w:gridCol w:w="3686"/>
        <w:gridCol w:w="5664"/>
      </w:tblGrid>
      <w:tr w:rsidR="00D77456" w:rsidRPr="00E94290" w14:paraId="26F6736F" w14:textId="77777777" w:rsidTr="00CD4979">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7235FA4E" w14:textId="25CCD0DF" w:rsidR="00D77456" w:rsidRPr="00E94290" w:rsidRDefault="0080109A" w:rsidP="00664DF2">
            <w:pPr>
              <w:spacing w:after="0"/>
              <w:jc w:val="center"/>
              <w:rPr>
                <w:rFonts w:eastAsia="Yu Mincho" w:cs="Calibri"/>
                <w:color w:val="FFFFFF" w:themeColor="background1"/>
                <w:szCs w:val="22"/>
              </w:rPr>
            </w:pPr>
            <w:r w:rsidRPr="00DE4F3A">
              <w:rPr>
                <w:rFonts w:eastAsia="Yu Mincho" w:cs="Calibri"/>
                <w:color w:val="FFFFFF" w:themeColor="background1"/>
                <w:szCs w:val="22"/>
              </w:rPr>
              <w:t xml:space="preserve">Verification #2 </w:t>
            </w:r>
            <w:r w:rsidR="00D77456" w:rsidRPr="00DE4F3A">
              <w:rPr>
                <w:rFonts w:eastAsia="Yu Mincho" w:cs="Calibri"/>
                <w:color w:val="FFFFFF" w:themeColor="background1"/>
                <w:szCs w:val="22"/>
              </w:rPr>
              <w:t>Finding</w:t>
            </w:r>
            <w:r w:rsidRPr="00DE4F3A">
              <w:rPr>
                <w:rFonts w:eastAsia="Yu Mincho" w:cs="Calibri"/>
                <w:color w:val="FFFFFF" w:themeColor="background1"/>
                <w:szCs w:val="22"/>
              </w:rPr>
              <w:t xml:space="preserve"> </w:t>
            </w:r>
            <w:r w:rsidR="00D76589">
              <w:rPr>
                <w:rFonts w:eastAsia="Yu Mincho" w:cs="Calibri"/>
                <w:color w:val="FFFFFF" w:themeColor="background1"/>
                <w:szCs w:val="22"/>
              </w:rPr>
              <w:t>B</w:t>
            </w:r>
            <w:r w:rsidR="00EE128C" w:rsidRPr="00DE4F3A">
              <w:rPr>
                <w:rFonts w:eastAsia="Yu Mincho" w:cs="Calibri"/>
                <w:color w:val="FFFFFF" w:themeColor="background1"/>
                <w:szCs w:val="22"/>
              </w:rPr>
              <w:t>ased o</w:t>
            </w:r>
            <w:r w:rsidR="00306E07">
              <w:rPr>
                <w:rFonts w:eastAsia="Yu Mincho" w:cs="Calibri"/>
                <w:color w:val="FFFFFF" w:themeColor="background1"/>
                <w:szCs w:val="22"/>
              </w:rPr>
              <w:t>n Model</w:t>
            </w:r>
            <w:r w:rsidR="00EE128C" w:rsidRPr="00DE4F3A">
              <w:rPr>
                <w:rFonts w:eastAsia="Yu Mincho" w:cs="Calibri"/>
                <w:color w:val="FFFFFF" w:themeColor="background1"/>
                <w:szCs w:val="22"/>
              </w:rPr>
              <w:t xml:space="preserve"> v6</w:t>
            </w:r>
            <w:r w:rsidR="009C3D59">
              <w:rPr>
                <w:rFonts w:eastAsia="Yu Mincho" w:cs="Calibri"/>
                <w:color w:val="FFFFFF" w:themeColor="background1"/>
                <w:szCs w:val="22"/>
              </w:rPr>
              <w:t>22</w:t>
            </w:r>
          </w:p>
        </w:tc>
        <w:tc>
          <w:tcPr>
            <w:tcW w:w="3029"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1BD073C8" w14:textId="4748AFFC" w:rsidR="00D77456" w:rsidRPr="009B43BF" w:rsidRDefault="006037B0" w:rsidP="00664DF2">
            <w:pPr>
              <w:spacing w:after="0"/>
              <w:jc w:val="center"/>
              <w:cnfStyle w:val="100000000000" w:firstRow="1" w:lastRow="0" w:firstColumn="0" w:lastColumn="0" w:oddVBand="0" w:evenVBand="0" w:oddHBand="0" w:evenHBand="0" w:firstRowFirstColumn="0" w:firstRowLastColumn="0" w:lastRowFirstColumn="0" w:lastRowLastColumn="0"/>
              <w:rPr>
                <w:rFonts w:eastAsia="Yu Mincho" w:cs="Calibri"/>
                <w:color w:val="FFFFFF" w:themeColor="background1"/>
                <w:szCs w:val="22"/>
              </w:rPr>
            </w:pPr>
            <w:r w:rsidRPr="00F11367">
              <w:rPr>
                <w:rFonts w:eastAsia="Yu Mincho" w:cs="Calibri"/>
                <w:color w:val="FFFFFF" w:themeColor="background1"/>
                <w:szCs w:val="22"/>
              </w:rPr>
              <w:t xml:space="preserve">Review of </w:t>
            </w:r>
            <w:r w:rsidR="00F967E7" w:rsidRPr="009B43BF">
              <w:rPr>
                <w:rFonts w:eastAsia="Yu Mincho" w:cs="Calibri"/>
                <w:color w:val="FFFFFF" w:themeColor="background1"/>
                <w:szCs w:val="22"/>
              </w:rPr>
              <w:t xml:space="preserve">Finding </w:t>
            </w:r>
            <w:r w:rsidR="00306E07">
              <w:rPr>
                <w:rFonts w:eastAsia="Yu Mincho" w:cs="Calibri"/>
                <w:color w:val="FFFFFF" w:themeColor="background1"/>
                <w:szCs w:val="22"/>
              </w:rPr>
              <w:t>in Model</w:t>
            </w:r>
            <w:r w:rsidR="00F967E7" w:rsidRPr="009B43BF">
              <w:rPr>
                <w:rFonts w:eastAsia="Yu Mincho" w:cs="Calibri"/>
                <w:color w:val="FFFFFF" w:themeColor="background1"/>
                <w:szCs w:val="22"/>
              </w:rPr>
              <w:t xml:space="preserve"> v</w:t>
            </w:r>
            <w:r w:rsidR="00FA5544">
              <w:rPr>
                <w:rFonts w:eastAsia="Yu Mincho" w:cs="Calibri"/>
                <w:color w:val="FFFFFF" w:themeColor="background1"/>
                <w:szCs w:val="22"/>
              </w:rPr>
              <w:t>1110</w:t>
            </w:r>
          </w:p>
        </w:tc>
      </w:tr>
      <w:tr w:rsidR="00D77456" w:rsidRPr="00E94290" w14:paraId="2D274C14" w14:textId="77777777" w:rsidTr="007A65D6">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57B73081" w14:textId="1D7CFAFD" w:rsidR="00D77456" w:rsidRPr="003A5484" w:rsidRDefault="00F575C7" w:rsidP="00664DF2">
            <w:pPr>
              <w:spacing w:after="0"/>
              <w:rPr>
                <w:b w:val="0"/>
                <w:szCs w:val="22"/>
              </w:rPr>
            </w:pPr>
            <w:r w:rsidRPr="003A5484">
              <w:rPr>
                <w:b w:val="0"/>
                <w:szCs w:val="22"/>
              </w:rPr>
              <w:t xml:space="preserve">Assumptions regarding street </w:t>
            </w:r>
            <w:r w:rsidR="00E270DD">
              <w:rPr>
                <w:b w:val="0"/>
                <w:szCs w:val="22"/>
              </w:rPr>
              <w:t>prescription (</w:t>
            </w:r>
            <w:r w:rsidRPr="003A5484">
              <w:rPr>
                <w:b w:val="0"/>
                <w:szCs w:val="22"/>
              </w:rPr>
              <w:t>Rx</w:t>
            </w:r>
            <w:r w:rsidR="00E270DD">
              <w:rPr>
                <w:b w:val="0"/>
                <w:szCs w:val="22"/>
              </w:rPr>
              <w:t>)</w:t>
            </w:r>
            <w:r w:rsidRPr="003A5484">
              <w:rPr>
                <w:b w:val="0"/>
                <w:szCs w:val="22"/>
              </w:rPr>
              <w:t xml:space="preserve"> consumption that lead to unexpected behavior in the model</w:t>
            </w:r>
            <w:r w:rsidR="00BD409D">
              <w:rPr>
                <w:b w:val="0"/>
                <w:szCs w:val="22"/>
              </w:rPr>
              <w:t>.</w:t>
            </w:r>
          </w:p>
        </w:tc>
        <w:tc>
          <w:tcPr>
            <w:tcW w:w="3029" w:type="pct"/>
            <w:tcBorders>
              <w:top w:val="single" w:sz="4" w:space="0" w:color="BFBFBF"/>
              <w:left w:val="single" w:sz="4" w:space="0" w:color="BFBFBF"/>
              <w:bottom w:val="single" w:sz="4" w:space="0" w:color="BFBFBF"/>
              <w:right w:val="single" w:sz="4" w:space="0" w:color="BFBFBF"/>
            </w:tcBorders>
          </w:tcPr>
          <w:p w14:paraId="29CCB422" w14:textId="030020E2" w:rsidR="00D77456" w:rsidRPr="00E94290" w:rsidRDefault="00EA57FF" w:rsidP="00664DF2">
            <w:pPr>
              <w:spacing w:after="0"/>
              <w:cnfStyle w:val="000000100000" w:firstRow="0" w:lastRow="0" w:firstColumn="0" w:lastColumn="0" w:oddVBand="0" w:evenVBand="0" w:oddHBand="1" w:evenHBand="0" w:firstRowFirstColumn="0" w:firstRowLastColumn="0" w:lastRowFirstColumn="0" w:lastRowLastColumn="0"/>
              <w:rPr>
                <w:rFonts w:eastAsia="Yu Mincho" w:cs="Calibri"/>
                <w:szCs w:val="22"/>
              </w:rPr>
            </w:pPr>
            <w:r>
              <w:rPr>
                <w:rFonts w:eastAsia="Yu Mincho" w:cs="Calibri"/>
                <w:szCs w:val="22"/>
              </w:rPr>
              <w:t>Current model includes assumptions consistent with Verification #2 recommendations</w:t>
            </w:r>
            <w:r w:rsidR="00BD409D">
              <w:rPr>
                <w:rFonts w:eastAsia="Yu Mincho" w:cs="Calibri"/>
                <w:szCs w:val="22"/>
              </w:rPr>
              <w:t>.</w:t>
            </w:r>
          </w:p>
        </w:tc>
      </w:tr>
      <w:tr w:rsidR="00D77456" w:rsidRPr="00E94290" w14:paraId="48EDD0F6" w14:textId="77777777" w:rsidTr="007A65D6">
        <w:trPr>
          <w:cantSplit/>
          <w:trHeight w:val="576"/>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579E58EE" w14:textId="4AC5668B" w:rsidR="00D77456" w:rsidRPr="003A5484" w:rsidRDefault="00A0082B" w:rsidP="00664DF2">
            <w:pPr>
              <w:contextualSpacing/>
              <w:rPr>
                <w:rFonts w:eastAsia="Yu Mincho" w:cs="Calibri"/>
                <w:b w:val="0"/>
                <w:szCs w:val="22"/>
              </w:rPr>
            </w:pPr>
            <w:r w:rsidRPr="003A5484">
              <w:rPr>
                <w:rFonts w:eastAsia="Yu Mincho" w:cs="Calibri"/>
                <w:b w:val="0"/>
                <w:szCs w:val="22"/>
              </w:rPr>
              <w:t xml:space="preserve">The model did not reasonably follow historical values of: 1) </w:t>
            </w:r>
            <w:r w:rsidR="004F5726">
              <w:rPr>
                <w:rFonts w:eastAsia="Yu Mincho" w:cs="Calibri"/>
                <w:b w:val="0"/>
                <w:szCs w:val="22"/>
              </w:rPr>
              <w:t>buprenorphine (</w:t>
            </w:r>
            <w:r w:rsidRPr="003A5484">
              <w:rPr>
                <w:rFonts w:eastAsia="Yu Mincho" w:cs="Calibri"/>
                <w:b w:val="0"/>
                <w:szCs w:val="22"/>
              </w:rPr>
              <w:t>Bup</w:t>
            </w:r>
            <w:r w:rsidR="004F5726">
              <w:rPr>
                <w:rFonts w:eastAsia="Yu Mincho" w:cs="Calibri"/>
                <w:b w:val="0"/>
                <w:szCs w:val="22"/>
              </w:rPr>
              <w:t>)</w:t>
            </w:r>
            <w:r w:rsidRPr="003A5484">
              <w:rPr>
                <w:rFonts w:eastAsia="Yu Mincho" w:cs="Calibri"/>
                <w:b w:val="0"/>
                <w:szCs w:val="22"/>
              </w:rPr>
              <w:t xml:space="preserve"> treatment from 2014-2018; and 2) prices of illicit prescriptions (Rx) on the streets.</w:t>
            </w:r>
          </w:p>
        </w:tc>
        <w:tc>
          <w:tcPr>
            <w:tcW w:w="3029" w:type="pct"/>
            <w:tcBorders>
              <w:top w:val="single" w:sz="4" w:space="0" w:color="BFBFBF"/>
              <w:left w:val="single" w:sz="4" w:space="0" w:color="BFBFBF"/>
              <w:bottom w:val="single" w:sz="4" w:space="0" w:color="BFBFBF"/>
              <w:right w:val="single" w:sz="4" w:space="0" w:color="BFBFBF"/>
            </w:tcBorders>
          </w:tcPr>
          <w:p w14:paraId="52B2D0AF" w14:textId="45A341A1" w:rsidR="00F27F99" w:rsidRDefault="00F27F99" w:rsidP="00F27F99">
            <w:pPr>
              <w:cnfStyle w:val="000000000000" w:firstRow="0" w:lastRow="0" w:firstColumn="0" w:lastColumn="0" w:oddVBand="0" w:evenVBand="0" w:oddHBand="0" w:evenHBand="0" w:firstRowFirstColumn="0" w:firstRowLastColumn="0" w:lastRowFirstColumn="0" w:lastRowLastColumn="0"/>
              <w:rPr>
                <w:rFonts w:eastAsia="Yu Mincho" w:cs="Calibri"/>
              </w:rPr>
            </w:pPr>
            <w:r>
              <w:rPr>
                <w:rFonts w:eastAsia="Yu Mincho" w:cs="Calibri"/>
              </w:rPr>
              <w:t>Simulated Bup treatment peaks in 2019 and declines slightly.</w:t>
            </w:r>
            <w:r w:rsidR="00C47DA5">
              <w:rPr>
                <w:rFonts w:eastAsia="Yu Mincho" w:cs="Calibri"/>
              </w:rPr>
              <w:t xml:space="preserve"> </w:t>
            </w:r>
            <w:r>
              <w:rPr>
                <w:rFonts w:eastAsia="Yu Mincho" w:cs="Calibri"/>
              </w:rPr>
              <w:t>This is beyond the range of data, which does not show a peak yet</w:t>
            </w:r>
            <w:r w:rsidRPr="003F023D">
              <w:rPr>
                <w:rFonts w:eastAsia="Yu Mincho" w:cs="Calibri"/>
              </w:rPr>
              <w:t>.</w:t>
            </w:r>
            <w:r w:rsidR="00C47DA5">
              <w:rPr>
                <w:rFonts w:eastAsia="Yu Mincho" w:cs="Calibri"/>
              </w:rPr>
              <w:t xml:space="preserve"> </w:t>
            </w:r>
            <w:r w:rsidRPr="003F023D">
              <w:rPr>
                <w:rFonts w:eastAsia="Yu Mincho" w:cs="Calibri"/>
              </w:rPr>
              <w:t xml:space="preserve">Please document uncertainty about future Bup treatment and consider a review when more recent data </w:t>
            </w:r>
            <w:r w:rsidR="00A662F7">
              <w:rPr>
                <w:rFonts w:eastAsia="Yu Mincho" w:cs="Calibri"/>
              </w:rPr>
              <w:t>is</w:t>
            </w:r>
            <w:r w:rsidRPr="003F023D">
              <w:rPr>
                <w:rFonts w:eastAsia="Yu Mincho" w:cs="Calibri"/>
              </w:rPr>
              <w:t xml:space="preserve"> available.</w:t>
            </w:r>
          </w:p>
          <w:p w14:paraId="0C6CE730" w14:textId="004F284A" w:rsidR="00D77456" w:rsidRPr="00F11367" w:rsidRDefault="00F27F99" w:rsidP="00243594">
            <w:pPr>
              <w:cnfStyle w:val="000000000000" w:firstRow="0" w:lastRow="0" w:firstColumn="0" w:lastColumn="0" w:oddVBand="0" w:evenVBand="0" w:oddHBand="0" w:evenHBand="0" w:firstRowFirstColumn="0" w:firstRowLastColumn="0" w:lastRowFirstColumn="0" w:lastRowLastColumn="0"/>
              <w:rPr>
                <w:rFonts w:eastAsia="Yu Mincho" w:cs="Calibri"/>
              </w:rPr>
            </w:pPr>
            <w:r>
              <w:rPr>
                <w:rFonts w:eastAsia="Yu Mincho" w:cs="Calibri"/>
              </w:rPr>
              <w:t xml:space="preserve">Simulated Rx prices fit data much better in </w:t>
            </w:r>
            <w:r w:rsidR="00A662F7">
              <w:rPr>
                <w:rFonts w:eastAsia="Yu Mincho" w:cs="Calibri"/>
              </w:rPr>
              <w:t>model v1110.</w:t>
            </w:r>
          </w:p>
        </w:tc>
      </w:tr>
      <w:tr w:rsidR="00D77456" w:rsidRPr="00E94290" w14:paraId="114B7E03" w14:textId="77777777" w:rsidTr="007A65D6">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667653DE" w14:textId="0EA8F65E" w:rsidR="00D77456" w:rsidRPr="003A5484" w:rsidRDefault="000120DB" w:rsidP="00664DF2">
            <w:pPr>
              <w:spacing w:after="0"/>
              <w:rPr>
                <w:rFonts w:eastAsia="Calibri" w:cs="Arial"/>
                <w:b w:val="0"/>
              </w:rPr>
            </w:pPr>
            <w:r w:rsidRPr="003A5484">
              <w:rPr>
                <w:rFonts w:eastAsia="Calibri" w:cs="Arial"/>
                <w:b w:val="0"/>
              </w:rPr>
              <w:t>We found strong assumptions in the baseline run of the model may lead to improbable baseline run estimates for the “business-as-usual” scenario</w:t>
            </w:r>
            <w:r w:rsidR="00BD409D">
              <w:rPr>
                <w:rFonts w:eastAsia="Calibri" w:cs="Arial"/>
                <w:b w:val="0"/>
              </w:rPr>
              <w:t>.</w:t>
            </w:r>
          </w:p>
        </w:tc>
        <w:tc>
          <w:tcPr>
            <w:tcW w:w="3029" w:type="pct"/>
            <w:tcBorders>
              <w:top w:val="single" w:sz="4" w:space="0" w:color="BFBFBF"/>
              <w:left w:val="single" w:sz="4" w:space="0" w:color="BFBFBF"/>
              <w:bottom w:val="single" w:sz="4" w:space="0" w:color="BFBFBF"/>
              <w:right w:val="single" w:sz="4" w:space="0" w:color="BFBFBF"/>
            </w:tcBorders>
          </w:tcPr>
          <w:p w14:paraId="647C5811" w14:textId="36FA4270" w:rsidR="00D77456" w:rsidRPr="00E94290" w:rsidRDefault="00EA57FF" w:rsidP="00664DF2">
            <w:pPr>
              <w:cnfStyle w:val="000000100000" w:firstRow="0" w:lastRow="0" w:firstColumn="0" w:lastColumn="0" w:oddVBand="0" w:evenVBand="0" w:oddHBand="1" w:evenHBand="0" w:firstRowFirstColumn="0" w:firstRowLastColumn="0" w:lastRowFirstColumn="0" w:lastRowLastColumn="0"/>
            </w:pPr>
            <w:r>
              <w:t>Revisions include improved assumptions that lead to more reasonable estimates in the “business-as-usual” scenario</w:t>
            </w:r>
            <w:r w:rsidR="00BD409D">
              <w:t>.</w:t>
            </w:r>
          </w:p>
        </w:tc>
      </w:tr>
    </w:tbl>
    <w:p w14:paraId="78918DC0" w14:textId="367A5560" w:rsidR="00EA0177" w:rsidRDefault="00A84B8F" w:rsidP="002005BD">
      <w:pPr>
        <w:pStyle w:val="Heading1"/>
      </w:pPr>
      <w:bookmarkStart w:id="36" w:name="_Validation_by_Section_1"/>
      <w:bookmarkStart w:id="37" w:name="_Toc59050076"/>
      <w:bookmarkStart w:id="38" w:name="_Toc52396004"/>
      <w:bookmarkEnd w:id="36"/>
      <w:r>
        <w:t>Review of Harvard Grant Team Responses to Final Validation Part 1</w:t>
      </w:r>
      <w:bookmarkEnd w:id="37"/>
    </w:p>
    <w:p w14:paraId="5BAB7300" w14:textId="109A2EBB" w:rsidR="00FA5544" w:rsidRDefault="00FA5544" w:rsidP="00A6249C">
      <w:r w:rsidRPr="009B43BF">
        <w:t xml:space="preserve">This section </w:t>
      </w:r>
      <w:r>
        <w:t xml:space="preserve">summarizes the review of model </w:t>
      </w:r>
      <w:r w:rsidRPr="009B43BF">
        <w:t>v1</w:t>
      </w:r>
      <w:r>
        <w:t>110</w:t>
      </w:r>
      <w:r w:rsidRPr="009B43BF">
        <w:t xml:space="preserve"> </w:t>
      </w:r>
      <w:r>
        <w:t>against</w:t>
      </w:r>
      <w:r w:rsidRPr="009B43BF">
        <w:t xml:space="preserve"> </w:t>
      </w:r>
      <w:r w:rsidR="00854F6F">
        <w:t>Final Validation Part 1</w:t>
      </w:r>
      <w:r w:rsidRPr="009B43BF">
        <w:t xml:space="preserve"> feedback </w:t>
      </w:r>
      <w:r w:rsidRPr="00516ECD">
        <w:t xml:space="preserve">related to </w:t>
      </w:r>
      <w:r w:rsidR="00D76589">
        <w:t>structural and behavioral validation</w:t>
      </w:r>
      <w:r w:rsidRPr="00E70DEB">
        <w:rPr>
          <w:szCs w:val="22"/>
        </w:rPr>
        <w:t xml:space="preserve">. </w:t>
      </w:r>
      <w:r w:rsidR="00C76C7D">
        <w:rPr>
          <w:szCs w:val="22"/>
        </w:rPr>
        <w:t xml:space="preserve">Please see </w:t>
      </w:r>
      <w:hyperlink r:id="rId26" w:history="1">
        <w:r w:rsidR="00626A64" w:rsidRPr="009870D8">
          <w:rPr>
            <w:rStyle w:val="Hyperlink"/>
            <w:szCs w:val="22"/>
          </w:rPr>
          <w:t>Final Validation Part 1 Findings Version 2</w:t>
        </w:r>
      </w:hyperlink>
      <w:r w:rsidR="00B476CD">
        <w:rPr>
          <w:szCs w:val="22"/>
        </w:rPr>
        <w:t xml:space="preserve"> for the</w:t>
      </w:r>
      <w:r w:rsidR="008C0465">
        <w:rPr>
          <w:szCs w:val="22"/>
        </w:rPr>
        <w:t xml:space="preserve"> </w:t>
      </w:r>
      <w:r w:rsidR="00854F6F">
        <w:rPr>
          <w:szCs w:val="22"/>
        </w:rPr>
        <w:t>Validation Team’s full list</w:t>
      </w:r>
      <w:r w:rsidR="008C0465">
        <w:rPr>
          <w:szCs w:val="22"/>
        </w:rPr>
        <w:t xml:space="preserve"> of responses and </w:t>
      </w:r>
      <w:r w:rsidR="00854F6F">
        <w:rPr>
          <w:szCs w:val="22"/>
        </w:rPr>
        <w:t>recommended follow-up actions</w:t>
      </w:r>
      <w:r w:rsidRPr="00E96B61">
        <w:t>.</w:t>
      </w:r>
      <w:r>
        <w:t xml:space="preserve"> </w:t>
      </w:r>
    </w:p>
    <w:p w14:paraId="2E61B56E" w14:textId="0542CDFF" w:rsidR="00690777" w:rsidRDefault="00AC2220" w:rsidP="00826D2D">
      <w:pPr>
        <w:rPr>
          <w:rStyle w:val="CommentReference"/>
        </w:rPr>
      </w:pPr>
      <w:r>
        <w:t>In general</w:t>
      </w:r>
      <w:r w:rsidR="003329DA">
        <w:t>,</w:t>
      </w:r>
      <w:r>
        <w:t xml:space="preserve"> the</w:t>
      </w:r>
      <w:r w:rsidR="000B4259">
        <w:t xml:space="preserve"> </w:t>
      </w:r>
      <w:r w:rsidR="007D2549">
        <w:t xml:space="preserve">Grant Team’s </w:t>
      </w:r>
      <w:r w:rsidR="000B4259">
        <w:t>responses</w:t>
      </w:r>
      <w:r w:rsidR="007D2549">
        <w:t xml:space="preserve"> to Final Validation Part 1 </w:t>
      </w:r>
      <w:r w:rsidR="00235D4A">
        <w:t>feedback</w:t>
      </w:r>
      <w:r w:rsidR="000B4259">
        <w:t xml:space="preserve"> are satisfactory. </w:t>
      </w:r>
      <w:r w:rsidR="003329DA">
        <w:t xml:space="preserve">However, there were several items for which </w:t>
      </w:r>
      <w:r w:rsidR="00AD4E7F">
        <w:t>we</w:t>
      </w:r>
      <w:r w:rsidR="003329DA">
        <w:t xml:space="preserve"> have recommended that the Grant Team include specific documentation of the relevant model characteristics</w:t>
      </w:r>
      <w:r w:rsidR="00AA3E29">
        <w:t>.</w:t>
      </w:r>
      <w:r w:rsidR="000B4259">
        <w:t xml:space="preserve"> </w:t>
      </w:r>
      <w:r w:rsidR="00AA3E29">
        <w:t xml:space="preserve">In addition, </w:t>
      </w:r>
      <w:r w:rsidR="000B4259">
        <w:t>m</w:t>
      </w:r>
      <w:r w:rsidR="00225078">
        <w:t xml:space="preserve">ost of the </w:t>
      </w:r>
      <w:r w:rsidR="008B6BC4">
        <w:t>Grant Team’s responses</w:t>
      </w:r>
      <w:r w:rsidR="00642BF9">
        <w:t xml:space="preserve"> </w:t>
      </w:r>
      <w:r w:rsidR="00CA0424">
        <w:t xml:space="preserve">provided extra detail regarding model behavior. We recommend that these </w:t>
      </w:r>
      <w:r w:rsidR="00E7265A">
        <w:t xml:space="preserve">responses </w:t>
      </w:r>
      <w:r w:rsidR="00F619ED">
        <w:t xml:space="preserve">be documented </w:t>
      </w:r>
      <w:r w:rsidR="00CE7EA2">
        <w:t>in the approp</w:t>
      </w:r>
      <w:r w:rsidR="00184737">
        <w:t xml:space="preserve">riate </w:t>
      </w:r>
      <w:r w:rsidR="00832677">
        <w:t>file</w:t>
      </w:r>
      <w:r w:rsidR="009C484A">
        <w:t xml:space="preserve">s (e.g., “Model Documentation File.xlsx,” </w:t>
      </w:r>
      <w:r w:rsidR="008B1256">
        <w:t>a list of assumptions, model scope brief)</w:t>
      </w:r>
      <w:r w:rsidR="001D2DFB">
        <w:t>.</w:t>
      </w:r>
      <w:r w:rsidR="005B79A0">
        <w:t xml:space="preserve"> </w:t>
      </w:r>
      <w:r w:rsidR="00826D2D">
        <w:t xml:space="preserve">We have identified which responses </w:t>
      </w:r>
      <w:r w:rsidR="00C16B66">
        <w:t xml:space="preserve">or information </w:t>
      </w:r>
      <w:r w:rsidR="00826D2D">
        <w:t xml:space="preserve">from the </w:t>
      </w:r>
      <w:r w:rsidR="00475448">
        <w:t>G</w:t>
      </w:r>
      <w:r w:rsidR="00826D2D">
        <w:t xml:space="preserve">rant </w:t>
      </w:r>
      <w:r w:rsidR="00475448">
        <w:t>T</w:t>
      </w:r>
      <w:r w:rsidR="00826D2D">
        <w:t xml:space="preserve">eam should be added to the documentation and where they should be added in column </w:t>
      </w:r>
      <w:r w:rsidR="00865613">
        <w:t>I and</w:t>
      </w:r>
      <w:r w:rsidR="00826D2D">
        <w:t xml:space="preserve"> </w:t>
      </w:r>
      <w:r w:rsidR="00341AF2">
        <w:t>J</w:t>
      </w:r>
      <w:r w:rsidR="00826D2D">
        <w:t xml:space="preserve"> of </w:t>
      </w:r>
      <w:r w:rsidR="00B413ED">
        <w:t xml:space="preserve">the </w:t>
      </w:r>
      <w:r w:rsidR="0093240E">
        <w:t xml:space="preserve">Final Validation </w:t>
      </w:r>
      <w:r w:rsidR="009632C0">
        <w:t>Part 1 Findings</w:t>
      </w:r>
      <w:r w:rsidR="00E1323D">
        <w:t xml:space="preserve"> Version 2</w:t>
      </w:r>
      <w:r w:rsidR="0093240E">
        <w:t xml:space="preserve"> </w:t>
      </w:r>
      <w:r w:rsidR="00EE7FEF">
        <w:t>“M</w:t>
      </w:r>
      <w:r w:rsidR="00865613">
        <w:t xml:space="preserve">odel </w:t>
      </w:r>
      <w:r w:rsidR="00EE7FEF">
        <w:t>A</w:t>
      </w:r>
      <w:r w:rsidR="00865613">
        <w:t>ctions</w:t>
      </w:r>
      <w:r w:rsidR="00EE7FEF">
        <w:t>”</w:t>
      </w:r>
      <w:r w:rsidR="0093240E">
        <w:t xml:space="preserve"> tab</w:t>
      </w:r>
      <w:r w:rsidR="00826D2D">
        <w:t>.</w:t>
      </w:r>
      <w:r w:rsidR="00826D2D" w:rsidDel="00826D2D">
        <w:rPr>
          <w:rStyle w:val="CommentReference"/>
        </w:rPr>
        <w:t xml:space="preserve"> </w:t>
      </w:r>
    </w:p>
    <w:p w14:paraId="6EE57325" w14:textId="2911CD49" w:rsidR="00AF5299" w:rsidRDefault="00AF5299" w:rsidP="00826D2D">
      <w:pPr>
        <w:rPr>
          <w:rStyle w:val="CommentReference"/>
        </w:rPr>
      </w:pPr>
    </w:p>
    <w:p w14:paraId="2AFD3A98" w14:textId="5CB2C4AC" w:rsidR="00AF5299" w:rsidRDefault="00AF5299" w:rsidP="00826D2D">
      <w:pPr>
        <w:rPr>
          <w:rStyle w:val="CommentReference"/>
        </w:rPr>
      </w:pPr>
    </w:p>
    <w:p w14:paraId="512FE2A2" w14:textId="77777777" w:rsidR="00AF5299" w:rsidRPr="008B4CD5" w:rsidRDefault="00AF5299" w:rsidP="00826D2D">
      <w:pPr>
        <w:rPr>
          <w:sz w:val="18"/>
          <w:szCs w:val="18"/>
        </w:rPr>
      </w:pPr>
    </w:p>
    <w:p w14:paraId="645239CA" w14:textId="37578C16" w:rsidR="002005BD" w:rsidRDefault="00B76039" w:rsidP="00826D2D">
      <w:pPr>
        <w:pStyle w:val="Heading1"/>
      </w:pPr>
      <w:bookmarkStart w:id="39" w:name="_Policy_Validation"/>
      <w:bookmarkStart w:id="40" w:name="_Toc59050077"/>
      <w:bookmarkEnd w:id="32"/>
      <w:bookmarkEnd w:id="38"/>
      <w:bookmarkEnd w:id="39"/>
      <w:r>
        <w:lastRenderedPageBreak/>
        <w:t>Policy Validation</w:t>
      </w:r>
      <w:bookmarkEnd w:id="40"/>
    </w:p>
    <w:p w14:paraId="40C27EB8" w14:textId="7783F5CE" w:rsidR="00973D31" w:rsidRPr="00F6347A" w:rsidRDefault="00973D31" w:rsidP="00973D31">
      <w:pPr>
        <w:pStyle w:val="paragraph"/>
        <w:spacing w:before="0" w:beforeAutospacing="0" w:after="0" w:afterAutospacing="0"/>
        <w:textAlignment w:val="baseline"/>
        <w:rPr>
          <w:rFonts w:ascii="Segoe UI" w:hAnsi="Segoe UI" w:cs="Segoe UI"/>
          <w:sz w:val="18"/>
          <w:szCs w:val="18"/>
        </w:rPr>
      </w:pPr>
      <w:r w:rsidRPr="00E361D3">
        <w:rPr>
          <w:rStyle w:val="normaltextrun"/>
          <w:rFonts w:ascii="Calibri" w:hAnsi="Calibri" w:cs="Calibri"/>
          <w:sz w:val="22"/>
          <w:szCs w:val="22"/>
        </w:rPr>
        <w:t>The </w:t>
      </w:r>
      <w:r w:rsidR="00734AA0">
        <w:rPr>
          <w:rStyle w:val="normaltextrun"/>
          <w:rFonts w:ascii="Calibri" w:hAnsi="Calibri" w:cs="Calibri"/>
          <w:sz w:val="22"/>
          <w:szCs w:val="22"/>
        </w:rPr>
        <w:t>V</w:t>
      </w:r>
      <w:r w:rsidRPr="00E361D3">
        <w:rPr>
          <w:rStyle w:val="normaltextrun"/>
          <w:rFonts w:ascii="Calibri" w:hAnsi="Calibri" w:cs="Calibri"/>
          <w:sz w:val="22"/>
          <w:szCs w:val="22"/>
        </w:rPr>
        <w:t xml:space="preserve">alidation </w:t>
      </w:r>
      <w:r w:rsidR="00734AA0">
        <w:rPr>
          <w:rStyle w:val="normaltextrun"/>
          <w:rFonts w:ascii="Calibri" w:hAnsi="Calibri" w:cs="Calibri"/>
          <w:sz w:val="22"/>
          <w:szCs w:val="22"/>
        </w:rPr>
        <w:t>T</w:t>
      </w:r>
      <w:r w:rsidRPr="00E361D3">
        <w:rPr>
          <w:rStyle w:val="normaltextrun"/>
          <w:rFonts w:ascii="Calibri" w:hAnsi="Calibri" w:cs="Calibri"/>
          <w:sz w:val="22"/>
          <w:szCs w:val="22"/>
        </w:rPr>
        <w:t>eam qualitatively</w:t>
      </w:r>
      <w:r w:rsidR="00DD33FC" w:rsidRPr="00E361D3">
        <w:rPr>
          <w:rStyle w:val="normaltextrun"/>
          <w:rFonts w:ascii="Calibri" w:hAnsi="Calibri" w:cs="Calibri"/>
          <w:sz w:val="22"/>
          <w:szCs w:val="22"/>
        </w:rPr>
        <w:t xml:space="preserve"> and quantitatively</w:t>
      </w:r>
      <w:r w:rsidRPr="00E361D3">
        <w:rPr>
          <w:rStyle w:val="normaltextrun"/>
          <w:rFonts w:ascii="Calibri" w:hAnsi="Calibri" w:cs="Calibri"/>
          <w:sz w:val="22"/>
          <w:szCs w:val="22"/>
        </w:rPr>
        <w:t> </w:t>
      </w:r>
      <w:r w:rsidR="00350BAA">
        <w:rPr>
          <w:rStyle w:val="normaltextrun"/>
          <w:rFonts w:ascii="Calibri" w:hAnsi="Calibri" w:cs="Calibri"/>
          <w:sz w:val="22"/>
          <w:szCs w:val="22"/>
        </w:rPr>
        <w:t xml:space="preserve">tested </w:t>
      </w:r>
      <w:r w:rsidR="008E6188">
        <w:rPr>
          <w:rStyle w:val="normaltextrun"/>
          <w:rFonts w:ascii="Calibri" w:hAnsi="Calibri" w:cs="Calibri"/>
          <w:sz w:val="22"/>
          <w:szCs w:val="22"/>
        </w:rPr>
        <w:t>imagined opioid policies using model v11</w:t>
      </w:r>
      <w:r w:rsidR="007050C6">
        <w:rPr>
          <w:rStyle w:val="normaltextrun"/>
          <w:rFonts w:ascii="Calibri" w:hAnsi="Calibri" w:cs="Calibri"/>
          <w:sz w:val="22"/>
          <w:szCs w:val="22"/>
        </w:rPr>
        <w:t>1</w:t>
      </w:r>
      <w:r w:rsidR="008E6188">
        <w:rPr>
          <w:rStyle w:val="normaltextrun"/>
          <w:rFonts w:ascii="Calibri" w:hAnsi="Calibri" w:cs="Calibri"/>
          <w:sz w:val="22"/>
          <w:szCs w:val="22"/>
        </w:rPr>
        <w:t xml:space="preserve">0. We </w:t>
      </w:r>
      <w:r w:rsidRPr="00E361D3">
        <w:rPr>
          <w:rStyle w:val="normaltextrun"/>
          <w:rFonts w:ascii="Calibri" w:hAnsi="Calibri" w:cs="Calibri"/>
          <w:sz w:val="22"/>
          <w:szCs w:val="22"/>
        </w:rPr>
        <w:t>evaluated </w:t>
      </w:r>
      <w:r w:rsidR="008E6188">
        <w:rPr>
          <w:rStyle w:val="normaltextrun"/>
          <w:rFonts w:ascii="Calibri" w:hAnsi="Calibri" w:cs="Calibri"/>
          <w:sz w:val="22"/>
          <w:szCs w:val="22"/>
        </w:rPr>
        <w:t>the results</w:t>
      </w:r>
      <w:r w:rsidRPr="00E361D3">
        <w:rPr>
          <w:rStyle w:val="normaltextrun"/>
          <w:rFonts w:ascii="Calibri" w:hAnsi="Calibri" w:cs="Calibri"/>
          <w:sz w:val="22"/>
          <w:szCs w:val="22"/>
        </w:rPr>
        <w:t> against</w:t>
      </w:r>
      <w:r w:rsidR="007169B5" w:rsidRPr="00E361D3">
        <w:rPr>
          <w:rFonts w:ascii="Calibri" w:hAnsi="Calibri" w:cs="Calibri"/>
          <w:sz w:val="22"/>
          <w:szCs w:val="22"/>
        </w:rPr>
        <w:t xml:space="preserve"> </w:t>
      </w:r>
      <w:r w:rsidR="00E437D8" w:rsidRPr="00E361D3">
        <w:rPr>
          <w:rFonts w:ascii="Calibri" w:hAnsi="Calibri" w:cs="Calibri"/>
          <w:sz w:val="22"/>
          <w:szCs w:val="22"/>
        </w:rPr>
        <w:t xml:space="preserve">similar published and available </w:t>
      </w:r>
      <w:r w:rsidR="0031614B" w:rsidRPr="00E361D3">
        <w:rPr>
          <w:rFonts w:ascii="Calibri" w:hAnsi="Calibri" w:cs="Calibri"/>
          <w:sz w:val="22"/>
          <w:szCs w:val="22"/>
        </w:rPr>
        <w:t>models</w:t>
      </w:r>
      <w:r w:rsidR="008E6188">
        <w:rPr>
          <w:rFonts w:ascii="Calibri" w:hAnsi="Calibri" w:cs="Calibri"/>
          <w:sz w:val="22"/>
          <w:szCs w:val="22"/>
        </w:rPr>
        <w:t xml:space="preserve">: </w:t>
      </w:r>
      <w:r w:rsidR="00A9020F">
        <w:rPr>
          <w:rFonts w:ascii="Calibri" w:hAnsi="Calibri" w:cs="Calibri"/>
          <w:sz w:val="22"/>
          <w:szCs w:val="22"/>
        </w:rPr>
        <w:t>Pitt (2018); the HWM; and</w:t>
      </w:r>
      <w:r w:rsidR="003F07CD" w:rsidRPr="00E361D3">
        <w:rPr>
          <w:rFonts w:ascii="Calibri" w:hAnsi="Calibri" w:cs="Calibri"/>
          <w:sz w:val="22"/>
          <w:szCs w:val="22"/>
        </w:rPr>
        <w:t xml:space="preserve"> </w:t>
      </w:r>
      <w:r w:rsidR="00375CB7" w:rsidRPr="00375CB7">
        <w:rPr>
          <w:rFonts w:ascii="Calibri" w:hAnsi="Calibri" w:cs="Calibri"/>
          <w:sz w:val="22"/>
          <w:szCs w:val="22"/>
        </w:rPr>
        <w:t xml:space="preserve">the work </w:t>
      </w:r>
      <w:r w:rsidR="00A727FF">
        <w:rPr>
          <w:rFonts w:ascii="Calibri" w:hAnsi="Calibri" w:cs="Calibri"/>
          <w:sz w:val="22"/>
          <w:szCs w:val="22"/>
        </w:rPr>
        <w:t xml:space="preserve">Mike </w:t>
      </w:r>
      <w:r w:rsidR="00375CB7" w:rsidRPr="00375CB7">
        <w:rPr>
          <w:rFonts w:ascii="Calibri" w:hAnsi="Calibri" w:cs="Calibri"/>
          <w:sz w:val="22"/>
          <w:szCs w:val="22"/>
        </w:rPr>
        <w:t>Irvine</w:t>
      </w:r>
      <w:r w:rsidR="00A727FF">
        <w:rPr>
          <w:rFonts w:ascii="Calibri" w:hAnsi="Calibri" w:cs="Calibri"/>
          <w:sz w:val="22"/>
          <w:szCs w:val="22"/>
        </w:rPr>
        <w:t xml:space="preserve">, Ph.D., </w:t>
      </w:r>
      <w:r w:rsidR="00375CB7" w:rsidRPr="00375CB7">
        <w:rPr>
          <w:rFonts w:ascii="Calibri" w:hAnsi="Calibri" w:cs="Calibri"/>
          <w:sz w:val="22"/>
          <w:szCs w:val="22"/>
        </w:rPr>
        <w:t xml:space="preserve">and </w:t>
      </w:r>
      <w:r w:rsidR="00A727FF">
        <w:rPr>
          <w:rFonts w:ascii="Calibri" w:hAnsi="Calibri" w:cs="Calibri"/>
          <w:sz w:val="22"/>
          <w:szCs w:val="22"/>
        </w:rPr>
        <w:t xml:space="preserve">Traci </w:t>
      </w:r>
      <w:r w:rsidR="00375CB7" w:rsidRPr="00375CB7">
        <w:rPr>
          <w:rFonts w:ascii="Calibri" w:hAnsi="Calibri" w:cs="Calibri"/>
          <w:sz w:val="22"/>
          <w:szCs w:val="22"/>
        </w:rPr>
        <w:t>Green</w:t>
      </w:r>
      <w:r w:rsidR="00A727FF">
        <w:rPr>
          <w:rFonts w:ascii="Calibri" w:hAnsi="Calibri" w:cs="Calibri"/>
          <w:sz w:val="22"/>
          <w:szCs w:val="22"/>
        </w:rPr>
        <w:t>, Ph.D., M.S.C.,</w:t>
      </w:r>
      <w:r w:rsidR="0053633C">
        <w:rPr>
          <w:rFonts w:ascii="Calibri" w:hAnsi="Calibri" w:cs="Calibri"/>
          <w:sz w:val="22"/>
          <w:szCs w:val="22"/>
        </w:rPr>
        <w:t xml:space="preserve"> </w:t>
      </w:r>
      <w:r w:rsidR="00375CB7" w:rsidRPr="00375CB7">
        <w:rPr>
          <w:rFonts w:ascii="Calibri" w:hAnsi="Calibri" w:cs="Calibri"/>
          <w:sz w:val="22"/>
          <w:szCs w:val="22"/>
        </w:rPr>
        <w:t>presented at the October 22, 2020 Duke-Margolis Center for Health Policy Assessing and Incorporating Intervention Effectiveness in Systems Models of the Opioids Crisis</w:t>
      </w:r>
      <w:r w:rsidR="004E4531">
        <w:rPr>
          <w:rFonts w:ascii="Calibri" w:hAnsi="Calibri" w:cs="Calibri"/>
          <w:sz w:val="22"/>
          <w:szCs w:val="22"/>
        </w:rPr>
        <w:t xml:space="preserve"> meeting</w:t>
      </w:r>
      <w:r w:rsidR="00375CB7" w:rsidRPr="00375CB7">
        <w:rPr>
          <w:rFonts w:ascii="Calibri" w:hAnsi="Calibri" w:cs="Calibri"/>
          <w:sz w:val="22"/>
          <w:szCs w:val="22"/>
        </w:rPr>
        <w:t xml:space="preserve"> (i.e., 2020 interagency meeting)</w:t>
      </w:r>
      <w:r w:rsidR="00375CB7">
        <w:rPr>
          <w:rStyle w:val="normaltextrun"/>
          <w:rFonts w:ascii="Calibri" w:hAnsi="Calibri" w:cs="Calibri"/>
          <w:sz w:val="22"/>
          <w:szCs w:val="22"/>
        </w:rPr>
        <w:t xml:space="preserve">. Through that evaluation, we </w:t>
      </w:r>
      <w:r w:rsidRPr="00E361D3">
        <w:rPr>
          <w:rStyle w:val="normaltextrun"/>
          <w:rFonts w:ascii="Calibri" w:hAnsi="Calibri" w:cs="Calibri"/>
          <w:sz w:val="22"/>
          <w:szCs w:val="22"/>
        </w:rPr>
        <w:t>de</w:t>
      </w:r>
      <w:r w:rsidR="00747F54">
        <w:rPr>
          <w:rStyle w:val="normaltextrun"/>
          <w:rFonts w:ascii="Calibri" w:hAnsi="Calibri" w:cs="Calibri"/>
          <w:sz w:val="22"/>
          <w:szCs w:val="22"/>
        </w:rPr>
        <w:t xml:space="preserve">termined some of the ways in which </w:t>
      </w:r>
      <w:r w:rsidR="00375CB7">
        <w:rPr>
          <w:rStyle w:val="normaltextrun"/>
          <w:rFonts w:ascii="Calibri" w:hAnsi="Calibri" w:cs="Calibri"/>
          <w:sz w:val="22"/>
          <w:szCs w:val="22"/>
        </w:rPr>
        <w:t xml:space="preserve">model v1110 </w:t>
      </w:r>
      <w:r w:rsidRPr="00E361D3">
        <w:rPr>
          <w:rStyle w:val="normaltextrun"/>
          <w:rFonts w:ascii="Calibri" w:hAnsi="Calibri" w:cs="Calibri"/>
          <w:sz w:val="22"/>
          <w:szCs w:val="22"/>
        </w:rPr>
        <w:t xml:space="preserve">contributes additional insights </w:t>
      </w:r>
      <w:r w:rsidR="00A81FC5" w:rsidRPr="00E361D3">
        <w:rPr>
          <w:rStyle w:val="normaltextrun"/>
          <w:rFonts w:ascii="Calibri" w:hAnsi="Calibri" w:cs="Calibri"/>
          <w:sz w:val="22"/>
          <w:szCs w:val="22"/>
        </w:rPr>
        <w:t>into the</w:t>
      </w:r>
      <w:r w:rsidR="00965F43" w:rsidRPr="00E361D3">
        <w:rPr>
          <w:rStyle w:val="normaltextrun"/>
          <w:rFonts w:ascii="Calibri" w:hAnsi="Calibri" w:cs="Calibri"/>
          <w:sz w:val="22"/>
          <w:szCs w:val="22"/>
        </w:rPr>
        <w:t xml:space="preserve"> dynamics of the</w:t>
      </w:r>
      <w:r w:rsidR="00A81FC5" w:rsidRPr="00E361D3">
        <w:rPr>
          <w:rStyle w:val="normaltextrun"/>
          <w:rFonts w:ascii="Calibri" w:hAnsi="Calibri" w:cs="Calibri"/>
          <w:sz w:val="22"/>
          <w:szCs w:val="22"/>
        </w:rPr>
        <w:t xml:space="preserve"> opioid crisis</w:t>
      </w:r>
      <w:r w:rsidR="006F7D1E" w:rsidRPr="00E361D3">
        <w:rPr>
          <w:rStyle w:val="normaltextrun"/>
          <w:rFonts w:ascii="Calibri" w:hAnsi="Calibri" w:cs="Calibri"/>
          <w:sz w:val="22"/>
          <w:szCs w:val="22"/>
        </w:rPr>
        <w:t>.</w:t>
      </w:r>
      <w:r w:rsidR="0053633C">
        <w:rPr>
          <w:rStyle w:val="eop"/>
          <w:rFonts w:ascii="Calibri" w:hAnsi="Calibri" w:cs="Calibri"/>
          <w:sz w:val="22"/>
          <w:szCs w:val="22"/>
        </w:rPr>
        <w:t xml:space="preserve"> </w:t>
      </w:r>
    </w:p>
    <w:p w14:paraId="7B99D317" w14:textId="1B79E8E1" w:rsidR="007944AD" w:rsidRPr="004E1C26" w:rsidRDefault="007944AD" w:rsidP="00CC49EF">
      <w:pPr>
        <w:pStyle w:val="Heading2"/>
      </w:pPr>
      <w:bookmarkStart w:id="41" w:name="_Conclusion_1"/>
      <w:bookmarkStart w:id="42" w:name="_Model_Comparator"/>
      <w:bookmarkStart w:id="43" w:name="_Toc59050078"/>
      <w:bookmarkStart w:id="44" w:name="_Toc51849705"/>
      <w:bookmarkStart w:id="45" w:name="_Toc52396027"/>
      <w:bookmarkEnd w:id="41"/>
      <w:bookmarkEnd w:id="42"/>
      <w:r>
        <w:t>Background</w:t>
      </w:r>
      <w:bookmarkEnd w:id="43"/>
    </w:p>
    <w:p w14:paraId="4914ABFC" w14:textId="335DA753" w:rsidR="00D913F8" w:rsidRPr="00B8602D" w:rsidRDefault="007944AD" w:rsidP="00D913F8">
      <w:pPr>
        <w:pStyle w:val="paragraph"/>
        <w:spacing w:before="0" w:beforeAutospacing="0" w:after="0" w:afterAutospacing="0"/>
        <w:textAlignment w:val="baseline"/>
        <w:rPr>
          <w:rStyle w:val="normaltextrun"/>
          <w:rFonts w:ascii="Calibri" w:hAnsi="Calibri" w:cs="Calibri"/>
          <w:sz w:val="22"/>
          <w:szCs w:val="22"/>
        </w:rPr>
      </w:pPr>
      <w:r w:rsidRPr="00B8602D">
        <w:rPr>
          <w:rStyle w:val="normaltextrun"/>
          <w:rFonts w:ascii="Calibri" w:hAnsi="Calibri" w:cs="Calibri"/>
          <w:sz w:val="22"/>
          <w:szCs w:val="22"/>
        </w:rPr>
        <w:t>FDA’s opioid systems model is not intended to replace FDA’s opioid policy</w:t>
      </w:r>
      <w:r w:rsidRPr="00B8602D">
        <w:rPr>
          <w:rStyle w:val="normaltextrun"/>
          <w:rFonts w:ascii="DengXian" w:eastAsia="DengXian" w:hAnsi="DengXian" w:cs="Segoe UI" w:hint="eastAsia"/>
          <w:sz w:val="22"/>
          <w:szCs w:val="22"/>
        </w:rPr>
        <w:t> </w:t>
      </w:r>
      <w:r w:rsidRPr="00B8602D">
        <w:rPr>
          <w:rStyle w:val="normaltextrun"/>
          <w:rFonts w:ascii="Calibri" w:hAnsi="Calibri" w:cs="Calibri"/>
          <w:sz w:val="22"/>
          <w:szCs w:val="22"/>
        </w:rPr>
        <w:t xml:space="preserve">(i.e., public </w:t>
      </w:r>
      <w:r w:rsidR="00B10708">
        <w:rPr>
          <w:rStyle w:val="normaltextrun"/>
          <w:rFonts w:ascii="Calibri" w:hAnsi="Calibri" w:cs="Calibri"/>
          <w:sz w:val="22"/>
          <w:szCs w:val="22"/>
        </w:rPr>
        <w:t xml:space="preserve">health </w:t>
      </w:r>
      <w:r w:rsidRPr="00B8602D">
        <w:rPr>
          <w:rStyle w:val="normaltextrun"/>
          <w:rFonts w:ascii="Calibri" w:hAnsi="Calibri" w:cs="Calibri"/>
          <w:sz w:val="22"/>
          <w:szCs w:val="22"/>
        </w:rPr>
        <w:t>actions) analysis activities</w:t>
      </w:r>
      <w:r w:rsidRPr="00B8602D">
        <w:rPr>
          <w:rStyle w:val="normaltextrun"/>
          <w:rFonts w:ascii="DengXian" w:eastAsia="DengXian" w:hAnsi="DengXian" w:cs="Segoe UI" w:hint="eastAsia"/>
          <w:sz w:val="22"/>
          <w:szCs w:val="22"/>
        </w:rPr>
        <w:t>. </w:t>
      </w:r>
      <w:r w:rsidRPr="00B8602D">
        <w:rPr>
          <w:rStyle w:val="normaltextrun"/>
          <w:rFonts w:ascii="Calibri" w:hAnsi="Calibri" w:cs="Calibri"/>
          <w:sz w:val="22"/>
          <w:szCs w:val="22"/>
        </w:rPr>
        <w:t>Instead</w:t>
      </w:r>
      <w:r w:rsidR="00CB06B4" w:rsidRPr="00B8602D">
        <w:rPr>
          <w:rStyle w:val="normaltextrun"/>
          <w:rFonts w:ascii="Calibri" w:hAnsi="Calibri" w:cs="Calibri"/>
          <w:sz w:val="22"/>
          <w:szCs w:val="22"/>
        </w:rPr>
        <w:t>,</w:t>
      </w:r>
      <w:r w:rsidRPr="00B8602D">
        <w:rPr>
          <w:rStyle w:val="normaltextrun"/>
          <w:rFonts w:ascii="Calibri" w:hAnsi="Calibri" w:cs="Calibri"/>
          <w:sz w:val="22"/>
          <w:szCs w:val="22"/>
        </w:rPr>
        <w:t> the model provides perspective on the multi-year intended and unintended consequences of </w:t>
      </w:r>
      <w:r w:rsidR="00D449AE">
        <w:rPr>
          <w:rStyle w:val="normaltextrun"/>
          <w:rFonts w:ascii="Calibri" w:hAnsi="Calibri" w:cs="Calibri"/>
          <w:sz w:val="22"/>
          <w:szCs w:val="22"/>
        </w:rPr>
        <w:t>opioid</w:t>
      </w:r>
      <w:r w:rsidRPr="00B8602D">
        <w:rPr>
          <w:rStyle w:val="normaltextrun"/>
          <w:rFonts w:ascii="DengXian" w:eastAsia="DengXian" w:hAnsi="DengXian" w:cs="Segoe UI" w:hint="eastAsia"/>
          <w:sz w:val="22"/>
          <w:szCs w:val="22"/>
        </w:rPr>
        <w:t> </w:t>
      </w:r>
      <w:r w:rsidRPr="00B8602D">
        <w:rPr>
          <w:rStyle w:val="normaltextrun"/>
          <w:rFonts w:ascii="Calibri" w:hAnsi="Calibri" w:cs="Calibri"/>
          <w:sz w:val="22"/>
          <w:szCs w:val="22"/>
        </w:rPr>
        <w:t xml:space="preserve">policies. This type of validation is an important opportunity to assess whether the current version of the model can answer the kinds of questions FDA asks when conducting opioid policy analyses. </w:t>
      </w:r>
    </w:p>
    <w:p w14:paraId="48B45307" w14:textId="110DD10B" w:rsidR="003B6642" w:rsidRPr="004E1C26" w:rsidRDefault="003B6642" w:rsidP="00CC49EF">
      <w:pPr>
        <w:pStyle w:val="Heading2"/>
      </w:pPr>
      <w:bookmarkStart w:id="46" w:name="_Toc59050079"/>
      <w:r>
        <w:t>Methods</w:t>
      </w:r>
      <w:bookmarkEnd w:id="46"/>
      <w:r w:rsidRPr="004E1C26">
        <w:rPr>
          <w:rStyle w:val="eop"/>
          <w:rFonts w:ascii="Calibri" w:hAnsi="Calibri" w:cs="Calibri"/>
          <w:color w:val="243646"/>
          <w:sz w:val="22"/>
          <w:szCs w:val="22"/>
        </w:rPr>
        <w:t> </w:t>
      </w:r>
    </w:p>
    <w:p w14:paraId="67CDE31C" w14:textId="37E6C84B" w:rsidR="009C015F" w:rsidRDefault="00B8602D" w:rsidP="0096599F">
      <w:pPr>
        <w:rPr>
          <w:rStyle w:val="normaltextrun"/>
          <w:rFonts w:cs="Calibri"/>
          <w:szCs w:val="22"/>
        </w:rPr>
      </w:pPr>
      <w:r>
        <w:rPr>
          <w:rStyle w:val="normaltextrun"/>
          <w:rFonts w:cs="Calibri"/>
          <w:szCs w:val="22"/>
        </w:rPr>
        <w:t>In</w:t>
      </w:r>
      <w:r w:rsidR="003B6642" w:rsidRPr="007A14E5">
        <w:rPr>
          <w:rStyle w:val="normaltextrun"/>
          <w:rFonts w:cs="Calibri"/>
          <w:szCs w:val="22"/>
        </w:rPr>
        <w:t xml:space="preserve"> the</w:t>
      </w:r>
      <w:r>
        <w:rPr>
          <w:rStyle w:val="normaltextrun"/>
          <w:rFonts w:cs="Calibri"/>
          <w:szCs w:val="22"/>
        </w:rPr>
        <w:t xml:space="preserve"> policy </w:t>
      </w:r>
      <w:r w:rsidR="003B6642" w:rsidRPr="007A14E5">
        <w:rPr>
          <w:rStyle w:val="normaltextrun"/>
          <w:rFonts w:cs="Calibri"/>
          <w:szCs w:val="22"/>
        </w:rPr>
        <w:t>validation</w:t>
      </w:r>
      <w:r>
        <w:rPr>
          <w:rStyle w:val="normaltextrun"/>
          <w:rFonts w:cs="Calibri"/>
          <w:szCs w:val="22"/>
        </w:rPr>
        <w:t>, w</w:t>
      </w:r>
      <w:r w:rsidR="00492AEC">
        <w:rPr>
          <w:rStyle w:val="normaltextrun"/>
          <w:rFonts w:cs="Calibri"/>
          <w:szCs w:val="22"/>
        </w:rPr>
        <w:t>e tested</w:t>
      </w:r>
      <w:r w:rsidR="000B400B">
        <w:rPr>
          <w:rStyle w:val="normaltextrun"/>
          <w:rFonts w:cs="Calibri"/>
          <w:szCs w:val="22"/>
        </w:rPr>
        <w:t xml:space="preserve"> </w:t>
      </w:r>
      <w:r w:rsidR="00F3293F">
        <w:rPr>
          <w:rStyle w:val="normaltextrun"/>
          <w:rFonts w:cs="Calibri"/>
          <w:szCs w:val="22"/>
        </w:rPr>
        <w:t>sets of</w:t>
      </w:r>
      <w:r w:rsidR="000B400B">
        <w:rPr>
          <w:rStyle w:val="normaltextrun"/>
          <w:rFonts w:cs="Calibri"/>
          <w:szCs w:val="22"/>
        </w:rPr>
        <w:t xml:space="preserve"> </w:t>
      </w:r>
      <w:r w:rsidR="00903F36">
        <w:rPr>
          <w:rStyle w:val="normaltextrun"/>
          <w:rFonts w:cs="Calibri"/>
          <w:szCs w:val="22"/>
        </w:rPr>
        <w:t xml:space="preserve">imagined </w:t>
      </w:r>
      <w:r w:rsidR="001D63F3">
        <w:rPr>
          <w:rStyle w:val="normaltextrun"/>
          <w:rFonts w:cs="Calibri"/>
          <w:szCs w:val="22"/>
        </w:rPr>
        <w:t>policies</w:t>
      </w:r>
      <w:r w:rsidR="00903F36">
        <w:rPr>
          <w:rStyle w:val="normaltextrun"/>
          <w:rFonts w:cs="Calibri"/>
          <w:szCs w:val="22"/>
        </w:rPr>
        <w:t xml:space="preserve"> </w:t>
      </w:r>
      <w:r w:rsidR="006B7E8B">
        <w:rPr>
          <w:rStyle w:val="normaltextrun"/>
          <w:rFonts w:cs="Calibri"/>
          <w:szCs w:val="22"/>
        </w:rPr>
        <w:t>targeting two</w:t>
      </w:r>
      <w:r w:rsidR="001D63F3">
        <w:rPr>
          <w:rStyle w:val="normaltextrun"/>
          <w:rFonts w:cs="Calibri"/>
          <w:szCs w:val="22"/>
        </w:rPr>
        <w:t xml:space="preserve"> types of </w:t>
      </w:r>
      <w:r w:rsidR="001E6666">
        <w:rPr>
          <w:rStyle w:val="normaltextrun"/>
          <w:rFonts w:cs="Calibri"/>
          <w:szCs w:val="22"/>
        </w:rPr>
        <w:t>interventions</w:t>
      </w:r>
      <w:r w:rsidR="003B3C62">
        <w:rPr>
          <w:rStyle w:val="normaltextrun"/>
          <w:rFonts w:cs="Calibri"/>
          <w:szCs w:val="22"/>
        </w:rPr>
        <w:t xml:space="preserve"> </w:t>
      </w:r>
      <w:r w:rsidR="00E80DC3">
        <w:rPr>
          <w:rStyle w:val="normaltextrun"/>
          <w:rFonts w:cs="Calibri"/>
          <w:szCs w:val="22"/>
        </w:rPr>
        <w:t xml:space="preserve">in the model: 1) </w:t>
      </w:r>
      <w:r w:rsidR="00533341">
        <w:rPr>
          <w:rStyle w:val="normaltextrun"/>
          <w:rFonts w:cs="Calibri"/>
          <w:szCs w:val="22"/>
        </w:rPr>
        <w:t xml:space="preserve">increasing </w:t>
      </w:r>
      <w:r w:rsidR="00D62D5F">
        <w:rPr>
          <w:rStyle w:val="normaltextrun"/>
          <w:rFonts w:cs="Calibri"/>
          <w:szCs w:val="22"/>
        </w:rPr>
        <w:t>n</w:t>
      </w:r>
      <w:r w:rsidR="00E80DC3">
        <w:rPr>
          <w:rStyle w:val="normaltextrun"/>
          <w:rFonts w:cs="Calibri"/>
          <w:szCs w:val="22"/>
        </w:rPr>
        <w:t xml:space="preserve">aloxone </w:t>
      </w:r>
      <w:r w:rsidR="00D62D5F">
        <w:rPr>
          <w:rStyle w:val="normaltextrun"/>
          <w:rFonts w:cs="Calibri"/>
          <w:szCs w:val="22"/>
        </w:rPr>
        <w:t>availability</w:t>
      </w:r>
      <w:r w:rsidR="00327461">
        <w:rPr>
          <w:rStyle w:val="normaltextrun"/>
          <w:rFonts w:cs="Calibri"/>
          <w:szCs w:val="22"/>
        </w:rPr>
        <w:t>;</w:t>
      </w:r>
      <w:r w:rsidR="00D62D5F">
        <w:rPr>
          <w:rStyle w:val="normaltextrun"/>
          <w:rFonts w:cs="Calibri"/>
          <w:szCs w:val="22"/>
        </w:rPr>
        <w:t xml:space="preserve"> and 2) </w:t>
      </w:r>
      <w:r w:rsidR="00533341">
        <w:rPr>
          <w:rStyle w:val="normaltextrun"/>
          <w:rFonts w:cs="Calibri"/>
          <w:szCs w:val="22"/>
        </w:rPr>
        <w:t xml:space="preserve">expanding </w:t>
      </w:r>
      <w:r w:rsidR="00D62D5F">
        <w:rPr>
          <w:rStyle w:val="normaltextrun"/>
          <w:rFonts w:cs="Calibri"/>
          <w:szCs w:val="22"/>
        </w:rPr>
        <w:t>treatment.</w:t>
      </w:r>
      <w:r w:rsidR="00EC4AC2">
        <w:rPr>
          <w:rStyle w:val="normaltextrun"/>
          <w:rFonts w:cs="Calibri"/>
          <w:szCs w:val="22"/>
        </w:rPr>
        <w:t xml:space="preserve"> </w:t>
      </w:r>
      <w:r w:rsidR="00A53228">
        <w:rPr>
          <w:rStyle w:val="normaltextrun"/>
          <w:rFonts w:cs="Calibri"/>
          <w:szCs w:val="22"/>
        </w:rPr>
        <w:t>W</w:t>
      </w:r>
      <w:r w:rsidR="00492AEC">
        <w:rPr>
          <w:rStyle w:val="normaltextrun"/>
          <w:rFonts w:cs="Calibri"/>
          <w:szCs w:val="22"/>
        </w:rPr>
        <w:t xml:space="preserve">e </w:t>
      </w:r>
      <w:r w:rsidR="00A53228">
        <w:rPr>
          <w:rStyle w:val="normaltextrun"/>
          <w:rFonts w:cs="Calibri"/>
          <w:szCs w:val="22"/>
        </w:rPr>
        <w:t>also</w:t>
      </w:r>
      <w:r w:rsidR="00492AEC">
        <w:rPr>
          <w:rStyle w:val="normaltextrun"/>
          <w:rFonts w:cs="Calibri"/>
          <w:szCs w:val="22"/>
        </w:rPr>
        <w:t xml:space="preserve"> </w:t>
      </w:r>
      <w:r w:rsidR="00FF6A90">
        <w:rPr>
          <w:rStyle w:val="normaltextrun"/>
          <w:rFonts w:cs="Calibri"/>
          <w:szCs w:val="22"/>
        </w:rPr>
        <w:t xml:space="preserve">tested these two </w:t>
      </w:r>
      <w:r w:rsidR="00D87409">
        <w:rPr>
          <w:rStyle w:val="normaltextrun"/>
          <w:rFonts w:cs="Calibri"/>
          <w:szCs w:val="22"/>
        </w:rPr>
        <w:t xml:space="preserve">types of </w:t>
      </w:r>
      <w:r w:rsidR="00301FBB">
        <w:rPr>
          <w:rStyle w:val="normaltextrun"/>
          <w:rFonts w:cs="Calibri"/>
          <w:szCs w:val="22"/>
        </w:rPr>
        <w:t xml:space="preserve">interventions </w:t>
      </w:r>
      <w:r w:rsidR="000E4E21">
        <w:rPr>
          <w:rStyle w:val="normaltextrun"/>
          <w:rFonts w:cs="Calibri"/>
          <w:szCs w:val="22"/>
        </w:rPr>
        <w:t>in combination</w:t>
      </w:r>
      <w:r w:rsidR="00327461">
        <w:rPr>
          <w:rStyle w:val="normaltextrun"/>
          <w:rFonts w:cs="Calibri"/>
          <w:szCs w:val="22"/>
        </w:rPr>
        <w:t>.</w:t>
      </w:r>
      <w:r w:rsidR="00D553BB">
        <w:rPr>
          <w:rStyle w:val="FootnoteReference"/>
          <w:rFonts w:cs="Calibri"/>
          <w:szCs w:val="22"/>
        </w:rPr>
        <w:footnoteReference w:id="2"/>
      </w:r>
      <w:r w:rsidR="00FF6A90">
        <w:rPr>
          <w:rStyle w:val="normaltextrun"/>
          <w:rFonts w:cs="Calibri"/>
          <w:szCs w:val="22"/>
        </w:rPr>
        <w:t xml:space="preserve"> </w:t>
      </w:r>
      <w:r w:rsidR="00B01432">
        <w:rPr>
          <w:rStyle w:val="normaltextrun"/>
          <w:rFonts w:cs="Calibri"/>
          <w:szCs w:val="22"/>
        </w:rPr>
        <w:t xml:space="preserve">For each </w:t>
      </w:r>
      <w:r w:rsidR="009F79E1">
        <w:rPr>
          <w:rStyle w:val="normaltextrun"/>
          <w:rFonts w:cs="Calibri"/>
          <w:szCs w:val="22"/>
        </w:rPr>
        <w:t xml:space="preserve">imagined </w:t>
      </w:r>
      <w:r w:rsidR="00A92925">
        <w:rPr>
          <w:rStyle w:val="normaltextrun"/>
          <w:rFonts w:cs="Calibri"/>
          <w:szCs w:val="22"/>
        </w:rPr>
        <w:t xml:space="preserve">policy, we considered </w:t>
      </w:r>
      <w:r w:rsidR="005B655F">
        <w:rPr>
          <w:rStyle w:val="normaltextrun"/>
          <w:rFonts w:cs="Calibri"/>
          <w:szCs w:val="22"/>
        </w:rPr>
        <w:t>different</w:t>
      </w:r>
      <w:r w:rsidR="009502ED">
        <w:rPr>
          <w:rStyle w:val="normaltextrun"/>
          <w:rFonts w:cs="Calibri"/>
          <w:szCs w:val="22"/>
        </w:rPr>
        <w:t xml:space="preserve"> model inputs</w:t>
      </w:r>
      <w:r w:rsidR="005B655F">
        <w:rPr>
          <w:rStyle w:val="normaltextrun"/>
          <w:rFonts w:cs="Calibri"/>
          <w:szCs w:val="22"/>
        </w:rPr>
        <w:t xml:space="preserve"> </w:t>
      </w:r>
      <w:r w:rsidR="009502ED">
        <w:rPr>
          <w:rStyle w:val="normaltextrun"/>
          <w:rFonts w:cs="Calibri"/>
          <w:szCs w:val="22"/>
        </w:rPr>
        <w:t xml:space="preserve">(different </w:t>
      </w:r>
      <w:r w:rsidR="00B01432">
        <w:rPr>
          <w:rStyle w:val="normaltextrun"/>
          <w:rFonts w:cs="Calibri"/>
          <w:szCs w:val="22"/>
        </w:rPr>
        <w:t>intervention</w:t>
      </w:r>
      <w:r w:rsidR="005B655F">
        <w:rPr>
          <w:rStyle w:val="normaltextrun"/>
          <w:rFonts w:cs="Calibri"/>
          <w:szCs w:val="22"/>
        </w:rPr>
        <w:t>s</w:t>
      </w:r>
      <w:r w:rsidR="009502ED">
        <w:rPr>
          <w:rStyle w:val="normaltextrun"/>
          <w:rFonts w:cs="Calibri"/>
          <w:szCs w:val="22"/>
        </w:rPr>
        <w:t>)</w:t>
      </w:r>
      <w:r w:rsidR="00760F0C">
        <w:rPr>
          <w:rStyle w:val="normaltextrun"/>
          <w:rFonts w:cs="Calibri"/>
          <w:szCs w:val="22"/>
        </w:rPr>
        <w:t xml:space="preserve"> and</w:t>
      </w:r>
      <w:r w:rsidR="005B655F">
        <w:rPr>
          <w:rStyle w:val="normaltextrun"/>
          <w:rFonts w:cs="Calibri"/>
          <w:szCs w:val="22"/>
        </w:rPr>
        <w:t xml:space="preserve"> </w:t>
      </w:r>
      <w:r w:rsidR="002D54EF">
        <w:rPr>
          <w:rStyle w:val="normaltextrun"/>
          <w:rFonts w:cs="Calibri"/>
          <w:szCs w:val="22"/>
        </w:rPr>
        <w:t xml:space="preserve">tested </w:t>
      </w:r>
      <w:r w:rsidR="00A406CE">
        <w:rPr>
          <w:rStyle w:val="normaltextrun"/>
          <w:rFonts w:cs="Calibri"/>
          <w:szCs w:val="22"/>
        </w:rPr>
        <w:t xml:space="preserve">several scenarios </w:t>
      </w:r>
      <w:r w:rsidR="00D3264A">
        <w:rPr>
          <w:rStyle w:val="normaltextrun"/>
          <w:rFonts w:cs="Calibri"/>
          <w:szCs w:val="22"/>
        </w:rPr>
        <w:t xml:space="preserve">to </w:t>
      </w:r>
      <w:r w:rsidR="0018130D">
        <w:rPr>
          <w:rStyle w:val="normaltextrun"/>
          <w:rFonts w:cs="Calibri"/>
          <w:szCs w:val="22"/>
        </w:rPr>
        <w:t>show results for different</w:t>
      </w:r>
      <w:r w:rsidR="006B0928">
        <w:rPr>
          <w:rStyle w:val="normaltextrun"/>
          <w:rFonts w:cs="Calibri"/>
          <w:szCs w:val="22"/>
        </w:rPr>
        <w:t xml:space="preserve"> degrees </w:t>
      </w:r>
      <w:r w:rsidR="00A5166B">
        <w:rPr>
          <w:rStyle w:val="normaltextrun"/>
          <w:rFonts w:cs="Calibri"/>
          <w:szCs w:val="22"/>
        </w:rPr>
        <w:t>of change</w:t>
      </w:r>
      <w:r w:rsidR="00C93400">
        <w:rPr>
          <w:rStyle w:val="normaltextrun"/>
          <w:rFonts w:cs="Calibri"/>
          <w:szCs w:val="22"/>
        </w:rPr>
        <w:t xml:space="preserve"> in</w:t>
      </w:r>
      <w:r w:rsidR="00EC4AC2">
        <w:rPr>
          <w:rStyle w:val="normaltextrun"/>
          <w:rFonts w:cs="Calibri"/>
          <w:szCs w:val="22"/>
        </w:rPr>
        <w:t xml:space="preserve"> </w:t>
      </w:r>
      <w:r w:rsidR="00026C85">
        <w:rPr>
          <w:rStyle w:val="normaltextrun"/>
          <w:rFonts w:cs="Calibri"/>
          <w:szCs w:val="22"/>
        </w:rPr>
        <w:t>naloxone availability</w:t>
      </w:r>
      <w:r w:rsidR="00EC4AC2">
        <w:rPr>
          <w:rStyle w:val="normaltextrun"/>
          <w:rFonts w:cs="Calibri"/>
          <w:szCs w:val="22"/>
        </w:rPr>
        <w:t xml:space="preserve"> </w:t>
      </w:r>
      <w:r w:rsidR="0018130D">
        <w:rPr>
          <w:rStyle w:val="normaltextrun"/>
          <w:rFonts w:cs="Calibri"/>
          <w:szCs w:val="22"/>
        </w:rPr>
        <w:t>or</w:t>
      </w:r>
      <w:r w:rsidR="00024002">
        <w:rPr>
          <w:rStyle w:val="normaltextrun"/>
          <w:rFonts w:cs="Calibri"/>
          <w:szCs w:val="22"/>
        </w:rPr>
        <w:t xml:space="preserve"> treatment </w:t>
      </w:r>
      <w:r w:rsidR="00605AEE">
        <w:rPr>
          <w:rStyle w:val="normaltextrun"/>
          <w:rFonts w:cs="Calibri"/>
          <w:szCs w:val="22"/>
        </w:rPr>
        <w:t>expansion</w:t>
      </w:r>
      <w:r w:rsidR="0018130D">
        <w:rPr>
          <w:rStyle w:val="normaltextrun"/>
          <w:rFonts w:cs="Calibri"/>
          <w:szCs w:val="22"/>
        </w:rPr>
        <w:t>.</w:t>
      </w:r>
      <w:r w:rsidR="00024002">
        <w:rPr>
          <w:rStyle w:val="normaltextrun"/>
          <w:rFonts w:cs="Calibri"/>
          <w:szCs w:val="22"/>
        </w:rPr>
        <w:t xml:space="preserve"> </w:t>
      </w:r>
      <w:r w:rsidR="00E94700">
        <w:rPr>
          <w:rStyle w:val="normaltextrun"/>
          <w:rFonts w:cs="Calibri"/>
          <w:szCs w:val="22"/>
        </w:rPr>
        <w:t>We adjusted policy levers (specific model variables related to policy) i</w:t>
      </w:r>
      <w:r w:rsidR="00D02FAA">
        <w:rPr>
          <w:rStyle w:val="normaltextrun"/>
          <w:rFonts w:cs="Calibri"/>
          <w:szCs w:val="22"/>
        </w:rPr>
        <w:t>n order to set the</w:t>
      </w:r>
      <w:r w:rsidR="009310C7">
        <w:rPr>
          <w:rStyle w:val="normaltextrun"/>
          <w:rFonts w:cs="Calibri"/>
          <w:szCs w:val="22"/>
        </w:rPr>
        <w:t xml:space="preserve"> model inputs</w:t>
      </w:r>
      <w:r w:rsidR="00D02FAA">
        <w:rPr>
          <w:rStyle w:val="normaltextrun"/>
          <w:rFonts w:cs="Calibri"/>
          <w:szCs w:val="22"/>
        </w:rPr>
        <w:t xml:space="preserve"> to their appropriate values</w:t>
      </w:r>
      <w:r w:rsidR="00FB3401">
        <w:rPr>
          <w:rStyle w:val="normaltextrun"/>
          <w:rFonts w:cs="Calibri"/>
          <w:szCs w:val="22"/>
        </w:rPr>
        <w:t xml:space="preserve"> for each scenario</w:t>
      </w:r>
      <w:r w:rsidR="00FF5F85">
        <w:rPr>
          <w:rStyle w:val="normaltextrun"/>
          <w:rFonts w:cs="Calibri"/>
          <w:szCs w:val="22"/>
        </w:rPr>
        <w:t>.</w:t>
      </w:r>
    </w:p>
    <w:p w14:paraId="618642F5" w14:textId="0B48F53E" w:rsidR="009C015F" w:rsidRDefault="00C97BF6" w:rsidP="0096599F">
      <w:pPr>
        <w:rPr>
          <w:rStyle w:val="normaltextrun"/>
          <w:rFonts w:cs="Calibri"/>
          <w:szCs w:val="22"/>
        </w:rPr>
      </w:pPr>
      <w:r>
        <w:rPr>
          <w:rStyle w:val="normaltextrun"/>
          <w:rFonts w:cs="Calibri"/>
          <w:szCs w:val="22"/>
        </w:rPr>
        <w:t xml:space="preserve">For naloxone </w:t>
      </w:r>
      <w:r w:rsidR="00026C85">
        <w:rPr>
          <w:rStyle w:val="normaltextrun"/>
          <w:rFonts w:cs="Calibri"/>
          <w:szCs w:val="22"/>
        </w:rPr>
        <w:t>availability</w:t>
      </w:r>
      <w:r w:rsidR="001715F8">
        <w:rPr>
          <w:rStyle w:val="normaltextrun"/>
          <w:rFonts w:cs="Calibri"/>
          <w:szCs w:val="22"/>
        </w:rPr>
        <w:t xml:space="preserve">, </w:t>
      </w:r>
      <w:r w:rsidR="00772125">
        <w:rPr>
          <w:rStyle w:val="normaltextrun"/>
          <w:rFonts w:cs="Calibri"/>
          <w:szCs w:val="22"/>
        </w:rPr>
        <w:t xml:space="preserve">we considered the following inputs: </w:t>
      </w:r>
      <w:r w:rsidR="00772125" w:rsidRPr="0024380E">
        <w:rPr>
          <w:rStyle w:val="normaltextrun"/>
          <w:rFonts w:cs="Calibri"/>
          <w:b/>
          <w:bCs/>
          <w:szCs w:val="22"/>
        </w:rPr>
        <w:t>Nx kits distributed Rx user net</w:t>
      </w:r>
      <w:r w:rsidR="00772125" w:rsidRPr="00712E9B">
        <w:rPr>
          <w:rStyle w:val="normaltextrun"/>
          <w:rFonts w:cs="Calibri"/>
          <w:szCs w:val="22"/>
        </w:rPr>
        <w:t xml:space="preserve">, </w:t>
      </w:r>
      <w:r w:rsidR="00772125" w:rsidRPr="0024380E">
        <w:rPr>
          <w:rStyle w:val="normaltextrun"/>
          <w:rFonts w:cs="Calibri"/>
          <w:b/>
          <w:bCs/>
          <w:szCs w:val="22"/>
        </w:rPr>
        <w:t xml:space="preserve">Nx kits distributed </w:t>
      </w:r>
      <w:r w:rsidR="000B3826">
        <w:rPr>
          <w:rStyle w:val="normaltextrun"/>
          <w:rFonts w:cs="Calibri"/>
          <w:b/>
          <w:bCs/>
          <w:szCs w:val="22"/>
        </w:rPr>
        <w:t>heroin (</w:t>
      </w:r>
      <w:r w:rsidR="00772125">
        <w:rPr>
          <w:rStyle w:val="normaltextrun"/>
          <w:rFonts w:cs="Calibri"/>
          <w:b/>
          <w:bCs/>
          <w:szCs w:val="22"/>
        </w:rPr>
        <w:t>H</w:t>
      </w:r>
      <w:r w:rsidR="000B3826">
        <w:rPr>
          <w:rStyle w:val="normaltextrun"/>
          <w:rFonts w:cs="Calibri"/>
          <w:b/>
          <w:bCs/>
          <w:szCs w:val="22"/>
        </w:rPr>
        <w:t>)</w:t>
      </w:r>
      <w:r w:rsidR="00772125" w:rsidRPr="0024380E">
        <w:rPr>
          <w:rStyle w:val="normaltextrun"/>
          <w:rFonts w:cs="Calibri"/>
          <w:b/>
          <w:bCs/>
          <w:szCs w:val="22"/>
        </w:rPr>
        <w:t xml:space="preserve"> user net</w:t>
      </w:r>
      <w:r w:rsidR="00772125">
        <w:rPr>
          <w:rStyle w:val="normaltextrun"/>
          <w:rFonts w:cs="Calibri"/>
          <w:szCs w:val="22"/>
        </w:rPr>
        <w:t xml:space="preserve">, </w:t>
      </w:r>
      <w:r w:rsidR="00772125" w:rsidRPr="00B23CFB">
        <w:rPr>
          <w:rStyle w:val="normaltextrun"/>
          <w:rFonts w:cs="Calibri"/>
          <w:b/>
          <w:bCs/>
          <w:szCs w:val="22"/>
        </w:rPr>
        <w:t>Probability Nx bystander Rx</w:t>
      </w:r>
      <w:r w:rsidR="00772125" w:rsidRPr="00712E9B">
        <w:rPr>
          <w:rStyle w:val="normaltextrun"/>
          <w:rFonts w:cs="Calibri"/>
          <w:szCs w:val="22"/>
        </w:rPr>
        <w:t>,</w:t>
      </w:r>
      <w:r w:rsidR="00772125">
        <w:rPr>
          <w:rStyle w:val="normaltextrun"/>
          <w:rFonts w:cs="Calibri"/>
          <w:szCs w:val="22"/>
        </w:rPr>
        <w:t xml:space="preserve"> and </w:t>
      </w:r>
      <w:r w:rsidR="00772125" w:rsidRPr="00B23CFB">
        <w:rPr>
          <w:rStyle w:val="normaltextrun"/>
          <w:rFonts w:cs="Calibri"/>
          <w:b/>
          <w:bCs/>
          <w:szCs w:val="22"/>
        </w:rPr>
        <w:t xml:space="preserve">Probability Nx bystander </w:t>
      </w:r>
      <w:r w:rsidR="00772125">
        <w:rPr>
          <w:rStyle w:val="normaltextrun"/>
          <w:rFonts w:cs="Calibri"/>
          <w:b/>
          <w:bCs/>
          <w:szCs w:val="22"/>
        </w:rPr>
        <w:t>heroin</w:t>
      </w:r>
      <w:r w:rsidR="00772125" w:rsidRPr="00712E9B">
        <w:rPr>
          <w:rStyle w:val="normaltextrun"/>
          <w:rFonts w:cs="Calibri"/>
          <w:szCs w:val="22"/>
        </w:rPr>
        <w:t>.</w:t>
      </w:r>
      <w:r w:rsidR="00772125">
        <w:rPr>
          <w:rStyle w:val="normaltextrun"/>
          <w:rFonts w:cs="Calibri"/>
          <w:szCs w:val="22"/>
        </w:rPr>
        <w:t xml:space="preserve"> These inputs were adjusted </w:t>
      </w:r>
      <w:r w:rsidR="00BA1DD1">
        <w:rPr>
          <w:rStyle w:val="normaltextrun"/>
          <w:rFonts w:cs="Calibri"/>
          <w:szCs w:val="22"/>
        </w:rPr>
        <w:t xml:space="preserve">for different scenarios by </w:t>
      </w:r>
      <w:r w:rsidR="00772125">
        <w:rPr>
          <w:rStyle w:val="normaltextrun"/>
          <w:rFonts w:cs="Calibri"/>
          <w:szCs w:val="22"/>
        </w:rPr>
        <w:t xml:space="preserve">using </w:t>
      </w:r>
      <w:r w:rsidR="008E4228">
        <w:rPr>
          <w:rStyle w:val="normaltextrun"/>
          <w:rFonts w:cs="Calibri"/>
          <w:szCs w:val="22"/>
        </w:rPr>
        <w:t xml:space="preserve">two </w:t>
      </w:r>
      <w:r w:rsidR="00772125">
        <w:rPr>
          <w:rStyle w:val="normaltextrun"/>
          <w:rFonts w:cs="Calibri"/>
          <w:szCs w:val="22"/>
        </w:rPr>
        <w:t>policy lever</w:t>
      </w:r>
      <w:r w:rsidR="00F774C6">
        <w:rPr>
          <w:rStyle w:val="normaltextrun"/>
          <w:rFonts w:cs="Calibri"/>
          <w:szCs w:val="22"/>
        </w:rPr>
        <w:t>s</w:t>
      </w:r>
      <w:r w:rsidR="008E4228">
        <w:rPr>
          <w:rStyle w:val="normaltextrun"/>
          <w:rFonts w:cs="Calibri"/>
          <w:szCs w:val="22"/>
        </w:rPr>
        <w:t>:</w:t>
      </w:r>
      <w:r w:rsidR="00771743">
        <w:rPr>
          <w:rStyle w:val="normaltextrun"/>
          <w:rFonts w:cs="Calibri"/>
          <w:szCs w:val="22"/>
        </w:rPr>
        <w:t xml:space="preserve"> </w:t>
      </w:r>
      <w:r w:rsidR="00E469D0" w:rsidRPr="005A730A">
        <w:rPr>
          <w:rStyle w:val="normaltextrun"/>
          <w:rFonts w:cs="Calibri"/>
          <w:b/>
          <w:szCs w:val="22"/>
        </w:rPr>
        <w:t xml:space="preserve">Policy change Nx kits distributed Rx </w:t>
      </w:r>
      <w:r w:rsidR="00E469D0" w:rsidRPr="008E4228">
        <w:rPr>
          <w:rStyle w:val="normaltextrun"/>
          <w:rFonts w:cs="Calibri"/>
          <w:b/>
          <w:szCs w:val="22"/>
        </w:rPr>
        <w:t>user</w:t>
      </w:r>
      <w:r w:rsidR="008E4228">
        <w:rPr>
          <w:rStyle w:val="normaltextrun"/>
          <w:rFonts w:cs="Calibri"/>
          <w:szCs w:val="22"/>
        </w:rPr>
        <w:t xml:space="preserve"> and </w:t>
      </w:r>
      <w:r w:rsidR="008E4228" w:rsidRPr="002822FE">
        <w:rPr>
          <w:rStyle w:val="normaltextrun"/>
          <w:rFonts w:cs="Calibri"/>
          <w:b/>
          <w:bCs/>
          <w:szCs w:val="22"/>
        </w:rPr>
        <w:t xml:space="preserve">Policy change Nx kits distributed </w:t>
      </w:r>
      <w:r w:rsidR="008E4228">
        <w:rPr>
          <w:rStyle w:val="normaltextrun"/>
          <w:rFonts w:cs="Calibri"/>
          <w:b/>
          <w:bCs/>
          <w:szCs w:val="22"/>
        </w:rPr>
        <w:t>H</w:t>
      </w:r>
      <w:r w:rsidR="008E4228" w:rsidRPr="002822FE">
        <w:rPr>
          <w:rStyle w:val="normaltextrun"/>
          <w:rFonts w:cs="Calibri"/>
          <w:b/>
          <w:bCs/>
          <w:szCs w:val="22"/>
        </w:rPr>
        <w:t xml:space="preserve"> user</w:t>
      </w:r>
      <w:r w:rsidR="00D22D55">
        <w:rPr>
          <w:rStyle w:val="normaltextrun"/>
          <w:rFonts w:cs="Calibri"/>
          <w:szCs w:val="22"/>
        </w:rPr>
        <w:t>;</w:t>
      </w:r>
      <w:r w:rsidR="00771743">
        <w:rPr>
          <w:rStyle w:val="normaltextrun"/>
          <w:rFonts w:cs="Calibri"/>
          <w:szCs w:val="22"/>
        </w:rPr>
        <w:t xml:space="preserve"> </w:t>
      </w:r>
      <w:r w:rsidR="00B842A7">
        <w:rPr>
          <w:rStyle w:val="normaltextrun"/>
          <w:rFonts w:cs="Calibri"/>
          <w:szCs w:val="22"/>
        </w:rPr>
        <w:t xml:space="preserve">we </w:t>
      </w:r>
      <w:r w:rsidR="001B3A7F">
        <w:rPr>
          <w:rStyle w:val="normaltextrun"/>
          <w:rFonts w:cs="Calibri"/>
          <w:szCs w:val="22"/>
        </w:rPr>
        <w:t>set</w:t>
      </w:r>
      <w:r w:rsidR="00D22D55">
        <w:rPr>
          <w:rStyle w:val="normaltextrun"/>
          <w:rFonts w:cs="Calibri"/>
          <w:szCs w:val="22"/>
        </w:rPr>
        <w:t xml:space="preserve"> </w:t>
      </w:r>
      <w:r w:rsidR="009B26D4">
        <w:rPr>
          <w:rStyle w:val="normaltextrun"/>
          <w:rFonts w:cs="Calibri"/>
          <w:szCs w:val="22"/>
        </w:rPr>
        <w:t xml:space="preserve">the </w:t>
      </w:r>
      <w:r w:rsidR="00D22D55">
        <w:rPr>
          <w:rStyle w:val="normaltextrun"/>
          <w:rFonts w:cs="Calibri"/>
          <w:szCs w:val="22"/>
        </w:rPr>
        <w:t xml:space="preserve">value of </w:t>
      </w:r>
      <w:r w:rsidR="00B215DB">
        <w:rPr>
          <w:rStyle w:val="normaltextrun"/>
          <w:rFonts w:cs="Calibri"/>
          <w:szCs w:val="22"/>
        </w:rPr>
        <w:t>these two levers</w:t>
      </w:r>
      <w:r w:rsidR="00D22D55">
        <w:rPr>
          <w:rStyle w:val="normaltextrun"/>
          <w:rFonts w:cs="Calibri"/>
          <w:szCs w:val="22"/>
        </w:rPr>
        <w:t xml:space="preserve"> such that the </w:t>
      </w:r>
      <w:r w:rsidR="009B26D4">
        <w:rPr>
          <w:rStyle w:val="normaltextrun"/>
          <w:rFonts w:cs="Calibri"/>
          <w:szCs w:val="22"/>
        </w:rPr>
        <w:t xml:space="preserve">model inputs </w:t>
      </w:r>
      <w:r w:rsidR="0040345C">
        <w:rPr>
          <w:rStyle w:val="normaltextrun"/>
          <w:rFonts w:cs="Calibri"/>
          <w:szCs w:val="22"/>
        </w:rPr>
        <w:t xml:space="preserve">reached the </w:t>
      </w:r>
      <w:r w:rsidR="003C69DF">
        <w:rPr>
          <w:rStyle w:val="normaltextrun"/>
          <w:rFonts w:cs="Calibri"/>
          <w:szCs w:val="22"/>
        </w:rPr>
        <w:t>necessary</w:t>
      </w:r>
      <w:r w:rsidR="00E46EE4">
        <w:rPr>
          <w:rStyle w:val="normaltextrun"/>
          <w:rFonts w:cs="Calibri"/>
          <w:szCs w:val="22"/>
        </w:rPr>
        <w:t xml:space="preserve"> values</w:t>
      </w:r>
      <w:r w:rsidR="001B3A7F">
        <w:rPr>
          <w:rStyle w:val="normaltextrun"/>
          <w:rFonts w:cs="Calibri"/>
          <w:szCs w:val="22"/>
        </w:rPr>
        <w:t>.</w:t>
      </w:r>
      <w:r w:rsidR="00772125">
        <w:rPr>
          <w:rStyle w:val="normaltextrun"/>
          <w:rFonts w:cs="Calibri"/>
          <w:szCs w:val="22"/>
        </w:rPr>
        <w:t xml:space="preserve"> </w:t>
      </w:r>
      <w:r w:rsidR="003C69DF">
        <w:rPr>
          <w:rStyle w:val="normaltextrun"/>
          <w:rFonts w:cs="Calibri"/>
          <w:szCs w:val="22"/>
        </w:rPr>
        <w:t>T</w:t>
      </w:r>
      <w:r w:rsidR="008C76CA">
        <w:rPr>
          <w:rStyle w:val="normaltextrun"/>
          <w:rFonts w:cs="Calibri"/>
          <w:szCs w:val="22"/>
        </w:rPr>
        <w:t xml:space="preserve">he scenarios </w:t>
      </w:r>
      <w:r w:rsidR="00FC5701">
        <w:rPr>
          <w:rStyle w:val="normaltextrun"/>
          <w:rFonts w:cs="Calibri"/>
          <w:szCs w:val="22"/>
        </w:rPr>
        <w:t xml:space="preserve">involved </w:t>
      </w:r>
      <w:r w:rsidR="00DE4C89">
        <w:rPr>
          <w:rStyle w:val="normaltextrun"/>
          <w:rFonts w:cs="Calibri"/>
          <w:szCs w:val="22"/>
        </w:rPr>
        <w:t>increasing</w:t>
      </w:r>
      <w:r w:rsidR="00FC5701">
        <w:rPr>
          <w:rStyle w:val="normaltextrun"/>
          <w:rFonts w:cs="Calibri"/>
          <w:szCs w:val="22"/>
        </w:rPr>
        <w:t xml:space="preserve"> </w:t>
      </w:r>
      <w:r w:rsidR="00525112">
        <w:rPr>
          <w:rStyle w:val="normaltextrun"/>
          <w:rFonts w:cs="Calibri"/>
          <w:szCs w:val="22"/>
        </w:rPr>
        <w:t>the</w:t>
      </w:r>
      <w:r w:rsidR="007C6E57">
        <w:rPr>
          <w:rStyle w:val="normaltextrun"/>
          <w:rFonts w:cs="Calibri"/>
          <w:szCs w:val="22"/>
        </w:rPr>
        <w:t xml:space="preserve"> value of the</w:t>
      </w:r>
      <w:r w:rsidR="00525112">
        <w:rPr>
          <w:rStyle w:val="normaltextrun"/>
          <w:rFonts w:cs="Calibri"/>
          <w:szCs w:val="22"/>
        </w:rPr>
        <w:t xml:space="preserve"> inputs </w:t>
      </w:r>
      <w:r w:rsidR="00DE4C89">
        <w:rPr>
          <w:rStyle w:val="normaltextrun"/>
          <w:rFonts w:cs="Calibri"/>
          <w:szCs w:val="22"/>
        </w:rPr>
        <w:t>by</w:t>
      </w:r>
      <w:r w:rsidR="00525112">
        <w:rPr>
          <w:rStyle w:val="normaltextrun"/>
          <w:rFonts w:cs="Calibri"/>
          <w:szCs w:val="22"/>
        </w:rPr>
        <w:t xml:space="preserve"> </w:t>
      </w:r>
      <w:r w:rsidR="004E3C26">
        <w:rPr>
          <w:rStyle w:val="normaltextrun"/>
          <w:rFonts w:cs="Calibri"/>
          <w:szCs w:val="22"/>
        </w:rPr>
        <w:t>a certain percent</w:t>
      </w:r>
      <w:r w:rsidR="000B63C3">
        <w:rPr>
          <w:rStyle w:val="normaltextrun"/>
          <w:rFonts w:cs="Calibri"/>
          <w:szCs w:val="22"/>
        </w:rPr>
        <w:t xml:space="preserve"> compared to baseline</w:t>
      </w:r>
      <w:r w:rsidR="004E3C26">
        <w:rPr>
          <w:rStyle w:val="normaltextrun"/>
          <w:rFonts w:cs="Calibri"/>
          <w:szCs w:val="22"/>
        </w:rPr>
        <w:t xml:space="preserve"> </w:t>
      </w:r>
      <w:r w:rsidR="00525112">
        <w:rPr>
          <w:rStyle w:val="normaltextrun"/>
          <w:rFonts w:cs="Calibri"/>
          <w:szCs w:val="22"/>
        </w:rPr>
        <w:t>(</w:t>
      </w:r>
      <w:r w:rsidR="00455573">
        <w:rPr>
          <w:rStyle w:val="normaltextrun"/>
          <w:rFonts w:cs="Calibri"/>
          <w:szCs w:val="22"/>
        </w:rPr>
        <w:t xml:space="preserve">when changing </w:t>
      </w:r>
      <w:r w:rsidR="009E09BA">
        <w:rPr>
          <w:rStyle w:val="normaltextrun"/>
          <w:rFonts w:cs="Calibri"/>
          <w:szCs w:val="22"/>
        </w:rPr>
        <w:t>naloxone</w:t>
      </w:r>
      <w:r w:rsidR="00525112">
        <w:rPr>
          <w:rStyle w:val="normaltextrun"/>
          <w:rFonts w:cs="Calibri"/>
          <w:szCs w:val="22"/>
        </w:rPr>
        <w:t xml:space="preserve"> kits distributed)</w:t>
      </w:r>
      <w:r w:rsidR="00DE4C89">
        <w:rPr>
          <w:rStyle w:val="normaltextrun"/>
          <w:rFonts w:cs="Calibri"/>
          <w:szCs w:val="22"/>
        </w:rPr>
        <w:t xml:space="preserve"> </w:t>
      </w:r>
      <w:r w:rsidR="00525112">
        <w:rPr>
          <w:rStyle w:val="normaltextrun"/>
          <w:rFonts w:cs="Calibri"/>
          <w:szCs w:val="22"/>
        </w:rPr>
        <w:t xml:space="preserve">or </w:t>
      </w:r>
      <w:r w:rsidR="007C6E57">
        <w:rPr>
          <w:rStyle w:val="normaltextrun"/>
          <w:rFonts w:cs="Calibri"/>
          <w:szCs w:val="22"/>
        </w:rPr>
        <w:t xml:space="preserve">increasing the value of the inputs to a </w:t>
      </w:r>
      <w:r w:rsidR="001F3DF6">
        <w:rPr>
          <w:rStyle w:val="normaltextrun"/>
          <w:rFonts w:cs="Calibri"/>
          <w:szCs w:val="22"/>
        </w:rPr>
        <w:t xml:space="preserve">certain </w:t>
      </w:r>
      <w:r w:rsidR="00525112">
        <w:rPr>
          <w:rStyle w:val="normaltextrun"/>
          <w:rFonts w:cs="Calibri"/>
          <w:szCs w:val="22"/>
        </w:rPr>
        <w:t>value (</w:t>
      </w:r>
      <w:r w:rsidR="00455573">
        <w:rPr>
          <w:rStyle w:val="normaltextrun"/>
          <w:rFonts w:cs="Calibri"/>
          <w:szCs w:val="22"/>
        </w:rPr>
        <w:t xml:space="preserve">when changing </w:t>
      </w:r>
      <w:r w:rsidR="009E09BA">
        <w:rPr>
          <w:rStyle w:val="normaltextrun"/>
          <w:rFonts w:cs="Calibri"/>
          <w:szCs w:val="22"/>
        </w:rPr>
        <w:t>p</w:t>
      </w:r>
      <w:r w:rsidR="007D1C38">
        <w:rPr>
          <w:rStyle w:val="normaltextrun"/>
          <w:rFonts w:cs="Calibri"/>
          <w:szCs w:val="22"/>
        </w:rPr>
        <w:t xml:space="preserve">robability </w:t>
      </w:r>
      <w:r w:rsidR="009E09BA">
        <w:rPr>
          <w:rStyle w:val="normaltextrun"/>
          <w:rFonts w:cs="Calibri"/>
          <w:szCs w:val="22"/>
        </w:rPr>
        <w:t>naloxone</w:t>
      </w:r>
      <w:r w:rsidR="007D1C38">
        <w:rPr>
          <w:rStyle w:val="normaltextrun"/>
          <w:rFonts w:cs="Calibri"/>
          <w:szCs w:val="22"/>
        </w:rPr>
        <w:t xml:space="preserve"> bystander</w:t>
      </w:r>
      <w:r w:rsidR="00525112">
        <w:rPr>
          <w:rStyle w:val="normaltextrun"/>
          <w:rFonts w:cs="Calibri"/>
          <w:szCs w:val="22"/>
        </w:rPr>
        <w:t>)</w:t>
      </w:r>
      <w:r w:rsidR="00FB0708">
        <w:rPr>
          <w:rStyle w:val="normaltextrun"/>
          <w:rFonts w:cs="Calibri"/>
          <w:szCs w:val="22"/>
        </w:rPr>
        <w:t xml:space="preserve">. </w:t>
      </w:r>
      <w:r w:rsidR="00B01981">
        <w:rPr>
          <w:rStyle w:val="normaltextrun"/>
          <w:rFonts w:cs="Calibri"/>
          <w:szCs w:val="22"/>
        </w:rPr>
        <w:t xml:space="preserve">To allow comparison of results, we </w:t>
      </w:r>
      <w:r w:rsidR="006952BF">
        <w:rPr>
          <w:rStyle w:val="normaltextrun"/>
          <w:rFonts w:cs="Calibri"/>
          <w:szCs w:val="22"/>
        </w:rPr>
        <w:t>chose</w:t>
      </w:r>
      <w:r w:rsidR="00B01981">
        <w:rPr>
          <w:rStyle w:val="normaltextrun"/>
          <w:rFonts w:cs="Calibri"/>
          <w:szCs w:val="22"/>
        </w:rPr>
        <w:t xml:space="preserve"> scenarios </w:t>
      </w:r>
      <w:r w:rsidR="006952BF">
        <w:rPr>
          <w:rStyle w:val="normaltextrun"/>
          <w:rFonts w:cs="Calibri"/>
          <w:szCs w:val="22"/>
        </w:rPr>
        <w:t>that included the values used in previous publications.</w:t>
      </w:r>
    </w:p>
    <w:p w14:paraId="037229DE" w14:textId="2DFFA49C" w:rsidR="00E8025E" w:rsidRPr="0096599F" w:rsidRDefault="005E7683" w:rsidP="0096599F">
      <w:pPr>
        <w:rPr>
          <w:rStyle w:val="normaltextrun"/>
        </w:rPr>
      </w:pPr>
      <w:r>
        <w:rPr>
          <w:rStyle w:val="normaltextrun"/>
          <w:rFonts w:cs="Calibri"/>
          <w:szCs w:val="22"/>
        </w:rPr>
        <w:t xml:space="preserve">For </w:t>
      </w:r>
      <w:r w:rsidR="00C301FA">
        <w:rPr>
          <w:rStyle w:val="normaltextrun"/>
          <w:rFonts w:cs="Calibri"/>
          <w:szCs w:val="22"/>
        </w:rPr>
        <w:t xml:space="preserve">treatment capacity, </w:t>
      </w:r>
      <w:r w:rsidR="00255F05">
        <w:rPr>
          <w:rStyle w:val="normaltextrun"/>
          <w:rFonts w:cs="Calibri"/>
          <w:szCs w:val="22"/>
        </w:rPr>
        <w:t xml:space="preserve">we considered the following inputs: </w:t>
      </w:r>
      <w:r w:rsidR="00735768" w:rsidRPr="00956E14">
        <w:rPr>
          <w:rStyle w:val="normaltextrun"/>
          <w:rFonts w:cs="Calibri"/>
          <w:b/>
          <w:szCs w:val="22"/>
        </w:rPr>
        <w:t>Tx average duration net</w:t>
      </w:r>
      <w:r w:rsidR="00735768">
        <w:rPr>
          <w:rStyle w:val="normaltextrun"/>
          <w:rFonts w:cs="Calibri"/>
          <w:szCs w:val="22"/>
        </w:rPr>
        <w:t xml:space="preserve">, </w:t>
      </w:r>
      <w:r w:rsidR="00735768" w:rsidRPr="00956E14">
        <w:rPr>
          <w:b/>
        </w:rPr>
        <w:t>Tx seeking rate Rx</w:t>
      </w:r>
      <w:r w:rsidR="000B3826">
        <w:rPr>
          <w:b/>
        </w:rPr>
        <w:t xml:space="preserve"> opioid use disorder</w:t>
      </w:r>
      <w:r w:rsidR="00735768" w:rsidRPr="00956E14">
        <w:rPr>
          <w:b/>
        </w:rPr>
        <w:t xml:space="preserve"> </w:t>
      </w:r>
      <w:r w:rsidR="000B3826">
        <w:rPr>
          <w:b/>
        </w:rPr>
        <w:t>(</w:t>
      </w:r>
      <w:r w:rsidR="00735768" w:rsidRPr="00956E14">
        <w:rPr>
          <w:b/>
        </w:rPr>
        <w:t>OUD</w:t>
      </w:r>
      <w:r w:rsidR="000B3826">
        <w:rPr>
          <w:b/>
        </w:rPr>
        <w:t>)</w:t>
      </w:r>
      <w:r w:rsidR="00735768" w:rsidRPr="00956E14">
        <w:rPr>
          <w:b/>
        </w:rPr>
        <w:t xml:space="preserve"> no H total net</w:t>
      </w:r>
      <w:r w:rsidR="009A504C">
        <w:t xml:space="preserve">, </w:t>
      </w:r>
      <w:r w:rsidR="00956E14" w:rsidRPr="00956E14">
        <w:rPr>
          <w:b/>
          <w:bCs/>
        </w:rPr>
        <w:t>Bup total theoretical capacity</w:t>
      </w:r>
      <w:r w:rsidR="00956E14">
        <w:t xml:space="preserve">, </w:t>
      </w:r>
      <w:r w:rsidR="00637967">
        <w:rPr>
          <w:b/>
        </w:rPr>
        <w:t>methadone (</w:t>
      </w:r>
      <w:r w:rsidR="00956E14" w:rsidRPr="00956E14">
        <w:rPr>
          <w:b/>
          <w:bCs/>
        </w:rPr>
        <w:t>MMT</w:t>
      </w:r>
      <w:r w:rsidR="00637967">
        <w:rPr>
          <w:b/>
          <w:bCs/>
        </w:rPr>
        <w:t>)</w:t>
      </w:r>
      <w:r w:rsidR="00956E14" w:rsidRPr="00956E14">
        <w:rPr>
          <w:b/>
          <w:bCs/>
        </w:rPr>
        <w:t xml:space="preserve"> capacity estimated</w:t>
      </w:r>
      <w:r w:rsidR="00956E14">
        <w:t xml:space="preserve">, and </w:t>
      </w:r>
      <w:r w:rsidR="00F93818">
        <w:rPr>
          <w:b/>
        </w:rPr>
        <w:t>vivitrol (</w:t>
      </w:r>
      <w:r w:rsidR="00956E14" w:rsidRPr="00956E14">
        <w:rPr>
          <w:b/>
          <w:bCs/>
        </w:rPr>
        <w:t>Viv</w:t>
      </w:r>
      <w:r w:rsidR="00F93818">
        <w:rPr>
          <w:b/>
          <w:bCs/>
        </w:rPr>
        <w:t>)</w:t>
      </w:r>
      <w:r w:rsidR="00956E14" w:rsidRPr="00956E14">
        <w:rPr>
          <w:b/>
          <w:bCs/>
        </w:rPr>
        <w:t xml:space="preserve"> capacity estimated</w:t>
      </w:r>
      <w:r w:rsidR="00956E14">
        <w:rPr>
          <w:b/>
          <w:bCs/>
        </w:rPr>
        <w:t xml:space="preserve">. </w:t>
      </w:r>
      <w:r w:rsidR="004867D9">
        <w:t>We adjusted the inputs</w:t>
      </w:r>
      <w:r w:rsidR="00956E14">
        <w:t xml:space="preserve"> for different scenarios by using </w:t>
      </w:r>
      <w:r w:rsidR="00C5749F">
        <w:t xml:space="preserve">the following five policy levers: </w:t>
      </w:r>
      <w:r w:rsidR="005861D3" w:rsidRPr="008412A6">
        <w:rPr>
          <w:b/>
          <w:bCs/>
        </w:rPr>
        <w:t>Policy change Tx average duration</w:t>
      </w:r>
      <w:r w:rsidR="005861D3">
        <w:t xml:space="preserve">, </w:t>
      </w:r>
      <w:r w:rsidR="00695BA5" w:rsidRPr="008412A6">
        <w:rPr>
          <w:b/>
          <w:bCs/>
        </w:rPr>
        <w:t>Policy change Tx seeking rate Rx OUD no H total</w:t>
      </w:r>
      <w:r w:rsidR="00695BA5">
        <w:t xml:space="preserve">, </w:t>
      </w:r>
      <w:r w:rsidR="00C158C5" w:rsidRPr="008412A6">
        <w:rPr>
          <w:b/>
          <w:bCs/>
        </w:rPr>
        <w:t>Policy change Bup total theoretical capacity</w:t>
      </w:r>
      <w:r w:rsidR="00C158C5">
        <w:t xml:space="preserve">, </w:t>
      </w:r>
      <w:r w:rsidR="008412A6" w:rsidRPr="008412A6">
        <w:rPr>
          <w:b/>
          <w:bCs/>
        </w:rPr>
        <w:t>Policy change MMT capacity</w:t>
      </w:r>
      <w:r w:rsidR="00A26FA0">
        <w:rPr>
          <w:b/>
          <w:bCs/>
        </w:rPr>
        <w:t>,</w:t>
      </w:r>
      <w:r w:rsidR="008412A6">
        <w:t xml:space="preserve"> and </w:t>
      </w:r>
      <w:r w:rsidR="008412A6" w:rsidRPr="008412A6">
        <w:rPr>
          <w:b/>
          <w:bCs/>
        </w:rPr>
        <w:t>Policy change Viv capacity</w:t>
      </w:r>
      <w:r w:rsidR="00187E11">
        <w:t xml:space="preserve">; </w:t>
      </w:r>
      <w:r w:rsidR="00797E4B">
        <w:t>we set the value</w:t>
      </w:r>
      <w:r w:rsidR="000D663C">
        <w:t>s</w:t>
      </w:r>
      <w:r w:rsidR="00797E4B">
        <w:t xml:space="preserve"> of these five levers</w:t>
      </w:r>
      <w:r w:rsidR="009D6720">
        <w:t xml:space="preserve"> such that</w:t>
      </w:r>
      <w:r w:rsidR="00EB7E60">
        <w:t xml:space="preserve"> the model input</w:t>
      </w:r>
      <w:r w:rsidR="000D663C">
        <w:t>s</w:t>
      </w:r>
      <w:r w:rsidR="00EB7E60">
        <w:t xml:space="preserve"> reached the necessary values. The scenario</w:t>
      </w:r>
      <w:r w:rsidR="00DA300F">
        <w:t>s</w:t>
      </w:r>
      <w:r w:rsidR="00EB7E60">
        <w:t xml:space="preserve"> involved</w:t>
      </w:r>
      <w:r w:rsidR="00EB00B7">
        <w:t xml:space="preserve"> increasing the</w:t>
      </w:r>
      <w:r w:rsidR="00C849C0">
        <w:t xml:space="preserve"> value of the</w:t>
      </w:r>
      <w:r w:rsidR="00EB00B7">
        <w:t xml:space="preserve"> input</w:t>
      </w:r>
      <w:r w:rsidR="0051514C">
        <w:t>s</w:t>
      </w:r>
      <w:r w:rsidR="00EB00B7">
        <w:t xml:space="preserve"> by</w:t>
      </w:r>
      <w:r w:rsidR="0051514C">
        <w:t xml:space="preserve"> a certain percent compared</w:t>
      </w:r>
      <w:r w:rsidR="001D0EE2">
        <w:t xml:space="preserve"> to baseline</w:t>
      </w:r>
      <w:r w:rsidR="00EB00B7">
        <w:t xml:space="preserve"> (</w:t>
      </w:r>
      <w:r w:rsidR="005D6A52">
        <w:t>when</w:t>
      </w:r>
      <w:r w:rsidR="003B5B0A">
        <w:t xml:space="preserve"> </w:t>
      </w:r>
      <w:r w:rsidR="000057A8">
        <w:t xml:space="preserve">changing </w:t>
      </w:r>
      <w:r w:rsidR="000611B9">
        <w:t>treatment duration and treatment capacity</w:t>
      </w:r>
      <w:r w:rsidR="005D6A52">
        <w:t>)</w:t>
      </w:r>
      <w:r w:rsidR="000611B9">
        <w:t xml:space="preserve"> or </w:t>
      </w:r>
      <w:r w:rsidR="001D0EE2">
        <w:t>increasing</w:t>
      </w:r>
      <w:r w:rsidR="000611B9">
        <w:t xml:space="preserve"> the value </w:t>
      </w:r>
      <w:r w:rsidR="001D0EE2">
        <w:t>of the inputs to a certain value</w:t>
      </w:r>
      <w:r w:rsidR="000611B9">
        <w:t xml:space="preserve"> (when changing </w:t>
      </w:r>
      <w:r w:rsidR="005B6D23">
        <w:t>treatment seeking rate)</w:t>
      </w:r>
      <w:r w:rsidR="00F21D06">
        <w:t>.</w:t>
      </w:r>
    </w:p>
    <w:p w14:paraId="2F079319" w14:textId="20120EA9" w:rsidR="00A06747" w:rsidRPr="0096599F" w:rsidRDefault="00A635F9" w:rsidP="0096599F">
      <w:pPr>
        <w:rPr>
          <w:rFonts w:cs="Calibri"/>
          <w:szCs w:val="22"/>
        </w:rPr>
      </w:pPr>
      <w:r>
        <w:rPr>
          <w:rStyle w:val="normaltextrun"/>
          <w:rFonts w:cs="Calibri"/>
          <w:szCs w:val="22"/>
        </w:rPr>
        <w:t>For c</w:t>
      </w:r>
      <w:r w:rsidR="004777C0">
        <w:rPr>
          <w:rStyle w:val="normaltextrun"/>
          <w:rFonts w:cs="Calibri"/>
          <w:szCs w:val="22"/>
        </w:rPr>
        <w:t xml:space="preserve">ombining naloxone availability and treatment capacity </w:t>
      </w:r>
      <w:r w:rsidR="00D87409">
        <w:rPr>
          <w:rStyle w:val="normaltextrun"/>
          <w:rFonts w:cs="Calibri"/>
          <w:szCs w:val="22"/>
        </w:rPr>
        <w:t>interventions</w:t>
      </w:r>
      <w:r>
        <w:rPr>
          <w:rStyle w:val="normaltextrun"/>
          <w:rFonts w:cs="Calibri"/>
          <w:szCs w:val="22"/>
        </w:rPr>
        <w:t xml:space="preserve">, we </w:t>
      </w:r>
      <w:r w:rsidR="000E2132">
        <w:rPr>
          <w:rStyle w:val="normaltextrun"/>
          <w:rFonts w:cs="Calibri"/>
          <w:szCs w:val="22"/>
        </w:rPr>
        <w:t>performed the above</w:t>
      </w:r>
      <w:r w:rsidR="008023EE">
        <w:rPr>
          <w:rStyle w:val="normaltextrun"/>
          <w:rFonts w:cs="Calibri"/>
          <w:szCs w:val="22"/>
        </w:rPr>
        <w:t xml:space="preserve"> procedures </w:t>
      </w:r>
      <w:r w:rsidR="00106D10">
        <w:rPr>
          <w:rStyle w:val="normaltextrun"/>
          <w:rFonts w:cs="Calibri"/>
          <w:szCs w:val="22"/>
        </w:rPr>
        <w:t>simultaneously</w:t>
      </w:r>
      <w:r>
        <w:rPr>
          <w:rStyle w:val="normaltextrun"/>
          <w:rFonts w:cs="Calibri"/>
          <w:szCs w:val="22"/>
        </w:rPr>
        <w:t>.</w:t>
      </w:r>
    </w:p>
    <w:p w14:paraId="430D8EE8" w14:textId="465A222A" w:rsidR="00110887" w:rsidRPr="00110887" w:rsidRDefault="001B2FF5" w:rsidP="00CC49EF">
      <w:pPr>
        <w:pStyle w:val="Heading2"/>
      </w:pPr>
      <w:bookmarkStart w:id="47" w:name="_Toc59050080"/>
      <w:r>
        <w:lastRenderedPageBreak/>
        <w:t xml:space="preserve">Summary of </w:t>
      </w:r>
      <w:r w:rsidR="007E1509">
        <w:t>F</w:t>
      </w:r>
      <w:r>
        <w:t>inding</w:t>
      </w:r>
      <w:r w:rsidR="00AA685F">
        <w:t>s</w:t>
      </w:r>
      <w:bookmarkEnd w:id="47"/>
    </w:p>
    <w:p w14:paraId="0AAC1475" w14:textId="2F933226" w:rsidR="0058447A" w:rsidRDefault="0058447A" w:rsidP="0058447A">
      <w:pPr>
        <w:spacing w:before="120"/>
        <w:rPr>
          <w:color w:val="000000"/>
        </w:rPr>
      </w:pPr>
      <w:r>
        <w:rPr>
          <w:color w:val="000000"/>
        </w:rPr>
        <w:t>In general, the results of the policy tests for increasing naloxone availability and treatment expansion were intuitive</w:t>
      </w:r>
      <w:r w:rsidR="00E03FB3">
        <w:rPr>
          <w:color w:val="000000"/>
        </w:rPr>
        <w:t>,</w:t>
      </w:r>
      <w:r>
        <w:rPr>
          <w:color w:val="000000"/>
        </w:rPr>
        <w:t xml:space="preserve"> and there are no major findings in this part of Final Validation</w:t>
      </w:r>
      <w:r w:rsidR="00243515">
        <w:rPr>
          <w:color w:val="000000"/>
        </w:rPr>
        <w:t xml:space="preserve"> Part 2</w:t>
      </w:r>
      <w:r>
        <w:rPr>
          <w:color w:val="000000"/>
        </w:rPr>
        <w:t xml:space="preserve">. We tested policies related to increasing naloxone availability (i.e., increasing number of distributed </w:t>
      </w:r>
      <w:r w:rsidR="004A0D9E">
        <w:rPr>
          <w:color w:val="000000"/>
        </w:rPr>
        <w:t>naloxone</w:t>
      </w:r>
      <w:r>
        <w:rPr>
          <w:color w:val="000000"/>
        </w:rPr>
        <w:t xml:space="preserve"> kits among Rx and heroin users and increasing probability of naloxone available for Rx and heroin bystander</w:t>
      </w:r>
      <w:r w:rsidR="00AE375F">
        <w:rPr>
          <w:color w:val="000000"/>
        </w:rPr>
        <w:t>s</w:t>
      </w:r>
      <w:r>
        <w:rPr>
          <w:color w:val="000000"/>
        </w:rPr>
        <w:t xml:space="preserve">) and treatment expansion (i.e., increasing </w:t>
      </w:r>
      <w:r w:rsidR="005C4112">
        <w:rPr>
          <w:color w:val="000000"/>
        </w:rPr>
        <w:t>treatment</w:t>
      </w:r>
      <w:r>
        <w:rPr>
          <w:color w:val="000000"/>
        </w:rPr>
        <w:t xml:space="preserve"> capacity, </w:t>
      </w:r>
      <w:r w:rsidR="005C4112">
        <w:rPr>
          <w:color w:val="000000"/>
        </w:rPr>
        <w:t>treatment</w:t>
      </w:r>
      <w:r>
        <w:rPr>
          <w:color w:val="000000"/>
        </w:rPr>
        <w:t xml:space="preserve"> seeking rates, and </w:t>
      </w:r>
      <w:r w:rsidR="005C4112">
        <w:rPr>
          <w:color w:val="000000"/>
        </w:rPr>
        <w:t>treatment</w:t>
      </w:r>
      <w:r>
        <w:rPr>
          <w:color w:val="000000"/>
        </w:rPr>
        <w:t xml:space="preserve"> duration) individually and in combination in order to test manipulating multiple policy levers at a time. </w:t>
      </w:r>
    </w:p>
    <w:p w14:paraId="06998F0B" w14:textId="19D9B7D1" w:rsidR="0058447A" w:rsidRPr="00AD66C8" w:rsidRDefault="0058447A" w:rsidP="0058447A">
      <w:pPr>
        <w:spacing w:before="120"/>
      </w:pPr>
      <w:r>
        <w:rPr>
          <w:color w:val="000000"/>
        </w:rPr>
        <w:t xml:space="preserve">An important finding to note </w:t>
      </w:r>
      <w:r w:rsidR="00FC0259">
        <w:rPr>
          <w:color w:val="000000"/>
        </w:rPr>
        <w:t>is</w:t>
      </w:r>
      <w:r>
        <w:rPr>
          <w:color w:val="000000"/>
        </w:rPr>
        <w:t xml:space="preserve"> that </w:t>
      </w:r>
      <w:r w:rsidRPr="00FF7101">
        <w:rPr>
          <w:color w:val="000000"/>
        </w:rPr>
        <w:t xml:space="preserve">increasing </w:t>
      </w:r>
      <w:r w:rsidR="004A0D9E">
        <w:rPr>
          <w:color w:val="000000"/>
        </w:rPr>
        <w:t>naloxone</w:t>
      </w:r>
      <w:r w:rsidRPr="00FF7101">
        <w:rPr>
          <w:color w:val="000000"/>
        </w:rPr>
        <w:t xml:space="preserve"> availability was the only intervention that resulted in an increase in </w:t>
      </w:r>
      <w:r w:rsidRPr="00FF7101">
        <w:rPr>
          <w:b/>
          <w:bCs/>
          <w:color w:val="000000"/>
        </w:rPr>
        <w:t xml:space="preserve">Total nonfatal overdoses </w:t>
      </w:r>
      <w:r w:rsidRPr="00FF7101">
        <w:rPr>
          <w:color w:val="000000"/>
        </w:rPr>
        <w:t xml:space="preserve">(see </w:t>
      </w:r>
      <w:r w:rsidR="008476A6">
        <w:rPr>
          <w:color w:val="000000"/>
        </w:rPr>
        <w:fldChar w:fldCharType="begin"/>
      </w:r>
      <w:r w:rsidR="008476A6">
        <w:rPr>
          <w:color w:val="000000"/>
        </w:rPr>
        <w:instrText xml:space="preserve"> REF _Ref58950279 \h </w:instrText>
      </w:r>
      <w:r w:rsidR="008476A6">
        <w:rPr>
          <w:color w:val="000000"/>
        </w:rPr>
      </w:r>
      <w:r w:rsidR="008476A6">
        <w:rPr>
          <w:color w:val="000000"/>
        </w:rPr>
        <w:fldChar w:fldCharType="separate"/>
      </w:r>
      <w:r w:rsidR="008476A6">
        <w:t xml:space="preserve">Figure </w:t>
      </w:r>
      <w:r w:rsidR="008476A6">
        <w:rPr>
          <w:noProof/>
        </w:rPr>
        <w:t>11</w:t>
      </w:r>
      <w:r w:rsidR="008476A6">
        <w:noBreakHyphen/>
      </w:r>
      <w:r w:rsidR="008476A6">
        <w:rPr>
          <w:noProof/>
        </w:rPr>
        <w:t>1</w:t>
      </w:r>
      <w:r w:rsidR="008476A6">
        <w:rPr>
          <w:color w:val="000000"/>
        </w:rPr>
        <w:fldChar w:fldCharType="end"/>
      </w:r>
      <w:r w:rsidRPr="00FF7101">
        <w:rPr>
          <w:color w:val="000000"/>
        </w:rPr>
        <w:t xml:space="preserve"> and </w:t>
      </w:r>
      <w:r w:rsidR="00FF7101" w:rsidRPr="00FF7101">
        <w:rPr>
          <w:color w:val="000000"/>
        </w:rPr>
        <w:fldChar w:fldCharType="begin"/>
      </w:r>
      <w:r w:rsidR="00FF7101" w:rsidRPr="00FF7101">
        <w:rPr>
          <w:color w:val="000000"/>
        </w:rPr>
        <w:instrText xml:space="preserve"> REF _Ref58946314 \h </w:instrText>
      </w:r>
      <w:r w:rsidR="00FF7101">
        <w:rPr>
          <w:color w:val="000000"/>
        </w:rPr>
        <w:instrText xml:space="preserve"> \* MERGEFORMAT </w:instrText>
      </w:r>
      <w:r w:rsidR="00FF7101" w:rsidRPr="00FF7101">
        <w:rPr>
          <w:color w:val="000000"/>
        </w:rPr>
      </w:r>
      <w:r w:rsidR="00FF7101" w:rsidRPr="00FF7101">
        <w:rPr>
          <w:color w:val="000000"/>
        </w:rPr>
        <w:fldChar w:fldCharType="separate"/>
      </w:r>
      <w:r w:rsidR="00FF7101" w:rsidRPr="00FF7101">
        <w:t xml:space="preserve">Table </w:t>
      </w:r>
      <w:r w:rsidR="00FF7101" w:rsidRPr="00FF7101">
        <w:rPr>
          <w:noProof/>
        </w:rPr>
        <w:t>11</w:t>
      </w:r>
      <w:r w:rsidR="00FF7101" w:rsidRPr="00FF7101">
        <w:noBreakHyphen/>
      </w:r>
      <w:r w:rsidR="00FF7101" w:rsidRPr="00FF7101">
        <w:rPr>
          <w:noProof/>
        </w:rPr>
        <w:t>3</w:t>
      </w:r>
      <w:r w:rsidR="00FF7101" w:rsidRPr="00FF7101">
        <w:rPr>
          <w:color w:val="000000"/>
        </w:rPr>
        <w:fldChar w:fldCharType="end"/>
      </w:r>
      <w:r w:rsidR="00FF7101" w:rsidRPr="00FF7101">
        <w:rPr>
          <w:color w:val="000000"/>
        </w:rPr>
        <w:t xml:space="preserve"> </w:t>
      </w:r>
      <w:r w:rsidRPr="00FF7101">
        <w:rPr>
          <w:color w:val="000000"/>
        </w:rPr>
        <w:t xml:space="preserve">in the </w:t>
      </w:r>
      <w:hyperlink w:anchor="_Appendix" w:history="1">
        <w:r w:rsidRPr="003B068E">
          <w:rPr>
            <w:rStyle w:val="Hyperlink"/>
          </w:rPr>
          <w:t>Appendix</w:t>
        </w:r>
      </w:hyperlink>
      <w:r w:rsidRPr="00FF7101">
        <w:rPr>
          <w:color w:val="000000"/>
        </w:rPr>
        <w:t>). This finding is consistent with</w:t>
      </w:r>
      <w:r w:rsidRPr="00FF7101">
        <w:rPr>
          <w:b/>
          <w:bCs/>
          <w:color w:val="000000"/>
        </w:rPr>
        <w:t xml:space="preserve"> </w:t>
      </w:r>
      <w:r w:rsidRPr="00FF7101">
        <w:rPr>
          <w:color w:val="000000"/>
        </w:rPr>
        <w:t>Homer</w:t>
      </w:r>
      <w:r w:rsidR="007E1542">
        <w:rPr>
          <w:color w:val="000000"/>
        </w:rPr>
        <w:t xml:space="preserve"> and </w:t>
      </w:r>
      <w:r w:rsidRPr="00FF7101">
        <w:rPr>
          <w:color w:val="000000"/>
        </w:rPr>
        <w:t xml:space="preserve">Wakeland (2020) finding. We also found that a </w:t>
      </w:r>
      <w:r w:rsidRPr="00FF7101">
        <w:t xml:space="preserve">combination of these policies (i.e., increasing </w:t>
      </w:r>
      <w:r w:rsidR="00645643">
        <w:t>naloxone</w:t>
      </w:r>
      <w:r w:rsidRPr="00FF7101">
        <w:t xml:space="preserve"> availability and expanding </w:t>
      </w:r>
      <w:r w:rsidR="00645643">
        <w:t>treatment</w:t>
      </w:r>
      <w:r w:rsidRPr="00FF7101">
        <w:t xml:space="preserve">) can more effectively reduce the number of overdose deaths compared to </w:t>
      </w:r>
      <w:r w:rsidR="00A44E08">
        <w:t xml:space="preserve">each policy </w:t>
      </w:r>
      <w:r w:rsidR="00645643">
        <w:t>individually</w:t>
      </w:r>
      <w:r w:rsidRPr="00FF7101">
        <w:t xml:space="preserve">. However, combining these two policies led to a greater increase in </w:t>
      </w:r>
      <w:r w:rsidR="008B4CD5" w:rsidRPr="0049511D">
        <w:rPr>
          <w:b/>
          <w:bCs/>
        </w:rPr>
        <w:t>Total heroin initiation</w:t>
      </w:r>
      <w:r w:rsidRPr="00FF7101">
        <w:t xml:space="preserve"> compared to either policy alone. Comparing interventions for increasing</w:t>
      </w:r>
      <w:r>
        <w:t xml:space="preserve"> treatment capacity versus increasing treatment seeking rates suggest</w:t>
      </w:r>
      <w:r w:rsidR="00973172">
        <w:t>s</w:t>
      </w:r>
      <w:r>
        <w:t xml:space="preserve"> that addressing the barriers to treatment (e.g., insurance coverage) may have</w:t>
      </w:r>
      <w:r w:rsidR="00E270DD">
        <w:t xml:space="preserve"> a</w:t>
      </w:r>
      <w:r>
        <w:t xml:space="preserve"> greater impact than </w:t>
      </w:r>
      <w:r w:rsidR="00973172">
        <w:t>i</w:t>
      </w:r>
      <w:r>
        <w:t xml:space="preserve">ncreasing treatment capacity. Additionally, interventions including increasing naloxone availability reduce </w:t>
      </w:r>
      <w:r w:rsidR="009B5D12" w:rsidRPr="009B5D12">
        <w:rPr>
          <w:b/>
        </w:rPr>
        <w:t>T</w:t>
      </w:r>
      <w:r w:rsidRPr="009B5D12">
        <w:rPr>
          <w:b/>
        </w:rPr>
        <w:t>otal overdose deaths Rx</w:t>
      </w:r>
      <w:r>
        <w:t xml:space="preserve"> more compared to interventions limited to only expanding treatment </w:t>
      </w:r>
      <w:r w:rsidRPr="00AD66C8">
        <w:rPr>
          <w:color w:val="000000"/>
        </w:rPr>
        <w:t xml:space="preserve">(see </w:t>
      </w:r>
      <w:r w:rsidR="008476A6">
        <w:rPr>
          <w:color w:val="000000"/>
        </w:rPr>
        <w:fldChar w:fldCharType="begin"/>
      </w:r>
      <w:r w:rsidR="008476A6">
        <w:rPr>
          <w:color w:val="000000"/>
        </w:rPr>
        <w:instrText xml:space="preserve"> REF _Ref58950279 \h </w:instrText>
      </w:r>
      <w:r w:rsidR="008476A6">
        <w:rPr>
          <w:color w:val="000000"/>
        </w:rPr>
      </w:r>
      <w:r w:rsidR="008476A6">
        <w:rPr>
          <w:color w:val="000000"/>
        </w:rPr>
        <w:fldChar w:fldCharType="separate"/>
      </w:r>
      <w:r w:rsidR="008476A6">
        <w:t xml:space="preserve">Figure </w:t>
      </w:r>
      <w:r w:rsidR="008476A6">
        <w:rPr>
          <w:noProof/>
        </w:rPr>
        <w:t>11</w:t>
      </w:r>
      <w:r w:rsidR="008476A6">
        <w:noBreakHyphen/>
      </w:r>
      <w:r w:rsidR="008476A6">
        <w:rPr>
          <w:noProof/>
        </w:rPr>
        <w:t>1</w:t>
      </w:r>
      <w:r w:rsidR="008476A6">
        <w:rPr>
          <w:color w:val="000000"/>
        </w:rPr>
        <w:fldChar w:fldCharType="end"/>
      </w:r>
      <w:r w:rsidRPr="00AD66C8">
        <w:rPr>
          <w:color w:val="000000"/>
        </w:rPr>
        <w:t xml:space="preserve"> in the </w:t>
      </w:r>
      <w:hyperlink w:anchor="_Appendix" w:history="1">
        <w:r w:rsidRPr="00093320">
          <w:rPr>
            <w:rStyle w:val="Hyperlink"/>
          </w:rPr>
          <w:t>Appendix</w:t>
        </w:r>
      </w:hyperlink>
      <w:r w:rsidRPr="00AD66C8">
        <w:rPr>
          <w:color w:val="000000"/>
        </w:rPr>
        <w:t>).</w:t>
      </w:r>
    </w:p>
    <w:p w14:paraId="4C1157DC" w14:textId="50AC1687" w:rsidR="00FE43C8" w:rsidRPr="00FE43C8" w:rsidRDefault="0058447A" w:rsidP="00FE43C8">
      <w:pPr>
        <w:spacing w:before="120"/>
        <w:rPr>
          <w:color w:val="000000"/>
        </w:rPr>
      </w:pPr>
      <w:r w:rsidRPr="00AD66C8">
        <w:rPr>
          <w:color w:val="000000"/>
        </w:rPr>
        <w:t xml:space="preserve">We compared the results </w:t>
      </w:r>
      <w:r w:rsidR="00835D48">
        <w:rPr>
          <w:color w:val="000000"/>
        </w:rPr>
        <w:t xml:space="preserve">for the intervention </w:t>
      </w:r>
      <w:r w:rsidRPr="00AD66C8">
        <w:rPr>
          <w:color w:val="000000"/>
        </w:rPr>
        <w:t xml:space="preserve">increasing number of </w:t>
      </w:r>
      <w:r w:rsidR="005C4112">
        <w:rPr>
          <w:color w:val="000000"/>
        </w:rPr>
        <w:t>naloxone</w:t>
      </w:r>
      <w:r w:rsidRPr="00AD66C8">
        <w:rPr>
          <w:color w:val="000000"/>
        </w:rPr>
        <w:t xml:space="preserve"> kits distributed </w:t>
      </w:r>
      <w:r w:rsidR="00E540D0">
        <w:rPr>
          <w:color w:val="000000"/>
        </w:rPr>
        <w:t xml:space="preserve">in model v1110 </w:t>
      </w:r>
      <w:r w:rsidRPr="00AD66C8">
        <w:rPr>
          <w:color w:val="000000"/>
        </w:rPr>
        <w:t>with</w:t>
      </w:r>
      <w:r w:rsidR="008E2992">
        <w:rPr>
          <w:color w:val="000000"/>
        </w:rPr>
        <w:t xml:space="preserve"> Irvine and Greene (2020)</w:t>
      </w:r>
      <w:r w:rsidR="009C3C72">
        <w:rPr>
          <w:color w:val="000000"/>
        </w:rPr>
        <w:t>;</w:t>
      </w:r>
      <w:r w:rsidRPr="00AD66C8">
        <w:rPr>
          <w:color w:val="000000"/>
        </w:rPr>
        <w:t xml:space="preserve"> our findings </w:t>
      </w:r>
      <w:r w:rsidR="009C3C72">
        <w:rPr>
          <w:color w:val="000000"/>
        </w:rPr>
        <w:t xml:space="preserve">from </w:t>
      </w:r>
      <w:r w:rsidR="0002308D">
        <w:rPr>
          <w:color w:val="000000"/>
        </w:rPr>
        <w:t>model v1110 were</w:t>
      </w:r>
      <w:r w:rsidRPr="00AD66C8">
        <w:rPr>
          <w:color w:val="000000"/>
        </w:rPr>
        <w:t xml:space="preserve"> qualitatively consistent with </w:t>
      </w:r>
      <w:r w:rsidR="0002308D">
        <w:rPr>
          <w:color w:val="000000"/>
        </w:rPr>
        <w:t>the findings Irvine and Green presented</w:t>
      </w:r>
      <w:r w:rsidRPr="00AD66C8">
        <w:rPr>
          <w:color w:val="000000"/>
        </w:rPr>
        <w:t xml:space="preserve">. We also compared </w:t>
      </w:r>
      <w:r w:rsidR="0002308D">
        <w:rPr>
          <w:color w:val="000000"/>
        </w:rPr>
        <w:t>our</w:t>
      </w:r>
      <w:r w:rsidRPr="00AD66C8">
        <w:rPr>
          <w:color w:val="000000"/>
        </w:rPr>
        <w:t xml:space="preserve"> results </w:t>
      </w:r>
      <w:r w:rsidR="0002308D">
        <w:rPr>
          <w:color w:val="000000"/>
        </w:rPr>
        <w:t>from</w:t>
      </w:r>
      <w:r w:rsidRPr="00AD66C8">
        <w:rPr>
          <w:color w:val="000000"/>
        </w:rPr>
        <w:t xml:space="preserve"> increasing</w:t>
      </w:r>
      <w:r w:rsidR="0002308D">
        <w:rPr>
          <w:color w:val="000000"/>
        </w:rPr>
        <w:t xml:space="preserve"> naloxone</w:t>
      </w:r>
      <w:r w:rsidRPr="00AD66C8">
        <w:rPr>
          <w:color w:val="000000"/>
        </w:rPr>
        <w:t xml:space="preserve"> availability and </w:t>
      </w:r>
      <w:r w:rsidR="0002308D">
        <w:rPr>
          <w:color w:val="000000"/>
        </w:rPr>
        <w:t>treatment</w:t>
      </w:r>
      <w:r w:rsidRPr="00AD66C8">
        <w:rPr>
          <w:color w:val="000000"/>
        </w:rPr>
        <w:t xml:space="preserve"> expansion interventions </w:t>
      </w:r>
      <w:r w:rsidR="0002308D">
        <w:rPr>
          <w:color w:val="000000"/>
        </w:rPr>
        <w:t xml:space="preserve">in model v1110 </w:t>
      </w:r>
      <w:r w:rsidRPr="00AD66C8">
        <w:rPr>
          <w:color w:val="000000"/>
        </w:rPr>
        <w:t>with Pitt (2018)</w:t>
      </w:r>
      <w:r w:rsidR="0002308D">
        <w:rPr>
          <w:color w:val="000000"/>
        </w:rPr>
        <w:t xml:space="preserve">. Our findings from model v1110 </w:t>
      </w:r>
      <w:r w:rsidRPr="00AD66C8">
        <w:rPr>
          <w:color w:val="000000"/>
        </w:rPr>
        <w:t xml:space="preserve">were qualitatively consistent with </w:t>
      </w:r>
      <w:r w:rsidR="0002308D">
        <w:rPr>
          <w:color w:val="000000"/>
        </w:rPr>
        <w:t>the Pitt (2018) findings</w:t>
      </w:r>
      <w:r w:rsidRPr="00AD66C8">
        <w:rPr>
          <w:color w:val="000000"/>
        </w:rPr>
        <w:t xml:space="preserve"> as well.</w:t>
      </w:r>
    </w:p>
    <w:p w14:paraId="656C86CA" w14:textId="41FE3FD8" w:rsidR="0058447A" w:rsidRPr="0058447A" w:rsidRDefault="00515AFE" w:rsidP="009D648E">
      <w:r w:rsidRPr="00B54235">
        <w:rPr>
          <w:rFonts w:cs="Calibri"/>
        </w:rPr>
        <w:t xml:space="preserve">Although there are some limitations in the treatment part of the model, </w:t>
      </w:r>
      <w:r>
        <w:t xml:space="preserve">the model still provides value to understanding the </w:t>
      </w:r>
      <w:r w:rsidR="00577819">
        <w:t>short- and long-term</w:t>
      </w:r>
      <w:r>
        <w:t xml:space="preserve"> effects of the interventions</w:t>
      </w:r>
      <w:r w:rsidRPr="00B54235">
        <w:rPr>
          <w:rFonts w:cs="Calibri"/>
        </w:rPr>
        <w:t xml:space="preserve">. For example, in the current version of the model, </w:t>
      </w:r>
      <w:r w:rsidR="0046119F">
        <w:rPr>
          <w:rFonts w:cs="Calibri"/>
        </w:rPr>
        <w:t xml:space="preserve">relative availability does not influence </w:t>
      </w:r>
      <w:r w:rsidRPr="00B54235">
        <w:rPr>
          <w:rFonts w:cs="Calibri"/>
        </w:rPr>
        <w:t>t</w:t>
      </w:r>
      <w:r w:rsidRPr="00B11E17">
        <w:t xml:space="preserve">he choice of which therapy to seek. There is no feedback from capacity utilization that affects </w:t>
      </w:r>
      <w:r w:rsidR="009B5D12">
        <w:t>individuals’ decisions</w:t>
      </w:r>
      <w:r w:rsidRPr="00B11E17">
        <w:t xml:space="preserve"> for seeking one treatment versus another. In another words, if a person seeks one therapy and cannot get it, </w:t>
      </w:r>
      <w:r>
        <w:t xml:space="preserve">they </w:t>
      </w:r>
      <w:r w:rsidRPr="00B11E17">
        <w:t xml:space="preserve">will not seek another method. </w:t>
      </w:r>
      <w:r w:rsidR="00D004AE">
        <w:t>Therefore, this could be a</w:t>
      </w:r>
      <w:r w:rsidR="003E1DC3">
        <w:t>n</w:t>
      </w:r>
      <w:r w:rsidR="00D004AE">
        <w:t xml:space="preserve"> area in the model that may benefit from further adjustment or development.</w:t>
      </w:r>
      <w:r w:rsidR="00D004AE" w:rsidRPr="00B11E17">
        <w:t xml:space="preserve"> </w:t>
      </w:r>
      <w:r w:rsidR="00226C89">
        <w:rPr>
          <w:color w:val="000000"/>
        </w:rPr>
        <w:t>A</w:t>
      </w:r>
      <w:r w:rsidR="0058447A">
        <w:rPr>
          <w:color w:val="000000"/>
        </w:rPr>
        <w:t xml:space="preserve">ddressing </w:t>
      </w:r>
      <w:r w:rsidR="00827564">
        <w:rPr>
          <w:color w:val="000000"/>
        </w:rPr>
        <w:t xml:space="preserve">this </w:t>
      </w:r>
      <w:r w:rsidR="0058447A">
        <w:rPr>
          <w:color w:val="000000"/>
        </w:rPr>
        <w:t xml:space="preserve">limitation on the treatment </w:t>
      </w:r>
      <w:r w:rsidR="005F14DB">
        <w:rPr>
          <w:color w:val="000000"/>
        </w:rPr>
        <w:t>area of the model</w:t>
      </w:r>
      <w:r w:rsidR="0058447A">
        <w:rPr>
          <w:color w:val="000000"/>
        </w:rPr>
        <w:t xml:space="preserve"> could lead to increased confidence into the model's results.</w:t>
      </w:r>
    </w:p>
    <w:p w14:paraId="211043FE" w14:textId="794E11CB" w:rsidR="006B3AB3" w:rsidRDefault="006B3AB3" w:rsidP="00CC49EF">
      <w:pPr>
        <w:pStyle w:val="Heading2"/>
      </w:pPr>
      <w:bookmarkStart w:id="48" w:name="_Toc59050081"/>
      <w:r>
        <w:t>Use Cases</w:t>
      </w:r>
      <w:bookmarkEnd w:id="48"/>
    </w:p>
    <w:p w14:paraId="51BC2386" w14:textId="68A72B3B" w:rsidR="000C5047" w:rsidRPr="000C5047" w:rsidRDefault="0009169F" w:rsidP="00507F7D">
      <w:pPr>
        <w:pStyle w:val="Heading3"/>
      </w:pPr>
      <w:bookmarkStart w:id="49" w:name="_Toc59050082"/>
      <w:r>
        <w:t xml:space="preserve">7.5.1 Increasing </w:t>
      </w:r>
      <w:r w:rsidR="006F1235">
        <w:t xml:space="preserve">Naloxone </w:t>
      </w:r>
      <w:r w:rsidR="00227138">
        <w:t>Availability</w:t>
      </w:r>
      <w:bookmarkEnd w:id="49"/>
    </w:p>
    <w:p w14:paraId="041E8B12" w14:textId="12BCE582" w:rsidR="0018152A" w:rsidRDefault="007548EB" w:rsidP="00762779">
      <w:pPr>
        <w:sectPr w:rsidR="0018152A" w:rsidSect="00230490">
          <w:headerReference w:type="default" r:id="rId27"/>
          <w:pgSz w:w="12240" w:h="15840" w:code="1"/>
          <w:pgMar w:top="1440" w:right="1440" w:bottom="1440" w:left="1440" w:header="720" w:footer="720" w:gutter="0"/>
          <w:cols w:space="720"/>
          <w:noEndnote/>
          <w:docGrid w:linePitch="326"/>
        </w:sectPr>
      </w:pPr>
      <w:r>
        <w:t xml:space="preserve">We tested </w:t>
      </w:r>
      <w:r w:rsidR="00A772E5">
        <w:t>several</w:t>
      </w:r>
      <w:r>
        <w:t xml:space="preserve"> </w:t>
      </w:r>
      <w:r w:rsidR="00F23472">
        <w:t>scenarios related</w:t>
      </w:r>
      <w:r w:rsidR="003750EA">
        <w:t xml:space="preserve"> to </w:t>
      </w:r>
      <w:r w:rsidR="00FF02AF">
        <w:t>policies</w:t>
      </w:r>
      <w:r w:rsidR="00ED44A8">
        <w:t xml:space="preserve"> </w:t>
      </w:r>
      <w:r w:rsidR="00893EF4">
        <w:t>aim</w:t>
      </w:r>
      <w:r w:rsidR="0069543D">
        <w:t>ing</w:t>
      </w:r>
      <w:r w:rsidR="00893EF4">
        <w:t xml:space="preserve"> to </w:t>
      </w:r>
      <w:r w:rsidR="00ED44A8">
        <w:t>increas</w:t>
      </w:r>
      <w:r w:rsidR="00893EF4">
        <w:t>e</w:t>
      </w:r>
      <w:r w:rsidR="00ED44A8">
        <w:t xml:space="preserve"> naloxone availability</w:t>
      </w:r>
      <w:r w:rsidR="00893EF4">
        <w:t>.</w:t>
      </w:r>
      <w:r>
        <w:t xml:space="preserve"> </w:t>
      </w:r>
      <w:r w:rsidR="00564EC2">
        <w:rPr>
          <w:highlight w:val="yellow"/>
        </w:rPr>
        <w:fldChar w:fldCharType="begin"/>
      </w:r>
      <w:r w:rsidR="00564EC2">
        <w:instrText xml:space="preserve"> REF _Ref59024056 \h </w:instrText>
      </w:r>
      <w:r w:rsidR="00564EC2">
        <w:rPr>
          <w:highlight w:val="yellow"/>
        </w:rPr>
      </w:r>
      <w:r w:rsidR="00564EC2">
        <w:rPr>
          <w:highlight w:val="yellow"/>
        </w:rPr>
        <w:fldChar w:fldCharType="separate"/>
      </w:r>
      <w:r w:rsidR="00564EC2">
        <w:t xml:space="preserve">Table </w:t>
      </w:r>
      <w:r w:rsidR="00564EC2">
        <w:rPr>
          <w:noProof/>
        </w:rPr>
        <w:t>7</w:t>
      </w:r>
      <w:r w:rsidR="00564EC2">
        <w:noBreakHyphen/>
      </w:r>
      <w:r w:rsidR="00564EC2">
        <w:rPr>
          <w:noProof/>
        </w:rPr>
        <w:t>1</w:t>
      </w:r>
      <w:r w:rsidR="00564EC2">
        <w:rPr>
          <w:highlight w:val="yellow"/>
        </w:rPr>
        <w:fldChar w:fldCharType="end"/>
      </w:r>
      <w:r w:rsidR="000B0C39">
        <w:t xml:space="preserve"> lists s</w:t>
      </w:r>
      <w:r w:rsidR="008B67B4">
        <w:t>amples policy questions</w:t>
      </w:r>
      <w:r w:rsidR="00B715A9">
        <w:t xml:space="preserve">, </w:t>
      </w:r>
      <w:r w:rsidR="00867B51">
        <w:t>inputs</w:t>
      </w:r>
      <w:r w:rsidR="0087546B">
        <w:t xml:space="preserve"> to the model </w:t>
      </w:r>
      <w:r w:rsidR="00E907A1">
        <w:t>that</w:t>
      </w:r>
      <w:r w:rsidR="003618CE">
        <w:t xml:space="preserve"> relate to those</w:t>
      </w:r>
      <w:r w:rsidR="00B715A9">
        <w:t xml:space="preserve"> policy</w:t>
      </w:r>
      <w:r w:rsidR="003618CE">
        <w:t xml:space="preserve"> questions</w:t>
      </w:r>
      <w:r w:rsidR="002F2A7D">
        <w:t>, and the changes to those inputs (i.e., scenarios) that we tested</w:t>
      </w:r>
      <w:r w:rsidR="0056768F">
        <w:t>.</w:t>
      </w:r>
      <w:r w:rsidR="006A5DED">
        <w:t xml:space="preserve"> </w:t>
      </w:r>
      <w:r w:rsidR="006A5DED" w:rsidRPr="006852F4">
        <w:t xml:space="preserve">We </w:t>
      </w:r>
      <w:r w:rsidR="003F60BE" w:rsidRPr="006852F4">
        <w:t>used</w:t>
      </w:r>
      <w:r w:rsidR="006A5DED" w:rsidRPr="006852F4">
        <w:t xml:space="preserve"> policy levers to </w:t>
      </w:r>
      <w:r w:rsidR="004B6E42" w:rsidRPr="006852F4">
        <w:t xml:space="preserve">adjust the </w:t>
      </w:r>
      <w:r w:rsidR="006A5DED" w:rsidRPr="006852F4">
        <w:t>input</w:t>
      </w:r>
      <w:r w:rsidR="004B6E42" w:rsidRPr="006852F4">
        <w:t>s accordingly</w:t>
      </w:r>
      <w:r w:rsidR="006A5DED" w:rsidRPr="00514853">
        <w:t>.</w:t>
      </w:r>
      <w:r w:rsidR="00C47DA5">
        <w:t xml:space="preserve"> </w:t>
      </w:r>
      <w:r w:rsidR="00382440">
        <w:t xml:space="preserve">The </w:t>
      </w:r>
      <w:r w:rsidR="00DF20EA">
        <w:t>input variables</w:t>
      </w:r>
      <w:r w:rsidR="00382440">
        <w:t xml:space="preserve"> </w:t>
      </w:r>
      <w:r w:rsidR="00382440" w:rsidRPr="00A00ECD">
        <w:t>include</w:t>
      </w:r>
      <w:r w:rsidR="006A7EED">
        <w:t xml:space="preserve"> increasing the probability that </w:t>
      </w:r>
      <w:r w:rsidR="001039A5">
        <w:t xml:space="preserve">a bystander to an Rx and/or heroin overdose has </w:t>
      </w:r>
      <w:r w:rsidR="00952290">
        <w:t>n</w:t>
      </w:r>
      <w:r w:rsidR="00006C70">
        <w:t>aloxone</w:t>
      </w:r>
      <w:r w:rsidR="00E84A9D">
        <w:t xml:space="preserve"> available and increasing the number of </w:t>
      </w:r>
      <w:r w:rsidR="00D67327">
        <w:t>naloxone</w:t>
      </w:r>
      <w:r w:rsidR="00E84A9D">
        <w:t xml:space="preserve"> </w:t>
      </w:r>
      <w:r w:rsidR="00E84A9D" w:rsidRPr="00D82087">
        <w:t>kits distributed for Rx and/or heroin</w:t>
      </w:r>
      <w:r w:rsidR="00D67327" w:rsidRPr="00D82087">
        <w:t xml:space="preserve"> </w:t>
      </w:r>
      <w:r w:rsidR="00837B0E" w:rsidRPr="00D82087">
        <w:t>users</w:t>
      </w:r>
      <w:r w:rsidR="005A6D9F">
        <w:t xml:space="preserve">. </w:t>
      </w:r>
      <w:r w:rsidR="00A15DFE">
        <w:t>We tested</w:t>
      </w:r>
      <w:r w:rsidR="00375CB7">
        <w:t xml:space="preserve"> t</w:t>
      </w:r>
      <w:r w:rsidR="00F276C9" w:rsidRPr="00D82087">
        <w:t xml:space="preserve">hese input variables </w:t>
      </w:r>
      <w:r w:rsidR="007A253C" w:rsidRPr="00D82087">
        <w:t xml:space="preserve">alone or </w:t>
      </w:r>
      <w:r w:rsidR="00CC478C" w:rsidRPr="00D82087">
        <w:t>in combination</w:t>
      </w:r>
      <w:r w:rsidR="006F6263" w:rsidRPr="00D82087">
        <w:t>s</w:t>
      </w:r>
      <w:r w:rsidR="00375CB7">
        <w:t>,</w:t>
      </w:r>
      <w:r w:rsidR="00CC478C" w:rsidRPr="00D82087">
        <w:t xml:space="preserve"> </w:t>
      </w:r>
      <w:r w:rsidR="00DF761E" w:rsidRPr="00D82087">
        <w:t xml:space="preserve">as specified in </w:t>
      </w:r>
      <w:r w:rsidR="00564EC2">
        <w:rPr>
          <w:highlight w:val="yellow"/>
        </w:rPr>
        <w:fldChar w:fldCharType="begin"/>
      </w:r>
      <w:r w:rsidR="00564EC2">
        <w:instrText xml:space="preserve"> REF _Ref59024056 \h </w:instrText>
      </w:r>
      <w:r w:rsidR="00564EC2">
        <w:rPr>
          <w:highlight w:val="yellow"/>
        </w:rPr>
      </w:r>
      <w:r w:rsidR="00564EC2">
        <w:rPr>
          <w:highlight w:val="yellow"/>
        </w:rPr>
        <w:fldChar w:fldCharType="separate"/>
      </w:r>
      <w:r w:rsidR="00564EC2">
        <w:t xml:space="preserve">Table </w:t>
      </w:r>
      <w:r w:rsidR="00564EC2">
        <w:rPr>
          <w:noProof/>
        </w:rPr>
        <w:t>7</w:t>
      </w:r>
      <w:r w:rsidR="00564EC2">
        <w:noBreakHyphen/>
      </w:r>
      <w:r w:rsidR="00564EC2">
        <w:rPr>
          <w:noProof/>
        </w:rPr>
        <w:t>1</w:t>
      </w:r>
      <w:r w:rsidR="00564EC2">
        <w:rPr>
          <w:highlight w:val="yellow"/>
        </w:rPr>
        <w:fldChar w:fldCharType="end"/>
      </w:r>
      <w:r w:rsidR="007A253C" w:rsidRPr="00D82087">
        <w:t>.</w:t>
      </w:r>
      <w:r w:rsidR="00F276C9" w:rsidRPr="00D82087">
        <w:t xml:space="preserve"> </w:t>
      </w:r>
      <w:r w:rsidR="00FF4B26">
        <w:t>Informal, supplemental</w:t>
      </w:r>
      <w:r w:rsidR="005A65CD" w:rsidRPr="00D82087">
        <w:t xml:space="preserve"> results</w:t>
      </w:r>
      <w:r w:rsidR="00FF50EA" w:rsidRPr="00D82087">
        <w:t>,</w:t>
      </w:r>
      <w:r w:rsidR="001F3570" w:rsidRPr="00D82087">
        <w:t xml:space="preserve"> including graph</w:t>
      </w:r>
      <w:r w:rsidR="005C19B9">
        <w:t>-</w:t>
      </w:r>
      <w:r w:rsidR="001F3570" w:rsidRPr="00D82087">
        <w:t>over</w:t>
      </w:r>
      <w:r w:rsidR="007352C8">
        <w:t>-</w:t>
      </w:r>
      <w:r w:rsidR="001F3570" w:rsidRPr="00D82087">
        <w:t>time</w:t>
      </w:r>
      <w:r w:rsidR="007352C8">
        <w:t xml:space="preserve"> </w:t>
      </w:r>
      <w:r w:rsidR="00594FC5" w:rsidRPr="00D82087">
        <w:t>plots</w:t>
      </w:r>
      <w:r w:rsidR="001F3570" w:rsidRPr="00D82087">
        <w:t xml:space="preserve"> for all the policies and scenarios in </w:t>
      </w:r>
      <w:r w:rsidR="00564EC2">
        <w:rPr>
          <w:highlight w:val="yellow"/>
        </w:rPr>
        <w:fldChar w:fldCharType="begin"/>
      </w:r>
      <w:r w:rsidR="00564EC2">
        <w:instrText xml:space="preserve"> REF _Ref59024056 \h </w:instrText>
      </w:r>
      <w:r w:rsidR="00564EC2">
        <w:rPr>
          <w:highlight w:val="yellow"/>
        </w:rPr>
      </w:r>
      <w:r w:rsidR="00564EC2">
        <w:rPr>
          <w:highlight w:val="yellow"/>
        </w:rPr>
        <w:fldChar w:fldCharType="separate"/>
      </w:r>
      <w:r w:rsidR="00564EC2">
        <w:t xml:space="preserve">Table </w:t>
      </w:r>
      <w:r w:rsidR="00564EC2">
        <w:rPr>
          <w:noProof/>
        </w:rPr>
        <w:t>7</w:t>
      </w:r>
      <w:r w:rsidR="00564EC2">
        <w:noBreakHyphen/>
      </w:r>
      <w:r w:rsidR="00564EC2">
        <w:rPr>
          <w:noProof/>
        </w:rPr>
        <w:t>1</w:t>
      </w:r>
      <w:r w:rsidR="00564EC2">
        <w:rPr>
          <w:highlight w:val="yellow"/>
        </w:rPr>
        <w:fldChar w:fldCharType="end"/>
      </w:r>
      <w:r w:rsidR="007B561C">
        <w:t>,</w:t>
      </w:r>
      <w:r w:rsidR="005C19B9">
        <w:t xml:space="preserve"> can be found </w:t>
      </w:r>
      <w:r w:rsidR="001F3570" w:rsidRPr="00D82087">
        <w:t>in t</w:t>
      </w:r>
      <w:r w:rsidR="00671B97">
        <w:t>he</w:t>
      </w:r>
      <w:r w:rsidR="001F3570" w:rsidRPr="00D82087">
        <w:t xml:space="preserve"> </w:t>
      </w:r>
      <w:hyperlink r:id="rId28" w:history="1">
        <w:r w:rsidR="0014129C" w:rsidRPr="0014129C">
          <w:rPr>
            <w:rStyle w:val="Hyperlink"/>
          </w:rPr>
          <w:t>GeneratingScenario.zip</w:t>
        </w:r>
      </w:hyperlink>
      <w:r w:rsidR="0014129C">
        <w:t xml:space="preserve"> </w:t>
      </w:r>
      <w:r w:rsidR="001F3570" w:rsidRPr="00D82087">
        <w:t>file</w:t>
      </w:r>
      <w:r w:rsidR="00895789" w:rsidRPr="00D82087">
        <w:t>.</w:t>
      </w:r>
    </w:p>
    <w:p w14:paraId="5B28110D" w14:textId="77777777" w:rsidR="0014129C" w:rsidRDefault="0014129C" w:rsidP="0014129C">
      <w:pPr>
        <w:pStyle w:val="Caption"/>
      </w:pPr>
      <w:bookmarkStart w:id="50" w:name="_Ref59024056"/>
      <w:bookmarkStart w:id="51" w:name="_Toc59050104"/>
      <w:r>
        <w:lastRenderedPageBreak/>
        <w:t xml:space="preserve">Table </w:t>
      </w:r>
      <w:fldSimple w:instr=" STYLEREF 1 \s ">
        <w:r>
          <w:rPr>
            <w:noProof/>
          </w:rPr>
          <w:t>7</w:t>
        </w:r>
      </w:fldSimple>
      <w:r>
        <w:noBreakHyphen/>
      </w:r>
      <w:fldSimple w:instr=" SEQ Table \* ARABIC \s 1 ">
        <w:r>
          <w:rPr>
            <w:noProof/>
          </w:rPr>
          <w:t>1</w:t>
        </w:r>
      </w:fldSimple>
      <w:bookmarkEnd w:id="50"/>
      <w:r>
        <w:t xml:space="preserve">: </w:t>
      </w:r>
      <w:r>
        <w:rPr>
          <w:bCs/>
        </w:rPr>
        <w:t>Policy Interventions</w:t>
      </w:r>
      <w:r w:rsidRPr="00C37F5E">
        <w:rPr>
          <w:bCs/>
        </w:rPr>
        <w:t xml:space="preserve"> </w:t>
      </w:r>
      <w:r>
        <w:rPr>
          <w:bCs/>
        </w:rPr>
        <w:t>T</w:t>
      </w:r>
      <w:r w:rsidRPr="00C37F5E">
        <w:rPr>
          <w:bCs/>
        </w:rPr>
        <w:t xml:space="preserve">ested for </w:t>
      </w:r>
      <w:r>
        <w:rPr>
          <w:bCs/>
        </w:rPr>
        <w:t>I</w:t>
      </w:r>
      <w:r w:rsidRPr="00C37F5E">
        <w:rPr>
          <w:bCs/>
        </w:rPr>
        <w:t xml:space="preserve">ncreasing </w:t>
      </w:r>
      <w:r>
        <w:rPr>
          <w:bCs/>
        </w:rPr>
        <w:t>N</w:t>
      </w:r>
      <w:r w:rsidRPr="00C37F5E">
        <w:rPr>
          <w:bCs/>
        </w:rPr>
        <w:t xml:space="preserve">aloxone </w:t>
      </w:r>
      <w:r>
        <w:rPr>
          <w:bCs/>
        </w:rPr>
        <w:t>A</w:t>
      </w:r>
      <w:r w:rsidRPr="00C37F5E">
        <w:rPr>
          <w:bCs/>
        </w:rPr>
        <w:t>vailability</w:t>
      </w:r>
      <w:bookmarkEnd w:id="51"/>
    </w:p>
    <w:tbl>
      <w:tblPr>
        <w:tblStyle w:val="PlainTable1"/>
        <w:tblpPr w:leftFromText="180" w:rightFromText="180" w:vertAnchor="text" w:horzAnchor="margin" w:tblpX="170" w:tblpY="-41"/>
        <w:tblW w:w="0" w:type="auto"/>
        <w:tblLook w:val="04A0" w:firstRow="1" w:lastRow="0" w:firstColumn="1" w:lastColumn="0" w:noHBand="0" w:noVBand="1"/>
      </w:tblPr>
      <w:tblGrid>
        <w:gridCol w:w="396"/>
        <w:gridCol w:w="1129"/>
        <w:gridCol w:w="5621"/>
        <w:gridCol w:w="2755"/>
        <w:gridCol w:w="1540"/>
        <w:gridCol w:w="1509"/>
      </w:tblGrid>
      <w:tr w:rsidR="0014129C" w:rsidRPr="001475ED" w14:paraId="6A0FD213" w14:textId="77777777" w:rsidTr="00652870">
        <w:trPr>
          <w:cnfStyle w:val="100000000000" w:firstRow="1" w:lastRow="0" w:firstColumn="0" w:lastColumn="0" w:oddVBand="0" w:evenVBand="0" w:oddHBand="0" w:evenHBand="0" w:firstRowFirstColumn="0" w:firstRowLastColumn="0" w:lastRowFirstColumn="0" w:lastRowLastColumn="0"/>
          <w:trHeight w:val="57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2B230673" w14:textId="77777777" w:rsidR="0014129C" w:rsidRPr="001A13DF" w:rsidRDefault="0014129C" w:rsidP="00652870">
            <w:pPr>
              <w:spacing w:after="0"/>
              <w:jc w:val="center"/>
              <w:rPr>
                <w:rFonts w:eastAsia="Times New Roman" w:cs="Calibri"/>
                <w:color w:val="FFFFFF"/>
                <w:sz w:val="20"/>
              </w:rPr>
            </w:pPr>
            <w:r>
              <w:rPr>
                <w:rFonts w:eastAsia="Times New Roman" w:cs="Calibri"/>
                <w:color w:val="FFFFFF"/>
                <w:sz w:val="20"/>
              </w:rPr>
              <w:t>I</w:t>
            </w:r>
            <w:r>
              <w:rPr>
                <w:rFonts w:eastAsia="Times New Roman"/>
                <w:color w:val="FFFFFF"/>
                <w:sz w:val="20"/>
              </w:rPr>
              <w:t>D</w:t>
            </w:r>
          </w:p>
        </w:tc>
        <w:tc>
          <w:tcPr>
            <w:tcW w:w="1129" w:type="dxa"/>
            <w:shd w:val="clear" w:color="auto" w:fill="5D7D95" w:themeFill="accent1"/>
            <w:vAlign w:val="center"/>
            <w:hideMark/>
          </w:tcPr>
          <w:p w14:paraId="79BB44BD" w14:textId="77777777" w:rsidR="0014129C" w:rsidRPr="005969FC"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A13DF">
              <w:rPr>
                <w:rFonts w:eastAsia="Times New Roman" w:cs="Calibri"/>
                <w:color w:val="FFFFFF"/>
                <w:sz w:val="20"/>
              </w:rPr>
              <w:t>Policy Category</w:t>
            </w:r>
          </w:p>
        </w:tc>
        <w:tc>
          <w:tcPr>
            <w:tcW w:w="5621" w:type="dxa"/>
            <w:shd w:val="clear" w:color="auto" w:fill="5D7D95" w:themeFill="accent1"/>
            <w:vAlign w:val="center"/>
            <w:hideMark/>
          </w:tcPr>
          <w:p w14:paraId="2048F422" w14:textId="77777777" w:rsidR="0014129C" w:rsidRPr="005969FC"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A13DF">
              <w:rPr>
                <w:rFonts w:eastAsia="Times New Roman" w:cs="Calibri"/>
                <w:color w:val="FFFFFF"/>
                <w:sz w:val="20"/>
              </w:rPr>
              <w:t xml:space="preserve">Policy </w:t>
            </w:r>
            <w:r>
              <w:rPr>
                <w:rFonts w:eastAsia="Times New Roman" w:cs="Calibri"/>
                <w:color w:val="FFFFFF"/>
                <w:sz w:val="20"/>
              </w:rPr>
              <w:t>Q</w:t>
            </w:r>
            <w:r w:rsidRPr="001A13DF">
              <w:rPr>
                <w:rFonts w:eastAsia="Times New Roman" w:cs="Calibri"/>
                <w:color w:val="FFFFFF"/>
                <w:sz w:val="20"/>
              </w:rPr>
              <w:t>uestion</w:t>
            </w:r>
          </w:p>
        </w:tc>
        <w:tc>
          <w:tcPr>
            <w:tcW w:w="0" w:type="auto"/>
            <w:shd w:val="clear" w:color="auto" w:fill="5D7D95" w:themeFill="accent1"/>
            <w:vAlign w:val="center"/>
            <w:hideMark/>
          </w:tcPr>
          <w:p w14:paraId="29CA7E5D" w14:textId="77777777" w:rsidR="0014129C" w:rsidRPr="005969FC"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A13DF">
              <w:rPr>
                <w:rFonts w:eastAsia="Times New Roman" w:cs="Calibri"/>
                <w:color w:val="FFFFFF"/>
                <w:sz w:val="20"/>
              </w:rPr>
              <w:t>Input</w:t>
            </w:r>
          </w:p>
        </w:tc>
        <w:tc>
          <w:tcPr>
            <w:tcW w:w="0" w:type="auto"/>
            <w:shd w:val="clear" w:color="auto" w:fill="5D7D95" w:themeFill="accent1"/>
            <w:vAlign w:val="center"/>
            <w:hideMark/>
          </w:tcPr>
          <w:p w14:paraId="585E9099" w14:textId="77777777" w:rsidR="0014129C" w:rsidRPr="00CB4AF1"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sz w:val="20"/>
              </w:rPr>
            </w:pPr>
            <w:r>
              <w:rPr>
                <w:rFonts w:eastAsia="Times New Roman" w:cs="Calibri"/>
                <w:color w:val="FFFFFF"/>
                <w:sz w:val="20"/>
              </w:rPr>
              <w:t>C</w:t>
            </w:r>
            <w:r w:rsidRPr="001A13DF">
              <w:rPr>
                <w:rFonts w:eastAsia="Times New Roman" w:cs="Calibri"/>
                <w:color w:val="FFFFFF"/>
                <w:sz w:val="20"/>
              </w:rPr>
              <w:t>hanges</w:t>
            </w:r>
            <w:r>
              <w:rPr>
                <w:rFonts w:eastAsia="Times New Roman" w:cs="Calibri"/>
                <w:color w:val="FFFFFF"/>
                <w:sz w:val="20"/>
              </w:rPr>
              <w:t xml:space="preserve"> to </w:t>
            </w:r>
            <w:r w:rsidRPr="001A13DF">
              <w:rPr>
                <w:rFonts w:eastAsia="Times New Roman" w:cs="Calibri"/>
                <w:color w:val="FFFFFF"/>
                <w:sz w:val="20"/>
              </w:rPr>
              <w:t>Input</w:t>
            </w:r>
            <w:r>
              <w:rPr>
                <w:rFonts w:eastAsia="Times New Roman" w:cs="Calibri"/>
                <w:color w:val="FFFFFF"/>
                <w:sz w:val="20"/>
              </w:rPr>
              <w:t xml:space="preserve"> (2020-2030)</w:t>
            </w:r>
          </w:p>
        </w:tc>
        <w:tc>
          <w:tcPr>
            <w:tcW w:w="0" w:type="auto"/>
            <w:shd w:val="clear" w:color="auto" w:fill="5D7D95" w:themeFill="accent1"/>
            <w:vAlign w:val="center"/>
          </w:tcPr>
          <w:p w14:paraId="3EDE1D1E" w14:textId="77777777" w:rsidR="0014129C" w:rsidRPr="001A13DF"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Pr>
                <w:rFonts w:eastAsia="Times New Roman" w:cs="Calibri"/>
                <w:color w:val="FFFFFF"/>
                <w:sz w:val="20"/>
              </w:rPr>
              <w:t>Baseline Value</w:t>
            </w:r>
          </w:p>
        </w:tc>
      </w:tr>
      <w:tr w:rsidR="0014129C" w:rsidRPr="001475ED" w14:paraId="1B100CF8" w14:textId="77777777" w:rsidTr="00652870">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0" w:type="auto"/>
          </w:tcPr>
          <w:p w14:paraId="7BFB1C5C"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1</w:t>
            </w:r>
          </w:p>
        </w:tc>
        <w:tc>
          <w:tcPr>
            <w:tcW w:w="1129" w:type="dxa"/>
            <w:noWrap/>
            <w:hideMark/>
          </w:tcPr>
          <w:p w14:paraId="6B7BE01E"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0A51D1EB"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naloxone was universally available over-the-counter? </w:t>
            </w:r>
          </w:p>
          <w:p w14:paraId="7FEED0F3"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What if harm reduction and treatment programs distributed naloxone for free?</w:t>
            </w:r>
          </w:p>
        </w:tc>
        <w:tc>
          <w:tcPr>
            <w:tcW w:w="0" w:type="auto"/>
            <w:noWrap/>
            <w:hideMark/>
          </w:tcPr>
          <w:p w14:paraId="07D2FD68" w14:textId="77777777" w:rsidR="0014129C" w:rsidRPr="007168F3"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Nx kits distributed Rx user net</w:t>
            </w:r>
          </w:p>
        </w:tc>
        <w:tc>
          <w:tcPr>
            <w:tcW w:w="0" w:type="auto"/>
            <w:hideMark/>
          </w:tcPr>
          <w:p w14:paraId="44502D76"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Increase by:</w:t>
            </w:r>
          </w:p>
          <w:p w14:paraId="52ECE7ED"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p w14:paraId="658A43B1"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p>
        </w:tc>
        <w:tc>
          <w:tcPr>
            <w:tcW w:w="0" w:type="auto"/>
          </w:tcPr>
          <w:p w14:paraId="0453B9EB"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296,785 (people/year)</w:t>
            </w:r>
          </w:p>
        </w:tc>
      </w:tr>
      <w:tr w:rsidR="0014129C" w:rsidRPr="001475ED" w14:paraId="489982A0" w14:textId="77777777" w:rsidTr="00652870">
        <w:trPr>
          <w:trHeight w:val="1182"/>
        </w:trPr>
        <w:tc>
          <w:tcPr>
            <w:cnfStyle w:val="001000000000" w:firstRow="0" w:lastRow="0" w:firstColumn="1" w:lastColumn="0" w:oddVBand="0" w:evenVBand="0" w:oddHBand="0" w:evenHBand="0" w:firstRowFirstColumn="0" w:firstRowLastColumn="0" w:lastRowFirstColumn="0" w:lastRowLastColumn="0"/>
            <w:tcW w:w="0" w:type="auto"/>
          </w:tcPr>
          <w:p w14:paraId="51CE3A18"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2</w:t>
            </w:r>
          </w:p>
        </w:tc>
        <w:tc>
          <w:tcPr>
            <w:tcW w:w="1129" w:type="dxa"/>
            <w:noWrap/>
            <w:hideMark/>
          </w:tcPr>
          <w:p w14:paraId="6F9786CE"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231B6FBE"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the probability of naloxone administration by bystanders increased? </w:t>
            </w:r>
            <w:r w:rsidRPr="001475ED">
              <w:rPr>
                <w:rFonts w:eastAsia="Times New Roman" w:cs="Calibri"/>
                <w:color w:val="000000"/>
                <w:sz w:val="20"/>
              </w:rPr>
              <w:br/>
              <w:t>What if naloxone was universally available over-the-counter? What if harm reduction and treatment programs distributed naloxone for free?</w:t>
            </w:r>
            <w:r w:rsidRPr="001475ED">
              <w:rPr>
                <w:rFonts w:eastAsia="Times New Roman" w:cs="Calibri"/>
                <w:color w:val="000000"/>
                <w:sz w:val="20"/>
              </w:rPr>
              <w:br/>
              <w:t>What if the price of naloxone decreased?</w:t>
            </w:r>
          </w:p>
        </w:tc>
        <w:tc>
          <w:tcPr>
            <w:tcW w:w="0" w:type="auto"/>
            <w:hideMark/>
          </w:tcPr>
          <w:p w14:paraId="6E9A9CDE" w14:textId="77777777" w:rsidR="0014129C" w:rsidRPr="007168F3"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Probability Nx bystander Rx</w:t>
            </w:r>
          </w:p>
        </w:tc>
        <w:tc>
          <w:tcPr>
            <w:tcW w:w="0" w:type="auto"/>
            <w:hideMark/>
          </w:tcPr>
          <w:p w14:paraId="3C80F07A"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Increase to</w:t>
            </w:r>
            <w:r>
              <w:rPr>
                <w:rFonts w:eastAsia="Times New Roman" w:cs="Calibri"/>
                <w:color w:val="000000"/>
                <w:sz w:val="20"/>
              </w:rPr>
              <w:t xml:space="preserve"> the following values</w:t>
            </w:r>
            <w:r w:rsidRPr="001475ED">
              <w:rPr>
                <w:rFonts w:eastAsia="Times New Roman" w:cs="Calibri"/>
                <w:color w:val="000000"/>
                <w:sz w:val="20"/>
              </w:rPr>
              <w:t xml:space="preserve">: </w:t>
            </w:r>
          </w:p>
          <w:p w14:paraId="39964DAA"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tc>
        <w:tc>
          <w:tcPr>
            <w:tcW w:w="0" w:type="auto"/>
          </w:tcPr>
          <w:p w14:paraId="562E4853"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tc>
      </w:tr>
      <w:tr w:rsidR="0014129C" w:rsidRPr="001475ED" w14:paraId="12970C4A" w14:textId="77777777" w:rsidTr="00652870">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0" w:type="auto"/>
          </w:tcPr>
          <w:p w14:paraId="4435123C"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3</w:t>
            </w:r>
          </w:p>
        </w:tc>
        <w:tc>
          <w:tcPr>
            <w:tcW w:w="1129" w:type="dxa"/>
            <w:noWrap/>
            <w:hideMark/>
          </w:tcPr>
          <w:p w14:paraId="43096708"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5AC27293"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What if naloxone was universally available over-the-counter? What if harm reduction and treatment programs distributed naloxone for free?</w:t>
            </w:r>
          </w:p>
        </w:tc>
        <w:tc>
          <w:tcPr>
            <w:tcW w:w="0" w:type="auto"/>
            <w:noWrap/>
            <w:hideMark/>
          </w:tcPr>
          <w:p w14:paraId="70B254FB" w14:textId="77777777" w:rsidR="0014129C" w:rsidRPr="007168F3"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Nx kits distributed H user net</w:t>
            </w:r>
          </w:p>
        </w:tc>
        <w:tc>
          <w:tcPr>
            <w:tcW w:w="0" w:type="auto"/>
            <w:hideMark/>
          </w:tcPr>
          <w:p w14:paraId="04730A63"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by: </w:t>
            </w:r>
          </w:p>
          <w:p w14:paraId="4C622C57"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tc>
        <w:tc>
          <w:tcPr>
            <w:tcW w:w="0" w:type="auto"/>
          </w:tcPr>
          <w:p w14:paraId="6D4BDE2B"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1.823 M (people/year)</w:t>
            </w:r>
          </w:p>
        </w:tc>
      </w:tr>
      <w:tr w:rsidR="0014129C" w:rsidRPr="001475ED" w14:paraId="74EBB73B" w14:textId="77777777" w:rsidTr="00652870">
        <w:trPr>
          <w:trHeight w:val="1152"/>
        </w:trPr>
        <w:tc>
          <w:tcPr>
            <w:cnfStyle w:val="001000000000" w:firstRow="0" w:lastRow="0" w:firstColumn="1" w:lastColumn="0" w:oddVBand="0" w:evenVBand="0" w:oddHBand="0" w:evenHBand="0" w:firstRowFirstColumn="0" w:firstRowLastColumn="0" w:lastRowFirstColumn="0" w:lastRowLastColumn="0"/>
            <w:tcW w:w="0" w:type="auto"/>
          </w:tcPr>
          <w:p w14:paraId="47BF1F51"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4</w:t>
            </w:r>
          </w:p>
        </w:tc>
        <w:tc>
          <w:tcPr>
            <w:tcW w:w="1129" w:type="dxa"/>
            <w:noWrap/>
            <w:hideMark/>
          </w:tcPr>
          <w:p w14:paraId="0A213541"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3704B563"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What if naloxone was universally available over-the-counter? What if harm reduction and treatment programs distributed naloxone for free?</w:t>
            </w:r>
          </w:p>
        </w:tc>
        <w:tc>
          <w:tcPr>
            <w:tcW w:w="0" w:type="auto"/>
            <w:hideMark/>
          </w:tcPr>
          <w:p w14:paraId="4AAF6856" w14:textId="77777777" w:rsidR="0014129C" w:rsidRPr="007168F3"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Nx kits distributed Rx user net</w:t>
            </w:r>
            <w:r w:rsidRPr="007168F3">
              <w:rPr>
                <w:rFonts w:eastAsia="Times New Roman" w:cs="Calibri"/>
                <w:b/>
                <w:color w:val="000000"/>
                <w:sz w:val="20"/>
              </w:rPr>
              <w:br/>
              <w:t>&amp;</w:t>
            </w:r>
            <w:r w:rsidRPr="007168F3">
              <w:rPr>
                <w:rFonts w:eastAsia="Times New Roman" w:cs="Calibri"/>
                <w:b/>
                <w:color w:val="000000"/>
                <w:sz w:val="20"/>
              </w:rPr>
              <w:br/>
              <w:t>Nx kits distributed H user net</w:t>
            </w:r>
          </w:p>
        </w:tc>
        <w:tc>
          <w:tcPr>
            <w:tcW w:w="0" w:type="auto"/>
            <w:hideMark/>
          </w:tcPr>
          <w:p w14:paraId="46428F1F"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by: </w:t>
            </w:r>
          </w:p>
          <w:p w14:paraId="027976FA"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tc>
        <w:tc>
          <w:tcPr>
            <w:tcW w:w="0" w:type="auto"/>
          </w:tcPr>
          <w:p w14:paraId="08D5F8B7"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296,785</w:t>
            </w:r>
          </w:p>
          <w:p w14:paraId="13B33830"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&amp;</w:t>
            </w:r>
          </w:p>
          <w:p w14:paraId="5D7F3A48"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1.823 M respectively</w:t>
            </w:r>
          </w:p>
        </w:tc>
      </w:tr>
      <w:tr w:rsidR="0014129C" w:rsidRPr="001475ED" w14:paraId="2E3FAB34" w14:textId="77777777" w:rsidTr="00652870">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tcPr>
          <w:p w14:paraId="11E13724"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5</w:t>
            </w:r>
          </w:p>
        </w:tc>
        <w:tc>
          <w:tcPr>
            <w:tcW w:w="1129" w:type="dxa"/>
            <w:noWrap/>
            <w:hideMark/>
          </w:tcPr>
          <w:p w14:paraId="080D185A"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796BF7FA"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the probability of naloxone administration by bystanders increased? </w:t>
            </w:r>
            <w:r w:rsidRPr="001475ED">
              <w:rPr>
                <w:rFonts w:eastAsia="Times New Roman" w:cs="Calibri"/>
                <w:color w:val="000000"/>
                <w:sz w:val="20"/>
              </w:rPr>
              <w:br/>
              <w:t>What if naloxone was universally available over-the-counter? What if harm reduction and treatment programs distributed naloxone for free?</w:t>
            </w:r>
            <w:r w:rsidRPr="001475ED">
              <w:rPr>
                <w:rFonts w:eastAsia="Times New Roman" w:cs="Calibri"/>
                <w:color w:val="000000"/>
                <w:sz w:val="20"/>
              </w:rPr>
              <w:br/>
              <w:t>What if the price of naloxone decreased?</w:t>
            </w:r>
          </w:p>
        </w:tc>
        <w:tc>
          <w:tcPr>
            <w:tcW w:w="0" w:type="auto"/>
            <w:hideMark/>
          </w:tcPr>
          <w:p w14:paraId="3E15365E" w14:textId="77777777" w:rsidR="0014129C" w:rsidRPr="007168F3"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Probability Nx bystander heroin</w:t>
            </w:r>
          </w:p>
        </w:tc>
        <w:tc>
          <w:tcPr>
            <w:tcW w:w="0" w:type="auto"/>
            <w:hideMark/>
          </w:tcPr>
          <w:p w14:paraId="4ED39A6D"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w:t>
            </w:r>
            <w:r>
              <w:rPr>
                <w:rFonts w:eastAsia="Times New Roman" w:cs="Calibri"/>
                <w:color w:val="000000"/>
                <w:sz w:val="20"/>
              </w:rPr>
              <w:t>to the following values</w:t>
            </w:r>
            <w:r w:rsidRPr="001475ED">
              <w:rPr>
                <w:rFonts w:eastAsia="Times New Roman" w:cs="Calibri"/>
                <w:color w:val="000000"/>
                <w:sz w:val="20"/>
              </w:rPr>
              <w:t xml:space="preserve">: </w:t>
            </w:r>
          </w:p>
          <w:p w14:paraId="26D81F1E"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25%, 50%</w:t>
            </w:r>
          </w:p>
        </w:tc>
        <w:tc>
          <w:tcPr>
            <w:tcW w:w="0" w:type="auto"/>
          </w:tcPr>
          <w:p w14:paraId="4C2E7B5E"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tc>
      </w:tr>
      <w:tr w:rsidR="0014129C" w:rsidRPr="001475ED" w14:paraId="6EA5232E" w14:textId="77777777" w:rsidTr="00652870">
        <w:trPr>
          <w:trHeight w:val="1308"/>
        </w:trPr>
        <w:tc>
          <w:tcPr>
            <w:cnfStyle w:val="001000000000" w:firstRow="0" w:lastRow="0" w:firstColumn="1" w:lastColumn="0" w:oddVBand="0" w:evenVBand="0" w:oddHBand="0" w:evenHBand="0" w:firstRowFirstColumn="0" w:firstRowLastColumn="0" w:lastRowFirstColumn="0" w:lastRowLastColumn="0"/>
            <w:tcW w:w="0" w:type="auto"/>
          </w:tcPr>
          <w:p w14:paraId="5B97AC80"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6</w:t>
            </w:r>
          </w:p>
        </w:tc>
        <w:tc>
          <w:tcPr>
            <w:tcW w:w="1129" w:type="dxa"/>
            <w:noWrap/>
            <w:hideMark/>
          </w:tcPr>
          <w:p w14:paraId="64C196B2"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71BF0F97"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the probability of naloxone administration by bystanders increased? </w:t>
            </w:r>
            <w:r w:rsidRPr="001475ED">
              <w:rPr>
                <w:rFonts w:eastAsia="Times New Roman" w:cs="Calibri"/>
                <w:color w:val="000000"/>
                <w:sz w:val="20"/>
              </w:rPr>
              <w:br/>
              <w:t>What if naloxone was universally available over-the-counter? What if harm reduction and treatment programs distributed naloxone for free?</w:t>
            </w:r>
            <w:r w:rsidRPr="001475ED">
              <w:rPr>
                <w:rFonts w:eastAsia="Times New Roman" w:cs="Calibri"/>
                <w:color w:val="000000"/>
                <w:sz w:val="20"/>
              </w:rPr>
              <w:br/>
              <w:t>What if the price of naloxone decreased?</w:t>
            </w:r>
          </w:p>
        </w:tc>
        <w:tc>
          <w:tcPr>
            <w:tcW w:w="0" w:type="auto"/>
            <w:hideMark/>
          </w:tcPr>
          <w:p w14:paraId="49C60765" w14:textId="77777777" w:rsidR="0014129C" w:rsidRPr="007168F3"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Probability Nx bystander Rx</w:t>
            </w:r>
            <w:r w:rsidRPr="007168F3">
              <w:rPr>
                <w:rFonts w:eastAsia="Times New Roman" w:cs="Calibri"/>
                <w:b/>
                <w:color w:val="000000"/>
                <w:sz w:val="20"/>
              </w:rPr>
              <w:br/>
            </w:r>
            <w:r w:rsidRPr="007168F3">
              <w:rPr>
                <w:rFonts w:eastAsia="Times New Roman" w:cs="Calibri"/>
                <w:color w:val="000000"/>
                <w:sz w:val="20"/>
              </w:rPr>
              <w:t>&amp;</w:t>
            </w:r>
            <w:r w:rsidRPr="007168F3">
              <w:rPr>
                <w:rFonts w:eastAsia="Times New Roman" w:cs="Calibri"/>
                <w:b/>
                <w:color w:val="000000"/>
                <w:sz w:val="20"/>
              </w:rPr>
              <w:br/>
              <w:t>Probability Nx bystander heroin</w:t>
            </w:r>
          </w:p>
        </w:tc>
        <w:tc>
          <w:tcPr>
            <w:tcW w:w="0" w:type="auto"/>
            <w:hideMark/>
          </w:tcPr>
          <w:p w14:paraId="4D168B20"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w:t>
            </w:r>
            <w:r>
              <w:rPr>
                <w:rFonts w:eastAsia="Times New Roman" w:cs="Calibri"/>
                <w:color w:val="000000"/>
                <w:sz w:val="20"/>
              </w:rPr>
              <w:t>each to the following values</w:t>
            </w:r>
            <w:r w:rsidRPr="001475ED">
              <w:rPr>
                <w:rFonts w:eastAsia="Times New Roman" w:cs="Calibri"/>
                <w:color w:val="000000"/>
                <w:sz w:val="20"/>
              </w:rPr>
              <w:t xml:space="preserve">: </w:t>
            </w:r>
          </w:p>
          <w:p w14:paraId="74E437DE"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25%, 50%</w:t>
            </w:r>
          </w:p>
        </w:tc>
        <w:tc>
          <w:tcPr>
            <w:tcW w:w="0" w:type="auto"/>
          </w:tcPr>
          <w:p w14:paraId="72403967"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p w14:paraId="24E72B11"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&amp;</w:t>
            </w:r>
          </w:p>
          <w:p w14:paraId="536BEE63"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22% respectively</w:t>
            </w:r>
          </w:p>
        </w:tc>
      </w:tr>
    </w:tbl>
    <w:p w14:paraId="2E6678D1" w14:textId="77777777" w:rsidR="00D16FFF" w:rsidRPr="00D16FFF" w:rsidRDefault="00D16FFF" w:rsidP="00D16FFF">
      <w:pPr>
        <w:rPr>
          <w:lang w:eastAsia="en-US"/>
        </w:rPr>
      </w:pPr>
    </w:p>
    <w:p w14:paraId="2503E994" w14:textId="4F2543CE" w:rsidR="00225376" w:rsidRDefault="00225376" w:rsidP="00762779">
      <w:pPr>
        <w:sectPr w:rsidR="00225376" w:rsidSect="00A823B9">
          <w:headerReference w:type="default" r:id="rId29"/>
          <w:pgSz w:w="15840" w:h="12240" w:orient="landscape" w:code="1"/>
          <w:pgMar w:top="1440" w:right="1440" w:bottom="1440" w:left="1440" w:header="720" w:footer="720" w:gutter="0"/>
          <w:cols w:space="720"/>
          <w:noEndnote/>
          <w:docGrid w:linePitch="326"/>
        </w:sectPr>
      </w:pPr>
    </w:p>
    <w:p w14:paraId="6AE9F536" w14:textId="6A4B77F7" w:rsidR="000A4C5D" w:rsidRDefault="00D1220E" w:rsidP="004C0CFA">
      <w:pPr>
        <w:spacing w:after="0"/>
      </w:pPr>
      <w:r>
        <w:lastRenderedPageBreak/>
        <w:t>Overall, t</w:t>
      </w:r>
      <w:r w:rsidR="00BB2824">
        <w:t xml:space="preserve">he </w:t>
      </w:r>
      <w:r w:rsidR="00B91A5B">
        <w:t xml:space="preserve">results of the </w:t>
      </w:r>
      <w:r w:rsidR="00505F27">
        <w:t>n</w:t>
      </w:r>
      <w:r w:rsidR="00194DCD">
        <w:t xml:space="preserve">aloxone </w:t>
      </w:r>
      <w:r w:rsidR="00BD5D74">
        <w:t>policy testing</w:t>
      </w:r>
      <w:r w:rsidR="00194DCD">
        <w:t xml:space="preserve"> were intuitive. </w:t>
      </w:r>
      <w:r w:rsidR="00DF3BC4">
        <w:t xml:space="preserve">We considered individually </w:t>
      </w:r>
      <w:r w:rsidR="00247802">
        <w:t>increasing naloxone accessibility to Rx users</w:t>
      </w:r>
      <w:r w:rsidR="00E33FB0">
        <w:t xml:space="preserve"> </w:t>
      </w:r>
      <w:r w:rsidR="00B609FE">
        <w:t>and</w:t>
      </w:r>
      <w:r w:rsidR="00E026B1">
        <w:t xml:space="preserve"> </w:t>
      </w:r>
      <w:r w:rsidR="00247802">
        <w:t>heroin users</w:t>
      </w:r>
      <w:r w:rsidR="00D15821">
        <w:t xml:space="preserve"> (</w:t>
      </w:r>
      <w:r w:rsidR="00783ABA">
        <w:t xml:space="preserve">in </w:t>
      </w:r>
      <w:r w:rsidR="00D15821">
        <w:t>policy ID</w:t>
      </w:r>
      <w:r w:rsidR="00AC67EC">
        <w:t xml:space="preserve">s </w:t>
      </w:r>
      <w:r w:rsidR="009B0EA4">
        <w:t>1, 2, 3, and 5)</w:t>
      </w:r>
      <w:r w:rsidR="00247802" w:rsidDel="001215F0">
        <w:t xml:space="preserve"> </w:t>
      </w:r>
      <w:r w:rsidR="00526F95">
        <w:t xml:space="preserve">to </w:t>
      </w:r>
      <w:r w:rsidR="00877C28">
        <w:t>distinguish</w:t>
      </w:r>
      <w:r w:rsidR="00526F95">
        <w:t xml:space="preserve"> between their effects</w:t>
      </w:r>
      <w:r w:rsidR="00951286">
        <w:t>,</w:t>
      </w:r>
      <w:r w:rsidR="002C0FCE">
        <w:t xml:space="preserve"> even </w:t>
      </w:r>
      <w:r w:rsidR="00957500">
        <w:t>though</w:t>
      </w:r>
      <w:r w:rsidR="00C35F2E">
        <w:t xml:space="preserve"> </w:t>
      </w:r>
      <w:r w:rsidR="000C3C14">
        <w:t>the</w:t>
      </w:r>
      <w:r w:rsidR="00957500">
        <w:t xml:space="preserve"> two probabilities</w:t>
      </w:r>
      <w:r w:rsidR="000C3C14">
        <w:t xml:space="preserve"> </w:t>
      </w:r>
      <w:r w:rsidR="00957500">
        <w:t>may</w:t>
      </w:r>
      <w:r w:rsidR="000C3C14">
        <w:t xml:space="preserve"> increase together in reality</w:t>
      </w:r>
      <w:r w:rsidR="00C35F2E">
        <w:t>.</w:t>
      </w:r>
      <w:r w:rsidR="008A73A5">
        <w:t xml:space="preserve"> Individually</w:t>
      </w:r>
      <w:r w:rsidR="00C35F2E">
        <w:t xml:space="preserve"> </w:t>
      </w:r>
      <w:r w:rsidR="008A73A5">
        <w:t>i</w:t>
      </w:r>
      <w:r w:rsidR="00D91EC0">
        <w:t xml:space="preserve">ncreasing the probability that </w:t>
      </w:r>
      <w:r w:rsidR="00480B5C">
        <w:t>naloxone is avail</w:t>
      </w:r>
      <w:r w:rsidR="0021137B">
        <w:t xml:space="preserve">able to Rx and heroin bystanders </w:t>
      </w:r>
      <w:r w:rsidR="00CE70EA">
        <w:t xml:space="preserve">respectively </w:t>
      </w:r>
      <w:r w:rsidR="00E026B1">
        <w:t xml:space="preserve">resulted in </w:t>
      </w:r>
      <w:r w:rsidR="0054015B">
        <w:t>decrease</w:t>
      </w:r>
      <w:r w:rsidR="00240D5C">
        <w:t>s to</w:t>
      </w:r>
      <w:r w:rsidR="00E33FB0">
        <w:t xml:space="preserve"> overdose deaths for </w:t>
      </w:r>
      <w:r w:rsidR="001E3861">
        <w:t xml:space="preserve">Rx users (i.e., </w:t>
      </w:r>
      <w:r w:rsidR="001E0A73" w:rsidRPr="001E0A73">
        <w:rPr>
          <w:b/>
          <w:bCs/>
        </w:rPr>
        <w:t>Total overdose deaths Rx</w:t>
      </w:r>
      <w:r w:rsidR="001E3861">
        <w:t>) and heroin users (i.e.,</w:t>
      </w:r>
      <w:r w:rsidR="00B75BA3">
        <w:t xml:space="preserve"> </w:t>
      </w:r>
      <w:r w:rsidR="00B75BA3" w:rsidRPr="001E0A73">
        <w:rPr>
          <w:b/>
          <w:bCs/>
        </w:rPr>
        <w:t xml:space="preserve">Total overdose deaths </w:t>
      </w:r>
      <w:r w:rsidR="001E0A73" w:rsidRPr="001E0A73">
        <w:rPr>
          <w:b/>
          <w:bCs/>
        </w:rPr>
        <w:t>heroin</w:t>
      </w:r>
      <w:r w:rsidR="001E3861">
        <w:t xml:space="preserve">) </w:t>
      </w:r>
      <w:r w:rsidR="00BC72CF">
        <w:t>relative to baseline</w:t>
      </w:r>
      <w:r w:rsidR="001E3861">
        <w:t>, as expected</w:t>
      </w:r>
      <w:r w:rsidR="001E0A73">
        <w:t xml:space="preserve"> (see </w:t>
      </w:r>
      <w:r w:rsidR="004E1A07">
        <w:fldChar w:fldCharType="begin"/>
      </w:r>
      <w:r w:rsidR="004E1A07">
        <w:instrText xml:space="preserve"> REF _Ref59049244 \h </w:instrText>
      </w:r>
      <w:r w:rsidR="004E1A07">
        <w:fldChar w:fldCharType="separate"/>
      </w:r>
      <w:r w:rsidR="004E1A07">
        <w:t xml:space="preserve">Figure </w:t>
      </w:r>
      <w:r w:rsidR="004E1A07">
        <w:rPr>
          <w:noProof/>
        </w:rPr>
        <w:t>7</w:t>
      </w:r>
      <w:r w:rsidR="004E1A07">
        <w:noBreakHyphen/>
      </w:r>
      <w:r w:rsidR="004E1A07">
        <w:rPr>
          <w:noProof/>
        </w:rPr>
        <w:t>1</w:t>
      </w:r>
      <w:r w:rsidR="004E1A07">
        <w:fldChar w:fldCharType="end"/>
      </w:r>
      <w:r w:rsidR="00B30BD0" w:rsidRPr="00FD1155">
        <w:t xml:space="preserve"> and </w:t>
      </w:r>
      <w:r w:rsidR="004E1A07">
        <w:fldChar w:fldCharType="begin"/>
      </w:r>
      <w:r w:rsidR="004E1A07">
        <w:instrText xml:space="preserve"> REF _Ref59049254 \h </w:instrText>
      </w:r>
      <w:r w:rsidR="004E1A07">
        <w:fldChar w:fldCharType="separate"/>
      </w:r>
      <w:r w:rsidR="004E1A07">
        <w:t xml:space="preserve">Figure </w:t>
      </w:r>
      <w:r w:rsidR="004E1A07">
        <w:rPr>
          <w:noProof/>
        </w:rPr>
        <w:t>7</w:t>
      </w:r>
      <w:r w:rsidR="004E1A07">
        <w:noBreakHyphen/>
      </w:r>
      <w:r w:rsidR="004E1A07">
        <w:rPr>
          <w:noProof/>
        </w:rPr>
        <w:t>2</w:t>
      </w:r>
      <w:r w:rsidR="004E1A07">
        <w:fldChar w:fldCharType="end"/>
      </w:r>
      <w:r w:rsidR="001E0A73" w:rsidRPr="00FD1155">
        <w:t>)</w:t>
      </w:r>
      <w:r w:rsidR="001E3861" w:rsidRPr="00FD1155">
        <w:t>.</w:t>
      </w:r>
      <w:r w:rsidR="00B078D8" w:rsidRPr="00F57F7A">
        <w:t xml:space="preserve"> </w:t>
      </w:r>
      <w:r w:rsidR="00A4181B" w:rsidRPr="00F57F7A">
        <w:t>The</w:t>
      </w:r>
      <w:r w:rsidR="002669B8" w:rsidRPr="0021390C">
        <w:t xml:space="preserve"> </w:t>
      </w:r>
      <w:r w:rsidR="00916D15" w:rsidRPr="0021390C">
        <w:t xml:space="preserve">effect of </w:t>
      </w:r>
      <w:r w:rsidR="002669B8" w:rsidRPr="0021390C">
        <w:t>decrease</w:t>
      </w:r>
      <w:r w:rsidR="00916D15" w:rsidRPr="0021390C">
        <w:t xml:space="preserve">d </w:t>
      </w:r>
      <w:r w:rsidR="002669B8" w:rsidRPr="00850DBC">
        <w:rPr>
          <w:b/>
        </w:rPr>
        <w:t>Total overdose deaths</w:t>
      </w:r>
      <w:r w:rsidR="00BD7731" w:rsidRPr="00850DBC">
        <w:t xml:space="preserve"> </w:t>
      </w:r>
      <w:r w:rsidR="00916D15" w:rsidRPr="00850DBC">
        <w:t>relative to baseline</w:t>
      </w:r>
      <w:r w:rsidR="00F37834" w:rsidRPr="00850DBC">
        <w:t xml:space="preserve"> is immediate and</w:t>
      </w:r>
      <w:r w:rsidR="00916D15" w:rsidRPr="00934E7F">
        <w:t xml:space="preserve"> </w:t>
      </w:r>
      <w:r w:rsidR="00857420" w:rsidRPr="00934E7F">
        <w:t xml:space="preserve">remains until the </w:t>
      </w:r>
      <w:r w:rsidR="00010175" w:rsidRPr="00934E7F">
        <w:t>end of the</w:t>
      </w:r>
      <w:r w:rsidR="00010175">
        <w:t xml:space="preserve"> </w:t>
      </w:r>
      <w:r w:rsidR="002520E3">
        <w:t>simulation</w:t>
      </w:r>
      <w:r w:rsidR="00010175">
        <w:t>s (</w:t>
      </w:r>
      <w:r w:rsidR="00857420">
        <w:t>2030</w:t>
      </w:r>
      <w:r w:rsidR="00010175">
        <w:t>)</w:t>
      </w:r>
      <w:r w:rsidR="00857420">
        <w:t>.</w:t>
      </w:r>
      <w:r w:rsidR="00B078D8">
        <w:t xml:space="preserve"> </w:t>
      </w:r>
    </w:p>
    <w:p w14:paraId="04D2DBAA" w14:textId="4ED8B020" w:rsidR="000A4C5D" w:rsidRDefault="000A4C5D" w:rsidP="00447CBD">
      <w:pPr>
        <w:spacing w:after="0"/>
        <w:jc w:val="center"/>
      </w:pPr>
    </w:p>
    <w:p w14:paraId="507F87E0" w14:textId="77777777" w:rsidR="00E536D2" w:rsidRDefault="00E536D2" w:rsidP="00D05863">
      <w:pPr>
        <w:pStyle w:val="Caption"/>
      </w:pPr>
      <w:r>
        <w:rPr>
          <w:noProof/>
        </w:rPr>
        <w:drawing>
          <wp:inline distT="0" distB="0" distL="0" distR="0" wp14:anchorId="641657C8" wp14:editId="202B9F10">
            <wp:extent cx="3700130" cy="2165010"/>
            <wp:effectExtent l="19050" t="19050" r="15240"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6938" cy="2192398"/>
                    </a:xfrm>
                    <a:prstGeom prst="rect">
                      <a:avLst/>
                    </a:prstGeom>
                    <a:noFill/>
                    <a:ln>
                      <a:solidFill>
                        <a:schemeClr val="tx1"/>
                      </a:solidFill>
                    </a:ln>
                  </pic:spPr>
                </pic:pic>
              </a:graphicData>
            </a:graphic>
          </wp:inline>
        </w:drawing>
      </w:r>
    </w:p>
    <w:p w14:paraId="1BE74F8D" w14:textId="0D19E2D0" w:rsidR="00B30BD0" w:rsidRDefault="00B30BD0" w:rsidP="00D05863">
      <w:pPr>
        <w:pStyle w:val="Caption"/>
      </w:pPr>
      <w:bookmarkStart w:id="52" w:name="_Ref59049244"/>
      <w:bookmarkStart w:id="53" w:name="_Toc59050113"/>
      <w:r>
        <w:t xml:space="preserve">Figure </w:t>
      </w:r>
      <w:fldSimple w:instr=" STYLEREF 1 \s ">
        <w:r w:rsidR="00A955A5">
          <w:rPr>
            <w:noProof/>
          </w:rPr>
          <w:t>7</w:t>
        </w:r>
      </w:fldSimple>
      <w:r w:rsidR="00A955A5">
        <w:noBreakHyphen/>
      </w:r>
      <w:fldSimple w:instr=" SEQ Figure \* ARABIC \s 1 ">
        <w:r w:rsidR="00A955A5">
          <w:rPr>
            <w:noProof/>
          </w:rPr>
          <w:t>1</w:t>
        </w:r>
      </w:fldSimple>
      <w:bookmarkEnd w:id="52"/>
      <w:r w:rsidR="003F34F0">
        <w:t>:</w:t>
      </w:r>
      <w:r>
        <w:t xml:space="preserve"> </w:t>
      </w:r>
      <w:r w:rsidRPr="00A0548C">
        <w:t>Result of Increasing Probability Nx bystander Rx</w:t>
      </w:r>
      <w:r w:rsidR="00052329">
        <w:t xml:space="preserve"> (ID</w:t>
      </w:r>
      <w:r w:rsidR="007D6011">
        <w:t xml:space="preserve"> 2</w:t>
      </w:r>
      <w:r w:rsidR="00052329">
        <w:t>)</w:t>
      </w:r>
      <w:r w:rsidR="009E1A1C">
        <w:t xml:space="preserve"> on Total overdose deaths Rx</w:t>
      </w:r>
      <w:bookmarkEnd w:id="53"/>
    </w:p>
    <w:p w14:paraId="7371631D" w14:textId="3492F84B" w:rsidR="00B30BD0" w:rsidRPr="00611785" w:rsidRDefault="00B30BD0" w:rsidP="008022BC">
      <w:pPr>
        <w:jc w:val="center"/>
        <w:rPr>
          <w:i/>
        </w:rPr>
      </w:pPr>
      <w:r w:rsidRPr="00611785">
        <w:rPr>
          <w:i/>
          <w:lang w:eastAsia="en-US"/>
        </w:rPr>
        <w:t xml:space="preserve">Note: </w:t>
      </w:r>
      <w:r w:rsidR="00A15C10">
        <w:rPr>
          <w:i/>
          <w:lang w:eastAsia="en-US"/>
        </w:rPr>
        <w:t xml:space="preserve">x-axis = year; y-axis = number of people. The vertical line designates the scenario start year. </w:t>
      </w:r>
      <w:r w:rsidRPr="00611785">
        <w:rPr>
          <w:i/>
        </w:rPr>
        <w:t xml:space="preserve">The colored lines represent </w:t>
      </w:r>
      <w:r w:rsidRPr="00611785">
        <w:rPr>
          <w:i/>
          <w:iCs/>
        </w:rPr>
        <w:t>differen</w:t>
      </w:r>
      <w:r w:rsidR="00E94A85">
        <w:rPr>
          <w:i/>
        </w:rPr>
        <w:t>t</w:t>
      </w:r>
      <w:r w:rsidRPr="00611785">
        <w:rPr>
          <w:i/>
          <w:iCs/>
        </w:rPr>
        <w:t xml:space="preserve"> </w:t>
      </w:r>
      <w:r w:rsidR="00856AF8">
        <w:rPr>
          <w:i/>
          <w:iCs/>
        </w:rPr>
        <w:t xml:space="preserve">input </w:t>
      </w:r>
      <w:r w:rsidR="00C111D3">
        <w:rPr>
          <w:i/>
          <w:iCs/>
        </w:rPr>
        <w:t>values</w:t>
      </w:r>
      <w:r w:rsidR="007A1B24">
        <w:rPr>
          <w:i/>
        </w:rPr>
        <w:t xml:space="preserve"> (here</w:t>
      </w:r>
      <w:r w:rsidR="00EA1D18">
        <w:rPr>
          <w:i/>
        </w:rPr>
        <w:t xml:space="preserve">, </w:t>
      </w:r>
      <w:r w:rsidR="002C6033" w:rsidRPr="002C6033">
        <w:rPr>
          <w:b/>
          <w:i/>
        </w:rPr>
        <w:t>P</w:t>
      </w:r>
      <w:r w:rsidR="007A1B24" w:rsidRPr="002C6033">
        <w:rPr>
          <w:b/>
          <w:i/>
        </w:rPr>
        <w:t>robability Nx bystander Rx</w:t>
      </w:r>
      <w:r w:rsidR="007A1B24">
        <w:rPr>
          <w:i/>
        </w:rPr>
        <w:t>)</w:t>
      </w:r>
      <w:r w:rsidRPr="00611785">
        <w:rPr>
          <w:i/>
        </w:rPr>
        <w:t xml:space="preserve"> during each analysis: </w:t>
      </w:r>
      <w:r w:rsidR="004805E4" w:rsidRPr="00611785">
        <w:rPr>
          <w:i/>
        </w:rPr>
        <w:t>Baseline (</w:t>
      </w:r>
      <w:r w:rsidR="002A21CE" w:rsidRPr="00611785">
        <w:rPr>
          <w:i/>
        </w:rPr>
        <w:t>4</w:t>
      </w:r>
      <w:r w:rsidR="00F81231" w:rsidRPr="00611785">
        <w:rPr>
          <w:i/>
        </w:rPr>
        <w:t>.7%</w:t>
      </w:r>
      <w:r w:rsidR="004805E4" w:rsidRPr="00611785">
        <w:rPr>
          <w:i/>
        </w:rPr>
        <w:t xml:space="preserve">, </w:t>
      </w:r>
      <w:r w:rsidR="00650A03" w:rsidRPr="00611785">
        <w:rPr>
          <w:i/>
        </w:rPr>
        <w:t>b</w:t>
      </w:r>
      <w:r w:rsidR="004805E4" w:rsidRPr="00611785">
        <w:rPr>
          <w:i/>
        </w:rPr>
        <w:t>lack)</w:t>
      </w:r>
      <w:r w:rsidR="007A3732" w:rsidRPr="00611785">
        <w:rPr>
          <w:i/>
        </w:rPr>
        <w:t xml:space="preserve">, </w:t>
      </w:r>
      <w:r w:rsidR="00E33CF7" w:rsidRPr="00611785">
        <w:rPr>
          <w:i/>
        </w:rPr>
        <w:t>s</w:t>
      </w:r>
      <w:r w:rsidR="00650A03" w:rsidRPr="00611785">
        <w:rPr>
          <w:i/>
        </w:rPr>
        <w:t>cenario</w:t>
      </w:r>
      <w:r w:rsidR="00E33CF7" w:rsidRPr="00611785">
        <w:rPr>
          <w:i/>
        </w:rPr>
        <w:t xml:space="preserve"> </w:t>
      </w:r>
      <w:r w:rsidR="00650A03" w:rsidRPr="00611785">
        <w:rPr>
          <w:i/>
        </w:rPr>
        <w:t xml:space="preserve">1 </w:t>
      </w:r>
      <w:r w:rsidR="00E33CF7" w:rsidRPr="00611785">
        <w:rPr>
          <w:i/>
        </w:rPr>
        <w:t>(</w:t>
      </w:r>
      <w:r w:rsidRPr="00611785">
        <w:rPr>
          <w:i/>
        </w:rPr>
        <w:t>5%</w:t>
      </w:r>
      <w:r w:rsidR="00E33CF7" w:rsidRPr="00611785">
        <w:rPr>
          <w:i/>
        </w:rPr>
        <w:t xml:space="preserve">, </w:t>
      </w:r>
      <w:r w:rsidR="00650A03" w:rsidRPr="00611785">
        <w:rPr>
          <w:i/>
        </w:rPr>
        <w:t>blue)</w:t>
      </w:r>
      <w:r w:rsidRPr="00611785">
        <w:rPr>
          <w:i/>
        </w:rPr>
        <w:t xml:space="preserve">, </w:t>
      </w:r>
      <w:r w:rsidR="00E33CF7" w:rsidRPr="00611785">
        <w:rPr>
          <w:i/>
        </w:rPr>
        <w:t xml:space="preserve">scenario 2 (20%, </w:t>
      </w:r>
      <w:r w:rsidR="00E33CF7" w:rsidRPr="00611785">
        <w:rPr>
          <w:i/>
          <w:iCs/>
        </w:rPr>
        <w:t>o</w:t>
      </w:r>
      <w:r w:rsidRPr="00611785">
        <w:rPr>
          <w:i/>
          <w:iCs/>
        </w:rPr>
        <w:t>range</w:t>
      </w:r>
      <w:r w:rsidR="00E33CF7" w:rsidRPr="00611785">
        <w:rPr>
          <w:i/>
          <w:iCs/>
        </w:rPr>
        <w:t>)</w:t>
      </w:r>
      <w:r w:rsidRPr="00611785">
        <w:rPr>
          <w:i/>
          <w:iCs/>
        </w:rPr>
        <w:t>,</w:t>
      </w:r>
      <w:r w:rsidRPr="00611785">
        <w:rPr>
          <w:i/>
        </w:rPr>
        <w:t xml:space="preserve"> </w:t>
      </w:r>
      <w:r w:rsidR="00E33CF7" w:rsidRPr="00611785">
        <w:rPr>
          <w:i/>
        </w:rPr>
        <w:t xml:space="preserve">scenario 3 (25%, </w:t>
      </w:r>
      <w:r w:rsidR="00E33CF7" w:rsidRPr="00611785">
        <w:rPr>
          <w:i/>
          <w:iCs/>
        </w:rPr>
        <w:t>g</w:t>
      </w:r>
      <w:r w:rsidRPr="00611785">
        <w:rPr>
          <w:i/>
          <w:iCs/>
        </w:rPr>
        <w:t>reen</w:t>
      </w:r>
      <w:r w:rsidR="00E33CF7" w:rsidRPr="00611785">
        <w:rPr>
          <w:i/>
          <w:iCs/>
        </w:rPr>
        <w:t>)</w:t>
      </w:r>
      <w:r w:rsidRPr="00611785">
        <w:rPr>
          <w:i/>
          <w:iCs/>
        </w:rPr>
        <w:t>,</w:t>
      </w:r>
      <w:r w:rsidRPr="00611785">
        <w:rPr>
          <w:i/>
        </w:rPr>
        <w:t xml:space="preserve"> and</w:t>
      </w:r>
      <w:r w:rsidR="00E33CF7" w:rsidRPr="00611785">
        <w:rPr>
          <w:i/>
        </w:rPr>
        <w:t xml:space="preserve"> scenario 4 (50%, red</w:t>
      </w:r>
      <w:r w:rsidR="00E33CF7" w:rsidRPr="00611785">
        <w:rPr>
          <w:i/>
          <w:iCs/>
        </w:rPr>
        <w:t>)</w:t>
      </w:r>
      <w:r w:rsidRPr="00611785">
        <w:rPr>
          <w:i/>
          <w:iCs/>
        </w:rPr>
        <w:t>.</w:t>
      </w:r>
    </w:p>
    <w:p w14:paraId="5157EEB1" w14:textId="322C5B7B" w:rsidR="00B30BD0" w:rsidRDefault="00A11F7B" w:rsidP="00A11F7B">
      <w:pPr>
        <w:jc w:val="center"/>
      </w:pPr>
      <w:r>
        <w:rPr>
          <w:noProof/>
        </w:rPr>
        <w:drawing>
          <wp:inline distT="0" distB="0" distL="0" distR="0" wp14:anchorId="6ABE3A99" wp14:editId="758CADC8">
            <wp:extent cx="3726332" cy="2115646"/>
            <wp:effectExtent l="19050" t="19050" r="26670" b="184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6337" cy="2138359"/>
                    </a:xfrm>
                    <a:prstGeom prst="rect">
                      <a:avLst/>
                    </a:prstGeom>
                    <a:noFill/>
                    <a:ln>
                      <a:solidFill>
                        <a:schemeClr val="tx1"/>
                      </a:solidFill>
                    </a:ln>
                  </pic:spPr>
                </pic:pic>
              </a:graphicData>
            </a:graphic>
          </wp:inline>
        </w:drawing>
      </w:r>
    </w:p>
    <w:p w14:paraId="2D326CD2" w14:textId="0E7FB050" w:rsidR="00B30BD0" w:rsidRDefault="007C5A92" w:rsidP="00D05863">
      <w:pPr>
        <w:pStyle w:val="Caption"/>
      </w:pPr>
      <w:bookmarkStart w:id="54" w:name="_Ref59049254"/>
      <w:bookmarkStart w:id="55" w:name="_Toc59050114"/>
      <w:r>
        <w:t xml:space="preserve">Figure </w:t>
      </w:r>
      <w:fldSimple w:instr=" STYLEREF 1 \s ">
        <w:r w:rsidR="00A955A5">
          <w:rPr>
            <w:noProof/>
          </w:rPr>
          <w:t>7</w:t>
        </w:r>
      </w:fldSimple>
      <w:r w:rsidR="00A955A5">
        <w:noBreakHyphen/>
      </w:r>
      <w:fldSimple w:instr=" SEQ Figure \* ARABIC \s 1 ">
        <w:r w:rsidR="00A955A5">
          <w:rPr>
            <w:noProof/>
          </w:rPr>
          <w:t>2</w:t>
        </w:r>
      </w:fldSimple>
      <w:bookmarkEnd w:id="54"/>
      <w:r>
        <w:t>:</w:t>
      </w:r>
      <w:r w:rsidR="007E6742">
        <w:t xml:space="preserve"> </w:t>
      </w:r>
      <w:r w:rsidR="00B30BD0" w:rsidRPr="00A0548C">
        <w:t xml:space="preserve">Result of Increasing Probability Nx bystander </w:t>
      </w:r>
      <w:r w:rsidR="00B30BD0">
        <w:t>heroin</w:t>
      </w:r>
      <w:r w:rsidR="009E1A1C">
        <w:t xml:space="preserve"> </w:t>
      </w:r>
      <w:r w:rsidR="007D6011">
        <w:t xml:space="preserve">(ID 5) </w:t>
      </w:r>
      <w:r w:rsidR="009E1A1C">
        <w:t>on Total overdose deaths heroin</w:t>
      </w:r>
      <w:bookmarkEnd w:id="55"/>
    </w:p>
    <w:p w14:paraId="5C74C2D6" w14:textId="4FEBDBA8" w:rsidR="00DB651D" w:rsidRPr="009756BE" w:rsidRDefault="009756BE" w:rsidP="00873419">
      <w:pPr>
        <w:jc w:val="center"/>
        <w:rPr>
          <w:i/>
          <w:lang w:eastAsia="en-US"/>
        </w:rPr>
      </w:pPr>
      <w:r w:rsidRPr="009756BE">
        <w:rPr>
          <w:i/>
          <w:iCs/>
          <w:lang w:eastAsia="en-US"/>
        </w:rPr>
        <w:t xml:space="preserve">Note: </w:t>
      </w:r>
      <w:r w:rsidR="005B566E">
        <w:rPr>
          <w:i/>
          <w:lang w:eastAsia="en-US"/>
        </w:rPr>
        <w:t xml:space="preserve">x-axis = year; y-axis = number of people. The vertical line designates the scenario start year. </w:t>
      </w:r>
      <w:r w:rsidR="00E55155" w:rsidRPr="00611785">
        <w:rPr>
          <w:i/>
          <w:iCs/>
        </w:rPr>
        <w:t xml:space="preserve">The colored lines </w:t>
      </w:r>
      <w:r w:rsidR="00723449" w:rsidRPr="00611785">
        <w:rPr>
          <w:i/>
          <w:iCs/>
        </w:rPr>
        <w:t>represent differen</w:t>
      </w:r>
      <w:r w:rsidR="00723449">
        <w:rPr>
          <w:i/>
        </w:rPr>
        <w:t>t</w:t>
      </w:r>
      <w:r w:rsidR="00723449" w:rsidRPr="00611785">
        <w:rPr>
          <w:i/>
          <w:iCs/>
        </w:rPr>
        <w:t xml:space="preserve"> </w:t>
      </w:r>
      <w:r w:rsidR="00723449">
        <w:rPr>
          <w:i/>
          <w:iCs/>
        </w:rPr>
        <w:t xml:space="preserve">input </w:t>
      </w:r>
      <w:r w:rsidR="00723449" w:rsidRPr="00E55155">
        <w:rPr>
          <w:i/>
          <w:iCs/>
        </w:rPr>
        <w:t>values</w:t>
      </w:r>
      <w:r w:rsidR="00723449">
        <w:rPr>
          <w:i/>
        </w:rPr>
        <w:t xml:space="preserve"> </w:t>
      </w:r>
      <w:r w:rsidR="00E55155">
        <w:rPr>
          <w:i/>
        </w:rPr>
        <w:t xml:space="preserve">(here </w:t>
      </w:r>
      <w:r w:rsidR="0014478F">
        <w:rPr>
          <w:i/>
        </w:rPr>
        <w:t xml:space="preserve">input </w:t>
      </w:r>
      <w:r w:rsidR="00E55155">
        <w:rPr>
          <w:i/>
        </w:rPr>
        <w:t xml:space="preserve">is </w:t>
      </w:r>
      <w:r w:rsidR="002C6033" w:rsidRPr="002C6033">
        <w:rPr>
          <w:b/>
          <w:i/>
        </w:rPr>
        <w:t>P</w:t>
      </w:r>
      <w:r w:rsidR="00E55155" w:rsidRPr="002C6033">
        <w:rPr>
          <w:b/>
          <w:i/>
        </w:rPr>
        <w:t>robability Nx bystander heroin</w:t>
      </w:r>
      <w:r w:rsidR="00E55155">
        <w:rPr>
          <w:i/>
        </w:rPr>
        <w:t>)</w:t>
      </w:r>
      <w:r w:rsidR="00E55155" w:rsidRPr="00611785">
        <w:rPr>
          <w:i/>
          <w:iCs/>
        </w:rPr>
        <w:t xml:space="preserve"> during each analysis: </w:t>
      </w:r>
      <w:r w:rsidR="00A87033" w:rsidRPr="009756BE">
        <w:rPr>
          <w:i/>
          <w:iCs/>
          <w:lang w:eastAsia="en-US"/>
        </w:rPr>
        <w:t>Baseline</w:t>
      </w:r>
      <w:r w:rsidR="00564B49" w:rsidRPr="009756BE">
        <w:rPr>
          <w:i/>
          <w:iCs/>
          <w:lang w:eastAsia="en-US"/>
        </w:rPr>
        <w:t xml:space="preserve"> (</w:t>
      </w:r>
      <w:r w:rsidR="00565570" w:rsidRPr="009756BE">
        <w:rPr>
          <w:i/>
          <w:iCs/>
          <w:lang w:eastAsia="en-US"/>
        </w:rPr>
        <w:t xml:space="preserve">22%, </w:t>
      </w:r>
      <w:r w:rsidR="00A87033" w:rsidRPr="009756BE">
        <w:rPr>
          <w:i/>
          <w:iCs/>
          <w:lang w:eastAsia="en-US"/>
        </w:rPr>
        <w:t>black</w:t>
      </w:r>
      <w:r w:rsidR="00564B49" w:rsidRPr="009756BE">
        <w:rPr>
          <w:i/>
          <w:iCs/>
          <w:lang w:eastAsia="en-US"/>
        </w:rPr>
        <w:t>)</w:t>
      </w:r>
      <w:r w:rsidR="00A87033" w:rsidRPr="009756BE">
        <w:rPr>
          <w:i/>
          <w:iCs/>
          <w:lang w:eastAsia="en-US"/>
        </w:rPr>
        <w:t xml:space="preserve">, </w:t>
      </w:r>
      <w:r w:rsidR="005F277B" w:rsidRPr="009756BE">
        <w:rPr>
          <w:i/>
          <w:iCs/>
          <w:lang w:eastAsia="en-US"/>
        </w:rPr>
        <w:t>scenario</w:t>
      </w:r>
      <w:r w:rsidR="00E33CF7" w:rsidRPr="009756BE">
        <w:rPr>
          <w:i/>
          <w:iCs/>
          <w:lang w:eastAsia="en-US"/>
        </w:rPr>
        <w:t xml:space="preserve"> </w:t>
      </w:r>
      <w:r w:rsidR="005F277B" w:rsidRPr="009756BE">
        <w:rPr>
          <w:i/>
          <w:iCs/>
          <w:lang w:eastAsia="en-US"/>
        </w:rPr>
        <w:t>1</w:t>
      </w:r>
      <w:r w:rsidR="00565570" w:rsidRPr="009756BE">
        <w:rPr>
          <w:i/>
          <w:iCs/>
          <w:lang w:eastAsia="en-US"/>
        </w:rPr>
        <w:t xml:space="preserve"> </w:t>
      </w:r>
      <w:r w:rsidR="005F277B" w:rsidRPr="009756BE">
        <w:rPr>
          <w:i/>
          <w:iCs/>
          <w:lang w:eastAsia="en-US"/>
        </w:rPr>
        <w:t>(25%</w:t>
      </w:r>
      <w:r w:rsidR="002F6BA1" w:rsidRPr="009756BE">
        <w:rPr>
          <w:i/>
          <w:iCs/>
          <w:lang w:eastAsia="en-US"/>
        </w:rPr>
        <w:t xml:space="preserve">, </w:t>
      </w:r>
      <w:r w:rsidR="005F277B" w:rsidRPr="009756BE">
        <w:rPr>
          <w:i/>
          <w:iCs/>
          <w:lang w:eastAsia="en-US"/>
        </w:rPr>
        <w:t xml:space="preserve">green), </w:t>
      </w:r>
      <w:r w:rsidR="002F6BA1" w:rsidRPr="009756BE">
        <w:rPr>
          <w:i/>
          <w:iCs/>
          <w:lang w:eastAsia="en-US"/>
        </w:rPr>
        <w:t>and</w:t>
      </w:r>
      <w:r w:rsidR="005F277B" w:rsidRPr="009756BE">
        <w:rPr>
          <w:i/>
          <w:iCs/>
          <w:lang w:eastAsia="en-US"/>
        </w:rPr>
        <w:t xml:space="preserve"> scenario</w:t>
      </w:r>
      <w:r w:rsidR="00E33CF7" w:rsidRPr="009756BE">
        <w:rPr>
          <w:i/>
          <w:iCs/>
          <w:lang w:eastAsia="en-US"/>
        </w:rPr>
        <w:t xml:space="preserve"> </w:t>
      </w:r>
      <w:r w:rsidR="005F277B" w:rsidRPr="009756BE">
        <w:rPr>
          <w:i/>
          <w:iCs/>
          <w:lang w:eastAsia="en-US"/>
        </w:rPr>
        <w:t>2</w:t>
      </w:r>
      <w:r w:rsidR="002F6BA1" w:rsidRPr="009756BE">
        <w:rPr>
          <w:i/>
          <w:iCs/>
          <w:lang w:eastAsia="en-US"/>
        </w:rPr>
        <w:t xml:space="preserve"> </w:t>
      </w:r>
      <w:r w:rsidR="005F277B" w:rsidRPr="009756BE">
        <w:rPr>
          <w:i/>
          <w:iCs/>
          <w:lang w:eastAsia="en-US"/>
        </w:rPr>
        <w:t>(50%</w:t>
      </w:r>
      <w:r w:rsidR="002F6BA1" w:rsidRPr="009756BE">
        <w:rPr>
          <w:i/>
          <w:iCs/>
          <w:lang w:eastAsia="en-US"/>
        </w:rPr>
        <w:t>, red</w:t>
      </w:r>
      <w:r w:rsidR="005F277B" w:rsidRPr="009756BE">
        <w:rPr>
          <w:i/>
          <w:iCs/>
          <w:lang w:eastAsia="en-US"/>
        </w:rPr>
        <w:t>)</w:t>
      </w:r>
      <w:r w:rsidR="00E55155">
        <w:rPr>
          <w:i/>
          <w:iCs/>
          <w:lang w:eastAsia="en-US"/>
        </w:rPr>
        <w:t>.</w:t>
      </w:r>
    </w:p>
    <w:p w14:paraId="13EC7DD4" w14:textId="02361F6C" w:rsidR="00002E58" w:rsidRDefault="000B301E" w:rsidP="00002E58">
      <w:r>
        <w:t>I</w:t>
      </w:r>
      <w:r w:rsidR="00A065B1">
        <w:t xml:space="preserve">ncreasing naloxone availability to </w:t>
      </w:r>
      <w:r w:rsidR="0063672B">
        <w:t xml:space="preserve">Rx </w:t>
      </w:r>
      <w:r w:rsidR="00A065B1">
        <w:t xml:space="preserve">bystanders </w:t>
      </w:r>
      <w:r w:rsidR="0025762F">
        <w:t>(i.e.,</w:t>
      </w:r>
      <w:r w:rsidR="0025762F">
        <w:rPr>
          <w:rStyle w:val="normaltextrun"/>
          <w:rFonts w:cs="Calibri"/>
          <w:szCs w:val="22"/>
        </w:rPr>
        <w:t xml:space="preserve"> </w:t>
      </w:r>
      <w:r w:rsidR="0025762F" w:rsidRPr="00B23CFB">
        <w:rPr>
          <w:rStyle w:val="normaltextrun"/>
          <w:rFonts w:cs="Calibri"/>
          <w:b/>
          <w:bCs/>
          <w:szCs w:val="22"/>
        </w:rPr>
        <w:t>Probability Nx bystander Rx</w:t>
      </w:r>
      <w:r w:rsidR="0025762F">
        <w:t>) also shows a decrease</w:t>
      </w:r>
      <w:r w:rsidR="00AB4741">
        <w:t xml:space="preserve"> in</w:t>
      </w:r>
      <w:r w:rsidR="0025762F">
        <w:t xml:space="preserve"> </w:t>
      </w:r>
      <w:r w:rsidR="00391320" w:rsidRPr="00697C3B">
        <w:rPr>
          <w:b/>
        </w:rPr>
        <w:t>Total overdose death</w:t>
      </w:r>
      <w:r w:rsidR="00243A38">
        <w:rPr>
          <w:b/>
          <w:bCs/>
        </w:rPr>
        <w:t>s</w:t>
      </w:r>
      <w:r w:rsidR="003F16D1">
        <w:t xml:space="preserve"> </w:t>
      </w:r>
      <w:r w:rsidR="000C22C1">
        <w:t>relative to baseline</w:t>
      </w:r>
      <w:r w:rsidR="00243A38" w:rsidRPr="00697C3B">
        <w:t>.</w:t>
      </w:r>
      <w:r w:rsidR="00AB4741">
        <w:t xml:space="preserve"> </w:t>
      </w:r>
      <w:r w:rsidR="007E19B4">
        <w:t>For a</w:t>
      </w:r>
      <w:r w:rsidR="00AC0DA9">
        <w:t xml:space="preserve">n increase </w:t>
      </w:r>
      <w:r w:rsidR="003F5C8E">
        <w:t xml:space="preserve">from 4.7% </w:t>
      </w:r>
      <w:r w:rsidR="00AC0DA9">
        <w:t>to</w:t>
      </w:r>
      <w:r w:rsidR="007E19B4">
        <w:t xml:space="preserve"> 20% availability, </w:t>
      </w:r>
      <w:r w:rsidR="007E19B4" w:rsidRPr="00697C3B">
        <w:rPr>
          <w:b/>
        </w:rPr>
        <w:lastRenderedPageBreak/>
        <w:t>Total overdose deaths</w:t>
      </w:r>
      <w:r w:rsidR="007E19B4">
        <w:t xml:space="preserve"> decrease by 2.37% </w:t>
      </w:r>
      <w:r w:rsidR="00AB2745">
        <w:t xml:space="preserve">in </w:t>
      </w:r>
      <w:r w:rsidR="00AB2745" w:rsidRPr="003F023D">
        <w:t>2030 (</w:t>
      </w:r>
      <w:r w:rsidR="00457C0B" w:rsidRPr="003F023D">
        <w:t xml:space="preserve">see </w:t>
      </w:r>
      <w:r w:rsidR="003F023D" w:rsidRPr="003F023D">
        <w:fldChar w:fldCharType="begin"/>
      </w:r>
      <w:r w:rsidR="003F023D" w:rsidRPr="003F023D">
        <w:instrText xml:space="preserve"> REF _Ref58948980 \h </w:instrText>
      </w:r>
      <w:r w:rsidR="003F023D">
        <w:instrText xml:space="preserve"> \* MERGEFORMAT </w:instrText>
      </w:r>
      <w:r w:rsidR="003F023D" w:rsidRPr="003F023D">
        <w:fldChar w:fldCharType="separate"/>
      </w:r>
      <w:r w:rsidR="003F023D" w:rsidRPr="003F023D">
        <w:t xml:space="preserve">Figure </w:t>
      </w:r>
      <w:r w:rsidR="003F023D" w:rsidRPr="003F023D">
        <w:rPr>
          <w:noProof/>
        </w:rPr>
        <w:t>7</w:t>
      </w:r>
      <w:r w:rsidR="003F023D" w:rsidRPr="003F023D">
        <w:noBreakHyphen/>
      </w:r>
      <w:r w:rsidR="003F023D" w:rsidRPr="003F023D">
        <w:rPr>
          <w:noProof/>
        </w:rPr>
        <w:t>3</w:t>
      </w:r>
      <w:r w:rsidR="003F023D" w:rsidRPr="003F023D">
        <w:fldChar w:fldCharType="end"/>
      </w:r>
      <w:r w:rsidR="00457C0B" w:rsidRPr="003F023D">
        <w:t>)</w:t>
      </w:r>
      <w:r w:rsidR="00AB2745" w:rsidRPr="003F023D">
        <w:t>. However, there are other effects of increasing naloxone availability.</w:t>
      </w:r>
      <w:r w:rsidR="00243A38" w:rsidRPr="003F023D">
        <w:rPr>
          <w:b/>
          <w:bCs/>
        </w:rPr>
        <w:t xml:space="preserve"> </w:t>
      </w:r>
      <w:r w:rsidR="00002E58" w:rsidRPr="003F023D">
        <w:t xml:space="preserve">This intervention leads to </w:t>
      </w:r>
      <w:r w:rsidR="00921B85" w:rsidRPr="003F023D">
        <w:t xml:space="preserve">an </w:t>
      </w:r>
      <w:r w:rsidR="00002E58" w:rsidRPr="003F023D">
        <w:t>increase</w:t>
      </w:r>
      <w:r w:rsidR="00002E58" w:rsidRPr="0049511D">
        <w:t xml:space="preserve"> in </w:t>
      </w:r>
      <w:r w:rsidR="00002E58" w:rsidRPr="0049511D">
        <w:rPr>
          <w:b/>
          <w:bCs/>
        </w:rPr>
        <w:t>Total nonfatal overdoses</w:t>
      </w:r>
      <w:r w:rsidR="00DD79B4">
        <w:rPr>
          <w:b/>
          <w:bCs/>
        </w:rPr>
        <w:t xml:space="preserve"> </w:t>
      </w:r>
      <w:r w:rsidR="00DD79B4">
        <w:t>(</w:t>
      </w:r>
      <w:r w:rsidR="00983ED1">
        <w:t>by 0.4</w:t>
      </w:r>
      <w:r w:rsidR="00751C78">
        <w:t>0%</w:t>
      </w:r>
      <w:r w:rsidR="006F0784">
        <w:t xml:space="preserve"> compared to baseline in 2030</w:t>
      </w:r>
      <w:r w:rsidR="00751C78">
        <w:t xml:space="preserve">; </w:t>
      </w:r>
      <w:r w:rsidR="00DD79B4">
        <w:t xml:space="preserve">see </w:t>
      </w:r>
      <w:r w:rsidR="003F023D">
        <w:rPr>
          <w:highlight w:val="yellow"/>
        </w:rPr>
        <w:fldChar w:fldCharType="begin"/>
      </w:r>
      <w:r w:rsidR="003F023D">
        <w:instrText xml:space="preserve"> REF _Ref58948980 \h </w:instrText>
      </w:r>
      <w:r w:rsidR="003F023D">
        <w:rPr>
          <w:highlight w:val="yellow"/>
        </w:rPr>
      </w:r>
      <w:r w:rsidR="003F023D">
        <w:rPr>
          <w:highlight w:val="yellow"/>
        </w:rPr>
        <w:fldChar w:fldCharType="separate"/>
      </w:r>
      <w:r w:rsidR="003F023D">
        <w:t xml:space="preserve">Figure </w:t>
      </w:r>
      <w:r w:rsidR="003F023D">
        <w:rPr>
          <w:noProof/>
        </w:rPr>
        <w:t>7</w:t>
      </w:r>
      <w:r w:rsidR="003F023D">
        <w:noBreakHyphen/>
      </w:r>
      <w:r w:rsidR="003F023D">
        <w:rPr>
          <w:noProof/>
        </w:rPr>
        <w:t>3</w:t>
      </w:r>
      <w:r w:rsidR="003F023D">
        <w:rPr>
          <w:highlight w:val="yellow"/>
        </w:rPr>
        <w:fldChar w:fldCharType="end"/>
      </w:r>
      <w:r w:rsidR="00DD79B4">
        <w:t>)</w:t>
      </w:r>
      <w:r w:rsidR="00002E58" w:rsidRPr="0049511D">
        <w:t xml:space="preserve">, reflecting the fact that </w:t>
      </w:r>
      <w:r w:rsidR="00DB3996">
        <w:t xml:space="preserve">use of </w:t>
      </w:r>
      <w:r w:rsidR="00854F76">
        <w:t>naloxone prevents some overdose de</w:t>
      </w:r>
      <w:r w:rsidR="001472AB">
        <w:t>a</w:t>
      </w:r>
      <w:r w:rsidR="00854F76">
        <w:t xml:space="preserve">ths, so </w:t>
      </w:r>
      <w:r w:rsidR="00FE0C39">
        <w:t>some that would have been fatal are now non-fatal</w:t>
      </w:r>
      <w:r w:rsidR="00CF2B38">
        <w:t>, and</w:t>
      </w:r>
      <w:r w:rsidR="002614F8">
        <w:t xml:space="preserve"> </w:t>
      </w:r>
      <w:r w:rsidR="00002E58" w:rsidRPr="0049511D">
        <w:t xml:space="preserve">overdose </w:t>
      </w:r>
      <w:r w:rsidR="00A03234">
        <w:t xml:space="preserve">survivors </w:t>
      </w:r>
      <w:r w:rsidR="00002E58" w:rsidRPr="0049511D">
        <w:t xml:space="preserve">may </w:t>
      </w:r>
      <w:r w:rsidR="003B7EA0">
        <w:t xml:space="preserve">also </w:t>
      </w:r>
      <w:r w:rsidR="00002E58" w:rsidRPr="0049511D">
        <w:t>overdose again</w:t>
      </w:r>
      <w:r w:rsidR="00002E58">
        <w:t xml:space="preserve">. This finding is </w:t>
      </w:r>
      <w:r w:rsidR="00BB1024">
        <w:t xml:space="preserve">qualitatively </w:t>
      </w:r>
      <w:r w:rsidR="00002E58">
        <w:t xml:space="preserve">consistent </w:t>
      </w:r>
      <w:r w:rsidR="007E1542">
        <w:t xml:space="preserve">with </w:t>
      </w:r>
      <w:r w:rsidR="007E1542">
        <w:rPr>
          <w:rStyle w:val="normaltextrun"/>
          <w:rFonts w:cs="Calibri"/>
          <w:szCs w:val="22"/>
        </w:rPr>
        <w:t xml:space="preserve">Homer and Wakeland (2020) </w:t>
      </w:r>
      <w:r w:rsidR="004B2418">
        <w:t xml:space="preserve">which also </w:t>
      </w:r>
      <w:r w:rsidR="0030461F">
        <w:t>su</w:t>
      </w:r>
      <w:r w:rsidR="005D489C">
        <w:t xml:space="preserve">ggested that </w:t>
      </w:r>
      <w:r w:rsidR="00E261B0">
        <w:t xml:space="preserve">expanding naloxone </w:t>
      </w:r>
      <w:r w:rsidR="00EC0767">
        <w:t xml:space="preserve">to 20% </w:t>
      </w:r>
      <w:r w:rsidR="00025480">
        <w:t xml:space="preserve">reduces </w:t>
      </w:r>
      <w:r w:rsidR="002B5461">
        <w:t>total overdose deaths</w:t>
      </w:r>
      <w:r w:rsidR="00C33125">
        <w:t xml:space="preserve"> and </w:t>
      </w:r>
      <w:r w:rsidR="00513CFD">
        <w:t>increases nonfatal overdoses</w:t>
      </w:r>
      <w:r w:rsidR="00002E58">
        <w:t>.</w:t>
      </w:r>
      <w:r w:rsidR="00002E58" w:rsidRPr="0049511D">
        <w:t xml:space="preserve"> </w:t>
      </w:r>
      <w:r w:rsidR="002B3479">
        <w:t>Additionally</w:t>
      </w:r>
      <w:r w:rsidR="00E9050B">
        <w:t>,</w:t>
      </w:r>
      <w:r w:rsidR="00002E58">
        <w:t xml:space="preserve"> the </w:t>
      </w:r>
      <w:r w:rsidR="00002E58" w:rsidRPr="0049511D">
        <w:t xml:space="preserve">results </w:t>
      </w:r>
      <w:r w:rsidR="00BC7CBD">
        <w:t xml:space="preserve">show </w:t>
      </w:r>
      <w:r w:rsidR="00002E58" w:rsidRPr="0049511D">
        <w:t>increas</w:t>
      </w:r>
      <w:r w:rsidR="00BC7CBD">
        <w:t>es to</w:t>
      </w:r>
      <w:r w:rsidR="00002E58" w:rsidRPr="0049511D">
        <w:t xml:space="preserve"> </w:t>
      </w:r>
      <w:r w:rsidR="00002E58" w:rsidRPr="0049511D">
        <w:rPr>
          <w:b/>
          <w:bCs/>
        </w:rPr>
        <w:t>Total</w:t>
      </w:r>
      <w:r w:rsidR="00002E58" w:rsidRPr="0049511D">
        <w:t xml:space="preserve"> </w:t>
      </w:r>
      <w:r w:rsidR="00002E58" w:rsidRPr="0049511D">
        <w:rPr>
          <w:b/>
          <w:bCs/>
        </w:rPr>
        <w:t xml:space="preserve">Rx misuse initiation </w:t>
      </w:r>
      <w:r w:rsidR="00002E58" w:rsidRPr="0049511D">
        <w:t xml:space="preserve">and </w:t>
      </w:r>
      <w:r w:rsidR="00002E58" w:rsidRPr="0049511D">
        <w:rPr>
          <w:b/>
          <w:bCs/>
        </w:rPr>
        <w:t>Total heroin initiation</w:t>
      </w:r>
      <w:r w:rsidR="00002E58" w:rsidRPr="0049511D">
        <w:t xml:space="preserve"> by 0.78% and 0.49%</w:t>
      </w:r>
      <w:r w:rsidR="00755E9C">
        <w:t>, respectively</w:t>
      </w:r>
      <w:r w:rsidR="00002E58">
        <w:t xml:space="preserve"> (see </w:t>
      </w:r>
      <w:r w:rsidR="005C6482">
        <w:rPr>
          <w:highlight w:val="yellow"/>
        </w:rPr>
        <w:fldChar w:fldCharType="begin"/>
      </w:r>
      <w:r w:rsidR="005C6482">
        <w:instrText xml:space="preserve"> REF _Ref58948980 \h </w:instrText>
      </w:r>
      <w:r w:rsidR="005C6482">
        <w:rPr>
          <w:highlight w:val="yellow"/>
        </w:rPr>
      </w:r>
      <w:r w:rsidR="005C6482">
        <w:rPr>
          <w:highlight w:val="yellow"/>
        </w:rPr>
        <w:fldChar w:fldCharType="separate"/>
      </w:r>
      <w:r w:rsidR="005C6482">
        <w:t xml:space="preserve">Figure </w:t>
      </w:r>
      <w:r w:rsidR="005C6482">
        <w:rPr>
          <w:noProof/>
        </w:rPr>
        <w:t>7</w:t>
      </w:r>
      <w:r w:rsidR="005C6482">
        <w:noBreakHyphen/>
      </w:r>
      <w:r w:rsidR="005C6482">
        <w:rPr>
          <w:noProof/>
        </w:rPr>
        <w:t>3</w:t>
      </w:r>
      <w:r w:rsidR="005C6482">
        <w:rPr>
          <w:highlight w:val="yellow"/>
        </w:rPr>
        <w:fldChar w:fldCharType="end"/>
      </w:r>
      <w:r w:rsidR="00002E58">
        <w:t>).</w:t>
      </w:r>
    </w:p>
    <w:p w14:paraId="0D348DAF" w14:textId="42E265B4" w:rsidR="00002E58" w:rsidRDefault="00002E58" w:rsidP="00002E58">
      <w:r>
        <w:t>One point of departure of model</w:t>
      </w:r>
      <w:r w:rsidR="00156E94">
        <w:t xml:space="preserve"> v1110</w:t>
      </w:r>
      <w:r>
        <w:t xml:space="preserve"> compared to </w:t>
      </w:r>
      <w:r w:rsidR="00556FF0">
        <w:t>the HWM</w:t>
      </w:r>
      <w:r>
        <w:t xml:space="preserve"> is in the magnitude of the effect of each intervention. Increasing the probability that </w:t>
      </w:r>
      <w:r w:rsidR="00D67745">
        <w:t>n</w:t>
      </w:r>
      <w:r>
        <w:t xml:space="preserve">aloxone is available to </w:t>
      </w:r>
      <w:r w:rsidR="00A74439">
        <w:t xml:space="preserve">bystanders </w:t>
      </w:r>
      <w:r w:rsidR="00AE540A">
        <w:t>to</w:t>
      </w:r>
      <w:r w:rsidR="00A74439">
        <w:t xml:space="preserve"> </w:t>
      </w:r>
      <w:r>
        <w:t>20% shows that b</w:t>
      </w:r>
      <w:r w:rsidRPr="0049511D">
        <w:t xml:space="preserve">y 2030, </w:t>
      </w:r>
      <w:r w:rsidRPr="0049511D">
        <w:rPr>
          <w:b/>
          <w:bCs/>
        </w:rPr>
        <w:t xml:space="preserve">Total overdose deaths </w:t>
      </w:r>
      <w:r w:rsidR="009F4505">
        <w:t xml:space="preserve">decrease </w:t>
      </w:r>
      <w:r w:rsidR="00706EAB">
        <w:t>by</w:t>
      </w:r>
      <w:r w:rsidRPr="0049511D" w:rsidDel="009F4505">
        <w:t xml:space="preserve"> </w:t>
      </w:r>
      <w:r w:rsidRPr="0049511D">
        <w:t>2.37% compared to the baseline</w:t>
      </w:r>
      <w:r>
        <w:t xml:space="preserve">, </w:t>
      </w:r>
      <w:r w:rsidR="009F4505">
        <w:t>while</w:t>
      </w:r>
      <w:r w:rsidR="009F4505" w:rsidRPr="0049511D">
        <w:t xml:space="preserve"> </w:t>
      </w:r>
      <w:r w:rsidRPr="0049511D">
        <w:rPr>
          <w:b/>
          <w:bCs/>
        </w:rPr>
        <w:t xml:space="preserve">Rx OUD all total </w:t>
      </w:r>
      <w:r w:rsidR="009F4505">
        <w:t>increases</w:t>
      </w:r>
      <w:r w:rsidRPr="0049511D">
        <w:t xml:space="preserve"> 0.46%</w:t>
      </w:r>
      <w:r w:rsidRPr="0049511D">
        <w:rPr>
          <w:color w:val="FF0000"/>
        </w:rPr>
        <w:t xml:space="preserve"> </w:t>
      </w:r>
      <w:r w:rsidRPr="0049511D">
        <w:t xml:space="preserve">and </w:t>
      </w:r>
      <w:r w:rsidRPr="0049511D">
        <w:rPr>
          <w:b/>
          <w:bCs/>
        </w:rPr>
        <w:t xml:space="preserve">Total nonfatal overdoses </w:t>
      </w:r>
      <w:r w:rsidRPr="00E77A83">
        <w:rPr>
          <w:bCs/>
        </w:rPr>
        <w:t>increases</w:t>
      </w:r>
      <w:r>
        <w:rPr>
          <w:b/>
          <w:bCs/>
        </w:rPr>
        <w:t xml:space="preserve"> </w:t>
      </w:r>
      <w:r w:rsidRPr="0049511D">
        <w:t>by 0.40%.</w:t>
      </w:r>
      <w:r>
        <w:t xml:space="preserve"> However, </w:t>
      </w:r>
      <w:r w:rsidR="007E1542">
        <w:rPr>
          <w:rStyle w:val="normaltextrun"/>
          <w:rFonts w:cs="Calibri"/>
          <w:szCs w:val="22"/>
        </w:rPr>
        <w:t xml:space="preserve">Homer and Wakeland (2020) </w:t>
      </w:r>
      <w:r>
        <w:t>show</w:t>
      </w:r>
      <w:r w:rsidR="007E1542">
        <w:t>s</w:t>
      </w:r>
      <w:r>
        <w:t xml:space="preserve"> that expanding naloxone reduces overdose deaths by 12%, increases persons with OUD by 2%, and </w:t>
      </w:r>
      <w:r w:rsidR="009569F3">
        <w:t>increases</w:t>
      </w:r>
      <w:r>
        <w:t xml:space="preserve"> nonfatal overdose cases by 3%. </w:t>
      </w:r>
    </w:p>
    <w:p w14:paraId="4BB8AF5C" w14:textId="072C32F8" w:rsidR="00B5201C" w:rsidRDefault="00B5201C" w:rsidP="00002E58">
      <w:pPr>
        <w:jc w:val="center"/>
        <w:rPr>
          <w:b/>
          <w:bCs/>
          <w:highlight w:val="yellow"/>
        </w:rPr>
      </w:pPr>
      <w:r>
        <w:rPr>
          <w:noProof/>
        </w:rPr>
        <w:drawing>
          <wp:inline distT="0" distB="0" distL="0" distR="0" wp14:anchorId="45ABFFB4" wp14:editId="52446201">
            <wp:extent cx="4853559" cy="2765146"/>
            <wp:effectExtent l="0" t="0" r="4445" b="16510"/>
            <wp:docPr id="2" name="Chart 2">
              <a:extLst xmlns:a="http://schemas.openxmlformats.org/drawingml/2006/main">
                <a:ext uri="{FF2B5EF4-FFF2-40B4-BE49-F238E27FC236}">
                  <a16:creationId xmlns:a16="http://schemas.microsoft.com/office/drawing/2014/main" id="{FF78A465-CB30-469B-BDA3-3542FC7C5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759CB5F" w14:textId="4875474A" w:rsidR="006E7879" w:rsidRDefault="00AD2030" w:rsidP="00D05863">
      <w:pPr>
        <w:pStyle w:val="Caption"/>
      </w:pPr>
      <w:bookmarkStart w:id="56" w:name="_Ref58948980"/>
      <w:bookmarkStart w:id="57" w:name="_Toc59050115"/>
      <w:r>
        <w:t xml:space="preserve">Figure </w:t>
      </w:r>
      <w:fldSimple w:instr=" STYLEREF 1 \s ">
        <w:r w:rsidR="00A955A5">
          <w:rPr>
            <w:noProof/>
          </w:rPr>
          <w:t>7</w:t>
        </w:r>
      </w:fldSimple>
      <w:r w:rsidR="00A955A5">
        <w:noBreakHyphen/>
      </w:r>
      <w:fldSimple w:instr=" SEQ Figure \* ARABIC \s 1 ">
        <w:r w:rsidR="00A955A5">
          <w:rPr>
            <w:noProof/>
          </w:rPr>
          <w:t>3</w:t>
        </w:r>
      </w:fldSimple>
      <w:bookmarkEnd w:id="56"/>
      <w:r>
        <w:t xml:space="preserve">: </w:t>
      </w:r>
      <w:r w:rsidR="00002E58" w:rsidRPr="00706EAB">
        <w:t xml:space="preserve">Results of </w:t>
      </w:r>
      <w:r w:rsidR="00D16FFF">
        <w:t>I</w:t>
      </w:r>
      <w:r w:rsidR="00002E58" w:rsidRPr="00706EAB">
        <w:t xml:space="preserve">ncreasing the </w:t>
      </w:r>
      <w:r w:rsidR="00D16FFF">
        <w:t>P</w:t>
      </w:r>
      <w:r w:rsidR="00002E58" w:rsidRPr="00706EAB">
        <w:t xml:space="preserve">robability that </w:t>
      </w:r>
      <w:r w:rsidR="00D16FFF">
        <w:t>N</w:t>
      </w:r>
      <w:r w:rsidR="00002E58" w:rsidRPr="00706EAB">
        <w:t xml:space="preserve">aloxone is </w:t>
      </w:r>
      <w:r w:rsidR="00D16FFF">
        <w:t>A</w:t>
      </w:r>
      <w:r w:rsidR="00002E58" w:rsidRPr="00706EAB">
        <w:t xml:space="preserve">vailable to </w:t>
      </w:r>
      <w:r w:rsidR="00DF2974" w:rsidRPr="00706EAB">
        <w:t xml:space="preserve">Rx </w:t>
      </w:r>
      <w:r w:rsidR="00D16FFF">
        <w:t>B</w:t>
      </w:r>
      <w:r w:rsidR="00DF2974" w:rsidRPr="00706EAB">
        <w:t>ystanders</w:t>
      </w:r>
      <w:r w:rsidR="00F376D3">
        <w:t xml:space="preserve"> (ID 2)</w:t>
      </w:r>
      <w:r w:rsidR="00DF2974" w:rsidRPr="00706EAB">
        <w:t xml:space="preserve"> </w:t>
      </w:r>
      <w:r w:rsidR="00143B94" w:rsidRPr="00706EAB">
        <w:t xml:space="preserve">to </w:t>
      </w:r>
      <w:r w:rsidR="00002E58" w:rsidRPr="00706EAB">
        <w:t>20%</w:t>
      </w:r>
      <w:bookmarkEnd w:id="57"/>
    </w:p>
    <w:p w14:paraId="7E60D7AE" w14:textId="7880A3C8" w:rsidR="00D34BE8" w:rsidRDefault="008F2646" w:rsidP="004C0CFA">
      <w:pPr>
        <w:spacing w:after="0"/>
      </w:pPr>
      <w:r>
        <w:t>I</w:t>
      </w:r>
      <w:r w:rsidR="008B3887">
        <w:t>ncreas</w:t>
      </w:r>
      <w:r>
        <w:t>ing</w:t>
      </w:r>
      <w:r w:rsidR="008B3887">
        <w:t xml:space="preserve"> </w:t>
      </w:r>
      <w:r w:rsidR="001C2ED0">
        <w:t xml:space="preserve">naloxone availability for both </w:t>
      </w:r>
      <w:r w:rsidR="009A419F">
        <w:t xml:space="preserve">Rx and </w:t>
      </w:r>
      <w:r w:rsidR="001C2ED0">
        <w:t xml:space="preserve">heroin users </w:t>
      </w:r>
      <w:r w:rsidR="00821766">
        <w:t>(</w:t>
      </w:r>
      <w:r w:rsidR="009A419F">
        <w:t>i.e.,</w:t>
      </w:r>
      <w:r w:rsidR="00DD38D0">
        <w:rPr>
          <w:rStyle w:val="normaltextrun"/>
          <w:rFonts w:cs="Calibri"/>
          <w:szCs w:val="22"/>
        </w:rPr>
        <w:t xml:space="preserve"> </w:t>
      </w:r>
      <w:r w:rsidR="00DD38D0" w:rsidRPr="00B23CFB">
        <w:rPr>
          <w:rStyle w:val="normaltextrun"/>
          <w:rFonts w:cs="Calibri"/>
          <w:b/>
          <w:bCs/>
          <w:szCs w:val="22"/>
        </w:rPr>
        <w:t>Probability Nx bystander Rx</w:t>
      </w:r>
      <w:r w:rsidR="00DD38D0" w:rsidRPr="00175ACC">
        <w:rPr>
          <w:rStyle w:val="normaltextrun"/>
          <w:rFonts w:cs="Calibri"/>
          <w:szCs w:val="22"/>
        </w:rPr>
        <w:t xml:space="preserve"> and </w:t>
      </w:r>
      <w:r w:rsidR="00DD38D0" w:rsidRPr="00B23CFB">
        <w:rPr>
          <w:rStyle w:val="normaltextrun"/>
          <w:rFonts w:cs="Calibri"/>
          <w:b/>
          <w:bCs/>
          <w:szCs w:val="22"/>
        </w:rPr>
        <w:t>Probability Nx bystander heroin</w:t>
      </w:r>
      <w:r w:rsidR="004B43BB">
        <w:t>)</w:t>
      </w:r>
      <w:r w:rsidR="00533394">
        <w:t xml:space="preserve"> similarly </w:t>
      </w:r>
      <w:r w:rsidR="007F44A5">
        <w:t xml:space="preserve">produced results </w:t>
      </w:r>
      <w:r w:rsidR="006B54C1">
        <w:t>as expected.</w:t>
      </w:r>
      <w:r w:rsidR="00684788">
        <w:t xml:space="preserve"> </w:t>
      </w:r>
      <w:r w:rsidR="006B54C1">
        <w:t>The</w:t>
      </w:r>
      <w:r w:rsidR="00684788">
        <w:t xml:space="preserve"> overall trend </w:t>
      </w:r>
      <w:r w:rsidR="00E46181">
        <w:t xml:space="preserve">of these interventions was </w:t>
      </w:r>
      <w:r w:rsidR="00B179A3">
        <w:t xml:space="preserve">to </w:t>
      </w:r>
      <w:r w:rsidR="00DD0528">
        <w:t xml:space="preserve">reduce overdose deaths </w:t>
      </w:r>
      <w:r w:rsidR="00AC48FD">
        <w:t xml:space="preserve">(e.g., </w:t>
      </w:r>
      <w:r w:rsidR="00AC48FD" w:rsidRPr="00087308">
        <w:rPr>
          <w:b/>
          <w:bCs/>
        </w:rPr>
        <w:t xml:space="preserve">Total </w:t>
      </w:r>
      <w:r w:rsidR="00AC48FD">
        <w:rPr>
          <w:b/>
          <w:bCs/>
        </w:rPr>
        <w:t>o</w:t>
      </w:r>
      <w:r w:rsidR="00AC48FD" w:rsidRPr="00087308">
        <w:rPr>
          <w:b/>
          <w:bCs/>
        </w:rPr>
        <w:t>verdose deaths</w:t>
      </w:r>
      <w:r w:rsidR="00AC48FD">
        <w:t xml:space="preserve">) </w:t>
      </w:r>
      <w:r w:rsidR="00DD0528">
        <w:t>in both subpopulations but increase</w:t>
      </w:r>
      <w:r w:rsidR="00DD0528" w:rsidDel="00B179A3">
        <w:t xml:space="preserve"> </w:t>
      </w:r>
      <w:r w:rsidR="00DD0528">
        <w:t>heroin initiation (e.</w:t>
      </w:r>
      <w:r w:rsidR="00FA27BA">
        <w:t xml:space="preserve"> </w:t>
      </w:r>
      <w:r w:rsidR="00DD0528">
        <w:t>g.,</w:t>
      </w:r>
      <w:r w:rsidR="004C1384">
        <w:t xml:space="preserve"> </w:t>
      </w:r>
      <w:r w:rsidR="004C1384" w:rsidRPr="004C1384">
        <w:rPr>
          <w:b/>
          <w:bCs/>
        </w:rPr>
        <w:t>Total heroin initiation</w:t>
      </w:r>
      <w:r w:rsidR="00DD0528">
        <w:t>)</w:t>
      </w:r>
      <w:r w:rsidR="00B179A3">
        <w:t>,</w:t>
      </w:r>
      <w:r w:rsidR="004A04BD">
        <w:t xml:space="preserve"> as </w:t>
      </w:r>
      <w:r w:rsidR="002569EF">
        <w:t xml:space="preserve">shown </w:t>
      </w:r>
      <w:r w:rsidR="004A04BD">
        <w:t xml:space="preserve">in </w:t>
      </w:r>
      <w:r w:rsidR="005C6482">
        <w:rPr>
          <w:highlight w:val="yellow"/>
        </w:rPr>
        <w:fldChar w:fldCharType="begin"/>
      </w:r>
      <w:r w:rsidR="005C6482">
        <w:instrText xml:space="preserve"> REF _Ref58949093 \h </w:instrText>
      </w:r>
      <w:r w:rsidR="005C6482">
        <w:rPr>
          <w:highlight w:val="yellow"/>
        </w:rPr>
      </w:r>
      <w:r w:rsidR="005C6482">
        <w:rPr>
          <w:highlight w:val="yellow"/>
        </w:rPr>
        <w:fldChar w:fldCharType="separate"/>
      </w:r>
      <w:r w:rsidR="005C6482">
        <w:t xml:space="preserve">Figure </w:t>
      </w:r>
      <w:r w:rsidR="005C6482">
        <w:rPr>
          <w:noProof/>
        </w:rPr>
        <w:t>7</w:t>
      </w:r>
      <w:r w:rsidR="005C6482">
        <w:noBreakHyphen/>
      </w:r>
      <w:r w:rsidR="005C6482">
        <w:rPr>
          <w:noProof/>
        </w:rPr>
        <w:t>4</w:t>
      </w:r>
      <w:r w:rsidR="005C6482">
        <w:rPr>
          <w:highlight w:val="yellow"/>
        </w:rPr>
        <w:fldChar w:fldCharType="end"/>
      </w:r>
      <w:r w:rsidR="004A04BD">
        <w:t>.</w:t>
      </w:r>
      <w:r w:rsidR="005F20D1">
        <w:t xml:space="preserve"> </w:t>
      </w:r>
      <w:r w:rsidR="0093370B">
        <w:t>T</w:t>
      </w:r>
      <w:r w:rsidR="00EB3B5F">
        <w:t>he default</w:t>
      </w:r>
      <w:r w:rsidR="00B97437">
        <w:t xml:space="preserve"> </w:t>
      </w:r>
      <w:r w:rsidR="00A738D3">
        <w:t>value for</w:t>
      </w:r>
      <w:r w:rsidR="00B97437">
        <w:t xml:space="preserve"> </w:t>
      </w:r>
      <w:r w:rsidR="00E21C84" w:rsidRPr="00E62092">
        <w:rPr>
          <w:b/>
          <w:bCs/>
        </w:rPr>
        <w:t>Perceived risk weight NFOD</w:t>
      </w:r>
      <w:r w:rsidR="00E21C84">
        <w:rPr>
          <w:b/>
          <w:bCs/>
        </w:rPr>
        <w:t xml:space="preserve"> </w:t>
      </w:r>
      <w:r w:rsidR="00887965">
        <w:t>wa</w:t>
      </w:r>
      <w:r w:rsidR="00E21C84">
        <w:t xml:space="preserve">s set at </w:t>
      </w:r>
      <w:r w:rsidR="00C41E36">
        <w:t>0</w:t>
      </w:r>
      <w:r w:rsidR="00E21C84">
        <w:t>.1, which means that fatal overdoses have a larger impact on perceived risk than non-fatal overdose</w:t>
      </w:r>
      <w:r w:rsidR="00F17B8C">
        <w:t>s</w:t>
      </w:r>
      <w:r w:rsidR="00E21C84">
        <w:t>.</w:t>
      </w:r>
      <w:r w:rsidR="00887965">
        <w:t xml:space="preserve"> </w:t>
      </w:r>
      <w:r w:rsidR="00D347EC">
        <w:t>Thus,</w:t>
      </w:r>
      <w:r w:rsidR="00887965">
        <w:t xml:space="preserve"> a decrease in fatal overdoses </w:t>
      </w:r>
      <w:r w:rsidR="004D3D4B">
        <w:t xml:space="preserve">(as a result of </w:t>
      </w:r>
      <w:r w:rsidR="00A738D3">
        <w:t xml:space="preserve">naloxone </w:t>
      </w:r>
      <w:r w:rsidR="004D3D4B">
        <w:t xml:space="preserve">implementation) </w:t>
      </w:r>
      <w:r w:rsidR="00522AF1">
        <w:t>lead</w:t>
      </w:r>
      <w:r w:rsidR="00251871">
        <w:t>s</w:t>
      </w:r>
      <w:r w:rsidR="00522AF1">
        <w:t xml:space="preserve"> to </w:t>
      </w:r>
      <w:r w:rsidR="0083092A">
        <w:t>reduced risk</w:t>
      </w:r>
      <w:r w:rsidR="00B67AFF">
        <w:t xml:space="preserve"> perception</w:t>
      </w:r>
      <w:r w:rsidR="00075D23">
        <w:t xml:space="preserve"> of</w:t>
      </w:r>
      <w:r w:rsidR="0089399C">
        <w:t xml:space="preserve"> heroin use</w:t>
      </w:r>
      <w:r w:rsidR="00354709">
        <w:t>,</w:t>
      </w:r>
      <w:r w:rsidR="0093370B">
        <w:t xml:space="preserve"> and </w:t>
      </w:r>
      <w:r w:rsidR="00354709">
        <w:t xml:space="preserve">therefore, </w:t>
      </w:r>
      <w:r w:rsidR="0021318C">
        <w:t>increased h</w:t>
      </w:r>
      <w:r w:rsidR="0093370B">
        <w:t>eroin initiation</w:t>
      </w:r>
      <w:r w:rsidR="0089399C">
        <w:t>.</w:t>
      </w:r>
      <w:r w:rsidR="00B97437">
        <w:t xml:space="preserve"> </w:t>
      </w:r>
      <w:r w:rsidR="000837F2">
        <w:t>In this way, a</w:t>
      </w:r>
      <w:r w:rsidR="00A64161">
        <w:t xml:space="preserve">djusting </w:t>
      </w:r>
      <w:r w:rsidR="00A64161" w:rsidRPr="00E62092">
        <w:rPr>
          <w:b/>
          <w:bCs/>
        </w:rPr>
        <w:t>Perceived risk weight NFOD</w:t>
      </w:r>
      <w:r w:rsidR="00A64161">
        <w:rPr>
          <w:b/>
          <w:bCs/>
        </w:rPr>
        <w:t xml:space="preserve"> </w:t>
      </w:r>
      <w:r w:rsidR="00A64161" w:rsidRPr="009203F3">
        <w:t>can</w:t>
      </w:r>
      <w:r w:rsidR="000837F2">
        <w:t xml:space="preserve"> </w:t>
      </w:r>
      <w:r w:rsidR="00C3674E">
        <w:t>affect the</w:t>
      </w:r>
      <w:r w:rsidR="000837F2">
        <w:t xml:space="preserve"> response of heroin initiation to </w:t>
      </w:r>
      <w:r w:rsidR="00C3674E">
        <w:t>naloxone</w:t>
      </w:r>
      <w:r w:rsidR="000837F2">
        <w:t xml:space="preserve"> related policies</w:t>
      </w:r>
      <w:r w:rsidR="00C3674E">
        <w:t>.</w:t>
      </w:r>
      <w:r w:rsidR="000837F2">
        <w:t xml:space="preserve"> </w:t>
      </w:r>
      <w:r w:rsidR="00A1621A">
        <w:t>T</w:t>
      </w:r>
      <w:r w:rsidR="00EE4244">
        <w:t xml:space="preserve">he </w:t>
      </w:r>
      <w:hyperlink r:id="rId33" w:history="1">
        <w:r w:rsidR="00DB4880" w:rsidRPr="008B4CD5">
          <w:rPr>
            <w:rStyle w:val="Hyperlink"/>
          </w:rPr>
          <w:t>I</w:t>
        </w:r>
        <w:r w:rsidR="00EE4244" w:rsidRPr="008B4CD5">
          <w:rPr>
            <w:rStyle w:val="Hyperlink"/>
          </w:rPr>
          <w:t xml:space="preserve">nitial </w:t>
        </w:r>
        <w:r w:rsidR="00DB4880" w:rsidRPr="008B4CD5">
          <w:rPr>
            <w:rStyle w:val="Hyperlink"/>
          </w:rPr>
          <w:t>V</w:t>
        </w:r>
        <w:r w:rsidR="00EE4244" w:rsidRPr="008B4CD5">
          <w:rPr>
            <w:rStyle w:val="Hyperlink"/>
          </w:rPr>
          <w:t xml:space="preserve">alidation </w:t>
        </w:r>
        <w:r w:rsidR="00DB4880" w:rsidRPr="008B4CD5">
          <w:rPr>
            <w:rStyle w:val="Hyperlink"/>
          </w:rPr>
          <w:t>R</w:t>
        </w:r>
        <w:r w:rsidR="00EE4244" w:rsidRPr="008B4CD5">
          <w:rPr>
            <w:rStyle w:val="Hyperlink"/>
          </w:rPr>
          <w:t>eport</w:t>
        </w:r>
      </w:hyperlink>
      <w:r w:rsidR="003371A3">
        <w:t xml:space="preserve"> </w:t>
      </w:r>
      <w:r w:rsidR="00343BA3">
        <w:t>questioned</w:t>
      </w:r>
      <w:r w:rsidR="00237F5D">
        <w:t xml:space="preserve"> the</w:t>
      </w:r>
      <w:r w:rsidR="00F361E9">
        <w:t xml:space="preserve"> </w:t>
      </w:r>
      <w:r w:rsidR="00343BA3">
        <w:t>default</w:t>
      </w:r>
      <w:r w:rsidR="00237F5D">
        <w:t xml:space="preserve"> </w:t>
      </w:r>
      <w:r w:rsidR="002E2394">
        <w:t xml:space="preserve">parameter </w:t>
      </w:r>
      <w:r w:rsidR="00F361E9">
        <w:t>v</w:t>
      </w:r>
      <w:r w:rsidR="00343BA3">
        <w:t xml:space="preserve">alue (0.1) for </w:t>
      </w:r>
      <w:r w:rsidR="001239F9">
        <w:rPr>
          <w:rFonts w:cs="Calibri"/>
          <w:szCs w:val="22"/>
        </w:rPr>
        <w:t>n</w:t>
      </w:r>
      <w:r w:rsidR="0027426B" w:rsidRPr="00977327">
        <w:rPr>
          <w:rFonts w:cs="Calibri"/>
          <w:szCs w:val="22"/>
        </w:rPr>
        <w:t>onfatal overdose risk weight</w:t>
      </w:r>
      <w:r w:rsidR="00343BA3">
        <w:t xml:space="preserve"> </w:t>
      </w:r>
      <w:r w:rsidR="0027426B" w:rsidRPr="00977327">
        <w:t>(</w:t>
      </w:r>
      <w:r w:rsidR="00343BA3" w:rsidRPr="0086394D">
        <w:rPr>
          <w:b/>
          <w:bCs/>
        </w:rPr>
        <w:t>Perceived risk weight NFOD</w:t>
      </w:r>
      <w:r w:rsidR="0027426B">
        <w:rPr>
          <w:b/>
          <w:bCs/>
        </w:rPr>
        <w:t xml:space="preserve"> </w:t>
      </w:r>
      <w:r w:rsidR="0027426B" w:rsidRPr="00977327">
        <w:t xml:space="preserve">in </w:t>
      </w:r>
      <w:r w:rsidR="00977327" w:rsidRPr="00977327">
        <w:t>model v1110)</w:t>
      </w:r>
      <w:r w:rsidR="00343BA3" w:rsidRPr="00977327">
        <w:t>,</w:t>
      </w:r>
      <w:r w:rsidR="00EE4244">
        <w:t xml:space="preserve"> </w:t>
      </w:r>
      <w:r w:rsidR="00A2182D">
        <w:t>but this observation was not addressed in model v1110</w:t>
      </w:r>
      <w:r w:rsidR="00E658B3">
        <w:t>.</w:t>
      </w:r>
      <w:r w:rsidR="00EE4244">
        <w:t xml:space="preserve"> We recommended </w:t>
      </w:r>
      <w:r w:rsidR="00EE4244" w:rsidRPr="00707905">
        <w:rPr>
          <w:rFonts w:cs="Calibri"/>
          <w:szCs w:val="22"/>
        </w:rPr>
        <w:t xml:space="preserve">documenting </w:t>
      </w:r>
      <w:r w:rsidR="00A2182D">
        <w:rPr>
          <w:rFonts w:cs="Calibri"/>
          <w:szCs w:val="22"/>
        </w:rPr>
        <w:t>the</w:t>
      </w:r>
      <w:r w:rsidR="00EE4244" w:rsidRPr="00707905">
        <w:rPr>
          <w:rFonts w:cs="Calibri"/>
          <w:szCs w:val="22"/>
        </w:rPr>
        <w:t xml:space="preserve"> justification for </w:t>
      </w:r>
      <w:r w:rsidR="00EE4244" w:rsidDel="00A2182D">
        <w:rPr>
          <w:rFonts w:cs="Calibri"/>
          <w:szCs w:val="22"/>
        </w:rPr>
        <w:t>the</w:t>
      </w:r>
      <w:r w:rsidR="00EE4244" w:rsidRPr="00707905" w:rsidDel="00A2182D">
        <w:rPr>
          <w:rFonts w:cs="Calibri"/>
          <w:szCs w:val="22"/>
        </w:rPr>
        <w:t xml:space="preserve"> weight</w:t>
      </w:r>
      <w:r w:rsidR="00EE4244" w:rsidDel="00A2182D">
        <w:rPr>
          <w:rFonts w:cs="Calibri"/>
          <w:szCs w:val="22"/>
        </w:rPr>
        <w:t xml:space="preserve"> </w:t>
      </w:r>
      <w:r w:rsidR="00EE4244" w:rsidDel="00A2182D">
        <w:t xml:space="preserve">of nonfatal overdose risk (i.e., </w:t>
      </w:r>
      <w:r w:rsidR="00EE4244" w:rsidRPr="000F5E28" w:rsidDel="00A2182D">
        <w:rPr>
          <w:b/>
          <w:bCs/>
        </w:rPr>
        <w:t>Perceived risk weight NFOD</w:t>
      </w:r>
      <w:r w:rsidR="00EE4244" w:rsidDel="00A2182D">
        <w:t xml:space="preserve">) </w:t>
      </w:r>
      <w:r w:rsidR="00A2182D">
        <w:rPr>
          <w:rFonts w:cs="Calibri"/>
          <w:szCs w:val="22"/>
        </w:rPr>
        <w:t xml:space="preserve">of 0.1 or </w:t>
      </w:r>
      <w:r w:rsidR="00A2182D">
        <w:t>increasing the weight value to at least 0.5</w:t>
      </w:r>
      <w:r w:rsidR="00EE4244">
        <w:rPr>
          <w:rFonts w:cs="Calibri"/>
          <w:szCs w:val="22"/>
        </w:rPr>
        <w:t>. For more information</w:t>
      </w:r>
      <w:r w:rsidR="00E757F4">
        <w:rPr>
          <w:rFonts w:cs="Calibri"/>
          <w:szCs w:val="22"/>
        </w:rPr>
        <w:t>,</w:t>
      </w:r>
      <w:r w:rsidR="00EE4244">
        <w:rPr>
          <w:rFonts w:cs="Calibri"/>
          <w:szCs w:val="22"/>
        </w:rPr>
        <w:t xml:space="preserve"> see the discussion of</w:t>
      </w:r>
      <w:r w:rsidR="00841CA6">
        <w:rPr>
          <w:rFonts w:cs="Calibri"/>
          <w:szCs w:val="22"/>
        </w:rPr>
        <w:t xml:space="preserve"> the</w:t>
      </w:r>
      <w:r w:rsidR="00EE4244">
        <w:rPr>
          <w:rFonts w:cs="Calibri"/>
          <w:szCs w:val="22"/>
        </w:rPr>
        <w:t xml:space="preserve"> finding and recommendation for ID 42 in the </w:t>
      </w:r>
      <w:r w:rsidR="00F33572">
        <w:rPr>
          <w:rFonts w:cs="Calibri"/>
          <w:szCs w:val="22"/>
        </w:rPr>
        <w:t>I</w:t>
      </w:r>
      <w:r w:rsidR="00EE4244">
        <w:rPr>
          <w:rFonts w:cs="Calibri"/>
          <w:szCs w:val="22"/>
        </w:rPr>
        <w:t xml:space="preserve">nitial </w:t>
      </w:r>
      <w:r w:rsidR="00F33572">
        <w:rPr>
          <w:rFonts w:cs="Calibri"/>
          <w:szCs w:val="22"/>
        </w:rPr>
        <w:t>V</w:t>
      </w:r>
      <w:r w:rsidR="00EE4244">
        <w:rPr>
          <w:rFonts w:cs="Calibri"/>
          <w:szCs w:val="22"/>
        </w:rPr>
        <w:t xml:space="preserve">alidation </w:t>
      </w:r>
      <w:r w:rsidR="00F33572">
        <w:rPr>
          <w:rFonts w:cs="Calibri"/>
          <w:szCs w:val="22"/>
        </w:rPr>
        <w:t>R</w:t>
      </w:r>
      <w:r w:rsidR="00EE4244">
        <w:rPr>
          <w:rFonts w:cs="Calibri"/>
          <w:szCs w:val="22"/>
        </w:rPr>
        <w:t>eport.</w:t>
      </w:r>
    </w:p>
    <w:p w14:paraId="56812AE9" w14:textId="4681DDB9" w:rsidR="00085C41" w:rsidRPr="0099672F" w:rsidRDefault="00085C41" w:rsidP="004C0CFA">
      <w:pPr>
        <w:spacing w:after="0"/>
      </w:pPr>
    </w:p>
    <w:p w14:paraId="162C21AB" w14:textId="36145D8F" w:rsidR="003A0ED8" w:rsidRDefault="003A0ED8" w:rsidP="00D05863">
      <w:pPr>
        <w:pStyle w:val="Caption"/>
      </w:pPr>
      <w:r>
        <w:rPr>
          <w:noProof/>
        </w:rPr>
        <w:drawing>
          <wp:inline distT="0" distB="0" distL="0" distR="0" wp14:anchorId="465618E1" wp14:editId="72421259">
            <wp:extent cx="4780128" cy="2582266"/>
            <wp:effectExtent l="0" t="0" r="1905" b="8890"/>
            <wp:docPr id="3" name="Chart 3">
              <a:extLst xmlns:a="http://schemas.openxmlformats.org/drawingml/2006/main">
                <a:ext uri="{FF2B5EF4-FFF2-40B4-BE49-F238E27FC236}">
                  <a16:creationId xmlns:a16="http://schemas.microsoft.com/office/drawing/2014/main" id="{5394C851-7729-4390-AC0F-65E14EC8C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BCF32E9" w14:textId="513E86E7" w:rsidR="005D6D9D" w:rsidRDefault="00AD2030" w:rsidP="00D05863">
      <w:pPr>
        <w:pStyle w:val="Caption"/>
      </w:pPr>
      <w:bookmarkStart w:id="58" w:name="_Ref58949093"/>
      <w:bookmarkStart w:id="59" w:name="_Toc59050116"/>
      <w:r>
        <w:t xml:space="preserve">Figure </w:t>
      </w:r>
      <w:fldSimple w:instr=" STYLEREF 1 \s ">
        <w:r w:rsidR="00A955A5">
          <w:rPr>
            <w:noProof/>
          </w:rPr>
          <w:t>7</w:t>
        </w:r>
      </w:fldSimple>
      <w:r w:rsidR="00A955A5">
        <w:noBreakHyphen/>
      </w:r>
      <w:fldSimple w:instr=" SEQ Figure \* ARABIC \s 1 ">
        <w:r w:rsidR="00A955A5">
          <w:rPr>
            <w:noProof/>
          </w:rPr>
          <w:t>4</w:t>
        </w:r>
      </w:fldSimple>
      <w:bookmarkEnd w:id="58"/>
      <w:r>
        <w:t xml:space="preserve">: </w:t>
      </w:r>
      <w:r w:rsidR="00FD3EC3">
        <w:t>Results of I</w:t>
      </w:r>
      <w:r w:rsidR="00E241C5">
        <w:t xml:space="preserve">ncreasing Nx </w:t>
      </w:r>
      <w:r w:rsidR="00FD3EC3">
        <w:t>A</w:t>
      </w:r>
      <w:r w:rsidR="00E241C5">
        <w:t xml:space="preserve">vailability to </w:t>
      </w:r>
      <w:r w:rsidR="00DF2974">
        <w:t xml:space="preserve">both Rx and </w:t>
      </w:r>
      <w:r w:rsidR="00D16FFF">
        <w:t>H</w:t>
      </w:r>
      <w:r w:rsidR="00DF2974">
        <w:t xml:space="preserve">eroin </w:t>
      </w:r>
      <w:r w:rsidR="00FD3EC3">
        <w:t>B</w:t>
      </w:r>
      <w:r w:rsidR="00DF2974">
        <w:t>ystanders</w:t>
      </w:r>
      <w:r w:rsidR="00C46025">
        <w:t xml:space="preserve"> (ID 6)</w:t>
      </w:r>
      <w:r w:rsidR="00E241C5">
        <w:t xml:space="preserve"> </w:t>
      </w:r>
      <w:r w:rsidR="00143B94">
        <w:t>to</w:t>
      </w:r>
      <w:r w:rsidR="00A96A80">
        <w:t xml:space="preserve"> </w:t>
      </w:r>
      <w:r w:rsidR="00E241C5">
        <w:t>25%</w:t>
      </w:r>
      <w:r w:rsidR="003D4F63">
        <w:t xml:space="preserve"> </w:t>
      </w:r>
      <w:r w:rsidR="00FD3EC3">
        <w:t>f</w:t>
      </w:r>
      <w:r w:rsidR="003D4F63">
        <w:t xml:space="preserve">rom </w:t>
      </w:r>
      <w:r w:rsidR="00FD3EC3">
        <w:t>the B</w:t>
      </w:r>
      <w:r w:rsidR="003D4F63">
        <w:t>aseline</w:t>
      </w:r>
      <w:r w:rsidR="00FD3EC3">
        <w:t xml:space="preserve"> </w:t>
      </w:r>
      <w:r w:rsidR="00AB713F">
        <w:t xml:space="preserve">Nx </w:t>
      </w:r>
      <w:r w:rsidR="00FD3EC3">
        <w:t>A</w:t>
      </w:r>
      <w:r w:rsidR="00CE2050">
        <w:t xml:space="preserve">vailabilities of </w:t>
      </w:r>
      <w:r w:rsidR="00496665">
        <w:t>4.7%</w:t>
      </w:r>
      <w:r w:rsidR="00200AB9">
        <w:t xml:space="preserve"> for Rx</w:t>
      </w:r>
      <w:r w:rsidR="00AB713F">
        <w:t xml:space="preserve"> Bystanders</w:t>
      </w:r>
      <w:r w:rsidR="00200AB9">
        <w:t xml:space="preserve"> and 22% for </w:t>
      </w:r>
      <w:r w:rsidR="00FD3EC3">
        <w:t>H</w:t>
      </w:r>
      <w:r w:rsidR="00200AB9">
        <w:t>eroin</w:t>
      </w:r>
      <w:r w:rsidR="00AB713F">
        <w:t xml:space="preserve"> Bystanders</w:t>
      </w:r>
      <w:bookmarkEnd w:id="59"/>
    </w:p>
    <w:p w14:paraId="4B931A61" w14:textId="0AC95941" w:rsidR="00404EE1" w:rsidRDefault="008823D9" w:rsidP="00EC522A">
      <w:r>
        <w:t xml:space="preserve">Increasing naloxone availability to </w:t>
      </w:r>
      <w:r w:rsidR="00945324">
        <w:t xml:space="preserve">Rx </w:t>
      </w:r>
      <w:r w:rsidR="00994A9C">
        <w:t>bystanders</w:t>
      </w:r>
      <w:r w:rsidR="00945324">
        <w:t xml:space="preserve"> or heroin bystanders </w:t>
      </w:r>
      <w:r w:rsidR="0023483B">
        <w:t>h</w:t>
      </w:r>
      <w:r w:rsidR="002237F8">
        <w:t>as</w:t>
      </w:r>
      <w:r w:rsidR="0023483B">
        <w:t xml:space="preserve"> different effect</w:t>
      </w:r>
      <w:r w:rsidR="0000226A">
        <w:t xml:space="preserve"> sizes </w:t>
      </w:r>
      <w:r w:rsidR="0023483B">
        <w:t xml:space="preserve">on </w:t>
      </w:r>
      <w:r w:rsidR="00F72495">
        <w:t>aver</w:t>
      </w:r>
      <w:r w:rsidR="00267B22">
        <w:t>ting overdose deaths</w:t>
      </w:r>
      <w:r w:rsidR="00AD2BD3">
        <w:t xml:space="preserve">. </w:t>
      </w:r>
      <w:r w:rsidR="00857F05">
        <w:t xml:space="preserve">Increasing </w:t>
      </w:r>
      <w:r w:rsidR="00794355">
        <w:t>naloxone availability to Rx bystander</w:t>
      </w:r>
      <w:r w:rsidR="00602795">
        <w:t>s</w:t>
      </w:r>
      <w:r w:rsidR="00F3324A">
        <w:t xml:space="preserve"> to 25%</w:t>
      </w:r>
      <w:r w:rsidR="00794355">
        <w:t xml:space="preserve"> (</w:t>
      </w:r>
      <w:r w:rsidR="00A225F5">
        <w:t xml:space="preserve">shown in </w:t>
      </w:r>
      <w:r w:rsidR="008338E6">
        <w:rPr>
          <w:highlight w:val="yellow"/>
        </w:rPr>
        <w:fldChar w:fldCharType="begin"/>
      </w:r>
      <w:r w:rsidR="008338E6">
        <w:instrText xml:space="preserve"> REF _Ref58949131 \h </w:instrText>
      </w:r>
      <w:r w:rsidR="008338E6">
        <w:rPr>
          <w:highlight w:val="yellow"/>
        </w:rPr>
      </w:r>
      <w:r w:rsidR="008338E6">
        <w:rPr>
          <w:highlight w:val="yellow"/>
        </w:rPr>
        <w:fldChar w:fldCharType="separate"/>
      </w:r>
      <w:r w:rsidR="008338E6">
        <w:t xml:space="preserve">Figure </w:t>
      </w:r>
      <w:r w:rsidR="008338E6">
        <w:rPr>
          <w:noProof/>
        </w:rPr>
        <w:t>7</w:t>
      </w:r>
      <w:r w:rsidR="008338E6">
        <w:noBreakHyphen/>
      </w:r>
      <w:r w:rsidR="008338E6">
        <w:rPr>
          <w:noProof/>
        </w:rPr>
        <w:t>5</w:t>
      </w:r>
      <w:r w:rsidR="008338E6">
        <w:rPr>
          <w:highlight w:val="yellow"/>
        </w:rPr>
        <w:fldChar w:fldCharType="end"/>
      </w:r>
      <w:r w:rsidR="00794355">
        <w:t xml:space="preserve">) </w:t>
      </w:r>
      <w:r w:rsidR="00B25081">
        <w:t>reduc</w:t>
      </w:r>
      <w:r w:rsidR="001A33B4">
        <w:t>es</w:t>
      </w:r>
      <w:r w:rsidR="00B25081">
        <w:t xml:space="preserve"> </w:t>
      </w:r>
      <w:r w:rsidR="00FB54D6" w:rsidRPr="00564574">
        <w:rPr>
          <w:b/>
        </w:rPr>
        <w:t xml:space="preserve">Probability </w:t>
      </w:r>
      <w:r w:rsidR="0027620E">
        <w:rPr>
          <w:b/>
        </w:rPr>
        <w:t>overdose (</w:t>
      </w:r>
      <w:r w:rsidR="00FB54D6" w:rsidRPr="00564574">
        <w:rPr>
          <w:b/>
        </w:rPr>
        <w:t>OD</w:t>
      </w:r>
      <w:r w:rsidR="0027620E">
        <w:rPr>
          <w:b/>
        </w:rPr>
        <w:t>)</w:t>
      </w:r>
      <w:r w:rsidR="00FB54D6" w:rsidRPr="00564574">
        <w:rPr>
          <w:b/>
        </w:rPr>
        <w:t xml:space="preserve"> death not averted </w:t>
      </w:r>
      <w:r w:rsidR="00B57F2D">
        <w:rPr>
          <w:b/>
        </w:rPr>
        <w:t>Rx</w:t>
      </w:r>
      <w:r w:rsidR="00FB54D6" w:rsidRPr="00564574">
        <w:rPr>
          <w:b/>
        </w:rPr>
        <w:t xml:space="preserve"> </w:t>
      </w:r>
      <w:r w:rsidR="001A33B4">
        <w:rPr>
          <w:b/>
        </w:rPr>
        <w:t xml:space="preserve">user </w:t>
      </w:r>
      <w:r w:rsidR="001A33B4">
        <w:rPr>
          <w:bCs/>
        </w:rPr>
        <w:t xml:space="preserve">by </w:t>
      </w:r>
      <w:r w:rsidR="001245A9">
        <w:t>20.72%</w:t>
      </w:r>
      <w:r w:rsidR="00382B02">
        <w:t xml:space="preserve"> </w:t>
      </w:r>
      <w:r w:rsidR="00767C05">
        <w:t xml:space="preserve">but its effect on </w:t>
      </w:r>
      <w:r w:rsidR="000D1C5A" w:rsidRPr="00564574">
        <w:rPr>
          <w:b/>
        </w:rPr>
        <w:t>Probability OD death not averted heroin user</w:t>
      </w:r>
      <w:r w:rsidR="000D1C5A">
        <w:rPr>
          <w:b/>
        </w:rPr>
        <w:t xml:space="preserve"> </w:t>
      </w:r>
      <w:r w:rsidR="00CA1BBB" w:rsidRPr="00F46675">
        <w:t>is not noticeable</w:t>
      </w:r>
      <w:r w:rsidR="00CA1BBB">
        <w:rPr>
          <w:b/>
        </w:rPr>
        <w:t xml:space="preserve"> </w:t>
      </w:r>
      <w:r w:rsidR="00382B02">
        <w:t>compared to baseline in 2030</w:t>
      </w:r>
      <w:r w:rsidR="009934EE">
        <w:t>. In contrast,</w:t>
      </w:r>
      <w:r w:rsidR="001A33B4">
        <w:t xml:space="preserve"> </w:t>
      </w:r>
      <w:r w:rsidR="00EB49E4">
        <w:t xml:space="preserve">increasing naloxone availability to heroin bystander </w:t>
      </w:r>
      <w:r w:rsidR="001D2BFF">
        <w:t>to 25%</w:t>
      </w:r>
      <w:r w:rsidR="005963DF">
        <w:t xml:space="preserve"> (shown in </w:t>
      </w:r>
      <w:r w:rsidR="004E1A07">
        <w:fldChar w:fldCharType="begin"/>
      </w:r>
      <w:r w:rsidR="004E1A07">
        <w:instrText xml:space="preserve"> REF _Ref59049287 \h </w:instrText>
      </w:r>
      <w:r w:rsidR="004E1A07">
        <w:fldChar w:fldCharType="separate"/>
      </w:r>
      <w:r w:rsidR="004E1A07">
        <w:t xml:space="preserve">Figure </w:t>
      </w:r>
      <w:r w:rsidR="004E1A07">
        <w:rPr>
          <w:noProof/>
        </w:rPr>
        <w:t>7</w:t>
      </w:r>
      <w:r w:rsidR="004E1A07">
        <w:noBreakHyphen/>
      </w:r>
      <w:r w:rsidR="004E1A07">
        <w:rPr>
          <w:noProof/>
        </w:rPr>
        <w:t>6</w:t>
      </w:r>
      <w:r w:rsidR="004E1A07">
        <w:fldChar w:fldCharType="end"/>
      </w:r>
      <w:r w:rsidR="005963DF">
        <w:t>)</w:t>
      </w:r>
      <w:r w:rsidR="001D2BFF">
        <w:t xml:space="preserve"> </w:t>
      </w:r>
      <w:r w:rsidR="00C8574E">
        <w:t xml:space="preserve">only reduces </w:t>
      </w:r>
      <w:r w:rsidR="00C8574E" w:rsidRPr="00564574">
        <w:rPr>
          <w:b/>
        </w:rPr>
        <w:t>Probability OD death not averted heroin user</w:t>
      </w:r>
      <w:r w:rsidR="00C8574E">
        <w:rPr>
          <w:b/>
        </w:rPr>
        <w:t xml:space="preserve"> </w:t>
      </w:r>
      <w:r w:rsidR="00C8574E" w:rsidRPr="00F46675">
        <w:t>by</w:t>
      </w:r>
      <w:r w:rsidR="00C8574E">
        <w:t xml:space="preserve"> </w:t>
      </w:r>
      <w:r w:rsidR="0033180C">
        <w:t>3.06%</w:t>
      </w:r>
      <w:r w:rsidR="00CA2B78">
        <w:t xml:space="preserve"> compared to baseline in 2030</w:t>
      </w:r>
      <w:r w:rsidR="0033180C">
        <w:t xml:space="preserve">. </w:t>
      </w:r>
      <w:r w:rsidR="008C0DD3">
        <w:t xml:space="preserve">However, it is worth mentioning that the baseline value </w:t>
      </w:r>
      <w:r w:rsidR="00CE23AC">
        <w:t xml:space="preserve">for </w:t>
      </w:r>
      <w:r w:rsidR="00D32D05">
        <w:t xml:space="preserve">the </w:t>
      </w:r>
      <w:r w:rsidR="00E255D0">
        <w:rPr>
          <w:b/>
          <w:bCs/>
        </w:rPr>
        <w:t>P</w:t>
      </w:r>
      <w:r w:rsidR="00D32D05" w:rsidRPr="007B0794">
        <w:rPr>
          <w:b/>
          <w:bCs/>
        </w:rPr>
        <w:t>robability Nx bystander Rx</w:t>
      </w:r>
      <w:r w:rsidR="00D32D05">
        <w:t xml:space="preserve"> is </w:t>
      </w:r>
      <w:r w:rsidR="007A6FE3">
        <w:t xml:space="preserve">lower than the baseline value for </w:t>
      </w:r>
      <w:r w:rsidR="00E255D0">
        <w:rPr>
          <w:b/>
          <w:bCs/>
        </w:rPr>
        <w:t>P</w:t>
      </w:r>
      <w:r w:rsidR="007A6FE3" w:rsidRPr="002822FE">
        <w:rPr>
          <w:b/>
          <w:bCs/>
        </w:rPr>
        <w:t xml:space="preserve">robability Nx bystander </w:t>
      </w:r>
      <w:r w:rsidR="007A6FE3">
        <w:rPr>
          <w:b/>
          <w:bCs/>
        </w:rPr>
        <w:t xml:space="preserve">heroin. </w:t>
      </w:r>
      <w:r w:rsidR="007A6FE3">
        <w:t>Therefore, inc</w:t>
      </w:r>
      <w:r w:rsidR="002025F9">
        <w:t>r</w:t>
      </w:r>
      <w:r w:rsidR="007A6FE3">
        <w:t xml:space="preserve">easing </w:t>
      </w:r>
      <w:r w:rsidR="005709AD">
        <w:t>the value</w:t>
      </w:r>
      <w:r w:rsidR="00994DAE">
        <w:t xml:space="preserve"> to 25% </w:t>
      </w:r>
      <w:r w:rsidR="003C3ADF">
        <w:t>is</w:t>
      </w:r>
      <w:r w:rsidR="00994DAE">
        <w:t xml:space="preserve"> </w:t>
      </w:r>
      <w:r w:rsidR="001D088C">
        <w:t>a</w:t>
      </w:r>
      <w:r w:rsidR="00994DAE">
        <w:t xml:space="preserve"> bi</w:t>
      </w:r>
      <w:r w:rsidR="002025F9">
        <w:t xml:space="preserve">gger </w:t>
      </w:r>
      <w:r w:rsidR="001D088C">
        <w:t>change</w:t>
      </w:r>
      <w:r w:rsidR="002025F9">
        <w:t xml:space="preserve"> </w:t>
      </w:r>
      <w:r w:rsidR="001D088C">
        <w:t>for</w:t>
      </w:r>
      <w:r w:rsidR="002025F9">
        <w:t xml:space="preserve"> the Rx bystander</w:t>
      </w:r>
      <w:r w:rsidR="007A6FE3">
        <w:t xml:space="preserve"> </w:t>
      </w:r>
      <w:r w:rsidR="00F0582E">
        <w:t xml:space="preserve">variable </w:t>
      </w:r>
      <w:r w:rsidR="001D088C">
        <w:t xml:space="preserve">compared to </w:t>
      </w:r>
      <w:r w:rsidR="00F0582E">
        <w:t>the</w:t>
      </w:r>
      <w:r w:rsidR="001D088C">
        <w:t xml:space="preserve"> heroin bystander</w:t>
      </w:r>
      <w:r w:rsidR="00F0582E">
        <w:t xml:space="preserve"> variable</w:t>
      </w:r>
      <w:r w:rsidR="001D088C">
        <w:t xml:space="preserve">. </w:t>
      </w:r>
      <w:r w:rsidR="00C820E4">
        <w:t xml:space="preserve">Each </w:t>
      </w:r>
      <w:r w:rsidR="00F963F6">
        <w:t xml:space="preserve">intervention has a small effect on </w:t>
      </w:r>
      <w:r w:rsidR="00BD6B71">
        <w:t xml:space="preserve">averting </w:t>
      </w:r>
      <w:r w:rsidR="00E255D0">
        <w:t>overdose</w:t>
      </w:r>
      <w:r w:rsidR="00BD6B71">
        <w:t xml:space="preserve"> deaths </w:t>
      </w:r>
      <w:r w:rsidR="000A6242">
        <w:t xml:space="preserve">of </w:t>
      </w:r>
      <w:r w:rsidR="0017363B">
        <w:t>users</w:t>
      </w:r>
      <w:r w:rsidR="004948DA">
        <w:t xml:space="preserve"> </w:t>
      </w:r>
      <w:r w:rsidR="000A6242">
        <w:t>no</w:t>
      </w:r>
      <w:r w:rsidR="00ED54EC">
        <w:t xml:space="preserve">t affected </w:t>
      </w:r>
      <w:r w:rsidR="00C54E1B">
        <w:t>directly</w:t>
      </w:r>
      <w:r w:rsidR="00B955F6">
        <w:t xml:space="preserve">; </w:t>
      </w:r>
      <w:r w:rsidR="0094275F">
        <w:t xml:space="preserve">increasing </w:t>
      </w:r>
      <w:r w:rsidR="00706163">
        <w:t xml:space="preserve">naloxone for </w:t>
      </w:r>
      <w:r w:rsidR="00382B02">
        <w:t>Rx bystander</w:t>
      </w:r>
      <w:r w:rsidR="00A32B0A">
        <w:t>s</w:t>
      </w:r>
      <w:r w:rsidR="00706163">
        <w:t xml:space="preserve"> </w:t>
      </w:r>
      <w:r w:rsidR="00C357B4">
        <w:t xml:space="preserve">increased </w:t>
      </w:r>
      <w:r w:rsidR="00C357B4" w:rsidRPr="00564574">
        <w:rPr>
          <w:b/>
        </w:rPr>
        <w:t>Probability OD death not averted heroin user</w:t>
      </w:r>
      <w:r w:rsidR="00C54E1B">
        <w:t xml:space="preserve"> </w:t>
      </w:r>
      <w:r w:rsidR="00CB7FCF">
        <w:t>by 0.02%</w:t>
      </w:r>
      <w:r w:rsidR="00B020A3">
        <w:t xml:space="preserve">, </w:t>
      </w:r>
      <w:r w:rsidR="00C357B4">
        <w:t>while increasing naloxone for heroin bystander</w:t>
      </w:r>
      <w:r w:rsidR="00A32B0A">
        <w:t>s</w:t>
      </w:r>
      <w:r w:rsidR="00C357B4">
        <w:t xml:space="preserve"> decreased </w:t>
      </w:r>
      <w:r w:rsidR="00C357B4" w:rsidRPr="00564574">
        <w:rPr>
          <w:b/>
        </w:rPr>
        <w:t xml:space="preserve">Probability OD death not averted </w:t>
      </w:r>
      <w:r w:rsidR="00C357B4">
        <w:rPr>
          <w:b/>
        </w:rPr>
        <w:t>Rx</w:t>
      </w:r>
      <w:r w:rsidR="00C357B4" w:rsidRPr="00564574">
        <w:rPr>
          <w:b/>
        </w:rPr>
        <w:t xml:space="preserve"> user</w:t>
      </w:r>
      <w:r w:rsidR="00C357B4">
        <w:t xml:space="preserve"> by 0.0</w:t>
      </w:r>
      <w:r w:rsidR="00404EE1">
        <w:t>1</w:t>
      </w:r>
      <w:r w:rsidR="00C357B4">
        <w:t>%</w:t>
      </w:r>
      <w:r w:rsidR="00404EE1">
        <w:t xml:space="preserve">. </w:t>
      </w:r>
    </w:p>
    <w:p w14:paraId="5219E851" w14:textId="46F23A40" w:rsidR="005C10AA" w:rsidRDefault="005C10AA" w:rsidP="00EC522A"/>
    <w:p w14:paraId="55B18663" w14:textId="167D5557" w:rsidR="005C10AA" w:rsidRDefault="005C10AA" w:rsidP="00EC522A"/>
    <w:p w14:paraId="613FA81F" w14:textId="62218BF8" w:rsidR="005C10AA" w:rsidRDefault="005C10AA" w:rsidP="00EC522A"/>
    <w:p w14:paraId="3C0399B6" w14:textId="712CB52E" w:rsidR="005C10AA" w:rsidRDefault="005C10AA" w:rsidP="00EC522A"/>
    <w:p w14:paraId="5B2F8C49" w14:textId="77777777" w:rsidR="005C10AA" w:rsidRDefault="005C10AA" w:rsidP="00EC522A"/>
    <w:p w14:paraId="6D6F89E1" w14:textId="38A4BE41" w:rsidR="00EC522A" w:rsidRDefault="00875AD4" w:rsidP="00EC522A">
      <w:r>
        <w:rPr>
          <w:noProof/>
        </w:rPr>
        <w:lastRenderedPageBreak/>
        <w:drawing>
          <wp:inline distT="0" distB="0" distL="0" distR="0" wp14:anchorId="2323A074" wp14:editId="45017ABF">
            <wp:extent cx="6047208" cy="1860956"/>
            <wp:effectExtent l="19050" t="19050" r="10795" b="254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1508" cy="1871511"/>
                    </a:xfrm>
                    <a:prstGeom prst="rect">
                      <a:avLst/>
                    </a:prstGeom>
                    <a:noFill/>
                    <a:ln>
                      <a:solidFill>
                        <a:schemeClr val="tx1"/>
                      </a:solidFill>
                    </a:ln>
                  </pic:spPr>
                </pic:pic>
              </a:graphicData>
            </a:graphic>
          </wp:inline>
        </w:drawing>
      </w:r>
    </w:p>
    <w:p w14:paraId="44682946" w14:textId="0B757BFF" w:rsidR="00EC522A" w:rsidRDefault="00AD2030" w:rsidP="00D05863">
      <w:pPr>
        <w:pStyle w:val="Caption"/>
      </w:pPr>
      <w:bookmarkStart w:id="60" w:name="_Ref58949131"/>
      <w:bookmarkStart w:id="61" w:name="_Toc59050117"/>
      <w:r>
        <w:t xml:space="preserve">Figure </w:t>
      </w:r>
      <w:fldSimple w:instr=" STYLEREF 1 \s ">
        <w:r w:rsidR="00A955A5">
          <w:rPr>
            <w:noProof/>
          </w:rPr>
          <w:t>7</w:t>
        </w:r>
      </w:fldSimple>
      <w:r w:rsidR="00A955A5">
        <w:noBreakHyphen/>
      </w:r>
      <w:fldSimple w:instr=" SEQ Figure \* ARABIC \s 1 ">
        <w:r w:rsidR="00A955A5">
          <w:rPr>
            <w:noProof/>
          </w:rPr>
          <w:t>5</w:t>
        </w:r>
      </w:fldSimple>
      <w:bookmarkEnd w:id="60"/>
      <w:r>
        <w:t xml:space="preserve">: </w:t>
      </w:r>
      <w:r w:rsidR="009E1A1C" w:rsidRPr="00B83254">
        <w:t xml:space="preserve">Result of </w:t>
      </w:r>
      <w:r w:rsidR="00AB713F">
        <w:t>I</w:t>
      </w:r>
      <w:r w:rsidR="009E1A1C" w:rsidRPr="00B83254">
        <w:rPr>
          <w:bCs/>
        </w:rPr>
        <w:t>ncreasing</w:t>
      </w:r>
      <w:r w:rsidR="009E1A1C" w:rsidRPr="00B83254">
        <w:t xml:space="preserve"> Probability Nx </w:t>
      </w:r>
      <w:r w:rsidR="006C6361">
        <w:t>b</w:t>
      </w:r>
      <w:r w:rsidR="009E1A1C" w:rsidRPr="00B83254">
        <w:t xml:space="preserve">ystander </w:t>
      </w:r>
      <w:r w:rsidR="00EC522A" w:rsidRPr="00B83254">
        <w:t>Rx</w:t>
      </w:r>
      <w:r w:rsidR="00464EC8">
        <w:t xml:space="preserve"> (ID 2)</w:t>
      </w:r>
      <w:r w:rsidR="00EC522A" w:rsidRPr="00B83254">
        <w:t xml:space="preserve"> </w:t>
      </w:r>
      <w:r w:rsidR="008E7EC0" w:rsidRPr="00B83254">
        <w:t xml:space="preserve">on </w:t>
      </w:r>
      <w:r w:rsidR="00AB713F">
        <w:t>P</w:t>
      </w:r>
      <w:r w:rsidR="008E7EC0" w:rsidRPr="00B83254">
        <w:t xml:space="preserve">robability OD death </w:t>
      </w:r>
      <w:r w:rsidR="00785D17">
        <w:t>n</w:t>
      </w:r>
      <w:r w:rsidR="008E7EC0" w:rsidRPr="00B83254">
        <w:t xml:space="preserve">ot averted heroin and Rx </w:t>
      </w:r>
      <w:r w:rsidR="008E7EC0" w:rsidRPr="00B83254">
        <w:rPr>
          <w:bCs/>
        </w:rPr>
        <w:t>user</w:t>
      </w:r>
      <w:bookmarkEnd w:id="61"/>
    </w:p>
    <w:p w14:paraId="65FE0BEA" w14:textId="34145414" w:rsidR="00EC522A" w:rsidRDefault="009E1A1C" w:rsidP="005C10AA">
      <w:pPr>
        <w:jc w:val="center"/>
      </w:pPr>
      <w:r w:rsidRPr="009756BE">
        <w:rPr>
          <w:i/>
          <w:iCs/>
          <w:lang w:eastAsia="en-US"/>
        </w:rPr>
        <w:t xml:space="preserve">Note: </w:t>
      </w:r>
      <w:r w:rsidR="00486E90">
        <w:rPr>
          <w:i/>
          <w:lang w:eastAsia="en-US"/>
        </w:rPr>
        <w:t xml:space="preserve">x-axis = year; y-axis = probability. The vertical line designates the scenario start year. </w:t>
      </w:r>
      <w:r w:rsidR="00883AF9" w:rsidRPr="00611785">
        <w:rPr>
          <w:i/>
          <w:iCs/>
        </w:rPr>
        <w:t xml:space="preserve">The colored lines </w:t>
      </w:r>
      <w:r w:rsidR="00723449" w:rsidRPr="00611785">
        <w:rPr>
          <w:i/>
          <w:iCs/>
        </w:rPr>
        <w:t>represent differen</w:t>
      </w:r>
      <w:r w:rsidR="00723449">
        <w:rPr>
          <w:i/>
        </w:rPr>
        <w:t>t</w:t>
      </w:r>
      <w:r w:rsidR="00723449" w:rsidRPr="00611785">
        <w:rPr>
          <w:i/>
          <w:iCs/>
        </w:rPr>
        <w:t xml:space="preserve"> </w:t>
      </w:r>
      <w:r w:rsidR="00723449">
        <w:rPr>
          <w:i/>
          <w:iCs/>
        </w:rPr>
        <w:t xml:space="preserve">input </w:t>
      </w:r>
      <w:r w:rsidR="00723449" w:rsidRPr="00E55155">
        <w:rPr>
          <w:i/>
          <w:iCs/>
        </w:rPr>
        <w:t>values</w:t>
      </w:r>
      <w:r w:rsidR="00723449">
        <w:rPr>
          <w:i/>
        </w:rPr>
        <w:t xml:space="preserve"> </w:t>
      </w:r>
      <w:r w:rsidR="00883AF9">
        <w:rPr>
          <w:i/>
        </w:rPr>
        <w:t>(here</w:t>
      </w:r>
      <w:r w:rsidR="006C6361">
        <w:rPr>
          <w:i/>
        </w:rPr>
        <w:t xml:space="preserve">, </w:t>
      </w:r>
      <w:r w:rsidR="006C6361" w:rsidRPr="006C6361">
        <w:rPr>
          <w:b/>
          <w:i/>
        </w:rPr>
        <w:t>P</w:t>
      </w:r>
      <w:r w:rsidR="00883AF9" w:rsidRPr="006C6361">
        <w:rPr>
          <w:b/>
          <w:i/>
        </w:rPr>
        <w:t>robability Nx bystander Rx</w:t>
      </w:r>
      <w:r w:rsidR="00883AF9">
        <w:rPr>
          <w:i/>
        </w:rPr>
        <w:t>)</w:t>
      </w:r>
      <w:r w:rsidR="00883AF9" w:rsidRPr="00611785">
        <w:rPr>
          <w:i/>
          <w:iCs/>
        </w:rPr>
        <w:t xml:space="preserve"> during each analysis</w:t>
      </w:r>
      <w:r w:rsidRPr="00611785">
        <w:rPr>
          <w:i/>
        </w:rPr>
        <w:t>: Baseline (</w:t>
      </w:r>
      <w:r w:rsidR="006B6F13" w:rsidRPr="00611785">
        <w:rPr>
          <w:i/>
          <w:iCs/>
        </w:rPr>
        <w:t>4.7</w:t>
      </w:r>
      <w:r w:rsidRPr="00611785">
        <w:rPr>
          <w:i/>
        </w:rPr>
        <w:t>%, black), scenario 1 (</w:t>
      </w:r>
      <w:r w:rsidR="006B6F13" w:rsidRPr="00611785">
        <w:rPr>
          <w:i/>
          <w:iCs/>
        </w:rPr>
        <w:t>5</w:t>
      </w:r>
      <w:r w:rsidRPr="00611785">
        <w:rPr>
          <w:i/>
        </w:rPr>
        <w:t xml:space="preserve">%, </w:t>
      </w:r>
      <w:r w:rsidR="00073D4F" w:rsidRPr="00611785">
        <w:rPr>
          <w:i/>
        </w:rPr>
        <w:t>blue</w:t>
      </w:r>
      <w:r w:rsidRPr="00611785">
        <w:rPr>
          <w:i/>
        </w:rPr>
        <w:t>), scenario 2 (</w:t>
      </w:r>
      <w:r w:rsidR="006B6F13" w:rsidRPr="00611785">
        <w:rPr>
          <w:i/>
          <w:iCs/>
        </w:rPr>
        <w:t>20</w:t>
      </w:r>
      <w:r w:rsidRPr="00611785">
        <w:rPr>
          <w:i/>
        </w:rPr>
        <w:t xml:space="preserve">%, </w:t>
      </w:r>
      <w:r w:rsidR="00073D4F" w:rsidRPr="00611785">
        <w:rPr>
          <w:i/>
        </w:rPr>
        <w:t>orange</w:t>
      </w:r>
      <w:r w:rsidRPr="00611785">
        <w:rPr>
          <w:i/>
        </w:rPr>
        <w:t>)</w:t>
      </w:r>
      <w:r w:rsidR="00073D4F" w:rsidRPr="00611785">
        <w:rPr>
          <w:i/>
        </w:rPr>
        <w:t>, scenario 3 (</w:t>
      </w:r>
      <w:r w:rsidR="006B6F13" w:rsidRPr="00611785">
        <w:rPr>
          <w:i/>
          <w:iCs/>
        </w:rPr>
        <w:t>25%, green), and scenario 4 (50%, red).</w:t>
      </w:r>
    </w:p>
    <w:p w14:paraId="5E1C0678" w14:textId="01E58D20" w:rsidR="00EC522A" w:rsidRDefault="00071C57" w:rsidP="00EC522A">
      <w:r>
        <w:rPr>
          <w:noProof/>
        </w:rPr>
        <w:drawing>
          <wp:inline distT="0" distB="0" distL="0" distR="0" wp14:anchorId="5E63C8E2" wp14:editId="23785DB9">
            <wp:extent cx="5936615" cy="1882902"/>
            <wp:effectExtent l="19050" t="19050" r="26035" b="222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155" cy="1884976"/>
                    </a:xfrm>
                    <a:prstGeom prst="rect">
                      <a:avLst/>
                    </a:prstGeom>
                    <a:noFill/>
                    <a:ln>
                      <a:solidFill>
                        <a:schemeClr val="tx1"/>
                      </a:solidFill>
                    </a:ln>
                  </pic:spPr>
                </pic:pic>
              </a:graphicData>
            </a:graphic>
          </wp:inline>
        </w:drawing>
      </w:r>
    </w:p>
    <w:p w14:paraId="29751583" w14:textId="3D236156" w:rsidR="00883AF9" w:rsidRDefault="00D01859" w:rsidP="00D05863">
      <w:pPr>
        <w:pStyle w:val="Caption"/>
      </w:pPr>
      <w:bookmarkStart w:id="62" w:name="_Ref59049287"/>
      <w:bookmarkStart w:id="63" w:name="_Toc59050118"/>
      <w:r>
        <w:t xml:space="preserve">Figure </w:t>
      </w:r>
      <w:fldSimple w:instr=" STYLEREF 1 \s ">
        <w:r w:rsidR="00A955A5">
          <w:rPr>
            <w:noProof/>
          </w:rPr>
          <w:t>7</w:t>
        </w:r>
      </w:fldSimple>
      <w:r w:rsidR="00A955A5">
        <w:noBreakHyphen/>
      </w:r>
      <w:fldSimple w:instr=" SEQ Figure \* ARABIC \s 1 ">
        <w:r w:rsidR="00A955A5">
          <w:rPr>
            <w:noProof/>
          </w:rPr>
          <w:t>6</w:t>
        </w:r>
      </w:fldSimple>
      <w:bookmarkEnd w:id="62"/>
      <w:r>
        <w:t xml:space="preserve">: </w:t>
      </w:r>
      <w:r w:rsidR="00464EC8" w:rsidRPr="00B83254">
        <w:t xml:space="preserve">Result of </w:t>
      </w:r>
      <w:r w:rsidR="00B73B7E">
        <w:t>I</w:t>
      </w:r>
      <w:r w:rsidR="00464EC8" w:rsidRPr="00B83254">
        <w:t xml:space="preserve">ncreasing Probability Nx bystander </w:t>
      </w:r>
      <w:r w:rsidR="00464EC8">
        <w:t>heroin (ID 5)</w:t>
      </w:r>
      <w:r w:rsidR="00464EC8" w:rsidRPr="00B83254">
        <w:t xml:space="preserve"> on </w:t>
      </w:r>
      <w:r w:rsidR="00B73B7E">
        <w:t>P</w:t>
      </w:r>
      <w:r w:rsidR="00464EC8" w:rsidRPr="00B83254">
        <w:t xml:space="preserve">robability OD death not averted heroin and </w:t>
      </w:r>
      <w:r w:rsidR="00B73B7E">
        <w:t>P</w:t>
      </w:r>
      <w:r w:rsidR="00B73B7E" w:rsidRPr="00B83254">
        <w:t xml:space="preserve">robability OD death not averted </w:t>
      </w:r>
      <w:r w:rsidR="00464EC8" w:rsidRPr="00B83254">
        <w:t xml:space="preserve">Rx </w:t>
      </w:r>
      <w:r w:rsidR="00464EC8" w:rsidRPr="00B83254">
        <w:rPr>
          <w:bCs/>
        </w:rPr>
        <w:t>user</w:t>
      </w:r>
      <w:bookmarkEnd w:id="63"/>
      <w:r w:rsidR="00EC522A">
        <w:t xml:space="preserve"> </w:t>
      </w:r>
    </w:p>
    <w:p w14:paraId="185D5F7D" w14:textId="1C9BC2B0" w:rsidR="00EC522A" w:rsidRDefault="00883AF9" w:rsidP="008022BC">
      <w:pPr>
        <w:jc w:val="center"/>
      </w:pPr>
      <w:r>
        <w:t xml:space="preserve">Note: </w:t>
      </w:r>
      <w:r w:rsidR="00486E90">
        <w:rPr>
          <w:i/>
          <w:lang w:eastAsia="en-US"/>
        </w:rPr>
        <w:t xml:space="preserve">x-axis = year; y-axis = probability. The vertical line designates the scenario start year. </w:t>
      </w:r>
      <w:r w:rsidRPr="00611785">
        <w:rPr>
          <w:i/>
          <w:iCs/>
        </w:rPr>
        <w:t xml:space="preserve">The colored lines </w:t>
      </w:r>
      <w:r w:rsidR="00723449" w:rsidRPr="00611785">
        <w:rPr>
          <w:i/>
          <w:iCs/>
        </w:rPr>
        <w:t>represent differen</w:t>
      </w:r>
      <w:r w:rsidR="00723449">
        <w:rPr>
          <w:i/>
        </w:rPr>
        <w:t>t</w:t>
      </w:r>
      <w:r w:rsidR="00723449" w:rsidRPr="00611785">
        <w:rPr>
          <w:i/>
          <w:iCs/>
        </w:rPr>
        <w:t xml:space="preserve"> </w:t>
      </w:r>
      <w:r w:rsidR="00723449">
        <w:rPr>
          <w:i/>
          <w:iCs/>
        </w:rPr>
        <w:t xml:space="preserve">input </w:t>
      </w:r>
      <w:r w:rsidR="00723449" w:rsidRPr="00E55155">
        <w:rPr>
          <w:i/>
          <w:iCs/>
        </w:rPr>
        <w:t>values</w:t>
      </w:r>
      <w:r w:rsidR="00723449">
        <w:rPr>
          <w:i/>
        </w:rPr>
        <w:t xml:space="preserve"> (</w:t>
      </w:r>
      <w:r>
        <w:rPr>
          <w:i/>
        </w:rPr>
        <w:t>here</w:t>
      </w:r>
      <w:r w:rsidR="004E4F6C">
        <w:rPr>
          <w:i/>
        </w:rPr>
        <w:t xml:space="preserve">, </w:t>
      </w:r>
      <w:r w:rsidR="004E4F6C" w:rsidRPr="004E4F6C">
        <w:rPr>
          <w:b/>
          <w:i/>
        </w:rPr>
        <w:t>P</w:t>
      </w:r>
      <w:r w:rsidRPr="004E4F6C">
        <w:rPr>
          <w:b/>
          <w:i/>
        </w:rPr>
        <w:t>robability Nx</w:t>
      </w:r>
      <w:r w:rsidR="00EC522A" w:rsidRPr="004E4F6C" w:rsidDel="00464EC8">
        <w:rPr>
          <w:b/>
          <w:i/>
        </w:rPr>
        <w:t xml:space="preserve"> bystander</w:t>
      </w:r>
      <w:r w:rsidRPr="004E4F6C">
        <w:rPr>
          <w:b/>
          <w:i/>
        </w:rPr>
        <w:t xml:space="preserve"> heroin</w:t>
      </w:r>
      <w:r>
        <w:rPr>
          <w:i/>
        </w:rPr>
        <w:t>)</w:t>
      </w:r>
      <w:r w:rsidRPr="00611785">
        <w:rPr>
          <w:i/>
          <w:iCs/>
        </w:rPr>
        <w:t xml:space="preserve"> during each analysis: </w:t>
      </w:r>
      <w:r w:rsidR="00464EC8">
        <w:t>B</w:t>
      </w:r>
      <w:r w:rsidR="009F4B11" w:rsidRPr="00E418CB">
        <w:t xml:space="preserve">aseline </w:t>
      </w:r>
      <w:r w:rsidR="003D76CB">
        <w:t>(</w:t>
      </w:r>
      <w:r w:rsidR="00DA2CC3">
        <w:t>22%,</w:t>
      </w:r>
      <w:r w:rsidR="003D76CB">
        <w:t xml:space="preserve"> </w:t>
      </w:r>
      <w:r w:rsidR="009F4B11" w:rsidRPr="00E418CB">
        <w:t>black</w:t>
      </w:r>
      <w:r w:rsidR="003D76CB">
        <w:t>)</w:t>
      </w:r>
      <w:r w:rsidR="009F4B11" w:rsidRPr="00E418CB">
        <w:t xml:space="preserve">, </w:t>
      </w:r>
      <w:r w:rsidR="005E36A8">
        <w:t>scenario 1 (</w:t>
      </w:r>
      <w:r w:rsidR="009F4B11" w:rsidRPr="00E418CB">
        <w:t>25%</w:t>
      </w:r>
      <w:r w:rsidR="005E36A8">
        <w:t>,</w:t>
      </w:r>
      <w:r w:rsidR="009F4B11" w:rsidRPr="00E418CB">
        <w:t xml:space="preserve"> </w:t>
      </w:r>
      <w:r w:rsidR="005E36A8">
        <w:t>g</w:t>
      </w:r>
      <w:r w:rsidR="009F4B11">
        <w:t>reen</w:t>
      </w:r>
      <w:r w:rsidR="005E36A8">
        <w:t>)</w:t>
      </w:r>
      <w:r w:rsidR="009F4B11" w:rsidRPr="00E418CB">
        <w:t xml:space="preserve">, </w:t>
      </w:r>
      <w:r w:rsidR="00C64B1E">
        <w:t xml:space="preserve">and </w:t>
      </w:r>
      <w:r w:rsidR="005E36A8">
        <w:t>scenario 2</w:t>
      </w:r>
      <w:r w:rsidR="00C64B1E">
        <w:t xml:space="preserve"> (</w:t>
      </w:r>
      <w:r w:rsidR="009F4B11" w:rsidRPr="00E418CB">
        <w:t>50%</w:t>
      </w:r>
      <w:r w:rsidR="00C64B1E">
        <w:t>,</w:t>
      </w:r>
      <w:r w:rsidR="009F4B11" w:rsidRPr="00E418CB">
        <w:t xml:space="preserve"> </w:t>
      </w:r>
      <w:r w:rsidR="00C64B1E">
        <w:t>r</w:t>
      </w:r>
      <w:r w:rsidR="009F4B11">
        <w:t>ed</w:t>
      </w:r>
      <w:r w:rsidR="009F4B11" w:rsidRPr="00E418CB">
        <w:t>)</w:t>
      </w:r>
      <w:r w:rsidR="00C64B1E">
        <w:t>.</w:t>
      </w:r>
    </w:p>
    <w:p w14:paraId="2E9E8E4E" w14:textId="67941B63" w:rsidR="0006679E" w:rsidRDefault="008A4701" w:rsidP="0006679E">
      <w:r>
        <w:t xml:space="preserve">Results </w:t>
      </w:r>
      <w:r w:rsidR="00022463">
        <w:t>from</w:t>
      </w:r>
      <w:r>
        <w:t xml:space="preserve"> i</w:t>
      </w:r>
      <w:r w:rsidR="0006679E">
        <w:t xml:space="preserve">ncreasing </w:t>
      </w:r>
      <w:r>
        <w:t>the</w:t>
      </w:r>
      <w:r w:rsidR="0006679E">
        <w:t xml:space="preserve"> number of </w:t>
      </w:r>
      <w:r w:rsidR="00CF7EC9">
        <w:t>naloxone</w:t>
      </w:r>
      <w:r w:rsidR="0006679E">
        <w:t xml:space="preserve"> kit</w:t>
      </w:r>
      <w:r w:rsidR="00CF7EC9">
        <w:t>s</w:t>
      </w:r>
      <w:r w:rsidR="0006679E">
        <w:t xml:space="preserve"> distributed for Rx and heroin users show that the </w:t>
      </w:r>
      <w:r w:rsidR="00674B22">
        <w:t xml:space="preserve">decrease </w:t>
      </w:r>
      <w:r w:rsidR="002F6A52">
        <w:t xml:space="preserve">in </w:t>
      </w:r>
      <w:r w:rsidR="0006679E">
        <w:t>probability of overdose death</w:t>
      </w:r>
      <w:r w:rsidR="0000267B">
        <w:t>s</w:t>
      </w:r>
      <w:r w:rsidR="0006679E">
        <w:t xml:space="preserve"> </w:t>
      </w:r>
      <w:r w:rsidR="005330D0">
        <w:t>not</w:t>
      </w:r>
      <w:r w:rsidR="0006679E">
        <w:t xml:space="preserve"> averted in heroin users is </w:t>
      </w:r>
      <w:r w:rsidR="008E443F">
        <w:t>greater</w:t>
      </w:r>
      <w:r w:rsidR="0006679E">
        <w:t xml:space="preserve"> than the probability of overdose death</w:t>
      </w:r>
      <w:r w:rsidR="0000267B">
        <w:t>s</w:t>
      </w:r>
      <w:r w:rsidR="005330D0">
        <w:t xml:space="preserve"> not</w:t>
      </w:r>
      <w:r w:rsidR="0006679E">
        <w:t xml:space="preserve"> averted in Rx users</w:t>
      </w:r>
      <w:r w:rsidR="007C0A3B">
        <w:t xml:space="preserve"> (</w:t>
      </w:r>
      <w:r w:rsidR="005330D0">
        <w:t>-4.65</w:t>
      </w:r>
      <w:r w:rsidR="004E7BB6">
        <w:t>%</w:t>
      </w:r>
      <w:r w:rsidR="0058341E">
        <w:t xml:space="preserve"> </w:t>
      </w:r>
      <w:r w:rsidR="002A1ABA">
        <w:t xml:space="preserve">and </w:t>
      </w:r>
      <w:r w:rsidR="005330D0">
        <w:t>-1.36</w:t>
      </w:r>
      <w:r w:rsidR="002A1ABA">
        <w:t xml:space="preserve">%, respectively, </w:t>
      </w:r>
      <w:r w:rsidR="00144090">
        <w:t>compared to baseline in 2030</w:t>
      </w:r>
      <w:r w:rsidR="00A2511A">
        <w:t xml:space="preserve"> for the scenario </w:t>
      </w:r>
      <w:r w:rsidR="00B17BF4">
        <w:t xml:space="preserve">of increasing naloxone kits distributed by </w:t>
      </w:r>
      <w:r w:rsidR="00B13C7F">
        <w:t>25</w:t>
      </w:r>
      <w:r w:rsidR="00B17BF4">
        <w:t>%</w:t>
      </w:r>
      <w:r w:rsidR="00B13C7F">
        <w:t xml:space="preserve"> for both Rx and heroin users</w:t>
      </w:r>
      <w:r w:rsidR="00257F7F">
        <w:t>; see</w:t>
      </w:r>
      <w:r w:rsidR="005C6517">
        <w:t xml:space="preserve"> </w:t>
      </w:r>
      <w:r w:rsidR="00C8263B">
        <w:rPr>
          <w:highlight w:val="yellow"/>
        </w:rPr>
        <w:fldChar w:fldCharType="begin"/>
      </w:r>
      <w:r w:rsidR="00C8263B">
        <w:instrText xml:space="preserve"> REF _Ref58946304 \h </w:instrText>
      </w:r>
      <w:r w:rsidR="00C8263B">
        <w:rPr>
          <w:highlight w:val="yellow"/>
        </w:rPr>
      </w:r>
      <w:r w:rsidR="00C8263B">
        <w:rPr>
          <w:highlight w:val="yellow"/>
        </w:rPr>
        <w:fldChar w:fldCharType="separate"/>
      </w:r>
      <w:r w:rsidR="00C8263B">
        <w:t xml:space="preserve">Table </w:t>
      </w:r>
      <w:r w:rsidR="00C8263B">
        <w:rPr>
          <w:noProof/>
        </w:rPr>
        <w:t>11</w:t>
      </w:r>
      <w:r w:rsidR="00C8263B">
        <w:noBreakHyphen/>
      </w:r>
      <w:r w:rsidR="00C8263B">
        <w:rPr>
          <w:noProof/>
        </w:rPr>
        <w:t>1</w:t>
      </w:r>
      <w:r w:rsidR="00C8263B">
        <w:rPr>
          <w:highlight w:val="yellow"/>
        </w:rPr>
        <w:fldChar w:fldCharType="end"/>
      </w:r>
      <w:r w:rsidR="00D94F88">
        <w:t xml:space="preserve"> in the </w:t>
      </w:r>
      <w:hyperlink w:anchor="_Appendix" w:history="1">
        <w:r w:rsidR="005A3728" w:rsidRPr="005A3728">
          <w:rPr>
            <w:rStyle w:val="Hyperlink"/>
          </w:rPr>
          <w:t>A</w:t>
        </w:r>
        <w:r w:rsidR="00D94F88" w:rsidRPr="005A3728">
          <w:rPr>
            <w:rStyle w:val="Hyperlink"/>
          </w:rPr>
          <w:t>ppendix</w:t>
        </w:r>
      </w:hyperlink>
      <w:r w:rsidR="007C0A3B">
        <w:t>)</w:t>
      </w:r>
      <w:r w:rsidR="0006679E">
        <w:t xml:space="preserve">. </w:t>
      </w:r>
      <w:r w:rsidR="005F51F1">
        <w:t>For</w:t>
      </w:r>
      <w:r w:rsidR="0006679E">
        <w:t xml:space="preserve"> all scenarios, </w:t>
      </w:r>
      <w:r w:rsidR="001E2C88">
        <w:t xml:space="preserve">the effect </w:t>
      </w:r>
      <w:r w:rsidR="0096759F">
        <w:t xml:space="preserve">on </w:t>
      </w:r>
      <w:r w:rsidR="0006679E">
        <w:t xml:space="preserve">increasing the probability of </w:t>
      </w:r>
      <w:r w:rsidR="006D2B65">
        <w:t xml:space="preserve">averting </w:t>
      </w:r>
      <w:r w:rsidR="0006679E">
        <w:t xml:space="preserve">overdose deaths </w:t>
      </w:r>
      <w:r w:rsidR="00762C56">
        <w:t xml:space="preserve">was slightly greater </w:t>
      </w:r>
      <w:r w:rsidR="00FC4ED7">
        <w:t xml:space="preserve">when increasing </w:t>
      </w:r>
      <w:r w:rsidR="004C6C1B">
        <w:t xml:space="preserve">naloxone kits distributed for both Rx and heroin users compared to </w:t>
      </w:r>
      <w:r w:rsidR="0006679E">
        <w:t>only increas</w:t>
      </w:r>
      <w:r w:rsidR="005A4614">
        <w:t>ing</w:t>
      </w:r>
      <w:r w:rsidR="0006679E">
        <w:t xml:space="preserve"> the number of </w:t>
      </w:r>
      <w:r w:rsidR="005A4614">
        <w:t>naloxone</w:t>
      </w:r>
      <w:r w:rsidR="0006679E">
        <w:t xml:space="preserve"> kit</w:t>
      </w:r>
      <w:r w:rsidR="005A4614">
        <w:t>s</w:t>
      </w:r>
      <w:r w:rsidR="0006679E">
        <w:t xml:space="preserve"> distributed among Rx</w:t>
      </w:r>
      <w:r w:rsidR="002F0253">
        <w:t xml:space="preserve"> users</w:t>
      </w:r>
      <w:r w:rsidR="0006679E">
        <w:t xml:space="preserve">. These findings are </w:t>
      </w:r>
      <w:r w:rsidR="00EC37E3">
        <w:t>qualitatively</w:t>
      </w:r>
      <w:r w:rsidR="0006679E">
        <w:t xml:space="preserve"> similar </w:t>
      </w:r>
      <w:r w:rsidR="00722CA0">
        <w:t xml:space="preserve">to </w:t>
      </w:r>
      <w:r w:rsidR="0001297C">
        <w:t>tho</w:t>
      </w:r>
      <w:r w:rsidR="00CF2B64">
        <w:t>se</w:t>
      </w:r>
      <w:r w:rsidR="00722CA0">
        <w:t xml:space="preserve"> of</w:t>
      </w:r>
      <w:r w:rsidR="0006679E">
        <w:t xml:space="preserve"> Irvine and Green</w:t>
      </w:r>
      <w:r w:rsidR="009209B6">
        <w:t xml:space="preserve">, </w:t>
      </w:r>
      <w:r w:rsidR="000B3494">
        <w:t>who</w:t>
      </w:r>
      <w:r w:rsidR="00600402">
        <w:t xml:space="preserve"> </w:t>
      </w:r>
      <w:r w:rsidR="000B3494">
        <w:t>used</w:t>
      </w:r>
      <w:r w:rsidR="006E6267">
        <w:t xml:space="preserve"> </w:t>
      </w:r>
      <w:r w:rsidR="004B37F0">
        <w:t>state-l</w:t>
      </w:r>
      <w:r w:rsidR="00026B95">
        <w:t xml:space="preserve">evel </w:t>
      </w:r>
      <w:r w:rsidR="006026B4">
        <w:t>granularity in the</w:t>
      </w:r>
      <w:r w:rsidR="000B3494">
        <w:t>ir model (compared to national-level</w:t>
      </w:r>
      <w:r w:rsidR="00400420">
        <w:t xml:space="preserve"> </w:t>
      </w:r>
      <w:r w:rsidR="00C83C57">
        <w:t xml:space="preserve">granularity </w:t>
      </w:r>
      <w:r w:rsidR="00400420">
        <w:t>in the FDA model</w:t>
      </w:r>
      <w:r w:rsidR="000B3494">
        <w:t>)</w:t>
      </w:r>
      <w:r w:rsidR="0006679E">
        <w:t>.</w:t>
      </w:r>
    </w:p>
    <w:p w14:paraId="74607F59" w14:textId="4E54EC14" w:rsidR="007038F5" w:rsidRDefault="0006679E" w:rsidP="00C8263B">
      <w:r>
        <w:t xml:space="preserve">Increasing </w:t>
      </w:r>
      <w:r w:rsidR="00E4652F">
        <w:t>naloxone</w:t>
      </w:r>
      <w:r>
        <w:t xml:space="preserve"> availability (e.g., increasing number of Nx kits distributed) result</w:t>
      </w:r>
      <w:r w:rsidR="00DB71D0">
        <w:t>s</w:t>
      </w:r>
      <w:r>
        <w:t xml:space="preserve"> in reduction</w:t>
      </w:r>
      <w:r w:rsidR="00DB71D0">
        <w:t>s</w:t>
      </w:r>
      <w:r>
        <w:t xml:space="preserve"> in </w:t>
      </w:r>
      <w:r w:rsidR="00DB71D0">
        <w:t xml:space="preserve">the </w:t>
      </w:r>
      <w:r>
        <w:t>number of overdose</w:t>
      </w:r>
      <w:r w:rsidDel="00DB71D0">
        <w:t>s</w:t>
      </w:r>
      <w:r>
        <w:t xml:space="preserve"> death</w:t>
      </w:r>
      <w:r w:rsidR="00DB71D0">
        <w:t>s</w:t>
      </w:r>
      <w:r>
        <w:t xml:space="preserve"> in people with </w:t>
      </w:r>
      <w:r w:rsidR="000B3826">
        <w:t>heroin use disorder (</w:t>
      </w:r>
      <w:r>
        <w:t>HUD</w:t>
      </w:r>
      <w:r w:rsidR="000B3826">
        <w:t>)</w:t>
      </w:r>
      <w:r>
        <w:t xml:space="preserve"> and in people with Rx OUD. </w:t>
      </w:r>
      <w:r>
        <w:lastRenderedPageBreak/>
        <w:t xml:space="preserve">However, the amount of reduction compared to the baseline is </w:t>
      </w:r>
      <w:r w:rsidR="006B742E">
        <w:t>around tw</w:t>
      </w:r>
      <w:r w:rsidR="00ED3124">
        <w:t>ice as</w:t>
      </w:r>
      <w:r w:rsidR="006B742E">
        <w:t xml:space="preserve"> </w:t>
      </w:r>
      <w:r>
        <w:t>high for people with HUD rather than Rx OUD</w:t>
      </w:r>
      <w:r w:rsidR="00650362">
        <w:t xml:space="preserve"> (</w:t>
      </w:r>
      <w:r w:rsidR="001A23D3">
        <w:t>-3.91% and -1.7</w:t>
      </w:r>
      <w:r w:rsidR="00AA1BD0">
        <w:t>0%</w:t>
      </w:r>
      <w:r w:rsidR="00EC6B25">
        <w:t xml:space="preserve">, respectively, </w:t>
      </w:r>
      <w:r w:rsidR="004F579C">
        <w:t>compared to the baseline in 2030 for scenario of</w:t>
      </w:r>
      <w:r w:rsidR="009453A8">
        <w:t xml:space="preserve"> increasing naloxone kits distributed by25% for both Rx and heroin users)</w:t>
      </w:r>
      <w:r>
        <w:t xml:space="preserve">. These findings are </w:t>
      </w:r>
      <w:r w:rsidR="00875E3F">
        <w:t xml:space="preserve">qualitatively </w:t>
      </w:r>
      <w:r>
        <w:t>consistent with the findings in Pitt</w:t>
      </w:r>
      <w:r w:rsidR="00E86F26">
        <w:t xml:space="preserve"> (2018)</w:t>
      </w:r>
      <w:r>
        <w:t>.</w:t>
      </w:r>
    </w:p>
    <w:p w14:paraId="38C1482E" w14:textId="384B2255" w:rsidR="007038F5" w:rsidRDefault="00CF3977" w:rsidP="00507F7D">
      <w:pPr>
        <w:pStyle w:val="Heading3"/>
      </w:pPr>
      <w:bookmarkStart w:id="64" w:name="_Toc59050083"/>
      <w:r>
        <w:t xml:space="preserve">7.5.2 </w:t>
      </w:r>
      <w:r w:rsidR="00C40660" w:rsidRPr="00C40660">
        <w:t xml:space="preserve">Treatment </w:t>
      </w:r>
      <w:r w:rsidR="009B2235">
        <w:t>E</w:t>
      </w:r>
      <w:r w:rsidR="00C40660" w:rsidRPr="00C40660">
        <w:t>xpansion</w:t>
      </w:r>
      <w:bookmarkEnd w:id="64"/>
    </w:p>
    <w:p w14:paraId="2503B678" w14:textId="4344927B" w:rsidR="00A520BF" w:rsidRDefault="00A520BF" w:rsidP="00E30B7F">
      <w:pPr>
        <w:sectPr w:rsidR="00A520BF" w:rsidSect="00230490">
          <w:headerReference w:type="default" r:id="rId37"/>
          <w:pgSz w:w="12240" w:h="15840" w:code="1"/>
          <w:pgMar w:top="1440" w:right="1440" w:bottom="1440" w:left="1440" w:header="720" w:footer="720" w:gutter="0"/>
          <w:cols w:space="720"/>
          <w:noEndnote/>
          <w:docGrid w:linePitch="326"/>
        </w:sectPr>
      </w:pPr>
      <w:r>
        <w:t>For treatment expansion policy</w:t>
      </w:r>
      <w:r w:rsidR="00DC1190">
        <w:t>,</w:t>
      </w:r>
      <w:r>
        <w:t xml:space="preserve"> we tested different interventions including increasing the average duration of treatment, increasing treatment seeking rates, and increasing treatment capacity for all three treatment medications (i.e., Bup, MMT, and Viv). Testing </w:t>
      </w:r>
      <w:r w:rsidR="00AC61A1">
        <w:t xml:space="preserve">the </w:t>
      </w:r>
      <w:r>
        <w:t>fi</w:t>
      </w:r>
      <w:r w:rsidR="002452F7">
        <w:t>r</w:t>
      </w:r>
      <w:r>
        <w:t xml:space="preserve">st two </w:t>
      </w:r>
      <w:r w:rsidR="00AC61A1">
        <w:t>interventions</w:t>
      </w:r>
      <w:r>
        <w:t xml:space="preserve"> involved </w:t>
      </w:r>
      <w:r w:rsidR="00AC61A1">
        <w:t xml:space="preserve">changing </w:t>
      </w:r>
      <w:r>
        <w:t>only one policy lever</w:t>
      </w:r>
      <w:r w:rsidR="00AC61A1">
        <w:t xml:space="preserve">, while the </w:t>
      </w:r>
      <w:r>
        <w:t xml:space="preserve">third </w:t>
      </w:r>
      <w:r w:rsidR="00AC61A1">
        <w:t xml:space="preserve">required changing </w:t>
      </w:r>
      <w:r>
        <w:t xml:space="preserve">three policy levers simultaneously. </w:t>
      </w:r>
      <w:r w:rsidR="00F9310D">
        <w:t>For each intervention</w:t>
      </w:r>
      <w:r>
        <w:t xml:space="preserve">, we tested different scenarios. The detail for the setup of each policy along with samples of the policy questions that can be answered through each test is provided in </w:t>
      </w:r>
      <w:r w:rsidR="00A35442" w:rsidRPr="00A35442">
        <w:fldChar w:fldCharType="begin"/>
      </w:r>
      <w:r w:rsidR="00A35442" w:rsidRPr="00A35442">
        <w:instrText xml:space="preserve"> REF _Ref58949190 \h </w:instrText>
      </w:r>
      <w:r w:rsidR="00A35442">
        <w:instrText xml:space="preserve"> \* MERGEFORMAT </w:instrText>
      </w:r>
      <w:r w:rsidR="00A35442" w:rsidRPr="00A35442">
        <w:fldChar w:fldCharType="separate"/>
      </w:r>
      <w:r w:rsidR="00A35442" w:rsidRPr="00A35442">
        <w:t xml:space="preserve">Table </w:t>
      </w:r>
      <w:r w:rsidR="00A35442" w:rsidRPr="00A35442">
        <w:rPr>
          <w:noProof/>
        </w:rPr>
        <w:t>7</w:t>
      </w:r>
      <w:r w:rsidR="00A35442" w:rsidRPr="00A35442">
        <w:noBreakHyphen/>
      </w:r>
      <w:r w:rsidR="00A35442" w:rsidRPr="00A35442">
        <w:rPr>
          <w:noProof/>
        </w:rPr>
        <w:t>2</w:t>
      </w:r>
      <w:r w:rsidR="00A35442" w:rsidRPr="00A35442">
        <w:fldChar w:fldCharType="end"/>
      </w:r>
      <w:r w:rsidRPr="00A35442">
        <w:t>.</w:t>
      </w:r>
      <w:r w:rsidR="009E172B">
        <w:t xml:space="preserve"> </w:t>
      </w:r>
      <w:r w:rsidR="007B561C">
        <w:t>Informal, supplemental</w:t>
      </w:r>
      <w:r w:rsidR="007B561C" w:rsidRPr="00D82087">
        <w:t xml:space="preserve"> results, including graph</w:t>
      </w:r>
      <w:r w:rsidR="007B561C">
        <w:t>-</w:t>
      </w:r>
      <w:r w:rsidR="007B561C" w:rsidRPr="00D82087">
        <w:t>over</w:t>
      </w:r>
      <w:r w:rsidR="007B561C">
        <w:t>-</w:t>
      </w:r>
      <w:r w:rsidR="007B561C" w:rsidRPr="00D82087">
        <w:t>time</w:t>
      </w:r>
      <w:r w:rsidR="007B561C">
        <w:t xml:space="preserve"> </w:t>
      </w:r>
      <w:r w:rsidR="007B561C" w:rsidRPr="00D82087">
        <w:t xml:space="preserve">plots for all the policies and scenarios in </w:t>
      </w:r>
      <w:r w:rsidR="007B561C">
        <w:rPr>
          <w:highlight w:val="yellow"/>
        </w:rPr>
        <w:fldChar w:fldCharType="begin"/>
      </w:r>
      <w:r w:rsidR="007B561C">
        <w:instrText xml:space="preserve"> REF _Ref58949190 \h </w:instrText>
      </w:r>
      <w:r w:rsidR="007B561C">
        <w:rPr>
          <w:highlight w:val="yellow"/>
        </w:rPr>
      </w:r>
      <w:r w:rsidR="007B561C">
        <w:rPr>
          <w:highlight w:val="yellow"/>
        </w:rPr>
        <w:fldChar w:fldCharType="separate"/>
      </w:r>
      <w:r w:rsidR="007B561C">
        <w:t xml:space="preserve">Table </w:t>
      </w:r>
      <w:r w:rsidR="007B561C">
        <w:rPr>
          <w:noProof/>
        </w:rPr>
        <w:t>7</w:t>
      </w:r>
      <w:r w:rsidR="007B561C">
        <w:noBreakHyphen/>
      </w:r>
      <w:r w:rsidR="007B561C">
        <w:rPr>
          <w:noProof/>
        </w:rPr>
        <w:t>2</w:t>
      </w:r>
      <w:r w:rsidR="007B561C">
        <w:rPr>
          <w:highlight w:val="yellow"/>
        </w:rPr>
        <w:fldChar w:fldCharType="end"/>
      </w:r>
      <w:r w:rsidR="007B561C">
        <w:t xml:space="preserve">, can be found </w:t>
      </w:r>
      <w:r w:rsidR="007B561C" w:rsidRPr="00D82087">
        <w:t xml:space="preserve">in the </w:t>
      </w:r>
      <w:hyperlink r:id="rId38" w:history="1">
        <w:r w:rsidR="004D5E66" w:rsidRPr="0014129C">
          <w:rPr>
            <w:rStyle w:val="Hyperlink"/>
          </w:rPr>
          <w:t>GeneratingScenario.zip</w:t>
        </w:r>
      </w:hyperlink>
      <w:r w:rsidR="007B561C" w:rsidRPr="00D82087">
        <w:t xml:space="preserve"> file.</w:t>
      </w:r>
    </w:p>
    <w:p w14:paraId="0835D940" w14:textId="76965A0C" w:rsidR="00C40660" w:rsidRDefault="007A6898" w:rsidP="00D05863">
      <w:pPr>
        <w:pStyle w:val="Caption"/>
      </w:pPr>
      <w:bookmarkStart w:id="65" w:name="_Ref58949190"/>
      <w:bookmarkStart w:id="66" w:name="_Toc59050105"/>
      <w:r>
        <w:lastRenderedPageBreak/>
        <w:t xml:space="preserve">Table </w:t>
      </w:r>
      <w:fldSimple w:instr=" STYLEREF 1 \s ">
        <w:r w:rsidR="00564EC2">
          <w:rPr>
            <w:noProof/>
          </w:rPr>
          <w:t>7</w:t>
        </w:r>
      </w:fldSimple>
      <w:r w:rsidR="00564EC2">
        <w:noBreakHyphen/>
      </w:r>
      <w:fldSimple w:instr=" SEQ Table \* ARABIC \s 1 ">
        <w:r w:rsidR="00564EC2">
          <w:rPr>
            <w:noProof/>
          </w:rPr>
          <w:t>2</w:t>
        </w:r>
      </w:fldSimple>
      <w:bookmarkEnd w:id="65"/>
      <w:r>
        <w:t xml:space="preserve">: </w:t>
      </w:r>
      <w:r w:rsidR="00EB238D">
        <w:rPr>
          <w:bCs/>
        </w:rPr>
        <w:t>Polic</w:t>
      </w:r>
      <w:r w:rsidR="00BD728F">
        <w:rPr>
          <w:bCs/>
        </w:rPr>
        <w:t>y Interventions</w:t>
      </w:r>
      <w:r w:rsidR="00EB238D">
        <w:rPr>
          <w:bCs/>
        </w:rPr>
        <w:t xml:space="preserve"> Tested for Treatment Expansion</w:t>
      </w:r>
      <w:bookmarkEnd w:id="66"/>
    </w:p>
    <w:tbl>
      <w:tblPr>
        <w:tblStyle w:val="PlainTable11"/>
        <w:tblpPr w:leftFromText="180" w:rightFromText="180" w:vertAnchor="text" w:horzAnchor="margin" w:tblpY="-41"/>
        <w:tblW w:w="0" w:type="auto"/>
        <w:tblLayout w:type="fixed"/>
        <w:tblLook w:val="04A0" w:firstRow="1" w:lastRow="0" w:firstColumn="1" w:lastColumn="0" w:noHBand="0" w:noVBand="1"/>
      </w:tblPr>
      <w:tblGrid>
        <w:gridCol w:w="397"/>
        <w:gridCol w:w="1308"/>
        <w:gridCol w:w="4469"/>
        <w:gridCol w:w="3361"/>
        <w:gridCol w:w="1956"/>
        <w:gridCol w:w="1459"/>
      </w:tblGrid>
      <w:tr w:rsidR="003C6705" w:rsidRPr="001475ED" w14:paraId="6ECF022E" w14:textId="19019A60" w:rsidTr="009E79C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7" w:type="dxa"/>
            <w:shd w:val="clear" w:color="auto" w:fill="5D7D95" w:themeFill="accent1"/>
            <w:vAlign w:val="center"/>
          </w:tcPr>
          <w:p w14:paraId="368DA22A" w14:textId="3AD32E8C" w:rsidR="00680758" w:rsidRPr="001475ED" w:rsidRDefault="00680758" w:rsidP="00B560B7">
            <w:pPr>
              <w:spacing w:after="0"/>
              <w:jc w:val="center"/>
              <w:rPr>
                <w:rFonts w:eastAsia="Times New Roman" w:cs="Calibri"/>
                <w:b w:val="0"/>
                <w:color w:val="FFFFFF"/>
                <w:sz w:val="20"/>
              </w:rPr>
            </w:pPr>
            <w:r>
              <w:rPr>
                <w:rFonts w:eastAsia="Times New Roman" w:cs="Calibri"/>
                <w:color w:val="FFFFFF"/>
                <w:sz w:val="20"/>
              </w:rPr>
              <w:t>ID</w:t>
            </w:r>
          </w:p>
        </w:tc>
        <w:tc>
          <w:tcPr>
            <w:tcW w:w="1308" w:type="dxa"/>
            <w:shd w:val="clear" w:color="auto" w:fill="5D7D95" w:themeFill="accent1"/>
            <w:vAlign w:val="center"/>
            <w:hideMark/>
          </w:tcPr>
          <w:p w14:paraId="71D92BB4" w14:textId="312D6BCF" w:rsidR="003C4DE3" w:rsidRPr="001475ED" w:rsidRDefault="003C4DE3" w:rsidP="00B560B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sidRPr="001475ED">
              <w:rPr>
                <w:rFonts w:eastAsia="Times New Roman" w:cs="Calibri"/>
                <w:color w:val="FFFFFF"/>
                <w:sz w:val="20"/>
              </w:rPr>
              <w:t>Policy Category</w:t>
            </w:r>
          </w:p>
        </w:tc>
        <w:tc>
          <w:tcPr>
            <w:tcW w:w="4469" w:type="dxa"/>
            <w:shd w:val="clear" w:color="auto" w:fill="5D7D95" w:themeFill="accent1"/>
            <w:vAlign w:val="center"/>
            <w:hideMark/>
          </w:tcPr>
          <w:p w14:paraId="336E83D7" w14:textId="361AD832" w:rsidR="003C4DE3" w:rsidRPr="001475ED" w:rsidRDefault="003C4DE3"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sidRPr="001475ED">
              <w:rPr>
                <w:rFonts w:eastAsia="Times New Roman" w:cs="Calibri"/>
                <w:color w:val="FFFFFF"/>
                <w:sz w:val="20"/>
              </w:rPr>
              <w:t xml:space="preserve">Policy </w:t>
            </w:r>
            <w:r w:rsidR="00EB238D">
              <w:rPr>
                <w:rFonts w:eastAsia="Times New Roman" w:cs="Calibri"/>
                <w:color w:val="FFFFFF"/>
                <w:sz w:val="20"/>
              </w:rPr>
              <w:t>Q</w:t>
            </w:r>
            <w:r w:rsidRPr="001475ED">
              <w:rPr>
                <w:rFonts w:eastAsia="Times New Roman" w:cs="Calibri"/>
                <w:color w:val="FFFFFF"/>
                <w:sz w:val="20"/>
              </w:rPr>
              <w:t>uestion</w:t>
            </w:r>
          </w:p>
        </w:tc>
        <w:tc>
          <w:tcPr>
            <w:tcW w:w="3361" w:type="dxa"/>
            <w:shd w:val="clear" w:color="auto" w:fill="5D7D95" w:themeFill="accent1"/>
            <w:vAlign w:val="center"/>
            <w:hideMark/>
          </w:tcPr>
          <w:p w14:paraId="31C494DD" w14:textId="77777777" w:rsidR="003C4DE3" w:rsidRPr="001D34E1" w:rsidRDefault="003C4DE3"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D34E1">
              <w:rPr>
                <w:rFonts w:eastAsia="Times New Roman" w:cs="Calibri"/>
                <w:color w:val="FFFFFF"/>
                <w:sz w:val="20"/>
              </w:rPr>
              <w:t>Input</w:t>
            </w:r>
          </w:p>
        </w:tc>
        <w:tc>
          <w:tcPr>
            <w:tcW w:w="1956" w:type="dxa"/>
            <w:shd w:val="clear" w:color="auto" w:fill="5D7D95" w:themeFill="accent1"/>
            <w:vAlign w:val="center"/>
            <w:hideMark/>
          </w:tcPr>
          <w:p w14:paraId="5D8FC03E" w14:textId="6E303056" w:rsidR="003C4DE3" w:rsidRPr="001475ED" w:rsidRDefault="00AD4790"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Pr>
                <w:rFonts w:eastAsia="Times New Roman" w:cs="Calibri"/>
                <w:color w:val="FFFFFF"/>
                <w:sz w:val="20"/>
              </w:rPr>
              <w:t>Changes</w:t>
            </w:r>
            <w:r w:rsidR="003C4DE3" w:rsidRPr="001475ED">
              <w:rPr>
                <w:rFonts w:eastAsia="Times New Roman" w:cs="Calibri"/>
                <w:color w:val="FFFFFF"/>
                <w:sz w:val="20"/>
              </w:rPr>
              <w:t xml:space="preserve"> </w:t>
            </w:r>
            <w:r w:rsidR="000F7573">
              <w:rPr>
                <w:rFonts w:eastAsia="Times New Roman" w:cs="Calibri"/>
                <w:color w:val="FFFFFF"/>
                <w:sz w:val="20"/>
              </w:rPr>
              <w:t>to</w:t>
            </w:r>
            <w:r w:rsidR="003C4DE3" w:rsidRPr="001475ED">
              <w:rPr>
                <w:rFonts w:eastAsia="Times New Roman" w:cs="Calibri"/>
                <w:color w:val="FFFFFF"/>
                <w:sz w:val="20"/>
              </w:rPr>
              <w:t xml:space="preserve"> the Input</w:t>
            </w:r>
            <w:r w:rsidR="00AC48FD">
              <w:rPr>
                <w:rFonts w:eastAsia="Times New Roman" w:cs="Calibri"/>
                <w:color w:val="FFFFFF"/>
                <w:sz w:val="20"/>
              </w:rPr>
              <w:t xml:space="preserve"> (2020</w:t>
            </w:r>
            <w:r w:rsidR="00F878F9">
              <w:rPr>
                <w:rFonts w:eastAsia="Times New Roman" w:cs="Calibri"/>
                <w:color w:val="FFFFFF"/>
                <w:sz w:val="20"/>
              </w:rPr>
              <w:t>-2030)</w:t>
            </w:r>
          </w:p>
        </w:tc>
        <w:tc>
          <w:tcPr>
            <w:tcW w:w="1459" w:type="dxa"/>
            <w:shd w:val="clear" w:color="auto" w:fill="5D7D95" w:themeFill="accent1"/>
            <w:vAlign w:val="center"/>
          </w:tcPr>
          <w:p w14:paraId="66788119" w14:textId="214E79C5" w:rsidR="00AF3DD0" w:rsidRPr="001475ED" w:rsidRDefault="00AF3DD0"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Pr>
                <w:rFonts w:eastAsia="Times New Roman" w:cs="Calibri"/>
                <w:color w:val="FFFFFF"/>
                <w:sz w:val="20"/>
              </w:rPr>
              <w:t xml:space="preserve">Baseline </w:t>
            </w:r>
            <w:r w:rsidR="00F625F0">
              <w:rPr>
                <w:rFonts w:eastAsia="Times New Roman" w:cs="Calibri"/>
                <w:color w:val="FFFFFF"/>
                <w:sz w:val="20"/>
              </w:rPr>
              <w:t>V</w:t>
            </w:r>
            <w:r>
              <w:rPr>
                <w:rFonts w:eastAsia="Times New Roman" w:cs="Calibri"/>
                <w:color w:val="FFFFFF"/>
                <w:sz w:val="20"/>
              </w:rPr>
              <w:t>alue</w:t>
            </w:r>
          </w:p>
        </w:tc>
      </w:tr>
      <w:tr w:rsidR="003C6705" w:rsidRPr="001475ED" w14:paraId="45CBAFDE" w14:textId="20CB8F0E" w:rsidTr="009E79C3">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397" w:type="dxa"/>
          </w:tcPr>
          <w:p w14:paraId="460C6577" w14:textId="34069B29" w:rsidR="00680758" w:rsidRPr="00217C3B" w:rsidRDefault="00217C3B" w:rsidP="00B560B7">
            <w:pPr>
              <w:rPr>
                <w:rFonts w:cs="Calibri"/>
                <w:b w:val="0"/>
                <w:color w:val="000000"/>
                <w:sz w:val="20"/>
              </w:rPr>
            </w:pPr>
            <w:r w:rsidRPr="00217C3B">
              <w:rPr>
                <w:rFonts w:cs="Calibri"/>
                <w:color w:val="000000"/>
                <w:sz w:val="20"/>
              </w:rPr>
              <w:t>7</w:t>
            </w:r>
          </w:p>
        </w:tc>
        <w:tc>
          <w:tcPr>
            <w:tcW w:w="1308" w:type="dxa"/>
            <w:noWrap/>
            <w:hideMark/>
          </w:tcPr>
          <w:p w14:paraId="1693A1FD" w14:textId="40B67201"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Expansion of</w:t>
            </w:r>
            <w:r w:rsidR="00FB2B76">
              <w:rPr>
                <w:rFonts w:cs="Calibri"/>
                <w:color w:val="000000"/>
                <w:sz w:val="20"/>
              </w:rPr>
              <w:t xml:space="preserve"> medication for opioid use disorder</w:t>
            </w:r>
            <w:r w:rsidRPr="00A96580">
              <w:rPr>
                <w:rFonts w:cs="Calibri"/>
                <w:color w:val="000000"/>
                <w:sz w:val="20"/>
              </w:rPr>
              <w:t xml:space="preserve"> </w:t>
            </w:r>
            <w:r w:rsidR="00FB2B76">
              <w:rPr>
                <w:rFonts w:cs="Calibri"/>
                <w:color w:val="000000"/>
                <w:sz w:val="20"/>
              </w:rPr>
              <w:t>(</w:t>
            </w:r>
            <w:r w:rsidRPr="00A96580">
              <w:rPr>
                <w:rFonts w:cs="Calibri"/>
                <w:color w:val="000000"/>
                <w:sz w:val="20"/>
              </w:rPr>
              <w:t>MOUD</w:t>
            </w:r>
            <w:r w:rsidR="00FB2B76">
              <w:rPr>
                <w:rFonts w:cs="Calibri"/>
                <w:color w:val="000000"/>
                <w:sz w:val="20"/>
              </w:rPr>
              <w:t>)</w:t>
            </w:r>
            <w:r w:rsidRPr="00A96580">
              <w:rPr>
                <w:rFonts w:cs="Calibri"/>
                <w:color w:val="000000"/>
                <w:sz w:val="20"/>
              </w:rPr>
              <w:t xml:space="preserve"> treatment</w:t>
            </w:r>
          </w:p>
        </w:tc>
        <w:tc>
          <w:tcPr>
            <w:tcW w:w="4469" w:type="dxa"/>
            <w:hideMark/>
          </w:tcPr>
          <w:p w14:paraId="38BA2361" w14:textId="0A94B17F"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 xml:space="preserve">What if the average length of time individuals </w:t>
            </w:r>
            <w:r w:rsidR="00AF3DD0" w:rsidRPr="00A96580">
              <w:rPr>
                <w:rFonts w:cs="Calibri"/>
                <w:color w:val="000000"/>
                <w:sz w:val="20"/>
              </w:rPr>
              <w:t>stay</w:t>
            </w:r>
            <w:r w:rsidRPr="00A96580">
              <w:rPr>
                <w:rFonts w:cs="Calibri"/>
                <w:color w:val="000000"/>
                <w:sz w:val="20"/>
              </w:rPr>
              <w:t xml:space="preserve"> on MOUD increased? </w:t>
            </w:r>
          </w:p>
        </w:tc>
        <w:tc>
          <w:tcPr>
            <w:tcW w:w="3361" w:type="dxa"/>
            <w:noWrap/>
            <w:hideMark/>
          </w:tcPr>
          <w:p w14:paraId="57EC0A1E" w14:textId="77777777" w:rsidR="003C4DE3" w:rsidRPr="001D34E1" w:rsidRDefault="003C4DE3" w:rsidP="00B560B7">
            <w:pPr>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average duration net</w:t>
            </w:r>
          </w:p>
        </w:tc>
        <w:tc>
          <w:tcPr>
            <w:tcW w:w="1956" w:type="dxa"/>
            <w:hideMark/>
          </w:tcPr>
          <w:p w14:paraId="154CFE7D" w14:textId="77777777"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Increase by: 20%, 40%, 50%</w:t>
            </w:r>
          </w:p>
        </w:tc>
        <w:tc>
          <w:tcPr>
            <w:tcW w:w="1459" w:type="dxa"/>
          </w:tcPr>
          <w:p w14:paraId="37942522" w14:textId="294D8443" w:rsidR="00AF3DD0" w:rsidRDefault="00B82D3F" w:rsidP="00F22850">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Bup: 0.65</w:t>
            </w:r>
            <w:r w:rsidR="00107C0D">
              <w:rPr>
                <w:rFonts w:cs="Calibri"/>
                <w:color w:val="000000"/>
                <w:sz w:val="20"/>
              </w:rPr>
              <w:t xml:space="preserve"> (year)</w:t>
            </w:r>
          </w:p>
          <w:p w14:paraId="0A057F9B" w14:textId="77777777" w:rsidR="008070E6" w:rsidRDefault="008070E6" w:rsidP="00F22850">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MMT: 0.91</w:t>
            </w:r>
          </w:p>
          <w:p w14:paraId="09850E7C" w14:textId="4393878C" w:rsidR="00AF3DD0" w:rsidRPr="00A96580" w:rsidRDefault="008070E6" w:rsidP="00F22850">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Viv: 0.31</w:t>
            </w:r>
          </w:p>
        </w:tc>
      </w:tr>
      <w:tr w:rsidR="003C4DE3" w:rsidRPr="001475ED" w14:paraId="364F9C6D" w14:textId="6C0E5B74" w:rsidTr="009E79C3">
        <w:trPr>
          <w:trHeight w:val="1182"/>
        </w:trPr>
        <w:tc>
          <w:tcPr>
            <w:cnfStyle w:val="001000000000" w:firstRow="0" w:lastRow="0" w:firstColumn="1" w:lastColumn="0" w:oddVBand="0" w:evenVBand="0" w:oddHBand="0" w:evenHBand="0" w:firstRowFirstColumn="0" w:firstRowLastColumn="0" w:lastRowFirstColumn="0" w:lastRowLastColumn="0"/>
            <w:tcW w:w="397" w:type="dxa"/>
          </w:tcPr>
          <w:p w14:paraId="7E6A0ED3" w14:textId="7C7B40B1" w:rsidR="00680758" w:rsidRPr="00217C3B" w:rsidRDefault="00217C3B" w:rsidP="00B560B7">
            <w:pPr>
              <w:rPr>
                <w:rFonts w:cs="Calibri"/>
                <w:b w:val="0"/>
                <w:color w:val="000000"/>
                <w:sz w:val="20"/>
              </w:rPr>
            </w:pPr>
            <w:r w:rsidRPr="00217C3B">
              <w:rPr>
                <w:rFonts w:cs="Calibri"/>
                <w:color w:val="000000"/>
                <w:sz w:val="20"/>
              </w:rPr>
              <w:t>8</w:t>
            </w:r>
          </w:p>
        </w:tc>
        <w:tc>
          <w:tcPr>
            <w:tcW w:w="1308" w:type="dxa"/>
            <w:noWrap/>
            <w:hideMark/>
          </w:tcPr>
          <w:p w14:paraId="3226A2CD" w14:textId="240F6A34" w:rsidR="003C4DE3" w:rsidRPr="00A96580" w:rsidRDefault="003C4DE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A96580">
              <w:rPr>
                <w:rFonts w:cs="Calibri"/>
                <w:color w:val="000000"/>
                <w:sz w:val="20"/>
              </w:rPr>
              <w:t>Expansion of MOUD treatment</w:t>
            </w:r>
          </w:p>
        </w:tc>
        <w:tc>
          <w:tcPr>
            <w:tcW w:w="4469" w:type="dxa"/>
            <w:hideMark/>
          </w:tcPr>
          <w:p w14:paraId="0F40736F" w14:textId="09C89728" w:rsidR="003C4DE3" w:rsidRPr="00A96580" w:rsidRDefault="003C4DE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A96580">
              <w:rPr>
                <w:rFonts w:cs="Calibri"/>
                <w:color w:val="000000"/>
                <w:sz w:val="20"/>
              </w:rPr>
              <w:t>What if treatment-seeking increased?</w:t>
            </w:r>
            <w:r w:rsidRPr="00A96580">
              <w:rPr>
                <w:rFonts w:cs="Calibri"/>
                <w:color w:val="000000"/>
                <w:sz w:val="20"/>
              </w:rPr>
              <w:br/>
              <w:t xml:space="preserve">What if patients </w:t>
            </w:r>
            <w:r w:rsidR="00AF3DD0">
              <w:rPr>
                <w:rFonts w:cs="Calibri"/>
                <w:color w:val="000000"/>
                <w:sz w:val="20"/>
              </w:rPr>
              <w:t>are</w:t>
            </w:r>
            <w:r w:rsidRPr="00A96580">
              <w:rPr>
                <w:rFonts w:cs="Calibri"/>
                <w:color w:val="000000"/>
                <w:sz w:val="20"/>
              </w:rPr>
              <w:t xml:space="preserve"> refer</w:t>
            </w:r>
            <w:r w:rsidR="00AC61A1">
              <w:rPr>
                <w:rFonts w:cs="Calibri"/>
                <w:color w:val="000000"/>
                <w:sz w:val="20"/>
              </w:rPr>
              <w:t>r</w:t>
            </w:r>
            <w:r w:rsidRPr="00A96580">
              <w:rPr>
                <w:rFonts w:cs="Calibri"/>
                <w:color w:val="000000"/>
                <w:sz w:val="20"/>
              </w:rPr>
              <w:t xml:space="preserve">ed to MOUD Tx after </w:t>
            </w:r>
            <w:r w:rsidR="00022D89">
              <w:rPr>
                <w:rFonts w:cs="Calibri"/>
                <w:color w:val="000000"/>
                <w:sz w:val="20"/>
              </w:rPr>
              <w:t>emergency department (</w:t>
            </w:r>
            <w:r w:rsidRPr="00A96580">
              <w:rPr>
                <w:rFonts w:cs="Calibri"/>
                <w:color w:val="000000"/>
                <w:sz w:val="20"/>
              </w:rPr>
              <w:t>ED</w:t>
            </w:r>
            <w:r w:rsidR="00022D89">
              <w:rPr>
                <w:rFonts w:cs="Calibri"/>
                <w:color w:val="000000"/>
                <w:sz w:val="20"/>
              </w:rPr>
              <w:t>)</w:t>
            </w:r>
            <w:r w:rsidRPr="00A96580">
              <w:rPr>
                <w:rFonts w:cs="Calibri"/>
                <w:color w:val="000000"/>
                <w:sz w:val="20"/>
              </w:rPr>
              <w:t xml:space="preserve"> overdose rescue?</w:t>
            </w:r>
          </w:p>
        </w:tc>
        <w:tc>
          <w:tcPr>
            <w:tcW w:w="3361" w:type="dxa"/>
            <w:hideMark/>
          </w:tcPr>
          <w:p w14:paraId="36991E73" w14:textId="77777777" w:rsidR="003C4DE3" w:rsidRPr="001D34E1" w:rsidRDefault="003C4DE3" w:rsidP="00B560B7">
            <w:pPr>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Tx seeking rate Rx OUD no H total net</w:t>
            </w:r>
          </w:p>
        </w:tc>
        <w:tc>
          <w:tcPr>
            <w:tcW w:w="1956" w:type="dxa"/>
            <w:hideMark/>
          </w:tcPr>
          <w:p w14:paraId="2B31F34D" w14:textId="4EC1A15F" w:rsidR="003C4DE3" w:rsidRPr="00A96580" w:rsidRDefault="003C4DE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A96580">
              <w:rPr>
                <w:rFonts w:cs="Calibri"/>
                <w:color w:val="000000"/>
                <w:sz w:val="20"/>
              </w:rPr>
              <w:t xml:space="preserve">Increase </w:t>
            </w:r>
            <w:r w:rsidR="00830CE1">
              <w:rPr>
                <w:rFonts w:cs="Calibri"/>
                <w:color w:val="000000"/>
                <w:sz w:val="20"/>
              </w:rPr>
              <w:t>to</w:t>
            </w:r>
            <w:r w:rsidR="00830CE1">
              <w:rPr>
                <w:rFonts w:eastAsia="Times New Roman" w:cs="Calibri"/>
                <w:color w:val="000000"/>
                <w:sz w:val="20"/>
              </w:rPr>
              <w:t xml:space="preserve"> the following values</w:t>
            </w:r>
            <w:r w:rsidR="00C80CF4" w:rsidRPr="00A96580">
              <w:rPr>
                <w:rFonts w:cs="Calibri"/>
                <w:color w:val="000000"/>
                <w:sz w:val="20"/>
              </w:rPr>
              <w:t xml:space="preserve">: </w:t>
            </w:r>
            <w:r w:rsidR="00F10FFD">
              <w:rPr>
                <w:rFonts w:cs="Calibri"/>
                <w:color w:val="000000"/>
                <w:sz w:val="20"/>
              </w:rPr>
              <w:t>0.55</w:t>
            </w:r>
            <w:r w:rsidRPr="00A96580">
              <w:rPr>
                <w:rFonts w:cs="Calibri"/>
                <w:color w:val="000000"/>
                <w:sz w:val="20"/>
              </w:rPr>
              <w:t xml:space="preserve">, </w:t>
            </w:r>
            <w:r w:rsidR="00F10FFD">
              <w:rPr>
                <w:rFonts w:cs="Calibri"/>
                <w:color w:val="000000"/>
                <w:sz w:val="20"/>
              </w:rPr>
              <w:t>0.</w:t>
            </w:r>
            <w:r w:rsidRPr="00A96580">
              <w:rPr>
                <w:rFonts w:cs="Calibri"/>
                <w:color w:val="000000"/>
                <w:sz w:val="20"/>
              </w:rPr>
              <w:t>65</w:t>
            </w:r>
            <w:r w:rsidR="00C80CF4" w:rsidRPr="00A96580">
              <w:rPr>
                <w:rFonts w:cs="Calibri"/>
                <w:color w:val="000000"/>
                <w:sz w:val="20"/>
              </w:rPr>
              <w:t>,</w:t>
            </w:r>
            <w:r w:rsidRPr="00A96580">
              <w:rPr>
                <w:rFonts w:cs="Calibri"/>
                <w:color w:val="000000"/>
                <w:sz w:val="20"/>
              </w:rPr>
              <w:t xml:space="preserve"> </w:t>
            </w:r>
            <w:r w:rsidR="00F10FFD">
              <w:rPr>
                <w:rFonts w:cs="Calibri"/>
                <w:color w:val="000000"/>
                <w:sz w:val="20"/>
              </w:rPr>
              <w:t>0.</w:t>
            </w:r>
            <w:r w:rsidRPr="00A96580">
              <w:rPr>
                <w:rFonts w:cs="Calibri"/>
                <w:color w:val="000000"/>
                <w:sz w:val="20"/>
              </w:rPr>
              <w:t>75</w:t>
            </w:r>
            <w:r w:rsidR="00F10FFD">
              <w:rPr>
                <w:rFonts w:cs="Calibri"/>
                <w:color w:val="000000"/>
                <w:sz w:val="20"/>
              </w:rPr>
              <w:t xml:space="preserve"> (1/year</w:t>
            </w:r>
            <w:r w:rsidR="00C80CF4">
              <w:rPr>
                <w:rFonts w:cs="Calibri"/>
                <w:color w:val="000000"/>
                <w:sz w:val="20"/>
              </w:rPr>
              <w:t>)</w:t>
            </w:r>
          </w:p>
        </w:tc>
        <w:tc>
          <w:tcPr>
            <w:tcW w:w="1459" w:type="dxa"/>
          </w:tcPr>
          <w:p w14:paraId="0AB63DC5" w14:textId="0C4B15BF" w:rsidR="00AF3DD0" w:rsidRPr="00A96580" w:rsidRDefault="00F82F4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0.49</w:t>
            </w:r>
            <w:r w:rsidR="00D92421">
              <w:rPr>
                <w:rFonts w:cs="Calibri"/>
                <w:color w:val="000000"/>
                <w:sz w:val="20"/>
              </w:rPr>
              <w:t xml:space="preserve"> (1/year)</w:t>
            </w:r>
          </w:p>
        </w:tc>
      </w:tr>
      <w:tr w:rsidR="003C6705" w:rsidRPr="001475ED" w14:paraId="433BA988" w14:textId="4E6D9CB7" w:rsidTr="009E79C3">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397" w:type="dxa"/>
          </w:tcPr>
          <w:p w14:paraId="734D358B" w14:textId="1F6DCD79" w:rsidR="00680758" w:rsidRPr="00217C3B" w:rsidRDefault="00217C3B" w:rsidP="00B560B7">
            <w:pPr>
              <w:rPr>
                <w:rFonts w:cs="Calibri"/>
                <w:b w:val="0"/>
                <w:color w:val="000000"/>
                <w:sz w:val="20"/>
              </w:rPr>
            </w:pPr>
            <w:r w:rsidRPr="00217C3B">
              <w:rPr>
                <w:rFonts w:cs="Calibri"/>
                <w:color w:val="000000"/>
                <w:sz w:val="20"/>
              </w:rPr>
              <w:t>9</w:t>
            </w:r>
          </w:p>
        </w:tc>
        <w:tc>
          <w:tcPr>
            <w:tcW w:w="1308" w:type="dxa"/>
            <w:noWrap/>
            <w:hideMark/>
          </w:tcPr>
          <w:p w14:paraId="2730D811" w14:textId="508E0471"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Expansion of MOUD treatment</w:t>
            </w:r>
          </w:p>
        </w:tc>
        <w:tc>
          <w:tcPr>
            <w:tcW w:w="4469" w:type="dxa"/>
            <w:hideMark/>
          </w:tcPr>
          <w:p w14:paraId="17DDCF2F" w14:textId="77777777"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What if treatment capacity for people with use disorder increased?</w:t>
            </w:r>
            <w:r w:rsidRPr="00A96580">
              <w:rPr>
                <w:rFonts w:cs="Calibri"/>
                <w:color w:val="000000"/>
                <w:sz w:val="20"/>
              </w:rPr>
              <w:br/>
              <w:t xml:space="preserve">What if the prescribing waiver policy changed? </w:t>
            </w:r>
            <w:r w:rsidRPr="00A96580">
              <w:rPr>
                <w:rFonts w:cs="Calibri"/>
                <w:color w:val="000000"/>
                <w:sz w:val="20"/>
              </w:rPr>
              <w:br/>
              <w:t>What if pharmacists could prescribe medication for OUD?</w:t>
            </w:r>
          </w:p>
        </w:tc>
        <w:tc>
          <w:tcPr>
            <w:tcW w:w="3361" w:type="dxa"/>
            <w:noWrap/>
            <w:hideMark/>
          </w:tcPr>
          <w:p w14:paraId="3361EABC" w14:textId="77777777" w:rsidR="003C4DE3" w:rsidRPr="001D34E1" w:rsidRDefault="003C4DE3" w:rsidP="00B560B7">
            <w:pPr>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Bup total theoretical capacity</w:t>
            </w:r>
            <w:r w:rsidRPr="001D34E1">
              <w:rPr>
                <w:rFonts w:cs="Calibri"/>
                <w:b/>
                <w:color w:val="000000"/>
                <w:sz w:val="20"/>
              </w:rPr>
              <w:br/>
              <w:t>MMT capacity estimated</w:t>
            </w:r>
            <w:r w:rsidRPr="001D34E1">
              <w:rPr>
                <w:rFonts w:cs="Calibri"/>
                <w:b/>
                <w:color w:val="000000"/>
                <w:sz w:val="20"/>
              </w:rPr>
              <w:br/>
              <w:t>Viv capacity estimated</w:t>
            </w:r>
          </w:p>
        </w:tc>
        <w:tc>
          <w:tcPr>
            <w:tcW w:w="1956" w:type="dxa"/>
            <w:hideMark/>
          </w:tcPr>
          <w:p w14:paraId="4E76EBAA" w14:textId="77777777"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Increase by: 10%, 20%, 50%</w:t>
            </w:r>
          </w:p>
        </w:tc>
        <w:tc>
          <w:tcPr>
            <w:tcW w:w="1459" w:type="dxa"/>
          </w:tcPr>
          <w:p w14:paraId="15EFF9E7" w14:textId="4D06586F" w:rsidR="00AF3DD0" w:rsidRDefault="002374EC" w:rsidP="00C33DE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Bup: 3</w:t>
            </w:r>
            <w:r w:rsidR="00C80CF4">
              <w:rPr>
                <w:rFonts w:cs="Calibri"/>
                <w:color w:val="000000"/>
                <w:sz w:val="20"/>
              </w:rPr>
              <w:t>,</w:t>
            </w:r>
            <w:r>
              <w:rPr>
                <w:rFonts w:cs="Calibri"/>
                <w:color w:val="000000"/>
                <w:sz w:val="20"/>
              </w:rPr>
              <w:t>54</w:t>
            </w:r>
            <w:r w:rsidR="005D620E">
              <w:rPr>
                <w:rFonts w:cs="Calibri"/>
                <w:color w:val="000000"/>
                <w:sz w:val="20"/>
              </w:rPr>
              <w:t>0,000</w:t>
            </w:r>
            <w:r w:rsidDel="00077810">
              <w:rPr>
                <w:rFonts w:cs="Calibri"/>
                <w:color w:val="000000"/>
                <w:sz w:val="20"/>
              </w:rPr>
              <w:t xml:space="preserve"> </w:t>
            </w:r>
            <w:r w:rsidR="00F445F0">
              <w:rPr>
                <w:rFonts w:cs="Calibri"/>
                <w:color w:val="000000"/>
                <w:sz w:val="20"/>
              </w:rPr>
              <w:t>(people)</w:t>
            </w:r>
          </w:p>
          <w:p w14:paraId="3CAB79D3" w14:textId="77777777" w:rsidR="006B4CAF" w:rsidRDefault="00D87F28" w:rsidP="00C33DE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 xml:space="preserve">MMT: </w:t>
            </w:r>
            <w:r w:rsidR="00CC49C5">
              <w:rPr>
                <w:rFonts w:cs="Calibri"/>
                <w:color w:val="000000"/>
                <w:sz w:val="20"/>
              </w:rPr>
              <w:t>456,</w:t>
            </w:r>
            <w:r w:rsidR="00AF2B57">
              <w:rPr>
                <w:rFonts w:cs="Calibri"/>
                <w:color w:val="000000"/>
                <w:sz w:val="20"/>
              </w:rPr>
              <w:t>488</w:t>
            </w:r>
          </w:p>
          <w:p w14:paraId="041764B7" w14:textId="68D791D6" w:rsidR="00AF3DD0" w:rsidRPr="00A96580" w:rsidRDefault="00AF2B57" w:rsidP="00C33DE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 xml:space="preserve">Viv: </w:t>
            </w:r>
            <w:r w:rsidR="00FE6861">
              <w:rPr>
                <w:rFonts w:cs="Calibri"/>
                <w:color w:val="000000"/>
                <w:sz w:val="20"/>
              </w:rPr>
              <w:t>34,825.7</w:t>
            </w:r>
          </w:p>
        </w:tc>
      </w:tr>
    </w:tbl>
    <w:p w14:paraId="1ED198FB" w14:textId="77777777" w:rsidR="00A520BF" w:rsidRDefault="00A520BF" w:rsidP="00C40660">
      <w:pPr>
        <w:pStyle w:val="BodyText"/>
        <w:sectPr w:rsidR="00A520BF" w:rsidSect="00AF3DD0">
          <w:headerReference w:type="default" r:id="rId39"/>
          <w:pgSz w:w="15840" w:h="12240" w:orient="landscape" w:code="1"/>
          <w:pgMar w:top="1440" w:right="1440" w:bottom="1440" w:left="1440" w:header="720" w:footer="720" w:gutter="0"/>
          <w:cols w:space="720"/>
          <w:noEndnote/>
          <w:docGrid w:linePitch="326"/>
        </w:sectPr>
      </w:pPr>
    </w:p>
    <w:p w14:paraId="1FCF9B2F" w14:textId="0A28117E" w:rsidR="00CE725F" w:rsidRDefault="00CE725F" w:rsidP="00CE725F">
      <w:r>
        <w:lastRenderedPageBreak/>
        <w:t xml:space="preserve">One of the </w:t>
      </w:r>
      <w:r w:rsidR="004E3FAE">
        <w:t>interventions</w:t>
      </w:r>
      <w:r>
        <w:t xml:space="preserve"> that we tested was increasing treatment capacity for all three treatment methods (i.e., Bup, MMT, and Viv)</w:t>
      </w:r>
      <w:r w:rsidR="00135C15">
        <w:t xml:space="preserve">. </w:t>
      </w:r>
      <w:r w:rsidRPr="00DC2E0F">
        <w:t xml:space="preserve">Increasing </w:t>
      </w:r>
      <w:r w:rsidR="00B818AF">
        <w:t>treatment</w:t>
      </w:r>
      <w:r w:rsidRPr="00DC2E0F">
        <w:t xml:space="preserve"> capacity by 20% reduces </w:t>
      </w:r>
      <w:r w:rsidR="00CC0791">
        <w:rPr>
          <w:b/>
          <w:bCs/>
        </w:rPr>
        <w:t>T</w:t>
      </w:r>
      <w:r w:rsidRPr="00DC2E0F">
        <w:rPr>
          <w:b/>
          <w:bCs/>
        </w:rPr>
        <w:t xml:space="preserve">otal nonfatal overdoses </w:t>
      </w:r>
      <w:r w:rsidRPr="00DC2E0F">
        <w:t xml:space="preserve">and </w:t>
      </w:r>
      <w:r w:rsidR="00CC0791">
        <w:rPr>
          <w:b/>
          <w:bCs/>
        </w:rPr>
        <w:t>T</w:t>
      </w:r>
      <w:r w:rsidRPr="00DC2E0F">
        <w:rPr>
          <w:b/>
          <w:bCs/>
        </w:rPr>
        <w:t>otal overdose deaths</w:t>
      </w:r>
      <w:r w:rsidR="00877F43">
        <w:rPr>
          <w:b/>
          <w:bCs/>
        </w:rPr>
        <w:t>,</w:t>
      </w:r>
      <w:r w:rsidRPr="00DC2E0F">
        <w:rPr>
          <w:b/>
          <w:bCs/>
        </w:rPr>
        <w:t xml:space="preserve"> </w:t>
      </w:r>
      <w:r w:rsidR="00877F43">
        <w:t>though the full effect size of the intervention is only apparent after 4 years of implementation</w:t>
      </w:r>
      <w:r w:rsidR="00822108">
        <w:t>.</w:t>
      </w:r>
      <w:r w:rsidR="00C47DA5">
        <w:t xml:space="preserve"> </w:t>
      </w:r>
      <w:r w:rsidRPr="00DC2E0F">
        <w:t xml:space="preserve">Although increasing </w:t>
      </w:r>
      <w:r w:rsidR="001D5EAE">
        <w:t>treatment</w:t>
      </w:r>
      <w:r w:rsidRPr="00DC2E0F">
        <w:t xml:space="preserve"> capacity increases </w:t>
      </w:r>
      <w:r w:rsidR="00FD6F9B">
        <w:t xml:space="preserve">the number of people </w:t>
      </w:r>
      <w:r w:rsidRPr="00DC2E0F">
        <w:t>with Rx OUD (</w:t>
      </w:r>
      <w:r w:rsidRPr="00DC2E0F">
        <w:rPr>
          <w:b/>
          <w:bCs/>
        </w:rPr>
        <w:t>Rx OUD all total</w:t>
      </w:r>
      <w:r w:rsidRPr="00DC2E0F">
        <w:t>)</w:t>
      </w:r>
      <w:r w:rsidRPr="00DC2E0F" w:rsidDel="000D4433">
        <w:t>,</w:t>
      </w:r>
      <w:r w:rsidRPr="00DC2E0F">
        <w:t xml:space="preserve"> </w:t>
      </w:r>
      <w:r w:rsidR="008E0BC9">
        <w:t>the number of people</w:t>
      </w:r>
      <w:r w:rsidRPr="00DC2E0F">
        <w:t xml:space="preserve"> with HUD (</w:t>
      </w:r>
      <w:r w:rsidRPr="00DC2E0F">
        <w:rPr>
          <w:b/>
          <w:bCs/>
        </w:rPr>
        <w:t>HUD total</w:t>
      </w:r>
      <w:r w:rsidRPr="00DC2E0F">
        <w:t xml:space="preserve">) decreases, </w:t>
      </w:r>
      <w:r w:rsidR="001E74D1">
        <w:t>and there is a net</w:t>
      </w:r>
      <w:r w:rsidRPr="00DC2E0F">
        <w:t xml:space="preserve"> 0.44% decrease in </w:t>
      </w:r>
      <w:r w:rsidR="003B4BCD">
        <w:rPr>
          <w:b/>
          <w:bCs/>
        </w:rPr>
        <w:t>T</w:t>
      </w:r>
      <w:r w:rsidRPr="00DC2E0F">
        <w:rPr>
          <w:b/>
          <w:bCs/>
        </w:rPr>
        <w:t>otal with UD</w:t>
      </w:r>
      <w:r w:rsidRPr="001C6F31">
        <w:rPr>
          <w:bCs/>
        </w:rPr>
        <w:t xml:space="preserve"> </w:t>
      </w:r>
      <w:r w:rsidR="004F6DD5">
        <w:rPr>
          <w:bCs/>
        </w:rPr>
        <w:t xml:space="preserve">compared to baseline </w:t>
      </w:r>
      <w:r w:rsidR="00062A4E">
        <w:rPr>
          <w:bCs/>
        </w:rPr>
        <w:t>at</w:t>
      </w:r>
      <w:r w:rsidR="004F6DD5">
        <w:rPr>
          <w:bCs/>
        </w:rPr>
        <w:t xml:space="preserve"> the </w:t>
      </w:r>
      <w:r w:rsidR="00257057">
        <w:rPr>
          <w:bCs/>
        </w:rPr>
        <w:t xml:space="preserve">end of the simulation in </w:t>
      </w:r>
      <w:r w:rsidR="004F6DD5">
        <w:rPr>
          <w:bCs/>
        </w:rPr>
        <w:t>2030</w:t>
      </w:r>
      <w:r w:rsidR="008F5E4B">
        <w:rPr>
          <w:bCs/>
        </w:rPr>
        <w:t xml:space="preserve"> </w:t>
      </w:r>
      <w:r w:rsidRPr="001C6F31">
        <w:rPr>
          <w:bCs/>
        </w:rPr>
        <w:t xml:space="preserve">(see </w:t>
      </w:r>
      <w:r w:rsidR="003161ED">
        <w:rPr>
          <w:highlight w:val="yellow"/>
        </w:rPr>
        <w:fldChar w:fldCharType="begin"/>
      </w:r>
      <w:r w:rsidR="003161ED">
        <w:rPr>
          <w:bCs/>
        </w:rPr>
        <w:instrText xml:space="preserve"> REF _Ref58949349 \h </w:instrText>
      </w:r>
      <w:r w:rsidR="003161ED">
        <w:rPr>
          <w:highlight w:val="yellow"/>
        </w:rPr>
      </w:r>
      <w:r w:rsidR="003161ED">
        <w:rPr>
          <w:highlight w:val="yellow"/>
        </w:rPr>
        <w:fldChar w:fldCharType="separate"/>
      </w:r>
      <w:r w:rsidR="003161ED">
        <w:t xml:space="preserve">Figure </w:t>
      </w:r>
      <w:r w:rsidR="003161ED">
        <w:rPr>
          <w:noProof/>
        </w:rPr>
        <w:t>7</w:t>
      </w:r>
      <w:r w:rsidR="003161ED">
        <w:noBreakHyphen/>
      </w:r>
      <w:r w:rsidR="003161ED">
        <w:rPr>
          <w:noProof/>
        </w:rPr>
        <w:t>7</w:t>
      </w:r>
      <w:r w:rsidR="003161ED">
        <w:rPr>
          <w:highlight w:val="yellow"/>
        </w:rPr>
        <w:fldChar w:fldCharType="end"/>
      </w:r>
      <w:r w:rsidRPr="001C6F31">
        <w:rPr>
          <w:bCs/>
        </w:rPr>
        <w:t>)</w:t>
      </w:r>
      <w:r w:rsidRPr="00DC2E0F">
        <w:t xml:space="preserve">. </w:t>
      </w:r>
      <w:r w:rsidR="00273E32">
        <w:t>The</w:t>
      </w:r>
      <w:r w:rsidRPr="00DC2E0F">
        <w:t xml:space="preserve"> 20% increase in </w:t>
      </w:r>
      <w:r w:rsidR="00273E32">
        <w:t>treatment</w:t>
      </w:r>
      <w:r w:rsidRPr="00DC2E0F">
        <w:t xml:space="preserve"> capacity</w:t>
      </w:r>
      <w:r w:rsidR="00273E32">
        <w:t xml:space="preserve"> also</w:t>
      </w:r>
      <w:r w:rsidRPr="00DC2E0F">
        <w:t xml:space="preserve"> </w:t>
      </w:r>
      <w:r w:rsidR="008F5E4B">
        <w:t xml:space="preserve">results in a reduction </w:t>
      </w:r>
      <w:r w:rsidR="000F308B">
        <w:t>in</w:t>
      </w:r>
      <w:r w:rsidR="008F5E4B">
        <w:t xml:space="preserve"> </w:t>
      </w:r>
      <w:r w:rsidRPr="00DC2E0F">
        <w:t>total overdoses (</w:t>
      </w:r>
      <w:r w:rsidR="006926B6">
        <w:t xml:space="preserve">1.67% decrease in </w:t>
      </w:r>
      <w:r w:rsidR="00E62394">
        <w:rPr>
          <w:b/>
          <w:bCs/>
        </w:rPr>
        <w:t>T</w:t>
      </w:r>
      <w:r w:rsidRPr="00DC2E0F">
        <w:rPr>
          <w:b/>
          <w:bCs/>
        </w:rPr>
        <w:t>otal nonfatal overdoses</w:t>
      </w:r>
      <w:r w:rsidRPr="00DC2E0F">
        <w:t xml:space="preserve"> and </w:t>
      </w:r>
      <w:r w:rsidR="006926B6">
        <w:t xml:space="preserve">2.90% decrease in </w:t>
      </w:r>
      <w:r w:rsidRPr="00DC2E0F">
        <w:rPr>
          <w:b/>
          <w:bCs/>
        </w:rPr>
        <w:t>Total</w:t>
      </w:r>
      <w:r w:rsidRPr="00DC2E0F">
        <w:t xml:space="preserve"> </w:t>
      </w:r>
      <w:r w:rsidRPr="00DC2E0F">
        <w:rPr>
          <w:b/>
          <w:bCs/>
        </w:rPr>
        <w:t>overdose deaths</w:t>
      </w:r>
      <w:r w:rsidR="008F5E4B" w:rsidRPr="00351EE7">
        <w:t>)</w:t>
      </w:r>
      <w:r w:rsidRPr="00DC2E0F">
        <w:rPr>
          <w:b/>
        </w:rPr>
        <w:t xml:space="preserve"> </w:t>
      </w:r>
      <w:r w:rsidRPr="00DC2E0F">
        <w:t xml:space="preserve">by 2030, reflecting reduced frequency of use and reduced exposure to fentanyl. </w:t>
      </w:r>
      <w:r w:rsidR="00F80F0F">
        <w:t>I</w:t>
      </w:r>
      <w:r w:rsidRPr="00DC2E0F">
        <w:t xml:space="preserve">ncreasing </w:t>
      </w:r>
      <w:r w:rsidR="00F80F0F">
        <w:t>treatment</w:t>
      </w:r>
      <w:r w:rsidRPr="00DC2E0F">
        <w:t xml:space="preserve"> seeking rate up to 65%</w:t>
      </w:r>
      <w:r>
        <w:t xml:space="preserve"> </w:t>
      </w:r>
      <w:r w:rsidR="00F80F0F">
        <w:t>results in similar outcomes</w:t>
      </w:r>
      <w:r w:rsidRPr="00DC2E0F">
        <w:t>.</w:t>
      </w:r>
    </w:p>
    <w:p w14:paraId="7A811710" w14:textId="0C9F5A26" w:rsidR="00CE725F" w:rsidRDefault="00CE725F" w:rsidP="00CE725F">
      <w:r>
        <w:t xml:space="preserve">One point of departure of the current model compared to </w:t>
      </w:r>
      <w:r w:rsidR="00931687">
        <w:t>the HWM</w:t>
      </w:r>
      <w:r w:rsidR="0053633C">
        <w:t xml:space="preserve"> </w:t>
      </w:r>
      <w:r>
        <w:t xml:space="preserve">is related to the impact of treatment expansion on the number of people with heroin OUD. </w:t>
      </w:r>
      <w:r w:rsidR="007E1542">
        <w:rPr>
          <w:rStyle w:val="normaltextrun"/>
          <w:rFonts w:cs="Calibri"/>
          <w:szCs w:val="22"/>
        </w:rPr>
        <w:t xml:space="preserve">Homer and Wakeland (2020) </w:t>
      </w:r>
      <w:r>
        <w:t xml:space="preserve">found </w:t>
      </w:r>
      <w:r w:rsidRPr="00242547">
        <w:t xml:space="preserve">that </w:t>
      </w:r>
      <w:r w:rsidRPr="00DC2E0F">
        <w:t>"boost in MAT reduces persons with heroin OUD"</w:t>
      </w:r>
      <w:r w:rsidRPr="00242547">
        <w:t xml:space="preserve">. </w:t>
      </w:r>
      <w:r w:rsidRPr="00DC2E0F">
        <w:t>However</w:t>
      </w:r>
      <w:r w:rsidRPr="00242547">
        <w:t>,</w:t>
      </w:r>
      <w:r w:rsidRPr="00DC2E0F">
        <w:t xml:space="preserve"> in model</w:t>
      </w:r>
      <w:r w:rsidR="00B30101">
        <w:t xml:space="preserve"> v1110</w:t>
      </w:r>
      <w:r w:rsidRPr="00DC2E0F">
        <w:t xml:space="preserve">, increasing </w:t>
      </w:r>
      <w:r w:rsidR="004B2A6D">
        <w:t>treatment</w:t>
      </w:r>
      <w:r w:rsidRPr="00DC2E0F">
        <w:t xml:space="preserve"> capacity increases</w:t>
      </w:r>
      <w:r w:rsidRPr="00DC2E0F">
        <w:rPr>
          <w:b/>
          <w:bCs/>
        </w:rPr>
        <w:t xml:space="preserve"> Rx OUD with PY heroin total</w:t>
      </w:r>
      <w:r w:rsidRPr="00DC2E0F">
        <w:t xml:space="preserve"> by 0.91%</w:t>
      </w:r>
      <w:r w:rsidR="004B2A6D">
        <w:t>,</w:t>
      </w:r>
      <w:r w:rsidRPr="00DC2E0F">
        <w:t xml:space="preserve"> and increasing </w:t>
      </w:r>
      <w:r w:rsidR="004B2A6D">
        <w:t>treatment</w:t>
      </w:r>
      <w:r w:rsidRPr="00DC2E0F">
        <w:t xml:space="preserve"> seeking rate increases</w:t>
      </w:r>
      <w:r w:rsidRPr="00DC2E0F">
        <w:rPr>
          <w:b/>
          <w:bCs/>
        </w:rPr>
        <w:t xml:space="preserve"> Rx OUD with PY heroin total</w:t>
      </w:r>
      <w:r w:rsidRPr="00DC2E0F">
        <w:t xml:space="preserve"> by 3.05%</w:t>
      </w:r>
      <w:r w:rsidRPr="00242547">
        <w:t>.</w:t>
      </w:r>
    </w:p>
    <w:p w14:paraId="455EBB78" w14:textId="77777777" w:rsidR="00CE725F" w:rsidRDefault="00CE725F" w:rsidP="009E79C3">
      <w:pPr>
        <w:jc w:val="center"/>
      </w:pPr>
      <w:r>
        <w:rPr>
          <w:noProof/>
        </w:rPr>
        <w:drawing>
          <wp:inline distT="0" distB="0" distL="0" distR="0" wp14:anchorId="504D3928" wp14:editId="78D1FB6C">
            <wp:extent cx="5431536" cy="2980690"/>
            <wp:effectExtent l="0" t="0" r="17145" b="10160"/>
            <wp:docPr id="19" name="Chart 19">
              <a:extLst xmlns:a="http://schemas.openxmlformats.org/drawingml/2006/main">
                <a:ext uri="{FF2B5EF4-FFF2-40B4-BE49-F238E27FC236}">
                  <a16:creationId xmlns:a16="http://schemas.microsoft.com/office/drawing/2014/main" id="{5394C851-7729-4390-AC0F-65E14EC8C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75E50F9" w14:textId="63C271F4" w:rsidR="00CE725F" w:rsidRPr="00DC2E0F" w:rsidRDefault="007A6898" w:rsidP="00D05863">
      <w:pPr>
        <w:pStyle w:val="Caption"/>
      </w:pPr>
      <w:bookmarkStart w:id="67" w:name="_Ref58949349"/>
      <w:bookmarkStart w:id="68" w:name="_Toc59050119"/>
      <w:r>
        <w:t xml:space="preserve">Figure </w:t>
      </w:r>
      <w:fldSimple w:instr=" STYLEREF 1 \s ">
        <w:r w:rsidR="00A955A5">
          <w:rPr>
            <w:noProof/>
          </w:rPr>
          <w:t>7</w:t>
        </w:r>
      </w:fldSimple>
      <w:r w:rsidR="00A955A5">
        <w:noBreakHyphen/>
      </w:r>
      <w:fldSimple w:instr=" SEQ Figure \* ARABIC \s 1 ">
        <w:r w:rsidR="00A955A5">
          <w:rPr>
            <w:noProof/>
          </w:rPr>
          <w:t>7</w:t>
        </w:r>
      </w:fldSimple>
      <w:bookmarkEnd w:id="67"/>
      <w:r>
        <w:t xml:space="preserve">: </w:t>
      </w:r>
      <w:r w:rsidR="00CE725F">
        <w:t xml:space="preserve">Results of </w:t>
      </w:r>
      <w:r w:rsidR="000C66DF">
        <w:t>I</w:t>
      </w:r>
      <w:r w:rsidR="00CE725F">
        <w:t xml:space="preserve">ncreasing the </w:t>
      </w:r>
      <w:r w:rsidR="000C66DF">
        <w:t>T</w:t>
      </w:r>
      <w:r w:rsidR="00CE725F">
        <w:t xml:space="preserve">reatment </w:t>
      </w:r>
      <w:r w:rsidR="000C66DF">
        <w:t>C</w:t>
      </w:r>
      <w:r w:rsidR="00CE725F">
        <w:t>apacity</w:t>
      </w:r>
      <w:r w:rsidR="00C544B3">
        <w:t xml:space="preserve"> (ID 9)</w:t>
      </w:r>
      <w:r w:rsidR="00CE725F">
        <w:t xml:space="preserve"> by 20%</w:t>
      </w:r>
      <w:bookmarkEnd w:id="68"/>
    </w:p>
    <w:p w14:paraId="78555B90" w14:textId="50DFEDD3" w:rsidR="00CE725F" w:rsidRDefault="00CE725F" w:rsidP="00CE725F">
      <w:r w:rsidRPr="007453AB">
        <w:t xml:space="preserve">By increasing </w:t>
      </w:r>
      <w:r w:rsidR="004975C8">
        <w:t>treatment</w:t>
      </w:r>
      <w:r w:rsidRPr="007453AB">
        <w:t xml:space="preserve"> capacit</w:t>
      </w:r>
      <w:r w:rsidR="004975C8">
        <w:t>i</w:t>
      </w:r>
      <w:r w:rsidR="002A5ABA">
        <w:t>es</w:t>
      </w:r>
      <w:r w:rsidRPr="007453AB">
        <w:t xml:space="preserve"> of all </w:t>
      </w:r>
      <w:r w:rsidR="00BD01F0">
        <w:t xml:space="preserve">three </w:t>
      </w:r>
      <w:r w:rsidRPr="007453AB">
        <w:t>treatment</w:t>
      </w:r>
      <w:r w:rsidR="006D08F6">
        <w:t>s</w:t>
      </w:r>
      <w:r w:rsidRPr="007453AB">
        <w:t xml:space="preserve">, the </w:t>
      </w:r>
      <w:r>
        <w:t>number</w:t>
      </w:r>
      <w:r w:rsidRPr="007453AB">
        <w:t xml:space="preserve"> of people with HUD in </w:t>
      </w:r>
      <w:r w:rsidRPr="005E393F">
        <w:rPr>
          <w:b/>
          <w:bCs/>
        </w:rPr>
        <w:t>MOUD Tx[MMT]</w:t>
      </w:r>
      <w:r w:rsidRPr="007453AB">
        <w:t xml:space="preserve"> and </w:t>
      </w:r>
      <w:r w:rsidRPr="005E393F">
        <w:rPr>
          <w:b/>
          <w:bCs/>
        </w:rPr>
        <w:t>HUD in MOUD Tx[Viv]</w:t>
      </w:r>
      <w:r w:rsidRPr="007453AB">
        <w:t xml:space="preserve"> </w:t>
      </w:r>
      <w:r w:rsidR="008B0529">
        <w:t xml:space="preserve">both </w:t>
      </w:r>
      <w:r w:rsidRPr="007453AB">
        <w:t>increase</w:t>
      </w:r>
      <w:r w:rsidR="00416D71">
        <w:t>,</w:t>
      </w:r>
      <w:r w:rsidRPr="007453AB">
        <w:t xml:space="preserve"> but the </w:t>
      </w:r>
      <w:r>
        <w:t>number</w:t>
      </w:r>
      <w:r w:rsidRPr="007453AB">
        <w:t xml:space="preserve"> of people with </w:t>
      </w:r>
      <w:r w:rsidRPr="005E393F">
        <w:rPr>
          <w:b/>
          <w:bCs/>
        </w:rPr>
        <w:t xml:space="preserve">HUD in MOUD Tx[Bup] </w:t>
      </w:r>
      <w:r w:rsidRPr="007453AB">
        <w:t>decrease</w:t>
      </w:r>
      <w:r w:rsidR="008564D2">
        <w:t>s</w:t>
      </w:r>
      <w:r>
        <w:t xml:space="preserve">. </w:t>
      </w:r>
      <w:r w:rsidR="00CD1090">
        <w:t>T</w:t>
      </w:r>
      <w:r>
        <w:t>he model assum</w:t>
      </w:r>
      <w:r w:rsidR="00DE6F64">
        <w:t>ption is</w:t>
      </w:r>
      <w:r>
        <w:t xml:space="preserve"> that the treatment seeking fraction for Bup is higher than MMT and Viv, </w:t>
      </w:r>
      <w:r w:rsidR="00822D2E" w:rsidRPr="003161ED">
        <w:t xml:space="preserve">so </w:t>
      </w:r>
      <w:r w:rsidRPr="003161ED">
        <w:t>decreas</w:t>
      </w:r>
      <w:r w:rsidR="00C34D85" w:rsidRPr="003161ED">
        <w:t>e</w:t>
      </w:r>
      <w:r w:rsidR="00822D2E" w:rsidRPr="003161ED">
        <w:t>s</w:t>
      </w:r>
      <w:r w:rsidRPr="003161ED">
        <w:t xml:space="preserve"> in the number of people with </w:t>
      </w:r>
      <w:r w:rsidRPr="003161ED">
        <w:rPr>
          <w:b/>
          <w:bCs/>
        </w:rPr>
        <w:t>HUD in MOUD Tx [Bup]</w:t>
      </w:r>
      <w:r w:rsidRPr="003161ED">
        <w:t xml:space="preserve"> in all three scenarios were surprising (See </w:t>
      </w:r>
      <w:r w:rsidR="003161ED" w:rsidRPr="003161ED">
        <w:fldChar w:fldCharType="begin"/>
      </w:r>
      <w:r w:rsidR="003161ED" w:rsidRPr="003161ED">
        <w:instrText xml:space="preserve"> REF _Ref58949358 \h </w:instrText>
      </w:r>
      <w:r w:rsidR="003161ED">
        <w:instrText xml:space="preserve"> \* MERGEFORMAT </w:instrText>
      </w:r>
      <w:r w:rsidR="003161ED" w:rsidRPr="003161ED">
        <w:fldChar w:fldCharType="separate"/>
      </w:r>
      <w:r w:rsidR="003161ED" w:rsidRPr="003161ED">
        <w:t xml:space="preserve">Figure </w:t>
      </w:r>
      <w:r w:rsidR="003161ED" w:rsidRPr="003161ED">
        <w:rPr>
          <w:noProof/>
        </w:rPr>
        <w:t>7</w:t>
      </w:r>
      <w:r w:rsidR="003161ED" w:rsidRPr="003161ED">
        <w:noBreakHyphen/>
      </w:r>
      <w:r w:rsidR="003161ED" w:rsidRPr="003161ED">
        <w:rPr>
          <w:noProof/>
        </w:rPr>
        <w:t>8</w:t>
      </w:r>
      <w:r w:rsidR="003161ED" w:rsidRPr="003161ED">
        <w:fldChar w:fldCharType="end"/>
      </w:r>
      <w:r w:rsidRPr="003161ED">
        <w:t>).</w:t>
      </w:r>
      <w:r w:rsidR="007960F9" w:rsidRPr="003161ED">
        <w:t xml:space="preserve"> One </w:t>
      </w:r>
      <w:r w:rsidR="001B6D0C" w:rsidRPr="003161ED">
        <w:t>possible</w:t>
      </w:r>
      <w:r w:rsidR="007960F9" w:rsidRPr="003161ED">
        <w:t xml:space="preserve"> </w:t>
      </w:r>
      <w:r w:rsidR="001B6D0C" w:rsidRPr="003161ED">
        <w:t xml:space="preserve">explanation </w:t>
      </w:r>
      <w:r w:rsidR="007960F9" w:rsidRPr="003161ED">
        <w:t xml:space="preserve">for </w:t>
      </w:r>
      <w:r w:rsidR="00EF2F13" w:rsidRPr="003161ED">
        <w:t xml:space="preserve">the lack of increase in people with </w:t>
      </w:r>
      <w:r w:rsidR="00EF2F13" w:rsidRPr="003161ED">
        <w:rPr>
          <w:b/>
          <w:bCs/>
        </w:rPr>
        <w:t>HUD in MOUD Tx [Bup]</w:t>
      </w:r>
      <w:r w:rsidR="007960F9" w:rsidRPr="003161ED" w:rsidDel="00EF2F13">
        <w:t xml:space="preserve"> </w:t>
      </w:r>
      <w:r w:rsidR="00D27FDA" w:rsidRPr="003161ED">
        <w:t>is</w:t>
      </w:r>
      <w:r w:rsidR="007960F9" w:rsidRPr="003161ED">
        <w:t xml:space="preserve"> the rapid increase in Bup capacity before 2020</w:t>
      </w:r>
      <w:r w:rsidR="00EF2F13" w:rsidRPr="003161ED">
        <w:t xml:space="preserve">. This increase </w:t>
      </w:r>
      <w:r w:rsidR="003967CB" w:rsidRPr="003161ED">
        <w:t>means that</w:t>
      </w:r>
      <w:r w:rsidR="006603A1" w:rsidRPr="003161ED">
        <w:t xml:space="preserve"> Bup </w:t>
      </w:r>
      <w:r w:rsidR="003967CB" w:rsidRPr="003161ED">
        <w:t>is</w:t>
      </w:r>
      <w:r w:rsidR="006603A1" w:rsidRPr="003161ED">
        <w:t xml:space="preserve"> no longer capacity limited</w:t>
      </w:r>
      <w:r w:rsidR="00F657E6" w:rsidRPr="003161ED">
        <w:t xml:space="preserve"> </w:t>
      </w:r>
      <w:r w:rsidR="003967CB" w:rsidRPr="003161ED">
        <w:t xml:space="preserve">after 2020, </w:t>
      </w:r>
      <w:r w:rsidR="006603A1" w:rsidRPr="003161ED">
        <w:t>and</w:t>
      </w:r>
      <w:r w:rsidR="006603A1">
        <w:t xml:space="preserve"> </w:t>
      </w:r>
      <w:r w:rsidR="00BA1ED3">
        <w:t>thus</w:t>
      </w:r>
      <w:r w:rsidR="003967CB">
        <w:t>,</w:t>
      </w:r>
      <w:r w:rsidR="00403C62">
        <w:t xml:space="preserve"> increas</w:t>
      </w:r>
      <w:r w:rsidR="006603A1">
        <w:t>ing</w:t>
      </w:r>
      <w:r w:rsidR="00403C62">
        <w:t xml:space="preserve"> capacity</w:t>
      </w:r>
      <w:r w:rsidR="00F657E6">
        <w:t xml:space="preserve"> </w:t>
      </w:r>
      <w:r w:rsidR="001856B1">
        <w:t>after 2020</w:t>
      </w:r>
      <w:r w:rsidR="00D50277">
        <w:t xml:space="preserve"> </w:t>
      </w:r>
      <w:r w:rsidR="003967CB">
        <w:t>is not</w:t>
      </w:r>
      <w:r w:rsidR="00BA1ED3">
        <w:t xml:space="preserve"> </w:t>
      </w:r>
      <w:r w:rsidR="00E64C1F">
        <w:t>an</w:t>
      </w:r>
      <w:r w:rsidR="00BA1ED3">
        <w:t xml:space="preserve"> </w:t>
      </w:r>
      <w:r w:rsidR="00486038">
        <w:t xml:space="preserve">effective </w:t>
      </w:r>
      <w:r w:rsidR="00E64C1F">
        <w:t>way to</w:t>
      </w:r>
      <w:r w:rsidR="00486038">
        <w:t xml:space="preserve"> </w:t>
      </w:r>
      <w:r w:rsidR="001741EC">
        <w:t>increas</w:t>
      </w:r>
      <w:r w:rsidR="00E64C1F">
        <w:t>e</w:t>
      </w:r>
      <w:r w:rsidR="001741EC">
        <w:t xml:space="preserve"> the number of </w:t>
      </w:r>
      <w:r w:rsidR="00486038">
        <w:t>people in treatment</w:t>
      </w:r>
      <w:r w:rsidR="007960F9" w:rsidDel="00E75BA2">
        <w:t>.</w:t>
      </w:r>
      <w:r w:rsidR="007960F9">
        <w:t xml:space="preserve"> </w:t>
      </w:r>
      <w:r w:rsidR="00A36569">
        <w:t>In other</w:t>
      </w:r>
      <w:r w:rsidR="00883681">
        <w:t xml:space="preserve"> words, this explanation would suggest </w:t>
      </w:r>
      <w:r w:rsidR="007960F9">
        <w:t xml:space="preserve">that </w:t>
      </w:r>
      <w:r w:rsidR="00175F9B">
        <w:t xml:space="preserve">for </w:t>
      </w:r>
      <w:r w:rsidR="007960F9">
        <w:t>Bup</w:t>
      </w:r>
      <w:r w:rsidR="00175F9B">
        <w:t>,</w:t>
      </w:r>
      <w:r w:rsidR="007960F9">
        <w:t xml:space="preserve"> the barrier for seeking </w:t>
      </w:r>
      <w:r w:rsidR="00B06851">
        <w:t>t</w:t>
      </w:r>
      <w:r w:rsidR="001B40F7">
        <w:t>re</w:t>
      </w:r>
      <w:r w:rsidR="00B06851">
        <w:t>atment</w:t>
      </w:r>
      <w:r w:rsidR="007960F9">
        <w:t xml:space="preserve"> is not capacity related</w:t>
      </w:r>
      <w:r w:rsidR="00175F9B">
        <w:t>,</w:t>
      </w:r>
      <w:r w:rsidR="007960F9">
        <w:t xml:space="preserve"> and there </w:t>
      </w:r>
      <w:r w:rsidR="00AA4CAE">
        <w:t xml:space="preserve">could </w:t>
      </w:r>
      <w:r w:rsidR="007960F9">
        <w:t xml:space="preserve">be other barriers associated with </w:t>
      </w:r>
      <w:r w:rsidR="00AA4CAE">
        <w:t xml:space="preserve">Bup, </w:t>
      </w:r>
      <w:r w:rsidR="007960F9">
        <w:t xml:space="preserve">such as insurance coverage. However, </w:t>
      </w:r>
      <w:r w:rsidR="00124E17">
        <w:t xml:space="preserve">this reasoning </w:t>
      </w:r>
      <w:r w:rsidR="00F102D4">
        <w:t>still does</w:t>
      </w:r>
      <w:r w:rsidR="00124E17">
        <w:t xml:space="preserve"> not</w:t>
      </w:r>
      <w:r w:rsidR="00F102D4">
        <w:t xml:space="preserve"> account for the</w:t>
      </w:r>
      <w:r w:rsidR="007960F9">
        <w:t xml:space="preserve"> </w:t>
      </w:r>
      <w:r w:rsidR="00E45296">
        <w:t>substantial</w:t>
      </w:r>
      <w:r w:rsidR="007960F9">
        <w:t xml:space="preserve"> </w:t>
      </w:r>
      <w:r w:rsidR="00B42A1A">
        <w:t>decrease</w:t>
      </w:r>
      <w:r w:rsidR="007960F9">
        <w:t xml:space="preserve"> </w:t>
      </w:r>
      <w:r w:rsidR="0094733D">
        <w:t>of</w:t>
      </w:r>
      <w:r w:rsidR="007960F9">
        <w:t xml:space="preserve"> people in Bup treatment</w:t>
      </w:r>
      <w:r w:rsidR="00B42A1A">
        <w:t>.</w:t>
      </w:r>
      <w:r w:rsidR="007960F9">
        <w:t xml:space="preserve"> </w:t>
      </w:r>
      <w:r w:rsidR="000D0035">
        <w:t>To explore this phenomenon, w</w:t>
      </w:r>
      <w:r w:rsidR="007960F9">
        <w:t xml:space="preserve">e </w:t>
      </w:r>
      <w:r w:rsidR="005E602E">
        <w:t>separately</w:t>
      </w:r>
      <w:r w:rsidR="007960F9">
        <w:t xml:space="preserve"> increased the capacity for MMT and Viv by 20% to </w:t>
      </w:r>
      <w:r w:rsidR="005E602E">
        <w:t>check</w:t>
      </w:r>
      <w:r w:rsidR="007960F9">
        <w:t xml:space="preserve"> </w:t>
      </w:r>
      <w:r w:rsidR="001A4385">
        <w:t>the</w:t>
      </w:r>
      <w:r w:rsidR="007960F9">
        <w:t xml:space="preserve"> impact on </w:t>
      </w:r>
      <w:r w:rsidR="00F40BE5">
        <w:t xml:space="preserve">people in </w:t>
      </w:r>
      <w:r w:rsidR="007960F9">
        <w:t>Bup</w:t>
      </w:r>
      <w:r w:rsidR="00F40BE5">
        <w:t xml:space="preserve"> treatment</w:t>
      </w:r>
      <w:r w:rsidR="007960F9">
        <w:t xml:space="preserve">. </w:t>
      </w:r>
      <w:r w:rsidR="00C224E8">
        <w:t xml:space="preserve">We found that </w:t>
      </w:r>
      <w:r w:rsidR="007960F9">
        <w:t xml:space="preserve">increasing MMT capacity alone increases </w:t>
      </w:r>
      <w:r w:rsidR="007960F9" w:rsidRPr="005E393F">
        <w:rPr>
          <w:b/>
          <w:bCs/>
        </w:rPr>
        <w:t>HUD in MOUD Tx</w:t>
      </w:r>
      <w:r w:rsidR="007B0794" w:rsidRPr="005E393F">
        <w:rPr>
          <w:b/>
          <w:bCs/>
        </w:rPr>
        <w:t>[</w:t>
      </w:r>
      <w:r w:rsidR="007960F9" w:rsidRPr="005E393F">
        <w:rPr>
          <w:b/>
          <w:bCs/>
        </w:rPr>
        <w:t>MMT</w:t>
      </w:r>
      <w:r w:rsidR="007B0794" w:rsidRPr="005E393F">
        <w:rPr>
          <w:b/>
          <w:bCs/>
        </w:rPr>
        <w:t>]</w:t>
      </w:r>
      <w:r w:rsidR="007960F9">
        <w:t xml:space="preserve"> and reduces </w:t>
      </w:r>
      <w:r w:rsidR="007960F9" w:rsidRPr="005E393F">
        <w:rPr>
          <w:b/>
          <w:bCs/>
        </w:rPr>
        <w:t xml:space="preserve">HUD in MOUD Tx </w:t>
      </w:r>
      <w:r w:rsidR="007B0794" w:rsidRPr="005E393F">
        <w:rPr>
          <w:b/>
          <w:bCs/>
        </w:rPr>
        <w:t>[</w:t>
      </w:r>
      <w:r w:rsidR="007960F9" w:rsidRPr="005E393F">
        <w:rPr>
          <w:b/>
          <w:bCs/>
        </w:rPr>
        <w:t>Bup</w:t>
      </w:r>
      <w:r w:rsidR="007B0794" w:rsidRPr="005E393F">
        <w:rPr>
          <w:b/>
          <w:bCs/>
        </w:rPr>
        <w:t>]</w:t>
      </w:r>
      <w:r w:rsidR="007960F9">
        <w:t xml:space="preserve"> </w:t>
      </w:r>
      <w:r w:rsidR="007960F9" w:rsidRPr="0028273A">
        <w:lastRenderedPageBreak/>
        <w:t xml:space="preserve">(see </w:t>
      </w:r>
      <w:r w:rsidR="003161ED" w:rsidRPr="0028273A">
        <w:fldChar w:fldCharType="begin"/>
      </w:r>
      <w:r w:rsidR="003161ED" w:rsidRPr="0028273A">
        <w:instrText xml:space="preserve"> REF _Ref58949375 \h </w:instrText>
      </w:r>
      <w:r w:rsidR="0028273A">
        <w:instrText xml:space="preserve"> \* MERGEFORMAT </w:instrText>
      </w:r>
      <w:r w:rsidR="003161ED" w:rsidRPr="0028273A">
        <w:fldChar w:fldCharType="separate"/>
      </w:r>
      <w:r w:rsidR="003161ED" w:rsidRPr="0028273A">
        <w:t xml:space="preserve">Figure </w:t>
      </w:r>
      <w:r w:rsidR="003161ED" w:rsidRPr="0028273A">
        <w:rPr>
          <w:noProof/>
        </w:rPr>
        <w:t>7</w:t>
      </w:r>
      <w:r w:rsidR="003161ED" w:rsidRPr="0028273A">
        <w:noBreakHyphen/>
      </w:r>
      <w:r w:rsidR="003161ED" w:rsidRPr="0028273A">
        <w:rPr>
          <w:noProof/>
        </w:rPr>
        <w:t>9</w:t>
      </w:r>
      <w:r w:rsidR="003161ED" w:rsidRPr="0028273A">
        <w:fldChar w:fldCharType="end"/>
      </w:r>
      <w:r w:rsidR="007960F9" w:rsidRPr="0028273A">
        <w:t>)</w:t>
      </w:r>
      <w:r w:rsidR="007E21ED" w:rsidRPr="0028273A">
        <w:t>, while</w:t>
      </w:r>
      <w:r w:rsidR="007960F9" w:rsidRPr="0028273A">
        <w:t xml:space="preserve"> </w:t>
      </w:r>
      <w:r w:rsidR="00C54461" w:rsidRPr="0028273A">
        <w:t>i</w:t>
      </w:r>
      <w:r w:rsidR="007960F9" w:rsidRPr="0028273A">
        <w:t xml:space="preserve">ncreasing Viv capacity does not change HUD in MOUD Tx for Bup (see </w:t>
      </w:r>
      <w:r w:rsidR="0028273A" w:rsidRPr="0028273A">
        <w:fldChar w:fldCharType="begin"/>
      </w:r>
      <w:r w:rsidR="0028273A" w:rsidRPr="0028273A">
        <w:instrText xml:space="preserve"> REF _Ref58949394 \h </w:instrText>
      </w:r>
      <w:r w:rsidR="0028273A">
        <w:instrText xml:space="preserve"> \* MERGEFORMAT </w:instrText>
      </w:r>
      <w:r w:rsidR="0028273A" w:rsidRPr="0028273A">
        <w:fldChar w:fldCharType="separate"/>
      </w:r>
      <w:r w:rsidR="0028273A" w:rsidRPr="0028273A">
        <w:t xml:space="preserve">Figure </w:t>
      </w:r>
      <w:r w:rsidR="0028273A" w:rsidRPr="0028273A">
        <w:rPr>
          <w:noProof/>
        </w:rPr>
        <w:t>7</w:t>
      </w:r>
      <w:r w:rsidR="0028273A" w:rsidRPr="0028273A">
        <w:noBreakHyphen/>
      </w:r>
      <w:r w:rsidR="0028273A" w:rsidRPr="0028273A">
        <w:rPr>
          <w:noProof/>
        </w:rPr>
        <w:t>10</w:t>
      </w:r>
      <w:r w:rsidR="0028273A" w:rsidRPr="0028273A">
        <w:fldChar w:fldCharType="end"/>
      </w:r>
      <w:r w:rsidR="007960F9" w:rsidRPr="0028273A">
        <w:t>)</w:t>
      </w:r>
      <w:r w:rsidR="00B317E8" w:rsidRPr="0028273A">
        <w:t xml:space="preserve">. </w:t>
      </w:r>
      <w:r w:rsidR="00C95C0E" w:rsidRPr="0028273A">
        <w:t>These findings result</w:t>
      </w:r>
      <w:r w:rsidR="00F42442" w:rsidRPr="0028273A">
        <w:t xml:space="preserve"> in part</w:t>
      </w:r>
      <w:r w:rsidR="00347EAB" w:rsidRPr="0028273A">
        <w:t xml:space="preserve"> from the model’s assumption</w:t>
      </w:r>
      <w:r w:rsidR="00FC2F09" w:rsidRPr="0028273A">
        <w:t>s about the therapy-see</w:t>
      </w:r>
      <w:r w:rsidR="00FB22D7" w:rsidRPr="0028273A">
        <w:t xml:space="preserve">king rates of the three </w:t>
      </w:r>
      <w:r w:rsidR="00C84C82" w:rsidRPr="0028273A">
        <w:t>treatment</w:t>
      </w:r>
      <w:r w:rsidR="00A068B8" w:rsidRPr="0028273A">
        <w:t xml:space="preserve"> paths. </w:t>
      </w:r>
      <w:r w:rsidR="00DF2259" w:rsidRPr="0028273A">
        <w:t>The choice of</w:t>
      </w:r>
      <w:r w:rsidR="00172A3A" w:rsidRPr="0028273A">
        <w:t xml:space="preserve"> which therapy</w:t>
      </w:r>
      <w:r w:rsidR="00287809" w:rsidRPr="0028273A">
        <w:t xml:space="preserve"> to</w:t>
      </w:r>
      <w:r w:rsidR="00287809">
        <w:t xml:space="preserve"> seek is not</w:t>
      </w:r>
      <w:r w:rsidR="009D6EBA">
        <w:t xml:space="preserve"> influenced by relative availability</w:t>
      </w:r>
      <w:r w:rsidR="004A2AE3">
        <w:t>. There is no feedback</w:t>
      </w:r>
      <w:r w:rsidR="008F0A81">
        <w:t xml:space="preserve"> </w:t>
      </w:r>
      <w:r w:rsidR="00B71596">
        <w:t>from capacity</w:t>
      </w:r>
      <w:r w:rsidR="008D2760">
        <w:t xml:space="preserve"> utilization that affects people’s decision for seeking one treatment </w:t>
      </w:r>
      <w:r w:rsidR="00A0670B">
        <w:t>versus another.</w:t>
      </w:r>
      <w:r w:rsidR="00DA1F7D">
        <w:t xml:space="preserve"> In other words, if a person</w:t>
      </w:r>
      <w:r w:rsidR="001124E8">
        <w:t xml:space="preserve"> seeks one therapy and cannot get it</w:t>
      </w:r>
      <w:r w:rsidR="001665A6">
        <w:t xml:space="preserve">, </w:t>
      </w:r>
      <w:r w:rsidR="00AC4379">
        <w:t>t</w:t>
      </w:r>
      <w:r w:rsidR="001665A6">
        <w:t>he</w:t>
      </w:r>
      <w:r w:rsidR="00AC4379">
        <w:t>y</w:t>
      </w:r>
      <w:r w:rsidR="001665A6">
        <w:t xml:space="preserve"> will not seek another </w:t>
      </w:r>
      <w:r w:rsidR="000D1447">
        <w:t>method</w:t>
      </w:r>
      <w:r w:rsidR="002D2317">
        <w:t>.</w:t>
      </w:r>
    </w:p>
    <w:p w14:paraId="7DA68DEF" w14:textId="4414D723" w:rsidR="00CE725F" w:rsidRDefault="00204FC4" w:rsidP="00CE725F">
      <w:r>
        <w:rPr>
          <w:noProof/>
        </w:rPr>
        <w:drawing>
          <wp:inline distT="0" distB="0" distL="0" distR="0" wp14:anchorId="34CD48F4" wp14:editId="352B0019">
            <wp:extent cx="1925782" cy="1099998"/>
            <wp:effectExtent l="19050" t="19050" r="1778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25782" cy="1099998"/>
                    </a:xfrm>
                    <a:prstGeom prst="rect">
                      <a:avLst/>
                    </a:prstGeom>
                    <a:noFill/>
                    <a:ln>
                      <a:solidFill>
                        <a:schemeClr val="tx1"/>
                      </a:solidFill>
                    </a:ln>
                  </pic:spPr>
                </pic:pic>
              </a:graphicData>
            </a:graphic>
          </wp:inline>
        </w:drawing>
      </w:r>
      <w:r w:rsidR="00E872AD">
        <w:rPr>
          <w:noProof/>
        </w:rPr>
        <w:drawing>
          <wp:inline distT="0" distB="0" distL="0" distR="0" wp14:anchorId="38460B38" wp14:editId="5E061C76">
            <wp:extent cx="1911927" cy="1100864"/>
            <wp:effectExtent l="19050" t="19050" r="12700" b="234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30255" cy="1111417"/>
                    </a:xfrm>
                    <a:prstGeom prst="rect">
                      <a:avLst/>
                    </a:prstGeom>
                    <a:noFill/>
                    <a:ln>
                      <a:solidFill>
                        <a:schemeClr val="tx1"/>
                      </a:solidFill>
                    </a:ln>
                  </pic:spPr>
                </pic:pic>
              </a:graphicData>
            </a:graphic>
          </wp:inline>
        </w:drawing>
      </w:r>
      <w:r w:rsidR="00016ED3">
        <w:rPr>
          <w:noProof/>
        </w:rPr>
        <w:drawing>
          <wp:inline distT="0" distB="0" distL="0" distR="0" wp14:anchorId="6E8E3174" wp14:editId="137412B9">
            <wp:extent cx="1941423" cy="1110201"/>
            <wp:effectExtent l="19050" t="19050" r="20955"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73268" cy="1128412"/>
                    </a:xfrm>
                    <a:prstGeom prst="rect">
                      <a:avLst/>
                    </a:prstGeom>
                    <a:noFill/>
                    <a:ln>
                      <a:solidFill>
                        <a:schemeClr val="tx1"/>
                      </a:solidFill>
                    </a:ln>
                  </pic:spPr>
                </pic:pic>
              </a:graphicData>
            </a:graphic>
          </wp:inline>
        </w:drawing>
      </w:r>
    </w:p>
    <w:p w14:paraId="7F591D85" w14:textId="5EA74F40" w:rsidR="00723449" w:rsidRDefault="00387C03" w:rsidP="00D05863">
      <w:pPr>
        <w:pStyle w:val="Caption"/>
      </w:pPr>
      <w:bookmarkStart w:id="69" w:name="_Ref58949358"/>
      <w:bookmarkStart w:id="70" w:name="_Toc59050120"/>
      <w:r>
        <w:t xml:space="preserve">Figure </w:t>
      </w:r>
      <w:fldSimple w:instr=" STYLEREF 1 \s ">
        <w:r w:rsidR="00A955A5">
          <w:rPr>
            <w:noProof/>
          </w:rPr>
          <w:t>7</w:t>
        </w:r>
      </w:fldSimple>
      <w:r w:rsidR="00A955A5">
        <w:noBreakHyphen/>
      </w:r>
      <w:fldSimple w:instr=" SEQ Figure \* ARABIC \s 1 ">
        <w:r w:rsidR="00A955A5">
          <w:rPr>
            <w:noProof/>
          </w:rPr>
          <w:t>8</w:t>
        </w:r>
      </w:fldSimple>
      <w:bookmarkEnd w:id="69"/>
      <w:r>
        <w:t xml:space="preserve">: </w:t>
      </w:r>
      <w:r w:rsidR="00CE725F" w:rsidRPr="00723449">
        <w:t xml:space="preserve">Number of </w:t>
      </w:r>
      <w:r w:rsidR="000C66DF">
        <w:t>P</w:t>
      </w:r>
      <w:r w:rsidR="00CE725F" w:rsidRPr="00723449">
        <w:t>eople with HUD in MOUD Tx for Bup, MMT, and Viv</w:t>
      </w:r>
      <w:r w:rsidR="00651B54" w:rsidRPr="00723449">
        <w:t xml:space="preserve"> for </w:t>
      </w:r>
      <w:r w:rsidR="000C66DF">
        <w:t>D</w:t>
      </w:r>
      <w:r w:rsidR="00651B54" w:rsidRPr="00723449">
        <w:t xml:space="preserve">ifferent </w:t>
      </w:r>
      <w:r w:rsidR="000E289F">
        <w:t>I</w:t>
      </w:r>
      <w:r w:rsidR="00651B54" w:rsidRPr="00723449">
        <w:t xml:space="preserve">ncreases in </w:t>
      </w:r>
      <w:r w:rsidR="000E289F">
        <w:t>T</w:t>
      </w:r>
      <w:r w:rsidR="00651B54" w:rsidRPr="00723449">
        <w:t xml:space="preserve">reatment </w:t>
      </w:r>
      <w:r w:rsidR="000E289F">
        <w:t>C</w:t>
      </w:r>
      <w:r w:rsidR="00651B54" w:rsidRPr="00723449">
        <w:t>apacities</w:t>
      </w:r>
      <w:r w:rsidR="004E6EB8" w:rsidRPr="00723449">
        <w:t xml:space="preserve"> (ID 9)</w:t>
      </w:r>
      <w:r w:rsidR="00A60CC2" w:rsidRPr="00723449">
        <w:t>.</w:t>
      </w:r>
      <w:bookmarkEnd w:id="70"/>
      <w:r w:rsidR="00A60CC2">
        <w:t xml:space="preserve"> </w:t>
      </w:r>
    </w:p>
    <w:p w14:paraId="799FF5F1" w14:textId="68E0A1D8" w:rsidR="00CE725F" w:rsidRDefault="00723449" w:rsidP="005C10AA">
      <w:pPr>
        <w:jc w:val="center"/>
      </w:pPr>
      <w:r w:rsidRPr="0072710F">
        <w:rPr>
          <w:i/>
          <w:iCs/>
        </w:rPr>
        <w:t>Note</w:t>
      </w:r>
      <w:r w:rsidR="00852ECE">
        <w:rPr>
          <w:i/>
          <w:iCs/>
        </w:rPr>
        <w:t>:</w:t>
      </w:r>
      <w:r w:rsidR="00C448B9" w:rsidRPr="00C448B9">
        <w:rPr>
          <w:i/>
          <w:lang w:eastAsia="en-US"/>
        </w:rPr>
        <w:t xml:space="preserve"> </w:t>
      </w:r>
      <w:r w:rsidR="00C448B9">
        <w:rPr>
          <w:i/>
          <w:lang w:eastAsia="en-US"/>
        </w:rPr>
        <w:t xml:space="preserve">x-axis = year; y-axis = number of people. The vertical line designates the scenario start year. </w:t>
      </w:r>
      <w:r w:rsidRPr="0072710F">
        <w:rPr>
          <w:i/>
          <w:iCs/>
        </w:rPr>
        <w:t xml:space="preserve">The colored lines represent </w:t>
      </w:r>
      <w:r w:rsidR="00EB5E66">
        <w:rPr>
          <w:i/>
          <w:iCs/>
        </w:rPr>
        <w:t>percentage increase in the</w:t>
      </w:r>
      <w:r w:rsidRPr="0072710F">
        <w:rPr>
          <w:i/>
          <w:iCs/>
        </w:rPr>
        <w:t xml:space="preserve"> input values (here inputs are </w:t>
      </w:r>
      <w:r w:rsidRPr="004F49C0">
        <w:rPr>
          <w:b/>
          <w:i/>
          <w:iCs/>
        </w:rPr>
        <w:t>Bup total theoretical capacity</w:t>
      </w:r>
      <w:r w:rsidR="002B787C" w:rsidRPr="004F49C0">
        <w:rPr>
          <w:b/>
          <w:i/>
          <w:iCs/>
        </w:rPr>
        <w:t xml:space="preserve">, </w:t>
      </w:r>
      <w:r w:rsidRPr="004F49C0">
        <w:rPr>
          <w:b/>
          <w:i/>
          <w:iCs/>
        </w:rPr>
        <w:t>MMT capacity estimated</w:t>
      </w:r>
      <w:r w:rsidR="002B787C" w:rsidRPr="004F49C0">
        <w:rPr>
          <w:b/>
          <w:i/>
          <w:iCs/>
        </w:rPr>
        <w:t xml:space="preserve">, and </w:t>
      </w:r>
      <w:r w:rsidRPr="004F49C0">
        <w:rPr>
          <w:b/>
          <w:i/>
          <w:iCs/>
        </w:rPr>
        <w:t>Viv capacity estimated</w:t>
      </w:r>
      <w:r w:rsidR="002B787C" w:rsidRPr="0072710F">
        <w:rPr>
          <w:i/>
          <w:iCs/>
        </w:rPr>
        <w:t>)</w:t>
      </w:r>
      <w:r w:rsidRPr="0072710F">
        <w:rPr>
          <w:i/>
          <w:iCs/>
        </w:rPr>
        <w:t xml:space="preserve"> during each analysis:</w:t>
      </w:r>
      <w:r w:rsidRPr="00723449">
        <w:rPr>
          <w:i/>
          <w:iCs/>
        </w:rPr>
        <w:t xml:space="preserve"> </w:t>
      </w:r>
      <w:r w:rsidR="00217FF4" w:rsidRPr="00723449">
        <w:rPr>
          <w:i/>
          <w:iCs/>
        </w:rPr>
        <w:t>baseline (</w:t>
      </w:r>
      <w:r w:rsidR="00A60CC2" w:rsidRPr="00723449">
        <w:rPr>
          <w:i/>
          <w:iCs/>
        </w:rPr>
        <w:t>black</w:t>
      </w:r>
      <w:r w:rsidR="00217FF4" w:rsidRPr="00723449">
        <w:rPr>
          <w:i/>
          <w:iCs/>
        </w:rPr>
        <w:t>)</w:t>
      </w:r>
      <w:r w:rsidR="00A60CC2" w:rsidRPr="00723449">
        <w:rPr>
          <w:i/>
          <w:iCs/>
        </w:rPr>
        <w:t>, scenario 1 (+10%</w:t>
      </w:r>
      <w:r w:rsidR="00217FF4" w:rsidRPr="00723449">
        <w:rPr>
          <w:i/>
          <w:iCs/>
        </w:rPr>
        <w:t>; orange</w:t>
      </w:r>
      <w:r w:rsidR="00A60CC2" w:rsidRPr="00723449">
        <w:rPr>
          <w:i/>
          <w:iCs/>
        </w:rPr>
        <w:t>), scenario 2 (+20%</w:t>
      </w:r>
      <w:r w:rsidR="00217FF4" w:rsidRPr="00723449">
        <w:rPr>
          <w:i/>
          <w:iCs/>
        </w:rPr>
        <w:t>, green</w:t>
      </w:r>
      <w:r w:rsidR="00A60CC2" w:rsidRPr="00723449">
        <w:rPr>
          <w:i/>
          <w:iCs/>
        </w:rPr>
        <w:t>), and scenario 3 (+50%</w:t>
      </w:r>
      <w:r w:rsidR="00217FF4" w:rsidRPr="00723449">
        <w:rPr>
          <w:i/>
          <w:iCs/>
        </w:rPr>
        <w:t>, red</w:t>
      </w:r>
      <w:r w:rsidR="00A60CC2" w:rsidRPr="00723449">
        <w:rPr>
          <w:i/>
          <w:iCs/>
        </w:rPr>
        <w:t>).</w:t>
      </w:r>
    </w:p>
    <w:p w14:paraId="24FBFBC2" w14:textId="77777777" w:rsidR="00730AF0" w:rsidRDefault="00730AF0" w:rsidP="00F162C3">
      <w:pPr>
        <w:jc w:val="center"/>
      </w:pPr>
      <w:r>
        <w:rPr>
          <w:noProof/>
        </w:rPr>
        <w:drawing>
          <wp:inline distT="0" distB="0" distL="0" distR="0" wp14:anchorId="13FB3BFB" wp14:editId="3824FB87">
            <wp:extent cx="5830070" cy="1842176"/>
            <wp:effectExtent l="19050" t="19050" r="18415"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849210" cy="1848224"/>
                    </a:xfrm>
                    <a:prstGeom prst="rect">
                      <a:avLst/>
                    </a:prstGeom>
                    <a:ln>
                      <a:solidFill>
                        <a:schemeClr val="tx1"/>
                      </a:solidFill>
                    </a:ln>
                  </pic:spPr>
                </pic:pic>
              </a:graphicData>
            </a:graphic>
          </wp:inline>
        </w:drawing>
      </w:r>
    </w:p>
    <w:p w14:paraId="71F5F8EC" w14:textId="23BEFE06" w:rsidR="00730AF0" w:rsidRDefault="001A0582" w:rsidP="00D05863">
      <w:pPr>
        <w:pStyle w:val="Caption"/>
      </w:pPr>
      <w:bookmarkStart w:id="71" w:name="_Ref58949375"/>
      <w:bookmarkStart w:id="72" w:name="_Toc59050121"/>
      <w:r>
        <w:t xml:space="preserve">Figure </w:t>
      </w:r>
      <w:fldSimple w:instr=" STYLEREF 1 \s ">
        <w:r w:rsidR="00A955A5">
          <w:rPr>
            <w:noProof/>
          </w:rPr>
          <w:t>7</w:t>
        </w:r>
      </w:fldSimple>
      <w:r w:rsidR="00A955A5">
        <w:noBreakHyphen/>
      </w:r>
      <w:fldSimple w:instr=" SEQ Figure \* ARABIC \s 1 ">
        <w:r w:rsidR="00A955A5">
          <w:rPr>
            <w:noProof/>
          </w:rPr>
          <w:t>9</w:t>
        </w:r>
      </w:fldSimple>
      <w:bookmarkEnd w:id="71"/>
      <w:r>
        <w:t xml:space="preserve">: </w:t>
      </w:r>
      <w:r w:rsidR="00A77DA5" w:rsidRPr="005A36AE">
        <w:t xml:space="preserve">Number of </w:t>
      </w:r>
      <w:r w:rsidR="002C75DC">
        <w:t>P</w:t>
      </w:r>
      <w:r w:rsidR="00A77DA5" w:rsidRPr="005A36AE">
        <w:t xml:space="preserve">eople with HUD in MOUD Tx </w:t>
      </w:r>
      <w:r w:rsidR="0093657A" w:rsidRPr="005A36AE">
        <w:t>for Bup, MMT, and Viv</w:t>
      </w:r>
      <w:r w:rsidR="008F5048" w:rsidRPr="005A36AE">
        <w:t xml:space="preserve"> for </w:t>
      </w:r>
      <w:r w:rsidR="00D334CA">
        <w:t>the</w:t>
      </w:r>
      <w:r w:rsidR="008F5048" w:rsidRPr="005A36AE">
        <w:t xml:space="preserve"> </w:t>
      </w:r>
      <w:r w:rsidR="002C75DC">
        <w:t>Sc</w:t>
      </w:r>
      <w:r w:rsidR="008F5048" w:rsidRPr="005A36AE">
        <w:t xml:space="preserve">enario </w:t>
      </w:r>
      <w:r w:rsidR="001A14A7">
        <w:t xml:space="preserve">Only </w:t>
      </w:r>
      <w:r w:rsidR="00281DF7">
        <w:t xml:space="preserve">Increasing </w:t>
      </w:r>
      <w:r w:rsidR="008F5048" w:rsidRPr="005A36AE">
        <w:t xml:space="preserve">MMT </w:t>
      </w:r>
      <w:r w:rsidR="004E4F6C">
        <w:t>C</w:t>
      </w:r>
      <w:r w:rsidR="008F5048" w:rsidRPr="005A36AE">
        <w:t xml:space="preserve">apacity </w:t>
      </w:r>
      <w:r w:rsidR="00DD1F54" w:rsidRPr="005A36AE">
        <w:t xml:space="preserve">by </w:t>
      </w:r>
      <w:r w:rsidR="005A36AE" w:rsidRPr="005A36AE">
        <w:t>20%</w:t>
      </w:r>
      <w:bookmarkEnd w:id="72"/>
    </w:p>
    <w:p w14:paraId="6096E615" w14:textId="2817E496" w:rsidR="00852ECE" w:rsidRPr="00852ECE" w:rsidRDefault="00852ECE" w:rsidP="00852ECE">
      <w:pPr>
        <w:jc w:val="center"/>
        <w:rPr>
          <w:lang w:eastAsia="en-US"/>
        </w:rPr>
      </w:pPr>
      <w:r>
        <w:rPr>
          <w:i/>
          <w:lang w:eastAsia="en-US"/>
        </w:rPr>
        <w:t xml:space="preserve">Note: x-axis = year; y-axis = number of people. The vertical line designates the scenario start year. </w:t>
      </w:r>
    </w:p>
    <w:p w14:paraId="48AD8834" w14:textId="74E49AAA" w:rsidR="001A0582" w:rsidRDefault="001A0582" w:rsidP="001A0582">
      <w:pPr>
        <w:rPr>
          <w:lang w:eastAsia="en-US"/>
        </w:rPr>
      </w:pPr>
    </w:p>
    <w:p w14:paraId="010E71CF" w14:textId="77777777" w:rsidR="009D57F3" w:rsidRPr="001A0582" w:rsidRDefault="009D57F3" w:rsidP="001A0582">
      <w:pPr>
        <w:rPr>
          <w:lang w:eastAsia="en-US"/>
        </w:rPr>
      </w:pPr>
    </w:p>
    <w:p w14:paraId="045B5F76" w14:textId="77777777" w:rsidR="00730AF0" w:rsidRDefault="00730AF0" w:rsidP="00F162C3">
      <w:pPr>
        <w:jc w:val="center"/>
      </w:pPr>
      <w:r>
        <w:rPr>
          <w:noProof/>
        </w:rPr>
        <w:lastRenderedPageBreak/>
        <w:drawing>
          <wp:inline distT="0" distB="0" distL="0" distR="0" wp14:anchorId="2476A40F" wp14:editId="22E98D76">
            <wp:extent cx="5808602" cy="1842176"/>
            <wp:effectExtent l="19050" t="19050" r="20955"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832745" cy="1849833"/>
                    </a:xfrm>
                    <a:prstGeom prst="rect">
                      <a:avLst/>
                    </a:prstGeom>
                    <a:ln>
                      <a:solidFill>
                        <a:schemeClr val="tx1"/>
                      </a:solidFill>
                    </a:ln>
                  </pic:spPr>
                </pic:pic>
              </a:graphicData>
            </a:graphic>
          </wp:inline>
        </w:drawing>
      </w:r>
    </w:p>
    <w:p w14:paraId="417AC429" w14:textId="06349E02" w:rsidR="009E79C3" w:rsidRDefault="001A0582" w:rsidP="00D05863">
      <w:pPr>
        <w:pStyle w:val="Caption"/>
      </w:pPr>
      <w:bookmarkStart w:id="73" w:name="_Ref58949394"/>
      <w:bookmarkStart w:id="74" w:name="_Toc59050122"/>
      <w:r>
        <w:t xml:space="preserve">Figure </w:t>
      </w:r>
      <w:fldSimple w:instr=" STYLEREF 1 \s ">
        <w:r w:rsidR="00A955A5">
          <w:rPr>
            <w:noProof/>
          </w:rPr>
          <w:t>7</w:t>
        </w:r>
      </w:fldSimple>
      <w:r w:rsidR="00A955A5">
        <w:noBreakHyphen/>
      </w:r>
      <w:fldSimple w:instr=" SEQ Figure \* ARABIC \s 1 ">
        <w:r w:rsidR="00A955A5">
          <w:rPr>
            <w:noProof/>
          </w:rPr>
          <w:t>10</w:t>
        </w:r>
      </w:fldSimple>
      <w:bookmarkEnd w:id="73"/>
      <w:r>
        <w:t xml:space="preserve">: </w:t>
      </w:r>
      <w:r w:rsidR="00D334CA" w:rsidRPr="005A36AE">
        <w:t xml:space="preserve">Number of </w:t>
      </w:r>
      <w:r w:rsidR="00281DF7">
        <w:t>P</w:t>
      </w:r>
      <w:r w:rsidR="00D334CA" w:rsidRPr="005A36AE">
        <w:t xml:space="preserve">eople with HUD in MOUD Tx for Bup, MMT, and Viv for </w:t>
      </w:r>
      <w:r w:rsidR="00D334CA">
        <w:t>the</w:t>
      </w:r>
      <w:r w:rsidR="00D334CA" w:rsidRPr="005A36AE">
        <w:t xml:space="preserve"> </w:t>
      </w:r>
      <w:r w:rsidR="00D57B19">
        <w:t>S</w:t>
      </w:r>
      <w:r w:rsidR="00D334CA" w:rsidRPr="005A36AE">
        <w:t xml:space="preserve">cenario </w:t>
      </w:r>
      <w:r w:rsidR="001A14A7">
        <w:t xml:space="preserve">Only </w:t>
      </w:r>
      <w:r w:rsidR="00D57B19">
        <w:t>Increasing</w:t>
      </w:r>
      <w:r w:rsidR="00D334CA" w:rsidRPr="005A36AE">
        <w:t xml:space="preserve"> </w:t>
      </w:r>
      <w:r w:rsidR="00D334CA">
        <w:t>Viv</w:t>
      </w:r>
      <w:r w:rsidR="00D334CA" w:rsidRPr="005A36AE">
        <w:t xml:space="preserve"> </w:t>
      </w:r>
      <w:r w:rsidR="00D05863">
        <w:t>C</w:t>
      </w:r>
      <w:r w:rsidR="00D334CA" w:rsidRPr="005A36AE">
        <w:t>apacity by 20%</w:t>
      </w:r>
      <w:bookmarkEnd w:id="74"/>
    </w:p>
    <w:p w14:paraId="201789D7" w14:textId="772B31ED" w:rsidR="00114A18" w:rsidRPr="00114A18" w:rsidRDefault="00AE2E1C" w:rsidP="00114A18">
      <w:pPr>
        <w:jc w:val="center"/>
        <w:rPr>
          <w:lang w:eastAsia="en-US"/>
        </w:rPr>
      </w:pPr>
      <w:r>
        <w:rPr>
          <w:i/>
          <w:lang w:eastAsia="en-US"/>
        </w:rPr>
        <w:t xml:space="preserve">Note: </w:t>
      </w:r>
      <w:r w:rsidR="00114A18">
        <w:rPr>
          <w:i/>
          <w:lang w:eastAsia="en-US"/>
        </w:rPr>
        <w:t xml:space="preserve">x-axis = year; y-axis = number of people. The vertical line designates the scenario start year. </w:t>
      </w:r>
    </w:p>
    <w:p w14:paraId="3AC9CB3E" w14:textId="1A062FE9" w:rsidR="004C5E68" w:rsidRPr="00E418CB" w:rsidRDefault="00AE2E1C" w:rsidP="004C5E68">
      <w:r>
        <w:t>Model v110 assumes</w:t>
      </w:r>
      <w:r w:rsidR="00730AF0" w:rsidRPr="00A4327B">
        <w:t xml:space="preserve"> that there is a relationship between duration of the </w:t>
      </w:r>
      <w:r w:rsidR="0033349A">
        <w:t>treatment</w:t>
      </w:r>
      <w:r w:rsidR="00730AF0" w:rsidRPr="00A4327B">
        <w:t xml:space="preserve"> and effectiveness </w:t>
      </w:r>
      <w:r w:rsidR="00730AF0">
        <w:t xml:space="preserve">of the treatment. To test this </w:t>
      </w:r>
      <w:r w:rsidR="001F0524">
        <w:t>relationship</w:t>
      </w:r>
      <w:r w:rsidR="00730AF0">
        <w:t xml:space="preserve">, we increased the </w:t>
      </w:r>
      <w:r w:rsidR="0070352A">
        <w:t>treatment</w:t>
      </w:r>
      <w:r w:rsidR="00730AF0">
        <w:t xml:space="preserve"> duration by 20%, 40%, and 50%</w:t>
      </w:r>
      <w:r w:rsidR="00C65C63">
        <w:t>,</w:t>
      </w:r>
      <w:r w:rsidR="00730AF0">
        <w:t xml:space="preserve"> and in all scenarios, </w:t>
      </w:r>
      <w:r w:rsidR="00604573">
        <w:t xml:space="preserve">there was </w:t>
      </w:r>
      <w:r w:rsidR="00730AF0">
        <w:t xml:space="preserve">a decrease in </w:t>
      </w:r>
      <w:r w:rsidR="00730AF0" w:rsidRPr="00A4327B">
        <w:rPr>
          <w:b/>
          <w:bCs/>
        </w:rPr>
        <w:t>HUD total</w:t>
      </w:r>
      <w:r w:rsidR="00336CC2">
        <w:rPr>
          <w:b/>
          <w:bCs/>
        </w:rPr>
        <w:t xml:space="preserve"> </w:t>
      </w:r>
      <w:r w:rsidR="00336CC2" w:rsidRPr="00093E3F">
        <w:t>and</w:t>
      </w:r>
      <w:r w:rsidR="00331A2C">
        <w:rPr>
          <w:b/>
          <w:bCs/>
        </w:rPr>
        <w:t xml:space="preserve"> </w:t>
      </w:r>
      <w:r w:rsidR="00730AF0">
        <w:rPr>
          <w:bCs/>
        </w:rPr>
        <w:t>an</w:t>
      </w:r>
      <w:r w:rsidR="00730AF0" w:rsidRPr="004D7A69">
        <w:rPr>
          <w:bCs/>
        </w:rPr>
        <w:t xml:space="preserve"> increase</w:t>
      </w:r>
      <w:r w:rsidR="00730AF0">
        <w:rPr>
          <w:bCs/>
        </w:rPr>
        <w:t xml:space="preserve"> in</w:t>
      </w:r>
      <w:r w:rsidR="00730AF0">
        <w:rPr>
          <w:b/>
          <w:bCs/>
        </w:rPr>
        <w:t xml:space="preserve"> HUD in remission, </w:t>
      </w:r>
      <w:r w:rsidR="00730AF0" w:rsidRPr="00A4327B">
        <w:t>but</w:t>
      </w:r>
      <w:r w:rsidR="00730AF0">
        <w:t xml:space="preserve"> </w:t>
      </w:r>
      <w:r w:rsidR="00336CC2">
        <w:t>there was</w:t>
      </w:r>
      <w:r w:rsidR="00730AF0">
        <w:t xml:space="preserve"> also </w:t>
      </w:r>
      <w:r w:rsidR="00336CC2">
        <w:t>a</w:t>
      </w:r>
      <w:r w:rsidR="001713CB">
        <w:t xml:space="preserve"> min</w:t>
      </w:r>
      <w:r w:rsidR="007D48C5">
        <w:t>or</w:t>
      </w:r>
      <w:r w:rsidR="00336CC2">
        <w:t xml:space="preserve"> increase in</w:t>
      </w:r>
      <w:r w:rsidR="00730AF0">
        <w:t xml:space="preserve"> </w:t>
      </w:r>
      <w:r w:rsidR="00730AF0" w:rsidRPr="00A4327B">
        <w:rPr>
          <w:b/>
          <w:bCs/>
        </w:rPr>
        <w:t>Rx OUD no PY heroin total</w:t>
      </w:r>
      <w:r w:rsidR="00730AF0">
        <w:t xml:space="preserve"> after 2025.</w:t>
      </w:r>
      <w:r w:rsidR="00730AF0" w:rsidRPr="00A4327B">
        <w:t xml:space="preserve"> </w:t>
      </w:r>
      <w:r w:rsidR="007D48C5">
        <w:t>The</w:t>
      </w:r>
      <w:r w:rsidR="006D4E4F">
        <w:t xml:space="preserve"> overall result of the intervention was </w:t>
      </w:r>
      <w:r w:rsidR="00730AF0" w:rsidRPr="00A4327B">
        <w:t xml:space="preserve">to decrease the </w:t>
      </w:r>
      <w:r w:rsidR="00730AF0" w:rsidRPr="00A4327B">
        <w:rPr>
          <w:b/>
          <w:bCs/>
        </w:rPr>
        <w:t xml:space="preserve">Total with UD </w:t>
      </w:r>
      <w:r w:rsidR="00730AF0">
        <w:t xml:space="preserve">(see </w:t>
      </w:r>
      <w:r w:rsidR="00B263FC">
        <w:rPr>
          <w:highlight w:val="yellow"/>
        </w:rPr>
        <w:fldChar w:fldCharType="begin"/>
      </w:r>
      <w:r w:rsidR="00B263FC">
        <w:instrText xml:space="preserve"> REF _Ref58949466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11</w:t>
      </w:r>
      <w:r w:rsidR="00B263FC">
        <w:rPr>
          <w:highlight w:val="yellow"/>
        </w:rPr>
        <w:fldChar w:fldCharType="end"/>
      </w:r>
      <w:r w:rsidR="00730AF0">
        <w:t>)</w:t>
      </w:r>
      <w:r w:rsidR="00730AF0" w:rsidRPr="00A4327B">
        <w:t xml:space="preserve">. </w:t>
      </w:r>
    </w:p>
    <w:p w14:paraId="54B04E3D" w14:textId="27A36258" w:rsidR="004C5E68" w:rsidRPr="00E418CB" w:rsidRDefault="004C5E68" w:rsidP="004C5E68">
      <w:r>
        <w:rPr>
          <w:noProof/>
        </w:rPr>
        <w:drawing>
          <wp:inline distT="0" distB="0" distL="0" distR="0" wp14:anchorId="0AB66742" wp14:editId="5274249D">
            <wp:extent cx="2926080" cy="1622469"/>
            <wp:effectExtent l="19050" t="19050" r="26670" b="158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926080" cy="1622469"/>
                    </a:xfrm>
                    <a:prstGeom prst="rect">
                      <a:avLst/>
                    </a:prstGeom>
                    <a:noFill/>
                    <a:ln>
                      <a:solidFill>
                        <a:schemeClr val="tx1"/>
                      </a:solidFill>
                    </a:ln>
                  </pic:spPr>
                </pic:pic>
              </a:graphicData>
            </a:graphic>
          </wp:inline>
        </w:drawing>
      </w:r>
      <w:r>
        <w:rPr>
          <w:noProof/>
        </w:rPr>
        <w:drawing>
          <wp:inline distT="0" distB="0" distL="0" distR="0" wp14:anchorId="3BB0CEC6" wp14:editId="3280B443">
            <wp:extent cx="2926080" cy="1618197"/>
            <wp:effectExtent l="19050" t="19050" r="2667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926080" cy="1618197"/>
                    </a:xfrm>
                    <a:prstGeom prst="rect">
                      <a:avLst/>
                    </a:prstGeom>
                    <a:noFill/>
                    <a:ln>
                      <a:solidFill>
                        <a:schemeClr val="tx1"/>
                      </a:solidFill>
                    </a:ln>
                  </pic:spPr>
                </pic:pic>
              </a:graphicData>
            </a:graphic>
          </wp:inline>
        </w:drawing>
      </w:r>
      <w:r>
        <w:rPr>
          <w:noProof/>
        </w:rPr>
        <w:drawing>
          <wp:inline distT="0" distB="0" distL="0" distR="0" wp14:anchorId="62731887" wp14:editId="7144EB84">
            <wp:extent cx="2926080" cy="1636900"/>
            <wp:effectExtent l="19050" t="19050" r="26670" b="209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26080" cy="1636900"/>
                    </a:xfrm>
                    <a:prstGeom prst="rect">
                      <a:avLst/>
                    </a:prstGeom>
                    <a:noFill/>
                    <a:ln>
                      <a:solidFill>
                        <a:schemeClr val="tx1"/>
                      </a:solidFill>
                    </a:ln>
                  </pic:spPr>
                </pic:pic>
              </a:graphicData>
            </a:graphic>
          </wp:inline>
        </w:drawing>
      </w:r>
      <w:r>
        <w:rPr>
          <w:noProof/>
        </w:rPr>
        <w:drawing>
          <wp:inline distT="0" distB="0" distL="0" distR="0" wp14:anchorId="0FB623F2" wp14:editId="7C11ECB3">
            <wp:extent cx="2926080" cy="1631348"/>
            <wp:effectExtent l="19050" t="19050" r="26670" b="260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26080" cy="1631348"/>
                    </a:xfrm>
                    <a:prstGeom prst="rect">
                      <a:avLst/>
                    </a:prstGeom>
                    <a:noFill/>
                    <a:ln>
                      <a:solidFill>
                        <a:schemeClr val="tx1"/>
                      </a:solidFill>
                    </a:ln>
                  </pic:spPr>
                </pic:pic>
              </a:graphicData>
            </a:graphic>
          </wp:inline>
        </w:drawing>
      </w:r>
    </w:p>
    <w:p w14:paraId="2007E1BD" w14:textId="7F4DAF22" w:rsidR="0072710F" w:rsidRPr="006C68BA" w:rsidRDefault="001A0582" w:rsidP="00D05863">
      <w:pPr>
        <w:pStyle w:val="Caption"/>
      </w:pPr>
      <w:bookmarkStart w:id="75" w:name="_Ref58949466"/>
      <w:bookmarkStart w:id="76" w:name="_Toc59050123"/>
      <w:r>
        <w:t xml:space="preserve">Figure </w:t>
      </w:r>
      <w:fldSimple w:instr=" STYLEREF 1 \s ">
        <w:r w:rsidR="00A955A5">
          <w:rPr>
            <w:noProof/>
          </w:rPr>
          <w:t>7</w:t>
        </w:r>
      </w:fldSimple>
      <w:r w:rsidR="00A955A5">
        <w:noBreakHyphen/>
      </w:r>
      <w:fldSimple w:instr=" SEQ Figure \* ARABIC \s 1 ">
        <w:r w:rsidR="00A955A5">
          <w:rPr>
            <w:noProof/>
          </w:rPr>
          <w:t>11</w:t>
        </w:r>
      </w:fldSimple>
      <w:bookmarkEnd w:id="75"/>
      <w:r>
        <w:t>:</w:t>
      </w:r>
      <w:r w:rsidR="00E645EC" w:rsidRPr="006C68BA">
        <w:t xml:space="preserve"> </w:t>
      </w:r>
      <w:r w:rsidR="006F0334" w:rsidRPr="006C68BA">
        <w:t xml:space="preserve">Results of </w:t>
      </w:r>
      <w:r w:rsidR="00697306">
        <w:t>I</w:t>
      </w:r>
      <w:r w:rsidR="006F0334" w:rsidRPr="006C68BA">
        <w:t xml:space="preserve">ncreasing </w:t>
      </w:r>
      <w:r w:rsidR="006C68BA" w:rsidRPr="006C68BA">
        <w:t xml:space="preserve">the </w:t>
      </w:r>
      <w:r w:rsidR="00DC6574">
        <w:t>D</w:t>
      </w:r>
      <w:r w:rsidR="006C68BA" w:rsidRPr="006C68BA">
        <w:t xml:space="preserve">uration of the </w:t>
      </w:r>
      <w:r w:rsidR="00DC6574">
        <w:t>T</w:t>
      </w:r>
      <w:r w:rsidR="006C68BA" w:rsidRPr="006C68BA">
        <w:t xml:space="preserve">reatments on </w:t>
      </w:r>
      <w:r w:rsidR="00DC6574">
        <w:t>D</w:t>
      </w:r>
      <w:r w:rsidR="006C68BA" w:rsidRPr="006C68BA">
        <w:t xml:space="preserve">ifferent </w:t>
      </w:r>
      <w:r w:rsidR="00DC6574">
        <w:t>O</w:t>
      </w:r>
      <w:r w:rsidR="006C68BA" w:rsidRPr="006C68BA">
        <w:t xml:space="preserve">utput </w:t>
      </w:r>
      <w:r w:rsidR="00DC6574">
        <w:t>V</w:t>
      </w:r>
      <w:r w:rsidR="006C68BA" w:rsidRPr="006C68BA">
        <w:t>ariables (ID 7)</w:t>
      </w:r>
      <w:bookmarkEnd w:id="76"/>
    </w:p>
    <w:p w14:paraId="588ED3A1" w14:textId="3B72588B" w:rsidR="00730AF0" w:rsidRPr="00A4327B" w:rsidRDefault="0072710F" w:rsidP="00712D21">
      <w:pPr>
        <w:jc w:val="center"/>
      </w:pPr>
      <w:r w:rsidRPr="002822FE">
        <w:rPr>
          <w:i/>
          <w:iCs/>
        </w:rPr>
        <w:t xml:space="preserve">Note: </w:t>
      </w:r>
      <w:r w:rsidR="00712D21">
        <w:rPr>
          <w:i/>
          <w:lang w:eastAsia="en-US"/>
        </w:rPr>
        <w:t xml:space="preserve">x-axes = year; y-axes = number of people. The vertical line designates the scenario start year. </w:t>
      </w:r>
      <w:r w:rsidRPr="0072710F">
        <w:rPr>
          <w:i/>
          <w:iCs/>
        </w:rPr>
        <w:t xml:space="preserve">The colored lines represent </w:t>
      </w:r>
      <w:r w:rsidR="00EB5E66">
        <w:rPr>
          <w:i/>
          <w:iCs/>
        </w:rPr>
        <w:t>percentage increase in the</w:t>
      </w:r>
      <w:r w:rsidRPr="0072710F">
        <w:rPr>
          <w:i/>
          <w:iCs/>
        </w:rPr>
        <w:t xml:space="preserve"> input values (</w:t>
      </w:r>
      <w:r w:rsidR="0005481F">
        <w:rPr>
          <w:i/>
          <w:iCs/>
        </w:rPr>
        <w:t>here,</w:t>
      </w:r>
      <w:r w:rsidR="00ED021F">
        <w:rPr>
          <w:i/>
          <w:iCs/>
        </w:rPr>
        <w:t xml:space="preserve"> </w:t>
      </w:r>
      <w:r w:rsidR="00ED021F" w:rsidRPr="004E4F6C">
        <w:rPr>
          <w:b/>
          <w:i/>
          <w:iCs/>
        </w:rPr>
        <w:t>Tx average duration net</w:t>
      </w:r>
      <w:r w:rsidRPr="0072710F">
        <w:rPr>
          <w:i/>
          <w:iCs/>
        </w:rPr>
        <w:t>) during each analysis</w:t>
      </w:r>
      <w:r w:rsidRPr="00817BD6">
        <w:rPr>
          <w:i/>
          <w:iCs/>
        </w:rPr>
        <w:t xml:space="preserve">: </w:t>
      </w:r>
      <w:r w:rsidR="00E645EC" w:rsidRPr="00817BD6">
        <w:rPr>
          <w:i/>
        </w:rPr>
        <w:t>Baseline</w:t>
      </w:r>
      <w:r w:rsidR="00845D6F" w:rsidRPr="00817BD6">
        <w:rPr>
          <w:i/>
        </w:rPr>
        <w:t xml:space="preserve"> </w:t>
      </w:r>
      <w:r w:rsidR="00845D6F" w:rsidRPr="00817BD6">
        <w:rPr>
          <w:i/>
          <w:iCs/>
        </w:rPr>
        <w:t>(b</w:t>
      </w:r>
      <w:r w:rsidR="00E645EC" w:rsidRPr="00817BD6">
        <w:rPr>
          <w:i/>
          <w:iCs/>
        </w:rPr>
        <w:t>lack</w:t>
      </w:r>
      <w:r w:rsidR="00E645EC" w:rsidRPr="00817BD6">
        <w:rPr>
          <w:i/>
        </w:rPr>
        <w:t xml:space="preserve"> line</w:t>
      </w:r>
      <w:r w:rsidR="00845D6F" w:rsidRPr="00817BD6">
        <w:rPr>
          <w:i/>
        </w:rPr>
        <w:t>)</w:t>
      </w:r>
      <w:r w:rsidR="00E645EC" w:rsidRPr="00817BD6">
        <w:rPr>
          <w:i/>
        </w:rPr>
        <w:t>, scenario 1 (+20%</w:t>
      </w:r>
      <w:r w:rsidR="00845D6F" w:rsidRPr="00817BD6">
        <w:rPr>
          <w:i/>
        </w:rPr>
        <w:t xml:space="preserve">, </w:t>
      </w:r>
      <w:r w:rsidR="00E645EC" w:rsidRPr="00817BD6">
        <w:rPr>
          <w:i/>
        </w:rPr>
        <w:t>orange</w:t>
      </w:r>
      <w:r w:rsidR="00845D6F" w:rsidRPr="00817BD6">
        <w:rPr>
          <w:i/>
        </w:rPr>
        <w:t>)</w:t>
      </w:r>
      <w:r w:rsidR="00E645EC" w:rsidRPr="00817BD6">
        <w:rPr>
          <w:i/>
        </w:rPr>
        <w:t>, scenario</w:t>
      </w:r>
      <w:r w:rsidR="00845D6F" w:rsidRPr="00817BD6">
        <w:rPr>
          <w:i/>
        </w:rPr>
        <w:t xml:space="preserve"> </w:t>
      </w:r>
      <w:r w:rsidR="00E645EC" w:rsidRPr="00817BD6">
        <w:rPr>
          <w:i/>
        </w:rPr>
        <w:t>2</w:t>
      </w:r>
      <w:r w:rsidR="00CA2E84" w:rsidRPr="00817BD6">
        <w:rPr>
          <w:i/>
        </w:rPr>
        <w:t xml:space="preserve"> </w:t>
      </w:r>
      <w:r w:rsidR="00E645EC" w:rsidRPr="00817BD6">
        <w:rPr>
          <w:i/>
        </w:rPr>
        <w:t>(+40</w:t>
      </w:r>
      <w:r w:rsidR="00E645EC" w:rsidRPr="00817BD6">
        <w:rPr>
          <w:i/>
          <w:iCs/>
        </w:rPr>
        <w:t>%</w:t>
      </w:r>
      <w:r w:rsidR="00845D6F" w:rsidRPr="00817BD6">
        <w:rPr>
          <w:i/>
          <w:iCs/>
        </w:rPr>
        <w:t xml:space="preserve">, </w:t>
      </w:r>
      <w:r w:rsidR="00E645EC" w:rsidRPr="00817BD6">
        <w:rPr>
          <w:i/>
        </w:rPr>
        <w:t>green</w:t>
      </w:r>
      <w:r w:rsidR="00845D6F" w:rsidRPr="00817BD6">
        <w:rPr>
          <w:i/>
        </w:rPr>
        <w:t>)</w:t>
      </w:r>
      <w:r w:rsidR="00E645EC" w:rsidRPr="00817BD6">
        <w:rPr>
          <w:i/>
        </w:rPr>
        <w:t xml:space="preserve">, </w:t>
      </w:r>
      <w:r w:rsidR="00845D6F" w:rsidRPr="00817BD6">
        <w:rPr>
          <w:i/>
        </w:rPr>
        <w:t xml:space="preserve">and </w:t>
      </w:r>
      <w:r w:rsidR="00E645EC" w:rsidRPr="00817BD6">
        <w:rPr>
          <w:i/>
        </w:rPr>
        <w:t>scenario</w:t>
      </w:r>
      <w:r w:rsidR="00845D6F" w:rsidRPr="00817BD6">
        <w:rPr>
          <w:i/>
        </w:rPr>
        <w:t xml:space="preserve"> </w:t>
      </w:r>
      <w:r w:rsidR="00E645EC" w:rsidRPr="00817BD6">
        <w:rPr>
          <w:i/>
        </w:rPr>
        <w:t>3</w:t>
      </w:r>
      <w:r w:rsidR="00845D6F" w:rsidRPr="00817BD6">
        <w:rPr>
          <w:i/>
        </w:rPr>
        <w:t xml:space="preserve"> </w:t>
      </w:r>
      <w:r w:rsidR="00E645EC" w:rsidRPr="00817BD6">
        <w:rPr>
          <w:i/>
        </w:rPr>
        <w:t>(+50</w:t>
      </w:r>
      <w:r w:rsidR="00E645EC" w:rsidRPr="00817BD6">
        <w:rPr>
          <w:i/>
          <w:iCs/>
        </w:rPr>
        <w:t>%</w:t>
      </w:r>
      <w:r w:rsidR="00845D6F" w:rsidRPr="00817BD6">
        <w:rPr>
          <w:i/>
          <w:iCs/>
        </w:rPr>
        <w:t xml:space="preserve">, </w:t>
      </w:r>
      <w:r w:rsidR="00E645EC" w:rsidRPr="00817BD6">
        <w:rPr>
          <w:i/>
        </w:rPr>
        <w:t>red</w:t>
      </w:r>
      <w:r w:rsidR="00845D6F" w:rsidRPr="00817BD6">
        <w:rPr>
          <w:i/>
        </w:rPr>
        <w:t>)</w:t>
      </w:r>
      <w:r w:rsidR="00E645EC" w:rsidRPr="00817BD6">
        <w:rPr>
          <w:i/>
        </w:rPr>
        <w:t>.</w:t>
      </w:r>
    </w:p>
    <w:p w14:paraId="59D5DD83" w14:textId="31315CA4" w:rsidR="00672049" w:rsidRDefault="00730AF0" w:rsidP="00DF1814">
      <w:r>
        <w:lastRenderedPageBreak/>
        <w:t xml:space="preserve">Treatment expansion (e.g., increasing </w:t>
      </w:r>
      <w:r w:rsidR="00427F55">
        <w:t>treatment</w:t>
      </w:r>
      <w:r>
        <w:t xml:space="preserve"> seeking rate) results in </w:t>
      </w:r>
      <w:r w:rsidR="00563EE9">
        <w:t xml:space="preserve">a </w:t>
      </w:r>
      <w:r>
        <w:t xml:space="preserve">reduction in </w:t>
      </w:r>
      <w:r w:rsidR="00563EE9">
        <w:t>the</w:t>
      </w:r>
      <w:r>
        <w:t xml:space="preserve"> number of overdose death</w:t>
      </w:r>
      <w:r w:rsidR="00563EE9">
        <w:t>s</w:t>
      </w:r>
      <w:r>
        <w:t xml:space="preserve"> </w:t>
      </w:r>
      <w:r w:rsidR="0038622E">
        <w:t xml:space="preserve">compared to baseline </w:t>
      </w:r>
      <w:r>
        <w:t xml:space="preserve">in people with HUD and in people with Rx OUD. However, the </w:t>
      </w:r>
      <w:r w:rsidR="008E01A7">
        <w:t>decrease</w:t>
      </w:r>
      <w:r>
        <w:t xml:space="preserve"> is </w:t>
      </w:r>
      <w:r w:rsidR="008E01A7">
        <w:t>greater</w:t>
      </w:r>
      <w:r>
        <w:t xml:space="preserve"> for people with HUD than </w:t>
      </w:r>
      <w:r w:rsidR="008E01A7">
        <w:t xml:space="preserve">for people with </w:t>
      </w:r>
      <w:r>
        <w:t>Rx OUD</w:t>
      </w:r>
      <w:r w:rsidR="00764130">
        <w:t xml:space="preserve"> (e.g., </w:t>
      </w:r>
      <w:r w:rsidR="00605DF0">
        <w:t>-10.18% and -1.50%</w:t>
      </w:r>
      <w:r w:rsidR="00764130">
        <w:t xml:space="preserve">, respectively, </w:t>
      </w:r>
      <w:r w:rsidR="00435D08">
        <w:t>compared to the baseline in 2030 for the scenario</w:t>
      </w:r>
      <w:r w:rsidR="00334E2F">
        <w:t xml:space="preserve"> of setting </w:t>
      </w:r>
      <w:r w:rsidR="00427F55">
        <w:t>treatment</w:t>
      </w:r>
      <w:r w:rsidR="00EF57BD">
        <w:t xml:space="preserve"> seeking rate to 0.65</w:t>
      </w:r>
      <w:r w:rsidR="00050A90">
        <w:t xml:space="preserve">; see </w:t>
      </w:r>
      <w:r w:rsidR="00B263FC">
        <w:rPr>
          <w:highlight w:val="yellow"/>
        </w:rPr>
        <w:fldChar w:fldCharType="begin"/>
      </w:r>
      <w:r w:rsidR="00B263FC">
        <w:instrText xml:space="preserve"> REF _Ref58949497 \h </w:instrText>
      </w:r>
      <w:r w:rsidR="00B263FC">
        <w:rPr>
          <w:highlight w:val="yellow"/>
        </w:rPr>
      </w:r>
      <w:r w:rsidR="00B263FC">
        <w:rPr>
          <w:highlight w:val="yellow"/>
        </w:rPr>
        <w:fldChar w:fldCharType="separate"/>
      </w:r>
      <w:r w:rsidR="00B263FC">
        <w:t xml:space="preserve">Table </w:t>
      </w:r>
      <w:r w:rsidR="00B263FC">
        <w:rPr>
          <w:noProof/>
        </w:rPr>
        <w:t>11</w:t>
      </w:r>
      <w:r w:rsidR="00B263FC">
        <w:noBreakHyphen/>
      </w:r>
      <w:r w:rsidR="00B263FC">
        <w:rPr>
          <w:noProof/>
        </w:rPr>
        <w:t>2</w:t>
      </w:r>
      <w:r w:rsidR="00B263FC">
        <w:rPr>
          <w:highlight w:val="yellow"/>
        </w:rPr>
        <w:fldChar w:fldCharType="end"/>
      </w:r>
      <w:r w:rsidR="00050A90">
        <w:t xml:space="preserve"> in the </w:t>
      </w:r>
      <w:hyperlink w:anchor="_Appendix" w:history="1">
        <w:r w:rsidR="00495F03" w:rsidRPr="00495F03">
          <w:rPr>
            <w:rStyle w:val="Hyperlink"/>
          </w:rPr>
          <w:t>A</w:t>
        </w:r>
        <w:r w:rsidR="00050A90" w:rsidRPr="00495F03">
          <w:rPr>
            <w:rStyle w:val="Hyperlink"/>
          </w:rPr>
          <w:t>ppendix</w:t>
        </w:r>
      </w:hyperlink>
      <w:r w:rsidR="00764130">
        <w:t>)</w:t>
      </w:r>
      <w:r>
        <w:t xml:space="preserve">. These findings are </w:t>
      </w:r>
      <w:r w:rsidR="00895789">
        <w:t xml:space="preserve">qualitatively </w:t>
      </w:r>
      <w:r>
        <w:t>consistent with the findings in Pitt’s paper.</w:t>
      </w:r>
    </w:p>
    <w:p w14:paraId="18596079" w14:textId="674C9D27" w:rsidR="00672049" w:rsidRDefault="0009385A" w:rsidP="00507F7D">
      <w:pPr>
        <w:pStyle w:val="Heading3"/>
      </w:pPr>
      <w:bookmarkStart w:id="77" w:name="_Toc59050084"/>
      <w:r>
        <w:t xml:space="preserve">7.5.3 </w:t>
      </w:r>
      <w:r w:rsidR="006604AD">
        <w:t>C</w:t>
      </w:r>
      <w:r w:rsidR="008E781F">
        <w:t>ombinatio</w:t>
      </w:r>
      <w:r w:rsidR="004B0444">
        <w:t>n</w:t>
      </w:r>
      <w:r w:rsidR="006604AD">
        <w:t xml:space="preserve"> </w:t>
      </w:r>
      <w:r w:rsidR="008E781F">
        <w:t>of</w:t>
      </w:r>
      <w:r w:rsidR="00807074">
        <w:t xml:space="preserve"> </w:t>
      </w:r>
      <w:r w:rsidR="00D9054F">
        <w:t>I</w:t>
      </w:r>
      <w:r w:rsidR="00B02D00">
        <w:t>ncreasing</w:t>
      </w:r>
      <w:r w:rsidR="00D9054F">
        <w:t xml:space="preserve"> N</w:t>
      </w:r>
      <w:r w:rsidR="00B02D00">
        <w:t>x</w:t>
      </w:r>
      <w:r w:rsidR="00D9054F">
        <w:t xml:space="preserve"> A</w:t>
      </w:r>
      <w:r w:rsidR="00B02D00">
        <w:t>vailability</w:t>
      </w:r>
      <w:r w:rsidR="00D9054F">
        <w:t xml:space="preserve"> </w:t>
      </w:r>
      <w:r w:rsidR="00B02D00">
        <w:t>and</w:t>
      </w:r>
      <w:r w:rsidR="00D9054F">
        <w:t xml:space="preserve"> T</w:t>
      </w:r>
      <w:r w:rsidR="00B02D00">
        <w:t>reatment</w:t>
      </w:r>
      <w:r w:rsidR="00D9054F">
        <w:t xml:space="preserve"> E</w:t>
      </w:r>
      <w:r w:rsidR="00AB2BD6">
        <w:t>xpansion</w:t>
      </w:r>
      <w:r w:rsidR="004A0A37">
        <w:t xml:space="preserve"> P</w:t>
      </w:r>
      <w:r w:rsidR="00AB2BD6">
        <w:t>olicies</w:t>
      </w:r>
      <w:bookmarkEnd w:id="77"/>
    </w:p>
    <w:p w14:paraId="519853F1" w14:textId="38C95D6D" w:rsidR="00A00ECD" w:rsidRDefault="001238D7" w:rsidP="00030D61">
      <w:pPr>
        <w:sectPr w:rsidR="00A00ECD" w:rsidSect="00230490">
          <w:headerReference w:type="default" r:id="rId50"/>
          <w:pgSz w:w="12240" w:h="15840" w:code="1"/>
          <w:pgMar w:top="1440" w:right="1440" w:bottom="1440" w:left="1440" w:header="720" w:footer="720" w:gutter="0"/>
          <w:cols w:space="720"/>
          <w:noEndnote/>
          <w:docGrid w:linePitch="326"/>
        </w:sectPr>
      </w:pPr>
      <w:r>
        <w:t>We</w:t>
      </w:r>
      <w:r w:rsidR="002868E5">
        <w:t xml:space="preserve"> explore</w:t>
      </w:r>
      <w:r>
        <w:t>d</w:t>
      </w:r>
      <w:r w:rsidR="002868E5">
        <w:t xml:space="preserve"> </w:t>
      </w:r>
      <w:r w:rsidR="00CD783B">
        <w:t xml:space="preserve">the combined implementation of </w:t>
      </w:r>
      <w:r w:rsidR="00AC2764">
        <w:t xml:space="preserve">interventions </w:t>
      </w:r>
      <w:r w:rsidR="00496105">
        <w:t xml:space="preserve">involving </w:t>
      </w:r>
      <w:r w:rsidR="00654838">
        <w:t>both</w:t>
      </w:r>
      <w:r w:rsidR="00496105">
        <w:t xml:space="preserve"> </w:t>
      </w:r>
      <w:r w:rsidR="0061726B">
        <w:t xml:space="preserve">increasing naloxone availability </w:t>
      </w:r>
      <w:r w:rsidR="00A00ECD">
        <w:t>(</w:t>
      </w:r>
      <w:r w:rsidR="00564522">
        <w:t>i</w:t>
      </w:r>
      <w:r w:rsidR="00A00ECD">
        <w:t>.</w:t>
      </w:r>
      <w:r w:rsidR="00564522">
        <w:t>e</w:t>
      </w:r>
      <w:r w:rsidR="00A00ECD">
        <w:t xml:space="preserve">., probability </w:t>
      </w:r>
      <w:r w:rsidR="00427F55">
        <w:t>naloxone</w:t>
      </w:r>
      <w:r w:rsidR="00A00ECD">
        <w:t xml:space="preserve"> bystander and </w:t>
      </w:r>
      <w:r w:rsidR="00427F55">
        <w:t>naloxone</w:t>
      </w:r>
      <w:r w:rsidR="00A00ECD">
        <w:t xml:space="preserve"> kits distributed) and treatment expansion (</w:t>
      </w:r>
      <w:r w:rsidR="00564522">
        <w:t>i.e</w:t>
      </w:r>
      <w:r w:rsidR="00A00ECD">
        <w:t xml:space="preserve">., </w:t>
      </w:r>
      <w:r w:rsidR="00427F55">
        <w:t>treatment</w:t>
      </w:r>
      <w:r w:rsidR="00A00ECD">
        <w:t xml:space="preserve"> capacity, </w:t>
      </w:r>
      <w:r w:rsidR="00427F55">
        <w:t xml:space="preserve">treatment </w:t>
      </w:r>
      <w:r w:rsidR="00A00ECD">
        <w:t xml:space="preserve">seeking rate, and </w:t>
      </w:r>
      <w:r w:rsidR="00495F03">
        <w:t>treatment</w:t>
      </w:r>
      <w:r w:rsidR="00A00ECD">
        <w:t xml:space="preserve"> duration). </w:t>
      </w:r>
      <w:r w:rsidR="006937A3">
        <w:t xml:space="preserve">Each </w:t>
      </w:r>
      <w:r w:rsidR="00A00ECD">
        <w:t>polic</w:t>
      </w:r>
      <w:r w:rsidR="00A222BB">
        <w:t>y</w:t>
      </w:r>
      <w:r w:rsidR="00A00ECD">
        <w:t xml:space="preserve"> involved </w:t>
      </w:r>
      <w:r w:rsidR="009D4181">
        <w:t xml:space="preserve">adjusting </w:t>
      </w:r>
      <w:r w:rsidR="00A00ECD">
        <w:t>at least three policy levers</w:t>
      </w:r>
      <w:r w:rsidR="009D4181">
        <w:t>,</w:t>
      </w:r>
      <w:r w:rsidR="00A00ECD">
        <w:t xml:space="preserve"> and in each case</w:t>
      </w:r>
      <w:r w:rsidR="00A00ECD" w:rsidDel="008B0822">
        <w:t>,</w:t>
      </w:r>
      <w:r w:rsidR="00A00ECD">
        <w:t xml:space="preserve"> we tested </w:t>
      </w:r>
      <w:r w:rsidR="00A00ECD" w:rsidRPr="00DF1814">
        <w:t>different scenarios. The details</w:t>
      </w:r>
      <w:r w:rsidR="00B42AE6" w:rsidRPr="00DF1814">
        <w:t xml:space="preserve"> of inputs</w:t>
      </w:r>
      <w:r w:rsidR="00A00ECD" w:rsidRPr="00DF1814">
        <w:t xml:space="preserve"> for</w:t>
      </w:r>
      <w:r w:rsidR="00357608" w:rsidRPr="00DF1814">
        <w:t xml:space="preserve"> </w:t>
      </w:r>
      <w:r w:rsidR="00A00ECD" w:rsidRPr="00DF1814">
        <w:t>each policy and list</w:t>
      </w:r>
      <w:r w:rsidR="00B42AE6" w:rsidRPr="00DF1814">
        <w:t>s</w:t>
      </w:r>
      <w:r w:rsidR="00A00ECD" w:rsidRPr="00DF1814">
        <w:t xml:space="preserve"> of scenarios are provided in </w:t>
      </w:r>
      <w:r w:rsidR="00B263FC" w:rsidRPr="00DF1814">
        <w:fldChar w:fldCharType="begin"/>
      </w:r>
      <w:r w:rsidR="00B263FC" w:rsidRPr="00DF1814">
        <w:instrText xml:space="preserve"> REF _Ref58949508 \h </w:instrText>
      </w:r>
      <w:r w:rsidR="00DF1814">
        <w:instrText xml:space="preserve"> \* MERGEFORMAT </w:instrText>
      </w:r>
      <w:r w:rsidR="00B263FC" w:rsidRPr="00DF1814">
        <w:fldChar w:fldCharType="separate"/>
      </w:r>
      <w:r w:rsidR="00B263FC" w:rsidRPr="00DF1814">
        <w:t xml:space="preserve">Table </w:t>
      </w:r>
      <w:r w:rsidR="00B263FC" w:rsidRPr="00DF1814">
        <w:rPr>
          <w:noProof/>
        </w:rPr>
        <w:t>7</w:t>
      </w:r>
      <w:r w:rsidR="00B263FC" w:rsidRPr="00DF1814">
        <w:noBreakHyphen/>
      </w:r>
      <w:r w:rsidR="00B263FC" w:rsidRPr="00DF1814">
        <w:rPr>
          <w:noProof/>
        </w:rPr>
        <w:t>3</w:t>
      </w:r>
      <w:r w:rsidR="00B263FC" w:rsidRPr="00DF1814">
        <w:fldChar w:fldCharType="end"/>
      </w:r>
      <w:r w:rsidR="00A00ECD" w:rsidRPr="00DF1814">
        <w:t>.</w:t>
      </w:r>
      <w:r w:rsidR="00D118A7" w:rsidRPr="00DF1814">
        <w:t xml:space="preserve"> </w:t>
      </w:r>
      <w:r w:rsidR="00BB5A38">
        <w:t>Informal, supplemental</w:t>
      </w:r>
      <w:r w:rsidR="00BB5A38" w:rsidRPr="00D82087">
        <w:t xml:space="preserve"> results, including graph</w:t>
      </w:r>
      <w:r w:rsidR="00BB5A38">
        <w:t>-</w:t>
      </w:r>
      <w:r w:rsidR="00BB5A38" w:rsidRPr="00D82087">
        <w:t>over</w:t>
      </w:r>
      <w:r w:rsidR="00BB5A38">
        <w:t>-</w:t>
      </w:r>
      <w:r w:rsidR="00BB5A38" w:rsidRPr="00D82087">
        <w:t>time</w:t>
      </w:r>
      <w:r w:rsidR="00BB5A38">
        <w:t xml:space="preserve"> </w:t>
      </w:r>
      <w:r w:rsidR="00BB5A38" w:rsidRPr="00D82087">
        <w:t xml:space="preserve">plots for all the policies and scenarios </w:t>
      </w:r>
      <w:r w:rsidR="00BB5A38" w:rsidRPr="00DF1814">
        <w:t xml:space="preserve">in </w:t>
      </w:r>
      <w:r w:rsidR="00BB5A38" w:rsidRPr="00DF1814">
        <w:fldChar w:fldCharType="begin"/>
      </w:r>
      <w:r w:rsidR="00BB5A38" w:rsidRPr="00DF1814">
        <w:instrText xml:space="preserve"> REF _Ref58949508 \h </w:instrText>
      </w:r>
      <w:r w:rsidR="00BB5A38">
        <w:instrText xml:space="preserve"> \* MERGEFORMAT </w:instrText>
      </w:r>
      <w:r w:rsidR="00BB5A38" w:rsidRPr="00DF1814">
        <w:fldChar w:fldCharType="separate"/>
      </w:r>
      <w:r w:rsidR="00BB5A38" w:rsidRPr="00DF1814">
        <w:t xml:space="preserve">Table </w:t>
      </w:r>
      <w:r w:rsidR="00BB5A38" w:rsidRPr="00DF1814">
        <w:rPr>
          <w:noProof/>
        </w:rPr>
        <w:t>7</w:t>
      </w:r>
      <w:r w:rsidR="00BB5A38" w:rsidRPr="00DF1814">
        <w:noBreakHyphen/>
      </w:r>
      <w:r w:rsidR="00BB5A38" w:rsidRPr="00DF1814">
        <w:rPr>
          <w:noProof/>
        </w:rPr>
        <w:t>3</w:t>
      </w:r>
      <w:r w:rsidR="00BB5A38" w:rsidRPr="00DF1814">
        <w:fldChar w:fldCharType="end"/>
      </w:r>
      <w:r w:rsidR="00BB5A38">
        <w:t xml:space="preserve">, can be found </w:t>
      </w:r>
      <w:r w:rsidR="00BB5A38" w:rsidRPr="00D82087">
        <w:t xml:space="preserve">in the </w:t>
      </w:r>
      <w:hyperlink r:id="rId51" w:history="1">
        <w:r w:rsidR="00E93B97" w:rsidRPr="0014129C">
          <w:rPr>
            <w:rStyle w:val="Hyperlink"/>
          </w:rPr>
          <w:t>GeneratingScenario.zip</w:t>
        </w:r>
      </w:hyperlink>
      <w:r w:rsidR="00E93B97">
        <w:t xml:space="preserve"> </w:t>
      </w:r>
      <w:r w:rsidR="00BB5A38" w:rsidRPr="00D82087">
        <w:t>file.</w:t>
      </w:r>
    </w:p>
    <w:p w14:paraId="66229450" w14:textId="0AE93156" w:rsidR="001A0582" w:rsidRDefault="001A0582" w:rsidP="00D05863">
      <w:pPr>
        <w:pStyle w:val="Caption"/>
      </w:pPr>
      <w:bookmarkStart w:id="78" w:name="_Ref58949508"/>
      <w:bookmarkStart w:id="79" w:name="_Toc59050106"/>
      <w:r>
        <w:lastRenderedPageBreak/>
        <w:t xml:space="preserve">Table </w:t>
      </w:r>
      <w:fldSimple w:instr=" STYLEREF 1 \s ">
        <w:r w:rsidR="00564EC2">
          <w:rPr>
            <w:noProof/>
          </w:rPr>
          <w:t>7</w:t>
        </w:r>
      </w:fldSimple>
      <w:r w:rsidR="00564EC2">
        <w:noBreakHyphen/>
      </w:r>
      <w:fldSimple w:instr=" SEQ Table \* ARABIC \s 1 ">
        <w:r w:rsidR="00564EC2">
          <w:rPr>
            <w:noProof/>
          </w:rPr>
          <w:t>3</w:t>
        </w:r>
      </w:fldSimple>
      <w:bookmarkEnd w:id="78"/>
      <w:r>
        <w:t xml:space="preserve">: </w:t>
      </w:r>
      <w:r w:rsidR="00D562F4">
        <w:t>Polic</w:t>
      </w:r>
      <w:r w:rsidR="00BD728F">
        <w:t>y Interventions</w:t>
      </w:r>
      <w:r w:rsidR="00D562F4">
        <w:t xml:space="preserve"> Tested for </w:t>
      </w:r>
      <w:r w:rsidR="00700C7E">
        <w:t>C</w:t>
      </w:r>
      <w:r>
        <w:t xml:space="preserve">ombination of </w:t>
      </w:r>
      <w:r w:rsidR="00700C7E">
        <w:t>I</w:t>
      </w:r>
      <w:r w:rsidRPr="00C37F5E">
        <w:t xml:space="preserve">ncreasing </w:t>
      </w:r>
      <w:r w:rsidR="00700C7E">
        <w:t>N</w:t>
      </w:r>
      <w:r w:rsidRPr="00C37F5E">
        <w:t xml:space="preserve">aloxone </w:t>
      </w:r>
      <w:r w:rsidR="00700C7E">
        <w:t>A</w:t>
      </w:r>
      <w:r w:rsidRPr="00C37F5E">
        <w:t>vailability</w:t>
      </w:r>
      <w:r>
        <w:t xml:space="preserve"> and </w:t>
      </w:r>
      <w:r w:rsidR="00700C7E">
        <w:t>T</w:t>
      </w:r>
      <w:r>
        <w:t xml:space="preserve">reatment </w:t>
      </w:r>
      <w:r w:rsidR="00700C7E">
        <w:t>E</w:t>
      </w:r>
      <w:r>
        <w:t>xpansion</w:t>
      </w:r>
      <w:bookmarkEnd w:id="79"/>
    </w:p>
    <w:tbl>
      <w:tblPr>
        <w:tblStyle w:val="PlainTable11"/>
        <w:tblpPr w:leftFromText="180" w:rightFromText="180" w:vertAnchor="text" w:horzAnchor="margin" w:tblpXSpec="center" w:tblpY="-41"/>
        <w:tblW w:w="0" w:type="auto"/>
        <w:tblLook w:val="04A0" w:firstRow="1" w:lastRow="0" w:firstColumn="1" w:lastColumn="0" w:noHBand="0" w:noVBand="1"/>
      </w:tblPr>
      <w:tblGrid>
        <w:gridCol w:w="419"/>
        <w:gridCol w:w="3504"/>
        <w:gridCol w:w="3346"/>
        <w:gridCol w:w="1932"/>
        <w:gridCol w:w="3700"/>
      </w:tblGrid>
      <w:tr w:rsidR="00EE5B84" w:rsidRPr="001475ED" w14:paraId="59F5EAA0" w14:textId="0EAAFD0E" w:rsidTr="00EE5B8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12630936" w14:textId="5FC5EC25" w:rsidR="00EE5B84" w:rsidRPr="001475ED" w:rsidRDefault="00EE5B84" w:rsidP="005A685B">
            <w:pPr>
              <w:spacing w:after="0"/>
              <w:jc w:val="center"/>
              <w:rPr>
                <w:rFonts w:eastAsia="Times New Roman" w:cs="Calibri"/>
                <w:b w:val="0"/>
                <w:color w:val="FFFFFF"/>
                <w:sz w:val="20"/>
              </w:rPr>
            </w:pPr>
            <w:r>
              <w:rPr>
                <w:rFonts w:eastAsia="Times New Roman" w:cs="Calibri"/>
                <w:color w:val="FFFFFF"/>
                <w:sz w:val="20"/>
              </w:rPr>
              <w:t>ID</w:t>
            </w:r>
          </w:p>
        </w:tc>
        <w:tc>
          <w:tcPr>
            <w:tcW w:w="0" w:type="auto"/>
            <w:shd w:val="clear" w:color="auto" w:fill="5D7D95" w:themeFill="accent1"/>
            <w:vAlign w:val="center"/>
            <w:hideMark/>
          </w:tcPr>
          <w:p w14:paraId="5C5743BD" w14:textId="0D97C4BC" w:rsidR="00EE5B84" w:rsidRPr="001475ED" w:rsidRDefault="00EE5B84" w:rsidP="00A0184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sidRPr="001475ED">
              <w:rPr>
                <w:rFonts w:eastAsia="Times New Roman" w:cs="Calibri"/>
                <w:color w:val="FFFFFF"/>
                <w:sz w:val="20"/>
              </w:rPr>
              <w:t>Policy Category</w:t>
            </w:r>
          </w:p>
        </w:tc>
        <w:tc>
          <w:tcPr>
            <w:tcW w:w="0" w:type="auto"/>
            <w:shd w:val="clear" w:color="auto" w:fill="5D7D95" w:themeFill="accent1"/>
            <w:vAlign w:val="center"/>
            <w:hideMark/>
          </w:tcPr>
          <w:p w14:paraId="1ACE84B3" w14:textId="77777777" w:rsidR="00EE5B84" w:rsidRPr="001D34E1" w:rsidRDefault="00EE5B84" w:rsidP="00E5540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D34E1">
              <w:rPr>
                <w:rFonts w:eastAsia="Times New Roman" w:cs="Calibri"/>
                <w:color w:val="FFFFFF"/>
                <w:sz w:val="20"/>
              </w:rPr>
              <w:t>Input</w:t>
            </w:r>
          </w:p>
        </w:tc>
        <w:tc>
          <w:tcPr>
            <w:tcW w:w="0" w:type="auto"/>
            <w:shd w:val="clear" w:color="auto" w:fill="5D7D95" w:themeFill="accent1"/>
            <w:vAlign w:val="center"/>
          </w:tcPr>
          <w:p w14:paraId="277D2005" w14:textId="05EA8ADE" w:rsidR="00EE5B84" w:rsidRDefault="00EE5B84" w:rsidP="0039606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Pr>
                <w:rFonts w:eastAsia="Times New Roman" w:cs="Calibri"/>
                <w:color w:val="FFFFFF"/>
                <w:sz w:val="20"/>
              </w:rPr>
              <w:t>Baseline Value</w:t>
            </w:r>
          </w:p>
        </w:tc>
        <w:tc>
          <w:tcPr>
            <w:tcW w:w="0" w:type="auto"/>
            <w:shd w:val="clear" w:color="auto" w:fill="5D7D95" w:themeFill="accent1"/>
            <w:vAlign w:val="center"/>
            <w:hideMark/>
          </w:tcPr>
          <w:p w14:paraId="7FC59519" w14:textId="43E0F0A7" w:rsidR="00EE5B84" w:rsidRPr="001475ED" w:rsidRDefault="00EE5B84" w:rsidP="00E5540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Pr>
                <w:rFonts w:eastAsia="Times New Roman" w:cs="Calibri"/>
                <w:color w:val="FFFFFF"/>
                <w:sz w:val="20"/>
              </w:rPr>
              <w:t>Changes to</w:t>
            </w:r>
            <w:r w:rsidRPr="001475ED">
              <w:rPr>
                <w:rFonts w:eastAsia="Times New Roman" w:cs="Calibri"/>
                <w:color w:val="FFFFFF"/>
                <w:sz w:val="20"/>
              </w:rPr>
              <w:t xml:space="preserve"> the Input</w:t>
            </w:r>
          </w:p>
        </w:tc>
      </w:tr>
      <w:tr w:rsidR="00EE5B84" w:rsidRPr="001475ED" w14:paraId="1AEE326C" w14:textId="353457A3" w:rsidTr="00EE5B8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557E51" w14:textId="5698D345" w:rsidR="00EE5B84" w:rsidRPr="00CB4095" w:rsidRDefault="00EE5B84" w:rsidP="00292D8A">
            <w:pPr>
              <w:spacing w:after="0"/>
              <w:rPr>
                <w:rFonts w:cs="Calibri"/>
                <w:b w:val="0"/>
                <w:color w:val="000000"/>
                <w:sz w:val="20"/>
              </w:rPr>
            </w:pPr>
            <w:r w:rsidRPr="00CB4095">
              <w:rPr>
                <w:rFonts w:cs="Calibri"/>
                <w:color w:val="000000"/>
                <w:sz w:val="20"/>
              </w:rPr>
              <w:t>10</w:t>
            </w:r>
          </w:p>
        </w:tc>
        <w:tc>
          <w:tcPr>
            <w:tcW w:w="0" w:type="auto"/>
            <w:vMerge w:val="restart"/>
            <w:noWrap/>
            <w:hideMark/>
          </w:tcPr>
          <w:p w14:paraId="4A36D06B" w14:textId="5CB921E0"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noWrap/>
            <w:hideMark/>
          </w:tcPr>
          <w:p w14:paraId="7FDED133" w14:textId="4150B0FC"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Probability Nx bystander Rx</w:t>
            </w:r>
            <w:r w:rsidRPr="001D34E1">
              <w:rPr>
                <w:rFonts w:cs="Calibri"/>
                <w:b/>
                <w:color w:val="000000"/>
                <w:sz w:val="20"/>
              </w:rPr>
              <w:br/>
            </w:r>
          </w:p>
        </w:tc>
        <w:tc>
          <w:tcPr>
            <w:tcW w:w="0" w:type="auto"/>
          </w:tcPr>
          <w:p w14:paraId="27DCBC6A" w14:textId="77777777" w:rsidR="00EE5B84" w:rsidRDefault="00EE5B84" w:rsidP="00396067">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p w14:paraId="0C613C37" w14:textId="2EF4C964"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val="restart"/>
            <w:hideMark/>
          </w:tcPr>
          <w:p w14:paraId="234202B2" w14:textId="7CA383A6" w:rsidR="00EE5B84" w:rsidRDefault="00EE5B84" w:rsidP="0027357C">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 xml:space="preserve">Scenario 1: 20%, no change, +20% </w:t>
            </w:r>
            <w:r w:rsidRPr="00811E4C">
              <w:rPr>
                <w:rFonts w:cs="Calibri"/>
                <w:color w:val="000000"/>
                <w:sz w:val="20"/>
              </w:rPr>
              <w:br/>
              <w:t>Scenario 2: 25%, 25%, +20%</w:t>
            </w:r>
            <w:r w:rsidRPr="00811E4C">
              <w:rPr>
                <w:rFonts w:cs="Calibri"/>
                <w:color w:val="000000"/>
                <w:sz w:val="20"/>
              </w:rPr>
              <w:br/>
              <w:t>Scenario 3: 50%, 50%, +50%</w:t>
            </w:r>
          </w:p>
          <w:p w14:paraId="2CC84AE6" w14:textId="74EE8173" w:rsidR="00EE5B84" w:rsidRPr="00811E4C" w:rsidRDefault="00EE5B84" w:rsidP="00EE5B84">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69655FF1" w14:textId="77777777" w:rsidTr="00701361">
        <w:trPr>
          <w:trHeight w:val="566"/>
        </w:trPr>
        <w:tc>
          <w:tcPr>
            <w:cnfStyle w:val="001000000000" w:firstRow="0" w:lastRow="0" w:firstColumn="1" w:lastColumn="0" w:oddVBand="0" w:evenVBand="0" w:oddHBand="0" w:evenHBand="0" w:firstRowFirstColumn="0" w:firstRowLastColumn="0" w:lastRowFirstColumn="0" w:lastRowLastColumn="0"/>
            <w:tcW w:w="0" w:type="auto"/>
            <w:vMerge/>
          </w:tcPr>
          <w:p w14:paraId="36C12728" w14:textId="77777777" w:rsidR="00EE5B84" w:rsidRPr="00CB4095" w:rsidRDefault="00EE5B84" w:rsidP="00292D8A">
            <w:pPr>
              <w:spacing w:after="0"/>
              <w:rPr>
                <w:rFonts w:cs="Calibri"/>
                <w:color w:val="000000"/>
                <w:sz w:val="20"/>
              </w:rPr>
            </w:pPr>
          </w:p>
        </w:tc>
        <w:tc>
          <w:tcPr>
            <w:tcW w:w="0" w:type="auto"/>
            <w:vMerge/>
            <w:noWrap/>
          </w:tcPr>
          <w:p w14:paraId="2B07F61C"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shd w:val="clear" w:color="auto" w:fill="F2F2F2" w:themeFill="background1" w:themeFillShade="F2"/>
            <w:noWrap/>
          </w:tcPr>
          <w:p w14:paraId="56072879" w14:textId="0BA0E37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Probability Nx bystander heroin</w:t>
            </w:r>
          </w:p>
        </w:tc>
        <w:tc>
          <w:tcPr>
            <w:tcW w:w="0" w:type="auto"/>
            <w:shd w:val="clear" w:color="auto" w:fill="F2F2F2" w:themeFill="background1" w:themeFillShade="F2"/>
          </w:tcPr>
          <w:p w14:paraId="041752B1" w14:textId="77777777" w:rsidR="00EE5B84" w:rsidRDefault="00EE5B84" w:rsidP="00396067">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p w14:paraId="6B795C12" w14:textId="42DA915B"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vMerge/>
          </w:tcPr>
          <w:p w14:paraId="29CE1ED1"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r w:rsidR="00EE5B84" w:rsidRPr="001475ED" w14:paraId="6D074FB6" w14:textId="77777777" w:rsidTr="00EE5B84">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Merge/>
          </w:tcPr>
          <w:p w14:paraId="711E9583" w14:textId="77777777" w:rsidR="00EE5B84" w:rsidRPr="00CB4095" w:rsidRDefault="00EE5B84" w:rsidP="00292D8A">
            <w:pPr>
              <w:spacing w:after="0"/>
              <w:rPr>
                <w:rFonts w:cs="Calibri"/>
                <w:color w:val="000000"/>
                <w:sz w:val="20"/>
              </w:rPr>
            </w:pPr>
          </w:p>
        </w:tc>
        <w:tc>
          <w:tcPr>
            <w:tcW w:w="0" w:type="auto"/>
            <w:vMerge/>
            <w:noWrap/>
          </w:tcPr>
          <w:p w14:paraId="3D5AB12F"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noWrap/>
          </w:tcPr>
          <w:p w14:paraId="6846978C" w14:textId="7020090C"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average duration net</w:t>
            </w:r>
          </w:p>
        </w:tc>
        <w:tc>
          <w:tcPr>
            <w:tcW w:w="0" w:type="auto"/>
          </w:tcPr>
          <w:p w14:paraId="36565366" w14:textId="77777777" w:rsidR="00EE5B84" w:rsidRDefault="00EE5B84" w:rsidP="0039606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Bup: 0.65 (year)</w:t>
            </w:r>
          </w:p>
          <w:p w14:paraId="28CA4D44" w14:textId="77777777" w:rsidR="00EE5B84" w:rsidRDefault="00EE5B84" w:rsidP="0039606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MMT: 0.91</w:t>
            </w:r>
          </w:p>
          <w:p w14:paraId="5B4C35CF" w14:textId="7403020A" w:rsidR="00EE5B84" w:rsidRPr="00811E4C" w:rsidRDefault="00EE5B84" w:rsidP="0039606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Viv: 0.31</w:t>
            </w:r>
          </w:p>
        </w:tc>
        <w:tc>
          <w:tcPr>
            <w:tcW w:w="0" w:type="auto"/>
            <w:vMerge/>
          </w:tcPr>
          <w:p w14:paraId="15B928F5"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346EF75C" w14:textId="642E8C11" w:rsidTr="00EE5B84">
        <w:trPr>
          <w:trHeight w:val="457"/>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B4B275" w14:textId="26C21FF1" w:rsidR="00EE5B84" w:rsidRPr="00CB4095" w:rsidRDefault="00EE5B84" w:rsidP="00292D8A">
            <w:pPr>
              <w:spacing w:after="0"/>
              <w:rPr>
                <w:rFonts w:cs="Calibri"/>
                <w:b w:val="0"/>
                <w:color w:val="000000"/>
                <w:sz w:val="20"/>
              </w:rPr>
            </w:pPr>
            <w:r w:rsidRPr="00CB4095">
              <w:rPr>
                <w:rFonts w:cs="Calibri"/>
                <w:color w:val="000000"/>
                <w:sz w:val="20"/>
              </w:rPr>
              <w:t>11</w:t>
            </w:r>
          </w:p>
        </w:tc>
        <w:tc>
          <w:tcPr>
            <w:tcW w:w="0" w:type="auto"/>
            <w:vMerge w:val="restart"/>
            <w:noWrap/>
            <w:hideMark/>
          </w:tcPr>
          <w:p w14:paraId="3F111D0B" w14:textId="3088A87E"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hideMark/>
          </w:tcPr>
          <w:p w14:paraId="4EB876BD" w14:textId="683B952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Probability Nx bystander Rx</w:t>
            </w:r>
            <w:r w:rsidRPr="001D34E1">
              <w:rPr>
                <w:rFonts w:cs="Calibri"/>
                <w:b/>
                <w:color w:val="000000"/>
                <w:sz w:val="20"/>
              </w:rPr>
              <w:br/>
            </w:r>
          </w:p>
        </w:tc>
        <w:tc>
          <w:tcPr>
            <w:tcW w:w="0" w:type="auto"/>
          </w:tcPr>
          <w:p w14:paraId="188C84C1" w14:textId="77777777" w:rsidR="00EE5B84" w:rsidRDefault="00EE5B84" w:rsidP="00F75929">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p w14:paraId="77EFA654" w14:textId="03BB97BA"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vMerge w:val="restart"/>
            <w:hideMark/>
          </w:tcPr>
          <w:p w14:paraId="625A11EF" w14:textId="73F77926"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 xml:space="preserve">Scenario 1: 20%, no change, </w:t>
            </w:r>
            <w:r>
              <w:rPr>
                <w:rFonts w:cs="Calibri"/>
                <w:color w:val="000000"/>
                <w:sz w:val="20"/>
              </w:rPr>
              <w:t>0.</w:t>
            </w:r>
            <w:r w:rsidRPr="00811E4C">
              <w:rPr>
                <w:rFonts w:cs="Calibri"/>
                <w:color w:val="000000"/>
                <w:sz w:val="20"/>
              </w:rPr>
              <w:t>65</w:t>
            </w:r>
            <w:r w:rsidRPr="00811E4C">
              <w:rPr>
                <w:rFonts w:cs="Calibri"/>
                <w:color w:val="000000"/>
                <w:sz w:val="20"/>
              </w:rPr>
              <w:br/>
              <w:t xml:space="preserve">Scenario 2: 25%, 25%, </w:t>
            </w:r>
            <w:r>
              <w:rPr>
                <w:rFonts w:cs="Calibri"/>
                <w:color w:val="000000"/>
                <w:sz w:val="20"/>
              </w:rPr>
              <w:t>0.</w:t>
            </w:r>
            <w:r w:rsidRPr="00811E4C">
              <w:rPr>
                <w:rFonts w:cs="Calibri"/>
                <w:color w:val="000000"/>
                <w:sz w:val="20"/>
              </w:rPr>
              <w:t>65</w:t>
            </w:r>
            <w:r w:rsidRPr="00811E4C">
              <w:rPr>
                <w:rFonts w:cs="Calibri"/>
                <w:color w:val="000000"/>
                <w:sz w:val="20"/>
              </w:rPr>
              <w:br/>
              <w:t xml:space="preserve">Scenario 3: 50%, 50%, </w:t>
            </w:r>
            <w:r>
              <w:rPr>
                <w:rFonts w:cs="Calibri"/>
                <w:color w:val="000000"/>
                <w:sz w:val="20"/>
              </w:rPr>
              <w:t>0.</w:t>
            </w:r>
            <w:r w:rsidRPr="00811E4C">
              <w:rPr>
                <w:rFonts w:cs="Calibri"/>
                <w:color w:val="000000"/>
                <w:sz w:val="20"/>
              </w:rPr>
              <w:t>65</w:t>
            </w:r>
          </w:p>
        </w:tc>
      </w:tr>
      <w:tr w:rsidR="00EE5B84" w:rsidRPr="001475ED" w14:paraId="3716FEED" w14:textId="77777777" w:rsidTr="00EE5B8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vMerge/>
          </w:tcPr>
          <w:p w14:paraId="10C72555" w14:textId="77777777" w:rsidR="00EE5B84" w:rsidRPr="00CB4095" w:rsidRDefault="00EE5B84" w:rsidP="00292D8A">
            <w:pPr>
              <w:spacing w:after="0"/>
              <w:rPr>
                <w:rFonts w:cs="Calibri"/>
                <w:color w:val="000000"/>
                <w:sz w:val="20"/>
              </w:rPr>
            </w:pPr>
          </w:p>
        </w:tc>
        <w:tc>
          <w:tcPr>
            <w:tcW w:w="0" w:type="auto"/>
            <w:vMerge/>
            <w:noWrap/>
          </w:tcPr>
          <w:p w14:paraId="42EFD8D0"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shd w:val="clear" w:color="auto" w:fill="auto"/>
          </w:tcPr>
          <w:p w14:paraId="0E3F6CCB" w14:textId="5D9F8957"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seeking rate Rx OUD no H</w:t>
            </w:r>
          </w:p>
        </w:tc>
        <w:tc>
          <w:tcPr>
            <w:tcW w:w="0" w:type="auto"/>
            <w:shd w:val="clear" w:color="auto" w:fill="auto"/>
          </w:tcPr>
          <w:p w14:paraId="789AEAB1" w14:textId="77777777" w:rsidR="00EE5B84" w:rsidRDefault="00EE5B84" w:rsidP="00F75929">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p w14:paraId="065D807A" w14:textId="3C89D1B9"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tcPr>
          <w:p w14:paraId="4C1684C9"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6A1A7775" w14:textId="77777777" w:rsidTr="00EE5B84">
        <w:trPr>
          <w:trHeight w:val="457"/>
        </w:trPr>
        <w:tc>
          <w:tcPr>
            <w:cnfStyle w:val="001000000000" w:firstRow="0" w:lastRow="0" w:firstColumn="1" w:lastColumn="0" w:oddVBand="0" w:evenVBand="0" w:oddHBand="0" w:evenHBand="0" w:firstRowFirstColumn="0" w:firstRowLastColumn="0" w:lastRowFirstColumn="0" w:lastRowLastColumn="0"/>
            <w:tcW w:w="0" w:type="auto"/>
            <w:vMerge/>
          </w:tcPr>
          <w:p w14:paraId="083E9EEC" w14:textId="77777777" w:rsidR="00EE5B84" w:rsidRPr="00CB4095" w:rsidRDefault="00EE5B84" w:rsidP="00292D8A">
            <w:pPr>
              <w:spacing w:after="0"/>
              <w:rPr>
                <w:rFonts w:cs="Calibri"/>
                <w:color w:val="000000"/>
                <w:sz w:val="20"/>
              </w:rPr>
            </w:pPr>
          </w:p>
        </w:tc>
        <w:tc>
          <w:tcPr>
            <w:tcW w:w="0" w:type="auto"/>
            <w:vMerge/>
            <w:noWrap/>
          </w:tcPr>
          <w:p w14:paraId="65636886"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tcPr>
          <w:p w14:paraId="2BC415CE" w14:textId="2EF007E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Tx seeking rate Rx OUD no H total net</w:t>
            </w:r>
          </w:p>
        </w:tc>
        <w:tc>
          <w:tcPr>
            <w:tcW w:w="0" w:type="auto"/>
          </w:tcPr>
          <w:p w14:paraId="31ADBDA3" w14:textId="34E816AA"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0.49</w:t>
            </w:r>
          </w:p>
        </w:tc>
        <w:tc>
          <w:tcPr>
            <w:tcW w:w="0" w:type="auto"/>
            <w:vMerge/>
          </w:tcPr>
          <w:p w14:paraId="7150F1B3"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r w:rsidR="00EE5B84" w:rsidRPr="001475ED" w14:paraId="359BA393" w14:textId="7DF52A8B" w:rsidTr="00EE5B8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DB93C3" w14:textId="1CB26FFB" w:rsidR="00EE5B84" w:rsidRPr="00CB4095" w:rsidRDefault="00EE5B84" w:rsidP="00292D8A">
            <w:pPr>
              <w:spacing w:after="0"/>
              <w:rPr>
                <w:rFonts w:cs="Calibri"/>
                <w:b w:val="0"/>
                <w:color w:val="000000"/>
                <w:sz w:val="20"/>
              </w:rPr>
            </w:pPr>
            <w:r w:rsidRPr="00CB4095">
              <w:rPr>
                <w:rFonts w:cs="Calibri"/>
                <w:color w:val="000000"/>
                <w:sz w:val="20"/>
              </w:rPr>
              <w:t>12</w:t>
            </w:r>
          </w:p>
        </w:tc>
        <w:tc>
          <w:tcPr>
            <w:tcW w:w="0" w:type="auto"/>
            <w:vMerge w:val="restart"/>
            <w:noWrap/>
            <w:hideMark/>
          </w:tcPr>
          <w:p w14:paraId="20144FBA" w14:textId="4EAAF73C"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noWrap/>
            <w:hideMark/>
          </w:tcPr>
          <w:p w14:paraId="16EC0349" w14:textId="0A9E45A5"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Nx kits distributed Rx user net</w:t>
            </w:r>
            <w:r w:rsidRPr="001D34E1">
              <w:rPr>
                <w:rFonts w:cs="Calibri"/>
                <w:b/>
                <w:color w:val="000000"/>
                <w:sz w:val="20"/>
              </w:rPr>
              <w:br/>
            </w:r>
            <w:r w:rsidRPr="001D34E1">
              <w:rPr>
                <w:rFonts w:cs="Calibri"/>
                <w:b/>
                <w:color w:val="000000"/>
                <w:sz w:val="20"/>
              </w:rPr>
              <w:br/>
            </w:r>
          </w:p>
        </w:tc>
        <w:tc>
          <w:tcPr>
            <w:tcW w:w="0" w:type="auto"/>
          </w:tcPr>
          <w:p w14:paraId="1FD26F3F" w14:textId="77777777" w:rsidR="00EE5B84" w:rsidRDefault="00EE5B84" w:rsidP="00F75929">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296,785</w:t>
            </w:r>
          </w:p>
          <w:p w14:paraId="41A4ED4E" w14:textId="3B285FB2"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val="restart"/>
            <w:hideMark/>
          </w:tcPr>
          <w:p w14:paraId="210AC7B1" w14:textId="65DBF0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 xml:space="preserve">Scenario 1: +20%, no change, </w:t>
            </w:r>
            <w:r>
              <w:rPr>
                <w:rFonts w:cs="Calibri"/>
                <w:color w:val="000000"/>
                <w:sz w:val="20"/>
              </w:rPr>
              <w:t>0.</w:t>
            </w:r>
            <w:r w:rsidRPr="00811E4C">
              <w:rPr>
                <w:rFonts w:cs="Calibri"/>
                <w:color w:val="000000"/>
                <w:sz w:val="20"/>
              </w:rPr>
              <w:t>65</w:t>
            </w:r>
            <w:r w:rsidRPr="00811E4C">
              <w:rPr>
                <w:rFonts w:cs="Calibri"/>
                <w:color w:val="000000"/>
                <w:sz w:val="20"/>
              </w:rPr>
              <w:br/>
              <w:t xml:space="preserve">Scenario 2: +25%, +25%, </w:t>
            </w:r>
            <w:r>
              <w:rPr>
                <w:rFonts w:cs="Calibri"/>
                <w:color w:val="000000"/>
                <w:sz w:val="20"/>
              </w:rPr>
              <w:t>0.</w:t>
            </w:r>
            <w:r w:rsidRPr="00811E4C">
              <w:rPr>
                <w:rFonts w:cs="Calibri"/>
                <w:color w:val="000000"/>
                <w:sz w:val="20"/>
              </w:rPr>
              <w:t>65</w:t>
            </w:r>
            <w:r w:rsidRPr="00811E4C">
              <w:rPr>
                <w:rFonts w:cs="Calibri"/>
                <w:color w:val="000000"/>
                <w:sz w:val="20"/>
              </w:rPr>
              <w:br/>
              <w:t xml:space="preserve">Scenario 3: +20%, +25%, </w:t>
            </w:r>
            <w:r>
              <w:rPr>
                <w:rFonts w:cs="Calibri"/>
                <w:color w:val="000000"/>
                <w:sz w:val="20"/>
              </w:rPr>
              <w:t>0.</w:t>
            </w:r>
            <w:r w:rsidRPr="00811E4C">
              <w:rPr>
                <w:rFonts w:cs="Calibri"/>
                <w:color w:val="000000"/>
                <w:sz w:val="20"/>
              </w:rPr>
              <w:t>75</w:t>
            </w:r>
            <w:r w:rsidRPr="00811E4C">
              <w:rPr>
                <w:rFonts w:cs="Calibri"/>
                <w:color w:val="000000"/>
                <w:sz w:val="20"/>
              </w:rPr>
              <w:br/>
              <w:t xml:space="preserve">Scenario 4: +50%, +50%, </w:t>
            </w:r>
            <w:r>
              <w:rPr>
                <w:rFonts w:cs="Calibri"/>
                <w:color w:val="000000"/>
                <w:sz w:val="20"/>
              </w:rPr>
              <w:t>0.</w:t>
            </w:r>
            <w:r w:rsidRPr="00811E4C">
              <w:rPr>
                <w:rFonts w:cs="Calibri"/>
                <w:color w:val="000000"/>
                <w:sz w:val="20"/>
              </w:rPr>
              <w:t>65</w:t>
            </w:r>
          </w:p>
        </w:tc>
      </w:tr>
      <w:tr w:rsidR="00EE5B84" w:rsidRPr="001475ED" w14:paraId="5D7EEA59" w14:textId="77777777" w:rsidTr="00EE5B84">
        <w:trPr>
          <w:trHeight w:val="445"/>
        </w:trPr>
        <w:tc>
          <w:tcPr>
            <w:cnfStyle w:val="001000000000" w:firstRow="0" w:lastRow="0" w:firstColumn="1" w:lastColumn="0" w:oddVBand="0" w:evenVBand="0" w:oddHBand="0" w:evenHBand="0" w:firstRowFirstColumn="0" w:firstRowLastColumn="0" w:lastRowFirstColumn="0" w:lastRowLastColumn="0"/>
            <w:tcW w:w="0" w:type="auto"/>
            <w:vMerge/>
          </w:tcPr>
          <w:p w14:paraId="52BB5870" w14:textId="77777777" w:rsidR="00EE5B84" w:rsidRPr="00CB4095" w:rsidRDefault="00EE5B84" w:rsidP="00292D8A">
            <w:pPr>
              <w:spacing w:after="0"/>
              <w:rPr>
                <w:rFonts w:cs="Calibri"/>
                <w:color w:val="000000"/>
                <w:sz w:val="20"/>
              </w:rPr>
            </w:pPr>
          </w:p>
        </w:tc>
        <w:tc>
          <w:tcPr>
            <w:tcW w:w="0" w:type="auto"/>
            <w:vMerge/>
            <w:noWrap/>
          </w:tcPr>
          <w:p w14:paraId="783CB366"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shd w:val="clear" w:color="auto" w:fill="F2F2F2" w:themeFill="background1" w:themeFillShade="F2"/>
            <w:noWrap/>
          </w:tcPr>
          <w:p w14:paraId="1581C415" w14:textId="2221505A"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Nx kits distributed H user net</w:t>
            </w:r>
          </w:p>
        </w:tc>
        <w:tc>
          <w:tcPr>
            <w:tcW w:w="0" w:type="auto"/>
            <w:shd w:val="clear" w:color="auto" w:fill="F2F2F2" w:themeFill="background1" w:themeFillShade="F2"/>
          </w:tcPr>
          <w:p w14:paraId="2908E28E" w14:textId="77777777" w:rsidR="00EE5B84" w:rsidRDefault="00EE5B84" w:rsidP="00F75929">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1.823 M</w:t>
            </w:r>
          </w:p>
          <w:p w14:paraId="4BBB53C7" w14:textId="292898FC"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vMerge/>
          </w:tcPr>
          <w:p w14:paraId="6C89DFB8"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r w:rsidR="00EE5B84" w:rsidRPr="001475ED" w14:paraId="6B7111FF" w14:textId="77777777" w:rsidTr="00EE5B8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0" w:type="auto"/>
            <w:vMerge/>
          </w:tcPr>
          <w:p w14:paraId="68F14D12" w14:textId="77777777" w:rsidR="00EE5B84" w:rsidRPr="00CB4095" w:rsidRDefault="00EE5B84" w:rsidP="00292D8A">
            <w:pPr>
              <w:spacing w:after="0"/>
              <w:rPr>
                <w:rFonts w:cs="Calibri"/>
                <w:color w:val="000000"/>
                <w:sz w:val="20"/>
              </w:rPr>
            </w:pPr>
          </w:p>
        </w:tc>
        <w:tc>
          <w:tcPr>
            <w:tcW w:w="0" w:type="auto"/>
            <w:vMerge/>
            <w:noWrap/>
          </w:tcPr>
          <w:p w14:paraId="0C26939E"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noWrap/>
          </w:tcPr>
          <w:p w14:paraId="1547BBFD" w14:textId="74E2824F"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seeking rate Rx OUD no H total net</w:t>
            </w:r>
          </w:p>
        </w:tc>
        <w:tc>
          <w:tcPr>
            <w:tcW w:w="0" w:type="auto"/>
          </w:tcPr>
          <w:p w14:paraId="3EF9D357" w14:textId="41F79BD5"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0.49</w:t>
            </w:r>
          </w:p>
        </w:tc>
        <w:tc>
          <w:tcPr>
            <w:tcW w:w="0" w:type="auto"/>
            <w:vMerge/>
          </w:tcPr>
          <w:p w14:paraId="112D7A43"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3F518AD2" w14:textId="63D373C7" w:rsidTr="009D0435">
        <w:trPr>
          <w:trHeight w:val="469"/>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BE33962" w14:textId="0E3052B7" w:rsidR="00EE5B84" w:rsidRPr="00CB4095" w:rsidRDefault="00EE5B84" w:rsidP="00292D8A">
            <w:pPr>
              <w:spacing w:after="0"/>
              <w:rPr>
                <w:rFonts w:cs="Calibri"/>
                <w:b w:val="0"/>
                <w:color w:val="000000"/>
                <w:sz w:val="20"/>
              </w:rPr>
            </w:pPr>
            <w:r w:rsidRPr="00CB4095">
              <w:rPr>
                <w:rFonts w:cs="Calibri"/>
                <w:color w:val="000000"/>
                <w:sz w:val="20"/>
              </w:rPr>
              <w:t>13</w:t>
            </w:r>
          </w:p>
        </w:tc>
        <w:tc>
          <w:tcPr>
            <w:tcW w:w="0" w:type="auto"/>
            <w:vMerge w:val="restart"/>
            <w:noWrap/>
            <w:hideMark/>
          </w:tcPr>
          <w:p w14:paraId="2EDF02D0" w14:textId="61D823D3"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hideMark/>
          </w:tcPr>
          <w:p w14:paraId="7662237F" w14:textId="447993A4"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Probability Nx bystander Rx</w:t>
            </w:r>
            <w:r w:rsidRPr="001D34E1">
              <w:rPr>
                <w:rFonts w:cs="Calibri"/>
                <w:b/>
                <w:color w:val="000000"/>
                <w:sz w:val="20"/>
              </w:rPr>
              <w:br/>
            </w:r>
            <w:r w:rsidRPr="001D34E1">
              <w:rPr>
                <w:rFonts w:cs="Calibri"/>
                <w:b/>
                <w:color w:val="000000"/>
                <w:sz w:val="20"/>
              </w:rPr>
              <w:br/>
            </w:r>
          </w:p>
        </w:tc>
        <w:tc>
          <w:tcPr>
            <w:tcW w:w="0" w:type="auto"/>
          </w:tcPr>
          <w:p w14:paraId="14516260" w14:textId="171374D2" w:rsidR="00EE5B84" w:rsidRPr="00EE5B84" w:rsidRDefault="00EE5B84" w:rsidP="00EE5B8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tc>
        <w:tc>
          <w:tcPr>
            <w:tcW w:w="0" w:type="auto"/>
            <w:vMerge w:val="restart"/>
            <w:hideMark/>
          </w:tcPr>
          <w:p w14:paraId="717C0ED2" w14:textId="13252D8E"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Scenario 1: 20%, no change, all three +20%</w:t>
            </w:r>
            <w:r w:rsidRPr="00811E4C">
              <w:rPr>
                <w:rFonts w:cs="Calibri"/>
                <w:color w:val="000000"/>
                <w:sz w:val="20"/>
              </w:rPr>
              <w:br/>
              <w:t>Scenario 2: 20%, no change, all three +50%</w:t>
            </w:r>
            <w:r w:rsidRPr="00811E4C">
              <w:rPr>
                <w:rFonts w:cs="Calibri"/>
                <w:color w:val="000000"/>
                <w:sz w:val="20"/>
              </w:rPr>
              <w:br/>
              <w:t>Scenario 3: 50%, 50%, all three +50%</w:t>
            </w:r>
          </w:p>
        </w:tc>
      </w:tr>
      <w:tr w:rsidR="00EE5B84" w:rsidRPr="001475ED" w14:paraId="1BD5A3AC" w14:textId="77777777" w:rsidTr="0027357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Merge/>
          </w:tcPr>
          <w:p w14:paraId="5BC35C8F" w14:textId="77777777" w:rsidR="00EE5B84" w:rsidRPr="00CB4095" w:rsidRDefault="00EE5B84" w:rsidP="00292D8A">
            <w:pPr>
              <w:spacing w:after="0"/>
              <w:rPr>
                <w:rFonts w:cs="Calibri"/>
                <w:color w:val="000000"/>
                <w:sz w:val="20"/>
              </w:rPr>
            </w:pPr>
          </w:p>
        </w:tc>
        <w:tc>
          <w:tcPr>
            <w:tcW w:w="0" w:type="auto"/>
            <w:vMerge/>
            <w:noWrap/>
          </w:tcPr>
          <w:p w14:paraId="70C2AFBD"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shd w:val="clear" w:color="auto" w:fill="auto"/>
          </w:tcPr>
          <w:p w14:paraId="4C15C312" w14:textId="0721D120"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Probability Nx bystander heroin</w:t>
            </w:r>
          </w:p>
        </w:tc>
        <w:tc>
          <w:tcPr>
            <w:tcW w:w="0" w:type="auto"/>
            <w:shd w:val="clear" w:color="auto" w:fill="auto"/>
          </w:tcPr>
          <w:p w14:paraId="0FCC27D5" w14:textId="77777777" w:rsidR="0027357C" w:rsidRDefault="0027357C" w:rsidP="0027357C">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p w14:paraId="77DCE509" w14:textId="5FB55F4C"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tcPr>
          <w:p w14:paraId="704B8261"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1F65BB71" w14:textId="77777777" w:rsidTr="009D0435">
        <w:trPr>
          <w:trHeight w:val="468"/>
        </w:trPr>
        <w:tc>
          <w:tcPr>
            <w:cnfStyle w:val="001000000000" w:firstRow="0" w:lastRow="0" w:firstColumn="1" w:lastColumn="0" w:oddVBand="0" w:evenVBand="0" w:oddHBand="0" w:evenHBand="0" w:firstRowFirstColumn="0" w:firstRowLastColumn="0" w:lastRowFirstColumn="0" w:lastRowLastColumn="0"/>
            <w:tcW w:w="0" w:type="auto"/>
            <w:vMerge/>
          </w:tcPr>
          <w:p w14:paraId="6DF4CEA1" w14:textId="77777777" w:rsidR="00EE5B84" w:rsidRPr="00CB4095" w:rsidRDefault="00EE5B84" w:rsidP="00292D8A">
            <w:pPr>
              <w:spacing w:after="0"/>
              <w:rPr>
                <w:rFonts w:cs="Calibri"/>
                <w:color w:val="000000"/>
                <w:sz w:val="20"/>
              </w:rPr>
            </w:pPr>
          </w:p>
        </w:tc>
        <w:tc>
          <w:tcPr>
            <w:tcW w:w="0" w:type="auto"/>
            <w:vMerge/>
            <w:noWrap/>
          </w:tcPr>
          <w:p w14:paraId="63A7EBD3"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tcPr>
          <w:p w14:paraId="17F982C2" w14:textId="132A659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Bup total theoretical capacity</w:t>
            </w:r>
            <w:r w:rsidRPr="001D34E1">
              <w:rPr>
                <w:rFonts w:cs="Calibri"/>
                <w:b/>
                <w:color w:val="000000"/>
                <w:sz w:val="20"/>
              </w:rPr>
              <w:br/>
              <w:t>MMT capacity estimated</w:t>
            </w:r>
            <w:r w:rsidRPr="001D34E1">
              <w:rPr>
                <w:rFonts w:cs="Calibri"/>
                <w:b/>
                <w:color w:val="000000"/>
                <w:sz w:val="20"/>
              </w:rPr>
              <w:br/>
              <w:t>Viv capacity estimated</w:t>
            </w:r>
          </w:p>
        </w:tc>
        <w:tc>
          <w:tcPr>
            <w:tcW w:w="0" w:type="auto"/>
          </w:tcPr>
          <w:p w14:paraId="7CE91947" w14:textId="77777777" w:rsidR="0027357C" w:rsidRDefault="0027357C" w:rsidP="0027357C">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Bup: 3.54 M (people)</w:t>
            </w:r>
          </w:p>
          <w:p w14:paraId="157BA66A" w14:textId="77777777" w:rsidR="0027357C" w:rsidRDefault="0027357C" w:rsidP="0027357C">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MMT: 456,488</w:t>
            </w:r>
          </w:p>
          <w:p w14:paraId="3C0EE8E0" w14:textId="43AC0075" w:rsidR="00EE5B84" w:rsidRPr="00811E4C" w:rsidRDefault="0027357C" w:rsidP="0027357C">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Viv: 34,825.7</w:t>
            </w:r>
          </w:p>
        </w:tc>
        <w:tc>
          <w:tcPr>
            <w:tcW w:w="0" w:type="auto"/>
            <w:vMerge/>
          </w:tcPr>
          <w:p w14:paraId="2308B072"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bl>
    <w:p w14:paraId="5D92E5D3" w14:textId="1005ADBF" w:rsidR="00B23F32" w:rsidRDefault="00B23F32" w:rsidP="004A0A37">
      <w:pPr>
        <w:pStyle w:val="BodyText"/>
        <w:sectPr w:rsidR="00B23F32" w:rsidSect="00A960CA">
          <w:headerReference w:type="default" r:id="rId52"/>
          <w:pgSz w:w="15840" w:h="12240" w:orient="landscape" w:code="1"/>
          <w:pgMar w:top="1440" w:right="1440" w:bottom="1440" w:left="1440" w:header="720" w:footer="720" w:gutter="0"/>
          <w:cols w:space="720"/>
          <w:noEndnote/>
          <w:docGrid w:linePitch="326"/>
        </w:sectPr>
      </w:pPr>
    </w:p>
    <w:p w14:paraId="056D2980" w14:textId="6C49B718" w:rsidR="00343171" w:rsidRDefault="00343171" w:rsidP="00343171">
      <w:r>
        <w:lastRenderedPageBreak/>
        <w:t xml:space="preserve">One of the </w:t>
      </w:r>
      <w:r w:rsidR="0045043B">
        <w:t>imagined policies</w:t>
      </w:r>
      <w:r w:rsidR="00244E4A">
        <w:t xml:space="preserve"> </w:t>
      </w:r>
      <w:r>
        <w:t>that we</w:t>
      </w:r>
      <w:r w:rsidDel="0045043B">
        <w:t xml:space="preserve"> </w:t>
      </w:r>
      <w:r w:rsidR="0045043B">
        <w:t>evaluated</w:t>
      </w:r>
      <w:r>
        <w:t xml:space="preserve"> </w:t>
      </w:r>
      <w:r w:rsidR="0073502D">
        <w:t xml:space="preserve">was </w:t>
      </w:r>
      <w:r w:rsidR="00645243">
        <w:t>a</w:t>
      </w:r>
      <w:r>
        <w:t xml:space="preserve"> combination of increasing </w:t>
      </w:r>
      <w:r w:rsidR="001E2067">
        <w:t>naloxone</w:t>
      </w:r>
      <w:r>
        <w:t xml:space="preserve"> availability and expanding </w:t>
      </w:r>
      <w:r w:rsidR="00E8723E">
        <w:t>treatment</w:t>
      </w:r>
      <w:r>
        <w:t xml:space="preserve"> </w:t>
      </w:r>
      <w:r w:rsidR="00402C9D">
        <w:t xml:space="preserve">through </w:t>
      </w:r>
      <w:r>
        <w:t xml:space="preserve">increasing </w:t>
      </w:r>
      <w:r w:rsidR="002B6ECA" w:rsidRPr="002B6ECA">
        <w:rPr>
          <w:b/>
        </w:rPr>
        <w:t>P</w:t>
      </w:r>
      <w:r w:rsidRPr="002B6ECA">
        <w:rPr>
          <w:b/>
        </w:rPr>
        <w:t>robability Nx bystander Rx</w:t>
      </w:r>
      <w:r>
        <w:t xml:space="preserve"> and </w:t>
      </w:r>
      <w:r w:rsidR="002B6ECA" w:rsidRPr="002B6ECA">
        <w:rPr>
          <w:b/>
        </w:rPr>
        <w:t xml:space="preserve">Probability Nx bystander </w:t>
      </w:r>
      <w:r w:rsidRPr="002B6ECA">
        <w:rPr>
          <w:b/>
        </w:rPr>
        <w:t>heroin</w:t>
      </w:r>
      <w:r>
        <w:t xml:space="preserve"> </w:t>
      </w:r>
      <w:r w:rsidR="004C1E90">
        <w:t>while also</w:t>
      </w:r>
      <w:r>
        <w:t xml:space="preserve"> increasing </w:t>
      </w:r>
      <w:r w:rsidR="008B4CD5">
        <w:t xml:space="preserve">treatment </w:t>
      </w:r>
      <w:r>
        <w:t xml:space="preserve">capacity for Bup, MMT, and Viv. </w:t>
      </w:r>
      <w:r w:rsidR="00017471">
        <w:t xml:space="preserve">For </w:t>
      </w:r>
      <w:r w:rsidR="00231565">
        <w:t xml:space="preserve">Scenario 1, where </w:t>
      </w:r>
      <w:r w:rsidR="007E505F">
        <w:t xml:space="preserve">only </w:t>
      </w:r>
      <w:r w:rsidR="002B6ECA" w:rsidRPr="002B6ECA">
        <w:rPr>
          <w:b/>
        </w:rPr>
        <w:t>P</w:t>
      </w:r>
      <w:r w:rsidR="00231565" w:rsidRPr="002B6ECA">
        <w:rPr>
          <w:b/>
        </w:rPr>
        <w:t>robabil</w:t>
      </w:r>
      <w:r w:rsidR="002A05A9" w:rsidRPr="002B6ECA">
        <w:rPr>
          <w:b/>
        </w:rPr>
        <w:t xml:space="preserve">ity Nx bystander </w:t>
      </w:r>
      <w:r w:rsidR="007E505F" w:rsidRPr="002B6ECA">
        <w:rPr>
          <w:b/>
        </w:rPr>
        <w:t>Rx</w:t>
      </w:r>
      <w:r w:rsidR="00BC54C1">
        <w:t xml:space="preserve"> increase</w:t>
      </w:r>
      <w:r w:rsidR="00CE3569">
        <w:t>s</w:t>
      </w:r>
      <w:r w:rsidR="00BC54C1">
        <w:t>,</w:t>
      </w:r>
      <w:r w:rsidR="002A05A9">
        <w:t xml:space="preserve"> </w:t>
      </w:r>
      <w:r w:rsidR="00121B5F">
        <w:t xml:space="preserve">the </w:t>
      </w:r>
      <w:r w:rsidR="003B1C06">
        <w:t>c</w:t>
      </w:r>
      <w:r>
        <w:t>ombin</w:t>
      </w:r>
      <w:r w:rsidR="00121B5F">
        <w:t>ed</w:t>
      </w:r>
      <w:r>
        <w:t xml:space="preserve"> intervention</w:t>
      </w:r>
      <w:r w:rsidR="00B47512">
        <w:t>s</w:t>
      </w:r>
      <w:r>
        <w:t xml:space="preserve"> reduce </w:t>
      </w:r>
      <w:r w:rsidR="007A4DEB" w:rsidRPr="00AD0B65">
        <w:rPr>
          <w:b/>
          <w:bCs/>
        </w:rPr>
        <w:t>T</w:t>
      </w:r>
      <w:r w:rsidRPr="00AD0B65">
        <w:rPr>
          <w:b/>
        </w:rPr>
        <w:t>otal overdose deaths</w:t>
      </w:r>
      <w:r>
        <w:t xml:space="preserve"> by 5.27% and overdoses by 1.27%</w:t>
      </w:r>
      <w:r w:rsidR="007A4DEB">
        <w:t xml:space="preserve"> </w:t>
      </w:r>
      <w:r w:rsidR="00BE4AF9">
        <w:t xml:space="preserve">compared to baseline in 2030 </w:t>
      </w:r>
      <w:r w:rsidR="007A4DEB">
        <w:t xml:space="preserve">(see </w:t>
      </w:r>
      <w:r w:rsidR="00B263FC">
        <w:rPr>
          <w:highlight w:val="yellow"/>
        </w:rPr>
        <w:fldChar w:fldCharType="begin"/>
      </w:r>
      <w:r w:rsidR="00B263FC">
        <w:instrText xml:space="preserve"> REF _Ref58949535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12</w:t>
      </w:r>
      <w:r w:rsidR="00B263FC">
        <w:rPr>
          <w:highlight w:val="yellow"/>
        </w:rPr>
        <w:fldChar w:fldCharType="end"/>
      </w:r>
      <w:r w:rsidR="007A4DEB">
        <w:t>)</w:t>
      </w:r>
      <w:r>
        <w:t xml:space="preserve">. These results reveal that </w:t>
      </w:r>
      <w:r w:rsidR="00280BD1">
        <w:t>a</w:t>
      </w:r>
      <w:r>
        <w:t xml:space="preserve"> combination of these policies can </w:t>
      </w:r>
      <w:r w:rsidR="006D7488">
        <w:t>better reduce</w:t>
      </w:r>
      <w:r>
        <w:t xml:space="preserve"> number of overdose deaths compared to individual policies. </w:t>
      </w:r>
      <w:r w:rsidR="00E1651F">
        <w:t>C</w:t>
      </w:r>
      <w:r>
        <w:t xml:space="preserve">ombining these two policies (i.e., increasing </w:t>
      </w:r>
      <w:r w:rsidR="009239D4">
        <w:t>naloxone</w:t>
      </w:r>
      <w:r>
        <w:t xml:space="preserve"> availability and expanding </w:t>
      </w:r>
      <w:r w:rsidR="009239D4">
        <w:t>treatment</w:t>
      </w:r>
      <w:r>
        <w:t xml:space="preserve">) increased </w:t>
      </w:r>
      <w:r w:rsidR="008B4CD5" w:rsidRPr="0049511D">
        <w:rPr>
          <w:b/>
          <w:bCs/>
        </w:rPr>
        <w:t>Total heroin initiation</w:t>
      </w:r>
      <w:r w:rsidR="008B4CD5">
        <w:t xml:space="preserve"> </w:t>
      </w:r>
      <w:r>
        <w:t>by 0.87</w:t>
      </w:r>
      <w:r w:rsidR="00832791">
        <w:t>%,</w:t>
      </w:r>
      <w:r>
        <w:t xml:space="preserve"> </w:t>
      </w:r>
      <w:r w:rsidR="00E83972">
        <w:t>while</w:t>
      </w:r>
      <w:r w:rsidR="005B0AA1">
        <w:t xml:space="preserve"> </w:t>
      </w:r>
      <w:r w:rsidR="00E908F3">
        <w:t>individually</w:t>
      </w:r>
      <w:r w:rsidDel="00F310BB">
        <w:t xml:space="preserve"> </w:t>
      </w:r>
      <w:r w:rsidR="00F179B4">
        <w:t xml:space="preserve">increasing </w:t>
      </w:r>
      <w:r w:rsidR="00306F6C">
        <w:t>probability of Nx bystander Rx to 20%</w:t>
      </w:r>
      <w:r w:rsidR="00214DE3">
        <w:t xml:space="preserve"> and increasing Tx capacity by 20% </w:t>
      </w:r>
      <w:r w:rsidR="00306F6C">
        <w:t xml:space="preserve">increased </w:t>
      </w:r>
      <w:r w:rsidR="008B4CD5" w:rsidRPr="0049511D">
        <w:rPr>
          <w:b/>
          <w:bCs/>
        </w:rPr>
        <w:t>Total heroin initiation</w:t>
      </w:r>
      <w:r w:rsidR="008B4CD5">
        <w:t xml:space="preserve"> </w:t>
      </w:r>
      <w:r w:rsidR="00306F6C">
        <w:t>by 0.49%</w:t>
      </w:r>
      <w:r w:rsidR="00831215">
        <w:t xml:space="preserve"> and 0.37%</w:t>
      </w:r>
      <w:r w:rsidR="00390290">
        <w:t>,</w:t>
      </w:r>
      <w:r w:rsidR="00831215">
        <w:t xml:space="preserve"> respectively.</w:t>
      </w:r>
    </w:p>
    <w:p w14:paraId="47DDD5A9" w14:textId="77777777" w:rsidR="00343171" w:rsidRDefault="00343171" w:rsidP="006A42FB">
      <w:pPr>
        <w:jc w:val="center"/>
      </w:pPr>
      <w:r>
        <w:rPr>
          <w:noProof/>
        </w:rPr>
        <w:drawing>
          <wp:inline distT="0" distB="0" distL="0" distR="0" wp14:anchorId="5413375A" wp14:editId="5EF9CA1A">
            <wp:extent cx="5065598" cy="2655418"/>
            <wp:effectExtent l="0" t="0" r="1905" b="12065"/>
            <wp:docPr id="30" name="Chart 30">
              <a:extLst xmlns:a="http://schemas.openxmlformats.org/drawingml/2006/main">
                <a:ext uri="{FF2B5EF4-FFF2-40B4-BE49-F238E27FC236}">
                  <a16:creationId xmlns:a16="http://schemas.microsoft.com/office/drawing/2014/main" id="{A2013302-1AB9-4F57-9904-17A812763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34B6BBC" w14:textId="0F275377" w:rsidR="00343171" w:rsidRPr="009239D4" w:rsidRDefault="001A0582" w:rsidP="00D05863">
      <w:pPr>
        <w:pStyle w:val="Caption"/>
      </w:pPr>
      <w:bookmarkStart w:id="80" w:name="_Ref58949535"/>
      <w:bookmarkStart w:id="81" w:name="_Toc59050124"/>
      <w:r>
        <w:t xml:space="preserve">Figure </w:t>
      </w:r>
      <w:fldSimple w:instr=" STYLEREF 1 \s ">
        <w:r w:rsidR="00A955A5">
          <w:rPr>
            <w:noProof/>
          </w:rPr>
          <w:t>7</w:t>
        </w:r>
      </w:fldSimple>
      <w:r w:rsidR="00A955A5">
        <w:noBreakHyphen/>
      </w:r>
      <w:fldSimple w:instr=" SEQ Figure \* ARABIC \s 1 ">
        <w:r w:rsidR="00A955A5">
          <w:rPr>
            <w:noProof/>
          </w:rPr>
          <w:t>12</w:t>
        </w:r>
      </w:fldSimple>
      <w:bookmarkEnd w:id="80"/>
      <w:r>
        <w:t xml:space="preserve">: </w:t>
      </w:r>
      <w:r w:rsidR="004524C4">
        <w:t xml:space="preserve">Results of </w:t>
      </w:r>
      <w:r w:rsidR="00DC6574">
        <w:t>I</w:t>
      </w:r>
      <w:r w:rsidR="004524C4">
        <w:t xml:space="preserve">ncreasing </w:t>
      </w:r>
      <w:r w:rsidR="00DC6574">
        <w:t>P</w:t>
      </w:r>
      <w:r w:rsidR="004524C4">
        <w:t xml:space="preserve">robability of Nx </w:t>
      </w:r>
      <w:r w:rsidR="00BC39F1">
        <w:t>B</w:t>
      </w:r>
      <w:r w:rsidR="004524C4">
        <w:t xml:space="preserve">ystander for Rx </w:t>
      </w:r>
      <w:r w:rsidR="00BC39F1">
        <w:t>U</w:t>
      </w:r>
      <w:r w:rsidR="0053633C">
        <w:t>s</w:t>
      </w:r>
      <w:r w:rsidR="004524C4">
        <w:t xml:space="preserve">ers to 20% and </w:t>
      </w:r>
      <w:r w:rsidR="00DC6574">
        <w:t>I</w:t>
      </w:r>
      <w:r w:rsidR="004524C4">
        <w:t xml:space="preserve">ncreasing </w:t>
      </w:r>
      <w:r w:rsidR="00DC6574">
        <w:t>T</w:t>
      </w:r>
      <w:r w:rsidR="004524C4">
        <w:t xml:space="preserve">reatment </w:t>
      </w:r>
      <w:r w:rsidR="00DC6574">
        <w:t>C</w:t>
      </w:r>
      <w:r w:rsidR="004524C4">
        <w:t>apacity by 20%</w:t>
      </w:r>
      <w:r w:rsidR="00391033">
        <w:t xml:space="preserve"> (</w:t>
      </w:r>
      <w:r w:rsidR="003F567C">
        <w:t>ID 13</w:t>
      </w:r>
      <w:r w:rsidR="003F3764">
        <w:t xml:space="preserve">, </w:t>
      </w:r>
      <w:r w:rsidR="00D52060">
        <w:t>S</w:t>
      </w:r>
      <w:r w:rsidR="003F3764">
        <w:t>cenario 1</w:t>
      </w:r>
      <w:r w:rsidR="00391033">
        <w:t>)</w:t>
      </w:r>
      <w:bookmarkEnd w:id="81"/>
    </w:p>
    <w:p w14:paraId="3F70D63A" w14:textId="0B3DDF0A" w:rsidR="00343171" w:rsidRDefault="00B26F42" w:rsidP="00343171">
      <w:r>
        <w:t>Considering the three scenarios</w:t>
      </w:r>
      <w:r w:rsidR="00280D4E">
        <w:t xml:space="preserve"> for</w:t>
      </w:r>
      <w:r w:rsidR="007026A8">
        <w:t xml:space="preserve"> the </w:t>
      </w:r>
      <w:r w:rsidR="00270315">
        <w:t xml:space="preserve">interventions </w:t>
      </w:r>
      <w:r w:rsidR="007026A8">
        <w:t xml:space="preserve">of increased Tx capacity and </w:t>
      </w:r>
      <w:r w:rsidR="00280D4E">
        <w:t xml:space="preserve">increased </w:t>
      </w:r>
      <w:r w:rsidR="00056E48">
        <w:t>P</w:t>
      </w:r>
      <w:r w:rsidR="007026A8">
        <w:t>robability Nx bystander</w:t>
      </w:r>
      <w:r w:rsidR="00D82E14">
        <w:t xml:space="preserve"> leads to </w:t>
      </w:r>
      <w:r w:rsidR="00C16706">
        <w:t>a</w:t>
      </w:r>
      <w:r w:rsidR="004A7946">
        <w:t>n interesting</w:t>
      </w:r>
      <w:r w:rsidR="0040419C">
        <w:t xml:space="preserve"> </w:t>
      </w:r>
      <w:r w:rsidR="00C16706">
        <w:t xml:space="preserve">result. </w:t>
      </w:r>
      <w:r w:rsidR="008E3659">
        <w:t>When</w:t>
      </w:r>
      <w:r w:rsidR="00343171" w:rsidRPr="00F65868">
        <w:t xml:space="preserve"> increas</w:t>
      </w:r>
      <w:r w:rsidR="008E3659">
        <w:t>ing</w:t>
      </w:r>
      <w:r w:rsidR="00343171" w:rsidRPr="00F65868">
        <w:t xml:space="preserve"> the Tx capacity </w:t>
      </w:r>
      <w:r w:rsidR="00343171">
        <w:t xml:space="preserve">and the </w:t>
      </w:r>
      <w:r w:rsidR="00056E48">
        <w:rPr>
          <w:b/>
        </w:rPr>
        <w:t>P</w:t>
      </w:r>
      <w:r w:rsidR="00343171" w:rsidRPr="00056E48">
        <w:rPr>
          <w:b/>
        </w:rPr>
        <w:t>robability Nx bystander Rx</w:t>
      </w:r>
      <w:r w:rsidR="00343171">
        <w:t xml:space="preserve"> </w:t>
      </w:r>
      <w:r w:rsidR="00343171" w:rsidRPr="00F65868">
        <w:t xml:space="preserve">without increasing </w:t>
      </w:r>
      <w:r w:rsidR="00056E48" w:rsidRPr="00056E48">
        <w:rPr>
          <w:b/>
        </w:rPr>
        <w:t>P</w:t>
      </w:r>
      <w:r w:rsidR="00343171" w:rsidRPr="00056E48">
        <w:rPr>
          <w:b/>
        </w:rPr>
        <w:t>robability Nx bystander heroin</w:t>
      </w:r>
      <w:r w:rsidR="00343171" w:rsidRPr="00F65868">
        <w:t xml:space="preserve"> (scen</w:t>
      </w:r>
      <w:r w:rsidR="00343171">
        <w:t>arios</w:t>
      </w:r>
      <w:r w:rsidR="00343171" w:rsidRPr="00F65868">
        <w:t xml:space="preserve"> 1 and 2</w:t>
      </w:r>
      <w:r w:rsidR="003848F4">
        <w:t xml:space="preserve"> in </w:t>
      </w:r>
      <w:r w:rsidR="00B263FC">
        <w:rPr>
          <w:highlight w:val="yellow"/>
        </w:rPr>
        <w:fldChar w:fldCharType="begin"/>
      </w:r>
      <w:r w:rsidR="00B263FC">
        <w:instrText xml:space="preserve"> REF _Ref58949550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13</w:t>
      </w:r>
      <w:r w:rsidR="00B263FC">
        <w:rPr>
          <w:highlight w:val="yellow"/>
        </w:rPr>
        <w:fldChar w:fldCharType="end"/>
      </w:r>
      <w:r w:rsidR="00343171" w:rsidRPr="00F65868">
        <w:t xml:space="preserve">), </w:t>
      </w:r>
      <w:r w:rsidR="008E3659">
        <w:t xml:space="preserve">the </w:t>
      </w:r>
      <w:r w:rsidR="00343171">
        <w:t>number</w:t>
      </w:r>
      <w:r w:rsidR="00343171" w:rsidRPr="00F65868">
        <w:t xml:space="preserve"> of people with HUD </w:t>
      </w:r>
      <w:r w:rsidR="008E3659">
        <w:t>(</w:t>
      </w:r>
      <w:r w:rsidR="008E3659" w:rsidRPr="002C4176">
        <w:rPr>
          <w:b/>
        </w:rPr>
        <w:t>HUD total</w:t>
      </w:r>
      <w:r w:rsidR="008E3659">
        <w:t>)</w:t>
      </w:r>
      <w:r w:rsidR="00343171" w:rsidRPr="00F65868">
        <w:t xml:space="preserve"> decrease</w:t>
      </w:r>
      <w:r w:rsidR="008B6FA2">
        <w:t>s</w:t>
      </w:r>
      <w:r w:rsidR="00343171" w:rsidRPr="00F65868">
        <w:t xml:space="preserve"> compared to the baseline. This</w:t>
      </w:r>
      <w:r w:rsidR="00F8266A">
        <w:t xml:space="preserve"> effect occurs because </w:t>
      </w:r>
      <w:r w:rsidR="00343171" w:rsidRPr="00F65868">
        <w:t xml:space="preserve">more people with HUD </w:t>
      </w:r>
      <w:r w:rsidR="00EA40BC">
        <w:t>are</w:t>
      </w:r>
      <w:r w:rsidR="00343171" w:rsidRPr="00F65868">
        <w:t xml:space="preserve"> treated. </w:t>
      </w:r>
      <w:r w:rsidR="009E456B">
        <w:t>However</w:t>
      </w:r>
      <w:r w:rsidR="00343171" w:rsidRPr="00F65868">
        <w:t>, increas</w:t>
      </w:r>
      <w:r w:rsidR="00EA40BC">
        <w:t>ing</w:t>
      </w:r>
      <w:r w:rsidR="00343171" w:rsidRPr="00F65868">
        <w:t xml:space="preserve"> Tx capacity and </w:t>
      </w:r>
      <w:r w:rsidR="00343171">
        <w:t xml:space="preserve">both </w:t>
      </w:r>
      <w:r w:rsidR="003632AD">
        <w:rPr>
          <w:b/>
        </w:rPr>
        <w:t>P</w:t>
      </w:r>
      <w:r w:rsidR="00343171" w:rsidRPr="003632AD">
        <w:rPr>
          <w:b/>
        </w:rPr>
        <w:t xml:space="preserve">robability Nx bystander Rx </w:t>
      </w:r>
      <w:r w:rsidR="00343171">
        <w:t>and</w:t>
      </w:r>
      <w:r w:rsidR="00343171" w:rsidRPr="00F65868">
        <w:t xml:space="preserve"> </w:t>
      </w:r>
      <w:r w:rsidR="003632AD">
        <w:rPr>
          <w:b/>
        </w:rPr>
        <w:t>Pr</w:t>
      </w:r>
      <w:r w:rsidR="00343171" w:rsidRPr="003632AD">
        <w:rPr>
          <w:b/>
        </w:rPr>
        <w:t>obability Nx bystander heroin</w:t>
      </w:r>
      <w:r w:rsidR="00EA40BC">
        <w:t xml:space="preserve"> results in an increase in the</w:t>
      </w:r>
      <w:r w:rsidR="00343171" w:rsidRPr="00F65868">
        <w:t xml:space="preserve"> number of</w:t>
      </w:r>
      <w:r w:rsidR="00343171">
        <w:t xml:space="preserve"> people with</w:t>
      </w:r>
      <w:r w:rsidR="00343171" w:rsidRPr="00F65868">
        <w:t xml:space="preserve"> HUD compared to the baseline</w:t>
      </w:r>
      <w:r w:rsidR="00343171">
        <w:t>;</w:t>
      </w:r>
      <w:r w:rsidR="00343171" w:rsidRPr="00F65868">
        <w:t xml:space="preserve"> </w:t>
      </w:r>
      <w:r w:rsidR="00FC704D">
        <w:t>after introducing increased</w:t>
      </w:r>
      <w:r w:rsidR="009D585B">
        <w:t xml:space="preserve"> </w:t>
      </w:r>
      <w:r w:rsidR="00FA12BE">
        <w:t xml:space="preserve">Nx bystander heroin </w:t>
      </w:r>
      <w:r w:rsidR="00FC704D">
        <w:t>to the system</w:t>
      </w:r>
      <w:r w:rsidR="00FA12BE">
        <w:t xml:space="preserve">, the </w:t>
      </w:r>
      <w:r w:rsidR="00FC704D">
        <w:t>change in</w:t>
      </w:r>
      <w:r w:rsidR="009D585B">
        <w:t xml:space="preserve"> </w:t>
      </w:r>
      <w:r w:rsidR="00343171">
        <w:t>number</w:t>
      </w:r>
      <w:r w:rsidR="00343171" w:rsidRPr="00F65868">
        <w:t xml:space="preserve"> of people who develop HUD </w:t>
      </w:r>
      <w:r w:rsidR="00FC704D">
        <w:t xml:space="preserve">is greater than the change in number of </w:t>
      </w:r>
      <w:r w:rsidR="00343171" w:rsidRPr="00F65868">
        <w:t xml:space="preserve">people with HUD </w:t>
      </w:r>
      <w:r w:rsidR="00B379B3">
        <w:t>who</w:t>
      </w:r>
      <w:r w:rsidR="00343171" w:rsidRPr="00F65868">
        <w:t xml:space="preserve"> are being treated. </w:t>
      </w:r>
      <w:r w:rsidR="00213121">
        <w:t xml:space="preserve">One reason </w:t>
      </w:r>
      <w:r w:rsidR="00746CBA">
        <w:t xml:space="preserve">for </w:t>
      </w:r>
      <w:r w:rsidR="00237E73">
        <w:t xml:space="preserve">this behavior is </w:t>
      </w:r>
      <w:r w:rsidR="000268FC">
        <w:t>that</w:t>
      </w:r>
      <w:r w:rsidR="00237E73">
        <w:t xml:space="preserve"> increasing </w:t>
      </w:r>
      <w:r w:rsidR="00A95B4F" w:rsidRPr="00A95B4F">
        <w:rPr>
          <w:b/>
        </w:rPr>
        <w:t>P</w:t>
      </w:r>
      <w:r w:rsidR="00CD2BF3" w:rsidRPr="00A95B4F">
        <w:rPr>
          <w:b/>
        </w:rPr>
        <w:t>robability Nx bystander heroin</w:t>
      </w:r>
      <w:r w:rsidR="001077FD">
        <w:t xml:space="preserve"> reduces </w:t>
      </w:r>
      <w:r w:rsidR="003023BA" w:rsidRPr="00FA3D54">
        <w:rPr>
          <w:b/>
        </w:rPr>
        <w:t>Overdose death HUD</w:t>
      </w:r>
      <w:r w:rsidR="00827727">
        <w:t xml:space="preserve">, therefore, </w:t>
      </w:r>
      <w:r w:rsidR="0074390C">
        <w:t>more people with HUD li</w:t>
      </w:r>
      <w:r w:rsidR="000C74C1">
        <w:t xml:space="preserve">ve, resulting in a greater number of HUDs. </w:t>
      </w:r>
      <w:r w:rsidR="005631A8" w:rsidRPr="00B263FC">
        <w:t xml:space="preserve">Paradoxically, better therapy leads to </w:t>
      </w:r>
      <w:r w:rsidR="004D5905" w:rsidRPr="00B263FC">
        <w:t xml:space="preserve">an increase </w:t>
      </w:r>
      <w:r w:rsidR="00C863A4" w:rsidRPr="00B263FC">
        <w:t>in the prevalence of HUDs</w:t>
      </w:r>
      <w:r w:rsidR="00B34A7C" w:rsidRPr="00B263FC">
        <w:t>, precisely because they do not die</w:t>
      </w:r>
      <w:r w:rsidR="00442A73" w:rsidRPr="00B263FC">
        <w:t xml:space="preserve"> </w:t>
      </w:r>
      <w:r w:rsidR="00343171" w:rsidRPr="00B263FC">
        <w:t xml:space="preserve">(see </w:t>
      </w:r>
      <w:r w:rsidR="00B263FC" w:rsidRPr="00B263FC">
        <w:fldChar w:fldCharType="begin"/>
      </w:r>
      <w:r w:rsidR="00B263FC" w:rsidRPr="00B263FC">
        <w:instrText xml:space="preserve"> REF _Ref58949550 \h </w:instrText>
      </w:r>
      <w:r w:rsidR="00B263FC">
        <w:instrText xml:space="preserve"> \* MERGEFORMAT </w:instrText>
      </w:r>
      <w:r w:rsidR="00B263FC" w:rsidRPr="00B263FC">
        <w:fldChar w:fldCharType="separate"/>
      </w:r>
      <w:r w:rsidR="00B263FC" w:rsidRPr="00B263FC">
        <w:t xml:space="preserve">Figure </w:t>
      </w:r>
      <w:r w:rsidR="00B263FC" w:rsidRPr="00B263FC">
        <w:rPr>
          <w:noProof/>
        </w:rPr>
        <w:t>7</w:t>
      </w:r>
      <w:r w:rsidR="00B263FC" w:rsidRPr="00B263FC">
        <w:noBreakHyphen/>
      </w:r>
      <w:r w:rsidR="00B263FC" w:rsidRPr="00B263FC">
        <w:rPr>
          <w:noProof/>
        </w:rPr>
        <w:t>13</w:t>
      </w:r>
      <w:r w:rsidR="00B263FC" w:rsidRPr="00B263FC">
        <w:fldChar w:fldCharType="end"/>
      </w:r>
      <w:r w:rsidR="00343171">
        <w:t>).</w:t>
      </w:r>
    </w:p>
    <w:p w14:paraId="11D95F2B" w14:textId="5B24B5F5" w:rsidR="00AE5FDF" w:rsidRDefault="00AE5FDF" w:rsidP="003F3764">
      <w:pPr>
        <w:jc w:val="center"/>
        <w:rPr>
          <w:highlight w:val="yellow"/>
        </w:rPr>
      </w:pPr>
      <w:r>
        <w:rPr>
          <w:noProof/>
        </w:rPr>
        <w:lastRenderedPageBreak/>
        <w:drawing>
          <wp:inline distT="0" distB="0" distL="0" distR="0" wp14:anchorId="2A6560D5" wp14:editId="29131EAF">
            <wp:extent cx="3940460" cy="2194560"/>
            <wp:effectExtent l="19050" t="19050" r="222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66082" cy="2208830"/>
                    </a:xfrm>
                    <a:prstGeom prst="rect">
                      <a:avLst/>
                    </a:prstGeom>
                    <a:noFill/>
                    <a:ln>
                      <a:solidFill>
                        <a:schemeClr val="tx1"/>
                      </a:solidFill>
                    </a:ln>
                  </pic:spPr>
                </pic:pic>
              </a:graphicData>
            </a:graphic>
          </wp:inline>
        </w:drawing>
      </w:r>
    </w:p>
    <w:p w14:paraId="6536820E" w14:textId="585227FB" w:rsidR="007E45DE" w:rsidRPr="004E7B55" w:rsidRDefault="001A0582" w:rsidP="00D05863">
      <w:pPr>
        <w:pStyle w:val="Caption"/>
      </w:pPr>
      <w:bookmarkStart w:id="82" w:name="_Ref58949550"/>
      <w:bookmarkStart w:id="83" w:name="_Toc59050125"/>
      <w:r>
        <w:t xml:space="preserve">Figure </w:t>
      </w:r>
      <w:fldSimple w:instr=" STYLEREF 1 \s ">
        <w:r w:rsidR="00A955A5">
          <w:rPr>
            <w:noProof/>
          </w:rPr>
          <w:t>7</w:t>
        </w:r>
      </w:fldSimple>
      <w:r w:rsidR="00A955A5">
        <w:noBreakHyphen/>
      </w:r>
      <w:fldSimple w:instr=" SEQ Figure \* ARABIC \s 1 ">
        <w:r w:rsidR="00A955A5">
          <w:rPr>
            <w:noProof/>
          </w:rPr>
          <w:t>13</w:t>
        </w:r>
      </w:fldSimple>
      <w:bookmarkEnd w:id="82"/>
      <w:r>
        <w:t>:</w:t>
      </w:r>
      <w:r w:rsidR="00343171" w:rsidRPr="004E7B55">
        <w:t xml:space="preserve"> Number of </w:t>
      </w:r>
      <w:r w:rsidR="00BC39F1">
        <w:t>P</w:t>
      </w:r>
      <w:r w:rsidR="00343171" w:rsidRPr="004E7B55">
        <w:t>eople with HUD</w:t>
      </w:r>
      <w:r w:rsidR="00544636" w:rsidRPr="004E7B55">
        <w:t xml:space="preserve"> when </w:t>
      </w:r>
      <w:r w:rsidR="00BC39F1">
        <w:t>I</w:t>
      </w:r>
      <w:r w:rsidR="00544636" w:rsidRPr="004E7B55">
        <w:t xml:space="preserve">ncreasing </w:t>
      </w:r>
      <w:r w:rsidR="00A6550D" w:rsidRPr="004E7B55">
        <w:t xml:space="preserve">Tx </w:t>
      </w:r>
      <w:r w:rsidR="00BC39F1">
        <w:t>C</w:t>
      </w:r>
      <w:r w:rsidR="00A6550D" w:rsidRPr="004E7B55">
        <w:t xml:space="preserve">apacity and </w:t>
      </w:r>
      <w:r w:rsidR="00B73B86">
        <w:t xml:space="preserve">Probability Nx </w:t>
      </w:r>
      <w:r w:rsidR="00B55C0B">
        <w:t>B</w:t>
      </w:r>
      <w:r w:rsidR="001C3F4E" w:rsidRPr="004E7B55">
        <w:t>ystander</w:t>
      </w:r>
      <w:r w:rsidR="00F67A19" w:rsidRPr="004E7B55">
        <w:t xml:space="preserve"> (ID 13)</w:t>
      </w:r>
      <w:bookmarkEnd w:id="83"/>
    </w:p>
    <w:p w14:paraId="11E7EE2C" w14:textId="263C72B0" w:rsidR="00473620" w:rsidRPr="00A505C8" w:rsidRDefault="007E45DE" w:rsidP="00D842E6">
      <w:pPr>
        <w:jc w:val="center"/>
        <w:rPr>
          <w:szCs w:val="22"/>
        </w:rPr>
      </w:pPr>
      <w:r w:rsidRPr="00A505C8">
        <w:rPr>
          <w:i/>
          <w:iCs/>
          <w:szCs w:val="22"/>
        </w:rPr>
        <w:t xml:space="preserve">Note: </w:t>
      </w:r>
      <w:r w:rsidR="00A505C8">
        <w:rPr>
          <w:i/>
          <w:lang w:eastAsia="en-US"/>
        </w:rPr>
        <w:t>x-a</w:t>
      </w:r>
      <w:r w:rsidR="004C74A7">
        <w:rPr>
          <w:i/>
          <w:lang w:eastAsia="en-US"/>
        </w:rPr>
        <w:t>xi</w:t>
      </w:r>
      <w:r w:rsidR="00A505C8">
        <w:rPr>
          <w:i/>
          <w:lang w:eastAsia="en-US"/>
        </w:rPr>
        <w:t>s = year; y-ax</w:t>
      </w:r>
      <w:r w:rsidR="004C74A7">
        <w:rPr>
          <w:i/>
          <w:lang w:eastAsia="en-US"/>
        </w:rPr>
        <w:t>i</w:t>
      </w:r>
      <w:r w:rsidR="00A505C8">
        <w:rPr>
          <w:i/>
          <w:lang w:eastAsia="en-US"/>
        </w:rPr>
        <w:t xml:space="preserve">s = number of people. The vertical line designates the scenario start year. </w:t>
      </w:r>
      <w:r w:rsidRPr="00A505C8">
        <w:rPr>
          <w:i/>
          <w:iCs/>
          <w:szCs w:val="22"/>
        </w:rPr>
        <w:t>The colored lines represent percentage increase in the input values during each analysis</w:t>
      </w:r>
      <w:r w:rsidR="009B4763" w:rsidRPr="00A505C8">
        <w:rPr>
          <w:i/>
          <w:iCs/>
          <w:szCs w:val="22"/>
        </w:rPr>
        <w:t xml:space="preserve"> (</w:t>
      </w:r>
      <w:r w:rsidR="00E837CA" w:rsidRPr="00A505C8">
        <w:rPr>
          <w:i/>
          <w:iCs/>
          <w:szCs w:val="22"/>
        </w:rPr>
        <w:t xml:space="preserve">inputs in this test are </w:t>
      </w:r>
      <w:r w:rsidR="00E837CA" w:rsidRPr="00E31A2C">
        <w:rPr>
          <w:rFonts w:cs="Calibri"/>
          <w:b/>
          <w:i/>
          <w:iCs/>
          <w:color w:val="000000"/>
          <w:szCs w:val="22"/>
        </w:rPr>
        <w:t>Probability Nx bystander Rx</w:t>
      </w:r>
      <w:r w:rsidR="004E7B55" w:rsidRPr="00E31A2C">
        <w:rPr>
          <w:rFonts w:cs="Calibri"/>
          <w:b/>
          <w:i/>
          <w:iCs/>
          <w:color w:val="000000"/>
          <w:szCs w:val="22"/>
        </w:rPr>
        <w:t xml:space="preserve">, </w:t>
      </w:r>
      <w:r w:rsidR="00E837CA" w:rsidRPr="00E31A2C">
        <w:rPr>
          <w:rFonts w:cs="Calibri"/>
          <w:b/>
          <w:i/>
          <w:iCs/>
          <w:color w:val="000000"/>
          <w:szCs w:val="22"/>
        </w:rPr>
        <w:t xml:space="preserve">Probability </w:t>
      </w:r>
      <w:proofErr w:type="spellStart"/>
      <w:r w:rsidR="00E837CA" w:rsidRPr="00E31A2C">
        <w:rPr>
          <w:rFonts w:cs="Calibri"/>
          <w:b/>
          <w:i/>
          <w:iCs/>
          <w:color w:val="000000"/>
          <w:szCs w:val="22"/>
        </w:rPr>
        <w:t>Nx</w:t>
      </w:r>
      <w:proofErr w:type="spellEnd"/>
      <w:r w:rsidR="00E837CA" w:rsidRPr="00E31A2C">
        <w:rPr>
          <w:rFonts w:cs="Calibri"/>
          <w:b/>
          <w:i/>
          <w:iCs/>
          <w:color w:val="000000"/>
          <w:szCs w:val="22"/>
        </w:rPr>
        <w:t xml:space="preserve"> bystander heroin</w:t>
      </w:r>
      <w:r w:rsidR="004E7B55" w:rsidRPr="00E31A2C">
        <w:rPr>
          <w:rFonts w:cs="Calibri"/>
          <w:b/>
          <w:i/>
          <w:iCs/>
          <w:color w:val="000000"/>
          <w:szCs w:val="22"/>
        </w:rPr>
        <w:t xml:space="preserve">, </w:t>
      </w:r>
      <w:r w:rsidR="00E837CA" w:rsidRPr="00E31A2C">
        <w:rPr>
          <w:rFonts w:cs="Calibri"/>
          <w:b/>
          <w:i/>
          <w:iCs/>
          <w:color w:val="000000"/>
          <w:szCs w:val="22"/>
        </w:rPr>
        <w:t>Bup total theoretical capacity</w:t>
      </w:r>
      <w:r w:rsidR="004E7B55" w:rsidRPr="00E31A2C">
        <w:rPr>
          <w:rFonts w:cs="Calibri"/>
          <w:b/>
          <w:i/>
          <w:iCs/>
          <w:color w:val="000000"/>
          <w:szCs w:val="22"/>
        </w:rPr>
        <w:t xml:space="preserve">, </w:t>
      </w:r>
      <w:r w:rsidR="00E837CA" w:rsidRPr="00E31A2C">
        <w:rPr>
          <w:rFonts w:cs="Calibri"/>
          <w:b/>
          <w:i/>
          <w:iCs/>
          <w:color w:val="000000"/>
          <w:szCs w:val="22"/>
        </w:rPr>
        <w:t>MMT capacity estimated</w:t>
      </w:r>
      <w:r w:rsidR="004E7B55" w:rsidRPr="00E31A2C">
        <w:rPr>
          <w:rFonts w:cs="Calibri"/>
          <w:i/>
          <w:iCs/>
          <w:color w:val="000000"/>
          <w:szCs w:val="22"/>
        </w:rPr>
        <w:t>, and</w:t>
      </w:r>
      <w:r w:rsidR="004E7B55" w:rsidRPr="00E31A2C">
        <w:rPr>
          <w:rFonts w:cs="Calibri"/>
          <w:b/>
          <w:i/>
          <w:iCs/>
          <w:color w:val="000000"/>
          <w:szCs w:val="22"/>
        </w:rPr>
        <w:t xml:space="preserve"> </w:t>
      </w:r>
      <w:r w:rsidR="00E837CA" w:rsidRPr="00E31A2C">
        <w:rPr>
          <w:rFonts w:cs="Calibri"/>
          <w:b/>
          <w:i/>
          <w:iCs/>
          <w:color w:val="000000"/>
          <w:szCs w:val="22"/>
        </w:rPr>
        <w:t>Viv capacity estimated</w:t>
      </w:r>
      <w:r w:rsidR="004E7B55" w:rsidRPr="00A505C8">
        <w:rPr>
          <w:rFonts w:cs="Calibri"/>
          <w:i/>
          <w:iCs/>
          <w:color w:val="000000"/>
          <w:szCs w:val="22"/>
        </w:rPr>
        <w:t>)</w:t>
      </w:r>
      <w:r w:rsidRPr="00A505C8">
        <w:rPr>
          <w:i/>
          <w:iCs/>
          <w:szCs w:val="22"/>
        </w:rPr>
        <w:t>:</w:t>
      </w:r>
      <w:r w:rsidR="007B59DB" w:rsidRPr="00A505C8">
        <w:rPr>
          <w:i/>
          <w:iCs/>
          <w:szCs w:val="22"/>
        </w:rPr>
        <w:t xml:space="preserve"> </w:t>
      </w:r>
      <w:r w:rsidR="006771E0" w:rsidRPr="00A505C8">
        <w:rPr>
          <w:i/>
          <w:iCs/>
          <w:szCs w:val="22"/>
        </w:rPr>
        <w:t>T</w:t>
      </w:r>
      <w:r w:rsidR="00343171" w:rsidRPr="00A505C8">
        <w:rPr>
          <w:i/>
          <w:iCs/>
          <w:szCs w:val="22"/>
        </w:rPr>
        <w:t xml:space="preserve">he </w:t>
      </w:r>
      <w:r w:rsidR="003A3726" w:rsidRPr="00A505C8">
        <w:rPr>
          <w:i/>
          <w:iCs/>
          <w:szCs w:val="22"/>
        </w:rPr>
        <w:t>black line represents the Baseline, Scenario 1</w:t>
      </w:r>
      <w:r w:rsidR="00473620" w:rsidRPr="00A505C8">
        <w:rPr>
          <w:i/>
          <w:iCs/>
          <w:szCs w:val="22"/>
        </w:rPr>
        <w:t xml:space="preserve"> (</w:t>
      </w:r>
      <w:r w:rsidR="00E837CA" w:rsidRPr="00A505C8">
        <w:rPr>
          <w:rFonts w:cs="Calibri"/>
          <w:i/>
          <w:iCs/>
          <w:color w:val="000000"/>
          <w:szCs w:val="22"/>
        </w:rPr>
        <w:t xml:space="preserve">20%, no change, all three +20%, </w:t>
      </w:r>
      <w:r w:rsidR="00160469" w:rsidRPr="00A505C8">
        <w:rPr>
          <w:i/>
          <w:iCs/>
          <w:szCs w:val="22"/>
        </w:rPr>
        <w:t>orange)</w:t>
      </w:r>
      <w:r w:rsidR="003A3726" w:rsidRPr="00A505C8">
        <w:rPr>
          <w:i/>
          <w:iCs/>
          <w:szCs w:val="22"/>
        </w:rPr>
        <w:t>, Scenario 2</w:t>
      </w:r>
      <w:r w:rsidR="00160469" w:rsidRPr="00A505C8">
        <w:rPr>
          <w:i/>
          <w:iCs/>
          <w:szCs w:val="22"/>
        </w:rPr>
        <w:t xml:space="preserve"> (</w:t>
      </w:r>
      <w:r w:rsidR="00E837CA" w:rsidRPr="00A505C8">
        <w:rPr>
          <w:rFonts w:cs="Calibri"/>
          <w:i/>
          <w:iCs/>
          <w:color w:val="000000"/>
          <w:szCs w:val="22"/>
        </w:rPr>
        <w:t xml:space="preserve">20%, no change, all three +50%, </w:t>
      </w:r>
      <w:r w:rsidR="00160469" w:rsidRPr="00A505C8">
        <w:rPr>
          <w:i/>
          <w:iCs/>
          <w:szCs w:val="22"/>
        </w:rPr>
        <w:t>green)</w:t>
      </w:r>
      <w:r w:rsidR="003A3726" w:rsidRPr="00A505C8">
        <w:rPr>
          <w:i/>
          <w:iCs/>
          <w:szCs w:val="22"/>
        </w:rPr>
        <w:t>, and Scenario 3</w:t>
      </w:r>
      <w:r w:rsidR="00160469" w:rsidRPr="00A505C8">
        <w:rPr>
          <w:i/>
          <w:iCs/>
          <w:szCs w:val="22"/>
        </w:rPr>
        <w:t xml:space="preserve"> (</w:t>
      </w:r>
      <w:r w:rsidR="00E837CA" w:rsidRPr="00A505C8">
        <w:rPr>
          <w:rFonts w:cs="Calibri"/>
          <w:i/>
          <w:iCs/>
          <w:color w:val="000000"/>
          <w:szCs w:val="22"/>
        </w:rPr>
        <w:t xml:space="preserve">50%, 50%, all three +50%, </w:t>
      </w:r>
      <w:r w:rsidR="00160469" w:rsidRPr="00A505C8">
        <w:rPr>
          <w:i/>
          <w:iCs/>
          <w:szCs w:val="22"/>
        </w:rPr>
        <w:t>red)</w:t>
      </w:r>
      <w:r w:rsidR="003A3726" w:rsidRPr="00A505C8">
        <w:rPr>
          <w:i/>
          <w:iCs/>
          <w:szCs w:val="22"/>
        </w:rPr>
        <w:t>.</w:t>
      </w:r>
    </w:p>
    <w:p w14:paraId="35EBB4EF" w14:textId="319D95AB" w:rsidR="00A1121E" w:rsidRPr="0073481E" w:rsidRDefault="00343171" w:rsidP="00A1121E">
      <w:pPr>
        <w:rPr>
          <w:color w:val="FF0000"/>
        </w:rPr>
      </w:pPr>
      <w:r>
        <w:t xml:space="preserve">Another </w:t>
      </w:r>
      <w:r w:rsidR="00C0626E">
        <w:t>scenario</w:t>
      </w:r>
      <w:r>
        <w:t xml:space="preserve"> that we tested </w:t>
      </w:r>
      <w:r w:rsidR="00905998">
        <w:t xml:space="preserve">was </w:t>
      </w:r>
      <w:r w:rsidR="00E37BAC">
        <w:t xml:space="preserve">a </w:t>
      </w:r>
      <w:r>
        <w:t xml:space="preserve">combination of increasing </w:t>
      </w:r>
      <w:r w:rsidR="00E37BAC">
        <w:t>naloxone</w:t>
      </w:r>
      <w:r>
        <w:t xml:space="preserve"> availability and expanding </w:t>
      </w:r>
      <w:r w:rsidR="00E37BAC">
        <w:t>treatment</w:t>
      </w:r>
      <w:r>
        <w:t xml:space="preserve"> is increasing </w:t>
      </w:r>
      <w:r w:rsidR="00E7608F" w:rsidRPr="00E7608F">
        <w:rPr>
          <w:b/>
        </w:rPr>
        <w:t>P</w:t>
      </w:r>
      <w:r w:rsidRPr="00E7608F">
        <w:rPr>
          <w:b/>
        </w:rPr>
        <w:t>robability Nx bystander Rx</w:t>
      </w:r>
      <w:r>
        <w:t xml:space="preserve"> to 20% and increasing </w:t>
      </w:r>
      <w:r w:rsidR="000058C1">
        <w:t>treatment</w:t>
      </w:r>
      <w:r>
        <w:t xml:space="preserve"> seeking rate</w:t>
      </w:r>
      <w:r w:rsidR="000058C1">
        <w:t>s</w:t>
      </w:r>
      <w:r>
        <w:t xml:space="preserve"> for Bup, MMT, and Viv to </w:t>
      </w:r>
      <w:r w:rsidR="004C2451">
        <w:t>0.</w:t>
      </w:r>
      <w:r>
        <w:t xml:space="preserve">65. </w:t>
      </w:r>
      <w:r w:rsidR="00325F64">
        <w:t>C</w:t>
      </w:r>
      <w:r>
        <w:t xml:space="preserve">ombining these two interventions has a </w:t>
      </w:r>
      <w:r w:rsidR="00905998">
        <w:t xml:space="preserve">greater </w:t>
      </w:r>
      <w:r>
        <w:t xml:space="preserve">impact on reducing </w:t>
      </w:r>
      <w:r w:rsidRPr="00BA6869">
        <w:rPr>
          <w:b/>
        </w:rPr>
        <w:t>Total overdose deaths</w:t>
      </w:r>
      <w:r>
        <w:t xml:space="preserve"> and </w:t>
      </w:r>
      <w:r w:rsidRPr="00BA6869">
        <w:rPr>
          <w:b/>
        </w:rPr>
        <w:t>Probability OD death not averted heroin use</w:t>
      </w:r>
      <w:r>
        <w:rPr>
          <w:b/>
        </w:rPr>
        <w:t xml:space="preserve"> </w:t>
      </w:r>
      <w:r w:rsidR="00325F64">
        <w:t xml:space="preserve">(see </w:t>
      </w:r>
      <w:r w:rsidR="00B263FC">
        <w:rPr>
          <w:highlight w:val="yellow"/>
        </w:rPr>
        <w:fldChar w:fldCharType="begin"/>
      </w:r>
      <w:r w:rsidR="00B263FC">
        <w:instrText xml:space="preserve"> REF _Ref58949581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14</w:t>
      </w:r>
      <w:r w:rsidR="00B263FC">
        <w:rPr>
          <w:highlight w:val="yellow"/>
        </w:rPr>
        <w:fldChar w:fldCharType="end"/>
      </w:r>
      <w:r w:rsidR="00325F64">
        <w:t>)</w:t>
      </w:r>
      <w:r w:rsidR="006C4B84">
        <w:t xml:space="preserve"> </w:t>
      </w:r>
      <w:r>
        <w:t xml:space="preserve">compared to the intervention </w:t>
      </w:r>
      <w:r w:rsidR="006C4B84">
        <w:t xml:space="preserve">of increasing </w:t>
      </w:r>
      <w:r>
        <w:t xml:space="preserve">Tx capacity instead of </w:t>
      </w:r>
      <w:r w:rsidR="006C4B84">
        <w:t>Tx</w:t>
      </w:r>
      <w:r>
        <w:t xml:space="preserve"> seeking </w:t>
      </w:r>
      <w:r w:rsidRPr="00DF2C9D">
        <w:t>rate</w:t>
      </w:r>
      <w:r w:rsidR="00325F64" w:rsidRPr="00DF2C9D">
        <w:t xml:space="preserve"> (see </w:t>
      </w:r>
      <w:r w:rsidR="00B263FC" w:rsidRPr="00DF2C9D">
        <w:fldChar w:fldCharType="begin"/>
      </w:r>
      <w:r w:rsidR="00B263FC" w:rsidRPr="00DF2C9D">
        <w:instrText xml:space="preserve"> REF _Ref58949535 \h </w:instrText>
      </w:r>
      <w:r w:rsidR="00DF2C9D">
        <w:instrText xml:space="preserve"> \* MERGEFORMAT </w:instrText>
      </w:r>
      <w:r w:rsidR="00B263FC" w:rsidRPr="00DF2C9D">
        <w:fldChar w:fldCharType="separate"/>
      </w:r>
      <w:r w:rsidR="00B263FC" w:rsidRPr="00DF2C9D">
        <w:t xml:space="preserve">Figure </w:t>
      </w:r>
      <w:r w:rsidR="00B263FC" w:rsidRPr="00DF2C9D">
        <w:rPr>
          <w:noProof/>
        </w:rPr>
        <w:t>7</w:t>
      </w:r>
      <w:r w:rsidR="00B263FC" w:rsidRPr="00DF2C9D">
        <w:noBreakHyphen/>
      </w:r>
      <w:r w:rsidR="00B263FC" w:rsidRPr="00DF2C9D">
        <w:rPr>
          <w:noProof/>
        </w:rPr>
        <w:t>12</w:t>
      </w:r>
      <w:r w:rsidR="00B263FC" w:rsidRPr="00DF2C9D">
        <w:fldChar w:fldCharType="end"/>
      </w:r>
      <w:r w:rsidR="00325F64" w:rsidRPr="00DF2C9D">
        <w:t>)</w:t>
      </w:r>
      <w:r w:rsidRPr="00DF2C9D">
        <w:t xml:space="preserve">. </w:t>
      </w:r>
      <w:r w:rsidR="006565B4" w:rsidRPr="00DF2C9D">
        <w:t>T</w:t>
      </w:r>
      <w:r w:rsidRPr="00DF2C9D">
        <w:t>h</w:t>
      </w:r>
      <w:r w:rsidR="006565B4" w:rsidRPr="00DF2C9D">
        <w:t>e</w:t>
      </w:r>
      <w:r w:rsidRPr="00DF2C9D">
        <w:t>s</w:t>
      </w:r>
      <w:r w:rsidR="006565B4" w:rsidRPr="00DF2C9D">
        <w:t>e</w:t>
      </w:r>
      <w:r w:rsidR="006565B4">
        <w:t xml:space="preserve"> results </w:t>
      </w:r>
      <w:r w:rsidR="002451EE">
        <w:t>suggest that</w:t>
      </w:r>
      <w:r w:rsidDel="003F58AD">
        <w:t xml:space="preserve"> </w:t>
      </w:r>
      <w:r w:rsidR="003F58AD">
        <w:t>addressing</w:t>
      </w:r>
      <w:r w:rsidR="00446EF5">
        <w:t xml:space="preserve"> </w:t>
      </w:r>
      <w:r>
        <w:t xml:space="preserve">the barriers for people to seek </w:t>
      </w:r>
      <w:r w:rsidR="00446EF5">
        <w:t>treatment</w:t>
      </w:r>
      <w:r>
        <w:t xml:space="preserve"> (e.g., insurance coverage) </w:t>
      </w:r>
      <w:r w:rsidR="003F6A86">
        <w:t xml:space="preserve">may have greater impact than </w:t>
      </w:r>
      <w:r w:rsidR="00A456BF">
        <w:t>increasing treatment capacity</w:t>
      </w:r>
      <w:r>
        <w:t>.</w:t>
      </w:r>
    </w:p>
    <w:p w14:paraId="33CA5885" w14:textId="27645180" w:rsidR="0016235D" w:rsidRDefault="0016235D" w:rsidP="006A42FB">
      <w:pPr>
        <w:jc w:val="center"/>
      </w:pPr>
      <w:r>
        <w:rPr>
          <w:noProof/>
        </w:rPr>
        <w:drawing>
          <wp:inline distT="0" distB="0" distL="0" distR="0" wp14:anchorId="4E975066" wp14:editId="13629CD0">
            <wp:extent cx="4628270" cy="2307102"/>
            <wp:effectExtent l="0" t="0" r="1270" b="17145"/>
            <wp:docPr id="14" name="Chart 14">
              <a:extLst xmlns:a="http://schemas.openxmlformats.org/drawingml/2006/main">
                <a:ext uri="{FF2B5EF4-FFF2-40B4-BE49-F238E27FC236}">
                  <a16:creationId xmlns:a16="http://schemas.microsoft.com/office/drawing/2014/main" id="{5394C851-7729-4390-AC0F-65E14EC8C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395A95" w14:textId="492697A0" w:rsidR="00343171" w:rsidRDefault="001A0582" w:rsidP="00D05863">
      <w:pPr>
        <w:pStyle w:val="Caption"/>
      </w:pPr>
      <w:bookmarkStart w:id="84" w:name="_Ref58949581"/>
      <w:bookmarkStart w:id="85" w:name="_Toc59050126"/>
      <w:r>
        <w:t xml:space="preserve">Figure </w:t>
      </w:r>
      <w:fldSimple w:instr=" STYLEREF 1 \s ">
        <w:r w:rsidR="00A955A5">
          <w:rPr>
            <w:noProof/>
          </w:rPr>
          <w:t>7</w:t>
        </w:r>
      </w:fldSimple>
      <w:r w:rsidR="00A955A5">
        <w:noBreakHyphen/>
      </w:r>
      <w:fldSimple w:instr=" SEQ Figure \* ARABIC \s 1 ">
        <w:r w:rsidR="00A955A5">
          <w:rPr>
            <w:noProof/>
          </w:rPr>
          <w:t>14</w:t>
        </w:r>
      </w:fldSimple>
      <w:bookmarkEnd w:id="84"/>
      <w:r>
        <w:t>:</w:t>
      </w:r>
      <w:r w:rsidR="005D1CF3" w:rsidRPr="00C87EB6">
        <w:t xml:space="preserve"> </w:t>
      </w:r>
      <w:r w:rsidR="003F3764" w:rsidRPr="00C87EB6">
        <w:t xml:space="preserve">Results of </w:t>
      </w:r>
      <w:r w:rsidR="00AD0CE9">
        <w:t>I</w:t>
      </w:r>
      <w:r w:rsidR="003F3764" w:rsidRPr="00C87EB6">
        <w:t xml:space="preserve">ncreasing </w:t>
      </w:r>
      <w:r w:rsidR="00AD0CE9">
        <w:t>P</w:t>
      </w:r>
      <w:r w:rsidR="003F3764" w:rsidRPr="00C87EB6">
        <w:t xml:space="preserve">robability of Nx bystander for Rx users to 20% and </w:t>
      </w:r>
      <w:r w:rsidR="00AD0CE9">
        <w:t>I</w:t>
      </w:r>
      <w:r w:rsidR="003F3764" w:rsidRPr="00C87EB6">
        <w:t xml:space="preserve">ncreasing </w:t>
      </w:r>
      <w:r w:rsidR="00AD0CE9">
        <w:t>T</w:t>
      </w:r>
      <w:r w:rsidR="003F3764" w:rsidRPr="00C87EB6">
        <w:t xml:space="preserve">reatment </w:t>
      </w:r>
      <w:r w:rsidR="00AD0CE9">
        <w:t>S</w:t>
      </w:r>
      <w:r w:rsidR="00C87EB6" w:rsidRPr="00C87EB6">
        <w:t xml:space="preserve">eeking </w:t>
      </w:r>
      <w:r w:rsidR="00AD0CE9">
        <w:t>R</w:t>
      </w:r>
      <w:r w:rsidR="00C87EB6" w:rsidRPr="00C87EB6">
        <w:t>ate</w:t>
      </w:r>
      <w:r w:rsidR="003F3764" w:rsidRPr="00C87EB6">
        <w:t xml:space="preserve"> </w:t>
      </w:r>
      <w:r w:rsidR="00C87EB6" w:rsidRPr="00C87EB6">
        <w:t>to 0.65</w:t>
      </w:r>
      <w:r w:rsidR="003F3764" w:rsidRPr="00C87EB6">
        <w:t xml:space="preserve"> </w:t>
      </w:r>
      <w:r w:rsidR="005D1CF3" w:rsidRPr="00C87EB6">
        <w:t xml:space="preserve">(ID 11, </w:t>
      </w:r>
      <w:r w:rsidR="00D52060">
        <w:t>S</w:t>
      </w:r>
      <w:r w:rsidR="005D1CF3" w:rsidRPr="00C87EB6">
        <w:t>ce</w:t>
      </w:r>
      <w:r w:rsidR="00F42067" w:rsidRPr="00C87EB6">
        <w:t>nario 1)</w:t>
      </w:r>
      <w:bookmarkEnd w:id="85"/>
    </w:p>
    <w:p w14:paraId="6893BA93" w14:textId="77777777" w:rsidR="00AF5299" w:rsidRPr="00AF5299" w:rsidRDefault="00AF5299" w:rsidP="00AF5299">
      <w:pPr>
        <w:rPr>
          <w:lang w:eastAsia="en-US"/>
        </w:rPr>
      </w:pPr>
    </w:p>
    <w:p w14:paraId="6C59342E" w14:textId="0A8A2DDB" w:rsidR="00DE75BE" w:rsidRDefault="003623E4" w:rsidP="00DE75BE">
      <w:r>
        <w:lastRenderedPageBreak/>
        <w:t>We also c</w:t>
      </w:r>
      <w:r w:rsidR="00206CD8">
        <w:t>ompar</w:t>
      </w:r>
      <w:r>
        <w:t>e</w:t>
      </w:r>
      <w:r w:rsidR="00905998">
        <w:t>d</w:t>
      </w:r>
      <w:r w:rsidR="00206CD8">
        <w:t xml:space="preserve"> different scenarios </w:t>
      </w:r>
      <w:r>
        <w:t>for increasing treatment seeking</w:t>
      </w:r>
      <w:r w:rsidR="00206CD8">
        <w:t xml:space="preserve"> </w:t>
      </w:r>
      <w:r w:rsidR="00EA0D2F">
        <w:t xml:space="preserve">and </w:t>
      </w:r>
      <w:r w:rsidR="00E62072">
        <w:t xml:space="preserve">probability </w:t>
      </w:r>
      <w:r w:rsidR="00EA0D2F">
        <w:t>naloxone bystander.</w:t>
      </w:r>
      <w:r w:rsidR="00343171" w:rsidRPr="00E446B1">
        <w:t xml:space="preserve"> </w:t>
      </w:r>
      <w:r w:rsidR="003955F0">
        <w:t>When</w:t>
      </w:r>
      <w:r w:rsidR="00343171">
        <w:t xml:space="preserve"> </w:t>
      </w:r>
      <w:r w:rsidR="00343171" w:rsidRPr="00E446B1">
        <w:t xml:space="preserve">Tx seeking </w:t>
      </w:r>
      <w:r w:rsidR="003955F0">
        <w:t>rate is increased</w:t>
      </w:r>
      <w:r w:rsidR="00343171" w:rsidRPr="00E446B1">
        <w:t xml:space="preserve"> </w:t>
      </w:r>
      <w:r w:rsidR="00343171">
        <w:t>to</w:t>
      </w:r>
      <w:r w:rsidR="00343171" w:rsidRPr="00E446B1">
        <w:t xml:space="preserve"> </w:t>
      </w:r>
      <w:r w:rsidR="004C2451">
        <w:t>0.</w:t>
      </w:r>
      <w:r w:rsidR="00343171" w:rsidRPr="00E446B1">
        <w:t xml:space="preserve">65, </w:t>
      </w:r>
      <w:r w:rsidR="00D97FE9">
        <w:t>increasing</w:t>
      </w:r>
      <w:r w:rsidR="00343171" w:rsidRPr="00E446B1">
        <w:t xml:space="preserve"> Nx </w:t>
      </w:r>
      <w:r w:rsidR="00343171">
        <w:t>availability</w:t>
      </w:r>
      <w:r w:rsidR="00A65438">
        <w:t xml:space="preserve"> for both Rx and heroin bystanders</w:t>
      </w:r>
      <w:r w:rsidR="00343171" w:rsidRPr="00E446B1">
        <w:t xml:space="preserve"> </w:t>
      </w:r>
      <w:r w:rsidR="008957A5">
        <w:t>to</w:t>
      </w:r>
      <w:r w:rsidR="008957A5" w:rsidRPr="00E446B1">
        <w:t xml:space="preserve"> </w:t>
      </w:r>
      <w:r w:rsidR="00343171" w:rsidRPr="00E446B1">
        <w:t>5</w:t>
      </w:r>
      <w:r w:rsidR="00190E13">
        <w:t>0</w:t>
      </w:r>
      <w:r w:rsidR="00343171" w:rsidRPr="00E446B1">
        <w:t>%</w:t>
      </w:r>
      <w:r w:rsidR="00343171">
        <w:t xml:space="preserve"> </w:t>
      </w:r>
      <w:r w:rsidR="00190E13">
        <w:t>increases</w:t>
      </w:r>
      <w:r w:rsidR="00343171">
        <w:t xml:space="preserve"> </w:t>
      </w:r>
      <w:r w:rsidR="00F34A6C">
        <w:t xml:space="preserve">the </w:t>
      </w:r>
      <w:r w:rsidR="00343171">
        <w:t xml:space="preserve">total number </w:t>
      </w:r>
      <w:r w:rsidR="00343171" w:rsidRPr="00DF2C9D">
        <w:t xml:space="preserve">of people with HUD </w:t>
      </w:r>
      <w:r w:rsidR="00A0721D" w:rsidRPr="00DF2C9D">
        <w:t>relat</w:t>
      </w:r>
      <w:r w:rsidR="00250694" w:rsidRPr="00DF2C9D">
        <w:t>ive to baseline</w:t>
      </w:r>
      <w:r w:rsidR="00343171" w:rsidRPr="00DF2C9D">
        <w:t xml:space="preserve"> </w:t>
      </w:r>
      <w:r w:rsidR="00FA0FFE" w:rsidRPr="00DF2C9D">
        <w:t>over time</w:t>
      </w:r>
      <w:r w:rsidR="00E105EB" w:rsidRPr="00DF2C9D">
        <w:t xml:space="preserve">, </w:t>
      </w:r>
      <w:r w:rsidR="00C4073C" w:rsidRPr="00DF2C9D">
        <w:t xml:space="preserve">with </w:t>
      </w:r>
      <w:r w:rsidR="00B31296" w:rsidRPr="00DF2C9D">
        <w:t>a</w:t>
      </w:r>
      <w:r w:rsidR="00C4073C" w:rsidRPr="00DF2C9D">
        <w:t xml:space="preserve"> </w:t>
      </w:r>
      <w:r w:rsidR="00343171" w:rsidRPr="00DF2C9D">
        <w:t xml:space="preserve">2.04% increase </w:t>
      </w:r>
      <w:r w:rsidR="00B31296" w:rsidRPr="00DF2C9D">
        <w:t xml:space="preserve">in </w:t>
      </w:r>
      <w:r w:rsidR="00B31296" w:rsidRPr="00DF2C9D">
        <w:rPr>
          <w:b/>
          <w:bCs/>
        </w:rPr>
        <w:t>HUD total</w:t>
      </w:r>
      <w:r w:rsidR="00343171" w:rsidRPr="00DF2C9D">
        <w:t xml:space="preserve"> by 2030 (</w:t>
      </w:r>
      <w:r w:rsidR="0037393E" w:rsidRPr="00DF2C9D">
        <w:t xml:space="preserve">scenario 3; </w:t>
      </w:r>
      <w:r w:rsidR="00DF2C9D" w:rsidRPr="00DF2C9D">
        <w:fldChar w:fldCharType="begin"/>
      </w:r>
      <w:r w:rsidR="00DF2C9D" w:rsidRPr="00DF2C9D">
        <w:instrText xml:space="preserve"> REF _Ref58949786 \h </w:instrText>
      </w:r>
      <w:r w:rsidR="00DF2C9D">
        <w:instrText xml:space="preserve"> \* MERGEFORMAT </w:instrText>
      </w:r>
      <w:r w:rsidR="00DF2C9D" w:rsidRPr="00DF2C9D">
        <w:fldChar w:fldCharType="separate"/>
      </w:r>
      <w:r w:rsidR="00DF2C9D" w:rsidRPr="00DF2C9D">
        <w:t xml:space="preserve">Figure </w:t>
      </w:r>
      <w:r w:rsidR="00DF2C9D" w:rsidRPr="00DF2C9D">
        <w:rPr>
          <w:noProof/>
        </w:rPr>
        <w:t>7</w:t>
      </w:r>
      <w:r w:rsidR="00DF2C9D" w:rsidRPr="00DF2C9D">
        <w:noBreakHyphen/>
      </w:r>
      <w:r w:rsidR="00DF2C9D" w:rsidRPr="00DF2C9D">
        <w:rPr>
          <w:noProof/>
        </w:rPr>
        <w:t>15</w:t>
      </w:r>
      <w:r w:rsidR="00DF2C9D" w:rsidRPr="00DF2C9D">
        <w:fldChar w:fldCharType="end"/>
      </w:r>
      <w:r w:rsidR="00343171" w:rsidRPr="00DF2C9D">
        <w:t>, right graph</w:t>
      </w:r>
      <w:r w:rsidR="007B5907" w:rsidRPr="00DF2C9D">
        <w:t>, red line</w:t>
      </w:r>
      <w:r w:rsidR="00343171" w:rsidRPr="00DF2C9D">
        <w:t xml:space="preserve">). </w:t>
      </w:r>
      <w:r w:rsidR="00F450A9" w:rsidRPr="00DF2C9D">
        <w:t xml:space="preserve">An </w:t>
      </w:r>
      <w:r w:rsidR="001A1C3D" w:rsidRPr="00DF2C9D">
        <w:t>e</w:t>
      </w:r>
      <w:r w:rsidR="008D5658" w:rsidRPr="00DF2C9D">
        <w:t>xplanation for this behavior is that</w:t>
      </w:r>
      <w:r w:rsidR="00343171" w:rsidRPr="00DF2C9D">
        <w:t xml:space="preserve"> increasing Nx availability </w:t>
      </w:r>
      <w:r w:rsidR="001A1C3D" w:rsidRPr="00DF2C9D">
        <w:t>reduces overdose deaths</w:t>
      </w:r>
      <w:r w:rsidR="00BC2445" w:rsidRPr="00DF2C9D">
        <w:t>, which</w:t>
      </w:r>
      <w:r w:rsidR="002A7A9A">
        <w:t xml:space="preserve"> </w:t>
      </w:r>
      <w:r w:rsidR="006703C7">
        <w:t>lowers</w:t>
      </w:r>
      <w:r w:rsidR="00343171">
        <w:t xml:space="preserve"> perceived risk of heroin</w:t>
      </w:r>
      <w:r w:rsidR="00C66D5B">
        <w:t>. Lower perceived risk</w:t>
      </w:r>
      <w:r w:rsidR="002F5C60">
        <w:t xml:space="preserve"> lead</w:t>
      </w:r>
      <w:r w:rsidR="00C66D5B">
        <w:t>s</w:t>
      </w:r>
      <w:r w:rsidR="00FD03F0">
        <w:t xml:space="preserve"> to</w:t>
      </w:r>
      <w:r w:rsidR="00C66D5B">
        <w:t xml:space="preserve"> an</w:t>
      </w:r>
      <w:r w:rsidR="00FD03F0">
        <w:t xml:space="preserve"> </w:t>
      </w:r>
      <w:r w:rsidR="00F62FE6">
        <w:t xml:space="preserve">increase in </w:t>
      </w:r>
      <w:r w:rsidR="00C26171">
        <w:t xml:space="preserve">heroin initiation (e.g., </w:t>
      </w:r>
      <w:r w:rsidR="00C26171" w:rsidRPr="00564193">
        <w:rPr>
          <w:b/>
        </w:rPr>
        <w:t>Initiating heroin with Rx misuse,</w:t>
      </w:r>
      <w:r w:rsidR="00C26171">
        <w:t xml:space="preserve"> </w:t>
      </w:r>
      <w:r w:rsidR="00C26171" w:rsidRPr="00564193">
        <w:rPr>
          <w:b/>
        </w:rPr>
        <w:t>Initiating heroin with Rx OUD</w:t>
      </w:r>
      <w:r w:rsidR="00C26171">
        <w:t xml:space="preserve">, and </w:t>
      </w:r>
      <w:r w:rsidR="00C26171" w:rsidRPr="00564193">
        <w:rPr>
          <w:b/>
        </w:rPr>
        <w:t xml:space="preserve">Initiating </w:t>
      </w:r>
      <w:r w:rsidR="00EA70F1" w:rsidRPr="00564193">
        <w:rPr>
          <w:b/>
        </w:rPr>
        <w:t>heroin no Rx</w:t>
      </w:r>
      <w:r w:rsidR="00EA70F1">
        <w:t>) and ultimately increas</w:t>
      </w:r>
      <w:r w:rsidR="0052607F">
        <w:t>es the</w:t>
      </w:r>
      <w:r w:rsidR="00EA70F1">
        <w:t xml:space="preserve"> number of people with HUD </w:t>
      </w:r>
      <w:r w:rsidR="00005D33">
        <w:t>over time</w:t>
      </w:r>
      <w:r w:rsidR="00EA70F1">
        <w:t>.</w:t>
      </w:r>
      <w:r w:rsidR="0079358D">
        <w:t xml:space="preserve"> </w:t>
      </w:r>
      <w:r w:rsidR="00BB2B54">
        <w:t xml:space="preserve">This increase in the number of people with HUD </w:t>
      </w:r>
      <w:r w:rsidR="001560C2">
        <w:t>also has effects on the number of people in treatment</w:t>
      </w:r>
      <w:r w:rsidR="00BB2B54">
        <w:t xml:space="preserve">. </w:t>
      </w:r>
      <w:r w:rsidR="00586D0E">
        <w:t xml:space="preserve">Comparing </w:t>
      </w:r>
      <w:r w:rsidR="009C12BE">
        <w:t>scenarios 2 and 3, where Nx availability to bystanders is increased to 25% and 50%, respectively,</w:t>
      </w:r>
      <w:r w:rsidR="00586D0E">
        <w:t xml:space="preserve"> </w:t>
      </w:r>
      <w:r w:rsidR="004B6FFD">
        <w:t xml:space="preserve">there is a </w:t>
      </w:r>
      <w:r w:rsidR="0079358D" w:rsidRPr="00DF2C9D">
        <w:t>decrease</w:t>
      </w:r>
      <w:r w:rsidR="004B6FFD" w:rsidRPr="00DF2C9D">
        <w:t xml:space="preserve"> in</w:t>
      </w:r>
      <w:r w:rsidR="0079358D" w:rsidRPr="00DF2C9D">
        <w:t xml:space="preserve"> </w:t>
      </w:r>
      <w:r w:rsidR="0079358D" w:rsidRPr="00DF2C9D">
        <w:rPr>
          <w:b/>
        </w:rPr>
        <w:t>HUD not in MOUD Tx</w:t>
      </w:r>
      <w:r w:rsidR="0079358D" w:rsidRPr="00DF2C9D">
        <w:t xml:space="preserve"> by 8.43% </w:t>
      </w:r>
      <w:r w:rsidR="00056DE6" w:rsidRPr="00DF2C9D">
        <w:t xml:space="preserve">and 4.98%, respectively, </w:t>
      </w:r>
      <w:r w:rsidR="0079358D" w:rsidRPr="00DF2C9D">
        <w:t>compared to baseline in 2030</w:t>
      </w:r>
      <w:r w:rsidR="004B6FFD" w:rsidRPr="00DF2C9D">
        <w:t xml:space="preserve"> </w:t>
      </w:r>
      <w:r w:rsidR="0079358D" w:rsidRPr="00DF2C9D">
        <w:t>(</w:t>
      </w:r>
      <w:r w:rsidR="00056DE6" w:rsidRPr="00DF2C9D">
        <w:t>see</w:t>
      </w:r>
      <w:r w:rsidR="0079358D" w:rsidRPr="00DF2C9D">
        <w:t xml:space="preserve"> </w:t>
      </w:r>
      <w:r w:rsidR="00DF2C9D" w:rsidRPr="00DF2C9D">
        <w:fldChar w:fldCharType="begin"/>
      </w:r>
      <w:r w:rsidR="00DF2C9D" w:rsidRPr="00DF2C9D">
        <w:instrText xml:space="preserve"> REF _Ref58949786 \h </w:instrText>
      </w:r>
      <w:r w:rsidR="00DF2C9D">
        <w:instrText xml:space="preserve"> \* MERGEFORMAT </w:instrText>
      </w:r>
      <w:r w:rsidR="00DF2C9D" w:rsidRPr="00DF2C9D">
        <w:fldChar w:fldCharType="separate"/>
      </w:r>
      <w:r w:rsidR="00DF2C9D" w:rsidRPr="00DF2C9D">
        <w:t xml:space="preserve">Figure </w:t>
      </w:r>
      <w:r w:rsidR="00DF2C9D" w:rsidRPr="00DF2C9D">
        <w:rPr>
          <w:noProof/>
        </w:rPr>
        <w:t>7</w:t>
      </w:r>
      <w:r w:rsidR="00DF2C9D" w:rsidRPr="00DF2C9D">
        <w:noBreakHyphen/>
      </w:r>
      <w:r w:rsidR="00DF2C9D" w:rsidRPr="00DF2C9D">
        <w:rPr>
          <w:noProof/>
        </w:rPr>
        <w:t>15</w:t>
      </w:r>
      <w:r w:rsidR="00DF2C9D" w:rsidRPr="00DF2C9D">
        <w:fldChar w:fldCharType="end"/>
      </w:r>
      <w:r w:rsidR="0079358D" w:rsidRPr="00DF2C9D">
        <w:t>, left graph).</w:t>
      </w:r>
      <w:r w:rsidR="0079358D" w:rsidRPr="00E446B1">
        <w:t xml:space="preserve"> </w:t>
      </w:r>
    </w:p>
    <w:p w14:paraId="3533B821" w14:textId="77777777" w:rsidR="00DE75BE" w:rsidRPr="00E418CB" w:rsidRDefault="00DE75BE" w:rsidP="00DE75BE">
      <w:r>
        <w:rPr>
          <w:noProof/>
        </w:rPr>
        <w:drawing>
          <wp:inline distT="0" distB="0" distL="0" distR="0" wp14:anchorId="1C2BA7BA" wp14:editId="09621DC4">
            <wp:extent cx="2839973" cy="1600200"/>
            <wp:effectExtent l="19050" t="19050" r="1778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5635" cy="1609025"/>
                    </a:xfrm>
                    <a:prstGeom prst="rect">
                      <a:avLst/>
                    </a:prstGeom>
                    <a:noFill/>
                    <a:ln>
                      <a:solidFill>
                        <a:schemeClr val="tx1"/>
                      </a:solidFill>
                    </a:ln>
                  </pic:spPr>
                </pic:pic>
              </a:graphicData>
            </a:graphic>
          </wp:inline>
        </w:drawing>
      </w:r>
      <w:r>
        <w:rPr>
          <w:noProof/>
        </w:rPr>
        <w:drawing>
          <wp:inline distT="0" distB="0" distL="0" distR="0" wp14:anchorId="718534A4" wp14:editId="63F3A232">
            <wp:extent cx="2841193" cy="1605531"/>
            <wp:effectExtent l="19050" t="19050" r="16510"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63818" cy="1618316"/>
                    </a:xfrm>
                    <a:prstGeom prst="rect">
                      <a:avLst/>
                    </a:prstGeom>
                    <a:noFill/>
                    <a:ln>
                      <a:solidFill>
                        <a:schemeClr val="tx1"/>
                      </a:solidFill>
                    </a:ln>
                  </pic:spPr>
                </pic:pic>
              </a:graphicData>
            </a:graphic>
          </wp:inline>
        </w:drawing>
      </w:r>
    </w:p>
    <w:p w14:paraId="1E3CEA2F" w14:textId="12C68043" w:rsidR="00AB4D3B" w:rsidRPr="00471F6B" w:rsidRDefault="001A0582" w:rsidP="00D05863">
      <w:pPr>
        <w:pStyle w:val="Caption"/>
      </w:pPr>
      <w:bookmarkStart w:id="86" w:name="_Ref58949786"/>
      <w:bookmarkStart w:id="87" w:name="_Toc59050127"/>
      <w:r>
        <w:t xml:space="preserve">Figure </w:t>
      </w:r>
      <w:fldSimple w:instr=" STYLEREF 1 \s ">
        <w:r w:rsidR="00A955A5">
          <w:rPr>
            <w:noProof/>
          </w:rPr>
          <w:t>7</w:t>
        </w:r>
      </w:fldSimple>
      <w:r w:rsidR="00A955A5">
        <w:noBreakHyphen/>
      </w:r>
      <w:fldSimple w:instr=" SEQ Figure \* ARABIC \s 1 ">
        <w:r w:rsidR="00A955A5">
          <w:rPr>
            <w:noProof/>
          </w:rPr>
          <w:t>15</w:t>
        </w:r>
      </w:fldSimple>
      <w:bookmarkEnd w:id="86"/>
      <w:r>
        <w:t xml:space="preserve">: </w:t>
      </w:r>
      <w:r w:rsidR="00AB4D3B" w:rsidRPr="004E7B55">
        <w:t xml:space="preserve">Number of </w:t>
      </w:r>
      <w:r w:rsidR="00AD0CE9">
        <w:t>P</w:t>
      </w:r>
      <w:r w:rsidR="00AB4D3B" w:rsidRPr="004E7B55">
        <w:t xml:space="preserve">eople with HUD </w:t>
      </w:r>
      <w:r w:rsidR="00486915">
        <w:t xml:space="preserve">not in MOUD Tx and HUD total </w:t>
      </w:r>
      <w:r w:rsidR="00AD0CE9">
        <w:t>W</w:t>
      </w:r>
      <w:r w:rsidR="00AB4D3B" w:rsidRPr="004E7B55">
        <w:t xml:space="preserve">hen </w:t>
      </w:r>
      <w:r w:rsidR="00AD0CE9">
        <w:t>I</w:t>
      </w:r>
      <w:r w:rsidR="00AB4D3B" w:rsidRPr="004E7B55">
        <w:t xml:space="preserve">ncreasing Tx </w:t>
      </w:r>
      <w:r w:rsidR="00D52060">
        <w:t>S</w:t>
      </w:r>
      <w:r w:rsidR="008347C8">
        <w:t xml:space="preserve">eeking </w:t>
      </w:r>
      <w:r w:rsidR="00D52060">
        <w:t>R</w:t>
      </w:r>
      <w:r w:rsidR="008347C8">
        <w:t>ate</w:t>
      </w:r>
      <w:r w:rsidR="00AB4D3B" w:rsidRPr="004E7B55">
        <w:t xml:space="preserve"> and </w:t>
      </w:r>
      <w:r w:rsidR="00D52060">
        <w:t xml:space="preserve">Probability </w:t>
      </w:r>
      <w:r w:rsidR="00AB4D3B" w:rsidRPr="004E7B55">
        <w:t xml:space="preserve">Nx </w:t>
      </w:r>
      <w:r w:rsidR="00D52060">
        <w:t>A</w:t>
      </w:r>
      <w:r w:rsidR="00AB4D3B" w:rsidRPr="004E7B55">
        <w:t xml:space="preserve">vailability </w:t>
      </w:r>
      <w:r w:rsidR="00D52060">
        <w:t>B</w:t>
      </w:r>
      <w:r w:rsidR="00AB4D3B" w:rsidRPr="004E7B55">
        <w:t>ystander (ID 1</w:t>
      </w:r>
      <w:r w:rsidR="00486915">
        <w:t>1</w:t>
      </w:r>
      <w:r w:rsidR="00AB4D3B" w:rsidRPr="004E7B55">
        <w:t>)</w:t>
      </w:r>
      <w:bookmarkEnd w:id="87"/>
    </w:p>
    <w:p w14:paraId="1838BC03" w14:textId="54FF7313" w:rsidR="008347C8" w:rsidRPr="00A505C8" w:rsidRDefault="00AB4D3B" w:rsidP="00060E21">
      <w:pPr>
        <w:jc w:val="center"/>
        <w:rPr>
          <w:i/>
          <w:iCs/>
          <w:szCs w:val="22"/>
        </w:rPr>
      </w:pPr>
      <w:r w:rsidRPr="00A505C8">
        <w:rPr>
          <w:i/>
          <w:iCs/>
          <w:szCs w:val="22"/>
        </w:rPr>
        <w:t xml:space="preserve">Note: </w:t>
      </w:r>
      <w:r w:rsidR="00A505C8" w:rsidRPr="00A505C8">
        <w:rPr>
          <w:i/>
          <w:szCs w:val="22"/>
          <w:lang w:eastAsia="en-US"/>
        </w:rPr>
        <w:t xml:space="preserve">x-axes = year; y-axes = number of people. The vertical line designates the scenario start year. </w:t>
      </w:r>
      <w:r w:rsidR="00A505C8" w:rsidRPr="00A505C8">
        <w:rPr>
          <w:i/>
          <w:iCs/>
          <w:szCs w:val="22"/>
        </w:rPr>
        <w:t>The</w:t>
      </w:r>
      <w:r w:rsidR="00A505C8">
        <w:rPr>
          <w:i/>
          <w:iCs/>
          <w:szCs w:val="22"/>
        </w:rPr>
        <w:t xml:space="preserve"> </w:t>
      </w:r>
      <w:r w:rsidRPr="00A505C8">
        <w:rPr>
          <w:i/>
          <w:iCs/>
          <w:szCs w:val="22"/>
        </w:rPr>
        <w:t xml:space="preserve">colored lines represent percentage increase in the input values during each analysis (inputs in this test are </w:t>
      </w:r>
      <w:r w:rsidRPr="00E31A2C">
        <w:rPr>
          <w:rFonts w:cs="Calibri"/>
          <w:b/>
          <w:i/>
          <w:iCs/>
          <w:color w:val="000000"/>
          <w:szCs w:val="22"/>
        </w:rPr>
        <w:t xml:space="preserve">Probability Nx bystander Rx, Probability Nx bystander heroin, </w:t>
      </w:r>
      <w:r w:rsidR="008347C8" w:rsidRPr="00E31A2C">
        <w:rPr>
          <w:rFonts w:cs="Calibri"/>
          <w:i/>
          <w:iCs/>
          <w:color w:val="000000"/>
          <w:szCs w:val="22"/>
        </w:rPr>
        <w:t>and</w:t>
      </w:r>
      <w:r w:rsidR="00ED046B" w:rsidRPr="00E31A2C">
        <w:rPr>
          <w:rFonts w:cs="Calibri"/>
          <w:i/>
          <w:iCs/>
          <w:color w:val="000000"/>
          <w:szCs w:val="22"/>
        </w:rPr>
        <w:t xml:space="preserve"> </w:t>
      </w:r>
      <w:r w:rsidR="00ED046B" w:rsidRPr="00E31A2C">
        <w:rPr>
          <w:rFonts w:cs="Calibri"/>
          <w:b/>
          <w:i/>
          <w:iCs/>
          <w:color w:val="000000"/>
          <w:szCs w:val="22"/>
        </w:rPr>
        <w:t>Tx seeking rate Rx OUD no H total net</w:t>
      </w:r>
      <w:r w:rsidRPr="00A505C8">
        <w:rPr>
          <w:rFonts w:cs="Calibri"/>
          <w:i/>
          <w:iCs/>
          <w:color w:val="000000"/>
          <w:szCs w:val="22"/>
        </w:rPr>
        <w:t>)</w:t>
      </w:r>
      <w:r w:rsidRPr="00A505C8">
        <w:rPr>
          <w:i/>
          <w:iCs/>
          <w:szCs w:val="22"/>
        </w:rPr>
        <w:t>: The black line represents the Baseline, Scenario 1 (</w:t>
      </w:r>
      <w:r w:rsidRPr="00A505C8">
        <w:rPr>
          <w:rFonts w:cs="Calibri"/>
          <w:i/>
          <w:iCs/>
          <w:color w:val="000000"/>
          <w:szCs w:val="22"/>
        </w:rPr>
        <w:t xml:space="preserve">20%, no change, </w:t>
      </w:r>
      <w:r w:rsidR="00471F6B" w:rsidRPr="00A505C8">
        <w:rPr>
          <w:rFonts w:cs="Calibri"/>
          <w:i/>
          <w:iCs/>
          <w:color w:val="000000"/>
          <w:szCs w:val="22"/>
        </w:rPr>
        <w:t>0.65</w:t>
      </w:r>
      <w:r w:rsidRPr="00A505C8">
        <w:rPr>
          <w:rFonts w:cs="Calibri"/>
          <w:i/>
          <w:iCs/>
          <w:color w:val="000000"/>
          <w:szCs w:val="22"/>
        </w:rPr>
        <w:t xml:space="preserve">, </w:t>
      </w:r>
      <w:r w:rsidRPr="00A505C8">
        <w:rPr>
          <w:i/>
          <w:iCs/>
          <w:szCs w:val="22"/>
        </w:rPr>
        <w:t>orange), Scenario 2 (</w:t>
      </w:r>
      <w:r w:rsidRPr="00A505C8">
        <w:rPr>
          <w:rFonts w:cs="Calibri"/>
          <w:i/>
          <w:iCs/>
          <w:color w:val="000000"/>
          <w:szCs w:val="22"/>
        </w:rPr>
        <w:t>2</w:t>
      </w:r>
      <w:r w:rsidR="00471F6B" w:rsidRPr="00A505C8">
        <w:rPr>
          <w:rFonts w:cs="Calibri"/>
          <w:i/>
          <w:iCs/>
          <w:color w:val="000000"/>
          <w:szCs w:val="22"/>
        </w:rPr>
        <w:t>5</w:t>
      </w:r>
      <w:r w:rsidRPr="00A505C8">
        <w:rPr>
          <w:rFonts w:cs="Calibri"/>
          <w:i/>
          <w:iCs/>
          <w:color w:val="000000"/>
          <w:szCs w:val="22"/>
        </w:rPr>
        <w:t xml:space="preserve">%, </w:t>
      </w:r>
      <w:r w:rsidR="00471F6B" w:rsidRPr="00A505C8">
        <w:rPr>
          <w:rFonts w:cs="Calibri"/>
          <w:i/>
          <w:iCs/>
          <w:color w:val="000000"/>
          <w:szCs w:val="22"/>
        </w:rPr>
        <w:t>25%, 0.65</w:t>
      </w:r>
      <w:r w:rsidRPr="00A505C8">
        <w:rPr>
          <w:rFonts w:cs="Calibri"/>
          <w:i/>
          <w:iCs/>
          <w:color w:val="000000"/>
          <w:szCs w:val="22"/>
        </w:rPr>
        <w:t xml:space="preserve">, </w:t>
      </w:r>
      <w:r w:rsidRPr="00A505C8">
        <w:rPr>
          <w:i/>
          <w:iCs/>
          <w:szCs w:val="22"/>
        </w:rPr>
        <w:t>green), and Scenario 3 (</w:t>
      </w:r>
      <w:r w:rsidRPr="00A505C8">
        <w:rPr>
          <w:rFonts w:cs="Calibri"/>
          <w:i/>
          <w:iCs/>
          <w:color w:val="000000"/>
          <w:szCs w:val="22"/>
        </w:rPr>
        <w:t xml:space="preserve">50%, 50%, </w:t>
      </w:r>
      <w:r w:rsidR="00471F6B" w:rsidRPr="00A505C8">
        <w:rPr>
          <w:rFonts w:cs="Calibri"/>
          <w:i/>
          <w:iCs/>
          <w:color w:val="000000"/>
          <w:szCs w:val="22"/>
        </w:rPr>
        <w:t>0.65</w:t>
      </w:r>
      <w:r w:rsidRPr="00A505C8">
        <w:rPr>
          <w:rFonts w:cs="Calibri"/>
          <w:i/>
          <w:iCs/>
          <w:color w:val="000000"/>
          <w:szCs w:val="22"/>
        </w:rPr>
        <w:t xml:space="preserve">, </w:t>
      </w:r>
      <w:r w:rsidRPr="00A505C8">
        <w:rPr>
          <w:i/>
          <w:iCs/>
          <w:szCs w:val="22"/>
        </w:rPr>
        <w:t>red).</w:t>
      </w:r>
    </w:p>
    <w:p w14:paraId="200BCDAF" w14:textId="6C7D3528" w:rsidR="00C0631A" w:rsidRDefault="00287231" w:rsidP="00343171">
      <w:r>
        <w:t xml:space="preserve">When </w:t>
      </w:r>
      <w:r w:rsidR="004E17EB">
        <w:t>combining</w:t>
      </w:r>
      <w:r>
        <w:t xml:space="preserve"> </w:t>
      </w:r>
      <w:r w:rsidR="004E17EB">
        <w:t>the interventions</w:t>
      </w:r>
      <w:r w:rsidR="00FB3391" w:rsidDel="004E17EB">
        <w:t xml:space="preserve"> </w:t>
      </w:r>
      <w:r w:rsidR="00FB3391">
        <w:t>increasing naloxone availability to bystanders and increasing treatment seeking rate</w:t>
      </w:r>
      <w:r w:rsidR="00BC5238">
        <w:t xml:space="preserve"> (ID 11)</w:t>
      </w:r>
      <w:r w:rsidR="00FB3391">
        <w:t>, w</w:t>
      </w:r>
      <w:r w:rsidR="005A5618">
        <w:t xml:space="preserve">e also </w:t>
      </w:r>
      <w:r w:rsidR="004D6A9A">
        <w:t>found interesting result</w:t>
      </w:r>
      <w:r w:rsidR="00CB2338">
        <w:t xml:space="preserve">s </w:t>
      </w:r>
      <w:r w:rsidR="00A142A1">
        <w:t>for the number of OD deaths of people with HUD in Bup treatment</w:t>
      </w:r>
      <w:r w:rsidR="00FB3391">
        <w:t>.</w:t>
      </w:r>
      <w:r w:rsidR="00A926C6">
        <w:t xml:space="preserve"> Each scenario</w:t>
      </w:r>
      <w:r w:rsidR="00A926C6" w:rsidRPr="00E446B1">
        <w:t xml:space="preserve"> increas</w:t>
      </w:r>
      <w:r w:rsidR="00A926C6">
        <w:t>ed</w:t>
      </w:r>
      <w:r w:rsidR="00A926C6" w:rsidRPr="00E446B1">
        <w:t xml:space="preserve"> treatment seeking rate to </w:t>
      </w:r>
      <w:r w:rsidR="00A926C6">
        <w:t>0.</w:t>
      </w:r>
      <w:r w:rsidR="00A926C6" w:rsidRPr="00E446B1">
        <w:t>65</w:t>
      </w:r>
      <w:r w:rsidR="00A926C6">
        <w:t>.</w:t>
      </w:r>
      <w:r w:rsidR="004D6A9A">
        <w:t xml:space="preserve"> </w:t>
      </w:r>
      <w:r w:rsidR="00343171" w:rsidRPr="00E446B1">
        <w:t xml:space="preserve">Increasing </w:t>
      </w:r>
      <w:r w:rsidR="00FB3391">
        <w:t>naloxone</w:t>
      </w:r>
      <w:r w:rsidR="00343171" w:rsidRPr="00E446B1">
        <w:t xml:space="preserve"> availability </w:t>
      </w:r>
      <w:r w:rsidR="00FB3391">
        <w:t xml:space="preserve">to bystanders </w:t>
      </w:r>
      <w:r w:rsidR="00343171" w:rsidRPr="00E446B1">
        <w:t xml:space="preserve">up to either 20% or 25% </w:t>
      </w:r>
      <w:r w:rsidR="0045246C">
        <w:t>(scenario</w:t>
      </w:r>
      <w:r w:rsidR="00AD7A00">
        <w:t>s</w:t>
      </w:r>
      <w:r w:rsidR="0045246C">
        <w:t xml:space="preserve"> </w:t>
      </w:r>
      <w:r w:rsidR="00AD7A00">
        <w:t xml:space="preserve">1 </w:t>
      </w:r>
      <w:r w:rsidR="00AD7A00" w:rsidRPr="00DD1FE1">
        <w:t>and</w:t>
      </w:r>
      <w:r w:rsidR="0045246C" w:rsidRPr="00DD1FE1">
        <w:t xml:space="preserve"> 2 in </w:t>
      </w:r>
      <w:r w:rsidR="00DD1FE1" w:rsidRPr="00DD1FE1">
        <w:fldChar w:fldCharType="begin"/>
      </w:r>
      <w:r w:rsidR="00DD1FE1" w:rsidRPr="00DD1FE1">
        <w:instrText xml:space="preserve"> REF _Ref58949827 \h </w:instrText>
      </w:r>
      <w:r w:rsidR="00DD1FE1">
        <w:instrText xml:space="preserve"> \* MERGEFORMAT </w:instrText>
      </w:r>
      <w:r w:rsidR="00DD1FE1" w:rsidRPr="00DD1FE1">
        <w:fldChar w:fldCharType="separate"/>
      </w:r>
      <w:r w:rsidR="00DD1FE1" w:rsidRPr="00DD1FE1">
        <w:t xml:space="preserve">Figure </w:t>
      </w:r>
      <w:r w:rsidR="00DD1FE1" w:rsidRPr="00DD1FE1">
        <w:rPr>
          <w:noProof/>
        </w:rPr>
        <w:t>7</w:t>
      </w:r>
      <w:r w:rsidR="00DD1FE1" w:rsidRPr="00DD1FE1">
        <w:noBreakHyphen/>
      </w:r>
      <w:r w:rsidR="00DD1FE1" w:rsidRPr="00DD1FE1">
        <w:rPr>
          <w:noProof/>
        </w:rPr>
        <w:t>16</w:t>
      </w:r>
      <w:r w:rsidR="00DD1FE1" w:rsidRPr="00DD1FE1">
        <w:fldChar w:fldCharType="end"/>
      </w:r>
      <w:r w:rsidR="0045246C" w:rsidRPr="00DD1FE1">
        <w:t>)</w:t>
      </w:r>
      <w:r w:rsidR="00343171" w:rsidRPr="00DD1FE1">
        <w:t xml:space="preserve"> increases </w:t>
      </w:r>
      <w:r w:rsidR="00BA0585" w:rsidRPr="00DD1FE1">
        <w:t xml:space="preserve">the </w:t>
      </w:r>
      <w:r w:rsidR="00343171" w:rsidRPr="00DD1FE1">
        <w:t>number of OD deaths of people with HUD in Bup treatment compared to the baseline</w:t>
      </w:r>
      <w:r w:rsidR="00930FF2" w:rsidRPr="00DD1FE1">
        <w:t>,</w:t>
      </w:r>
      <w:r w:rsidR="00930FF2">
        <w:t xml:space="preserve"> b</w:t>
      </w:r>
      <w:r w:rsidR="00343171">
        <w:t>ut</w:t>
      </w:r>
      <w:r w:rsidR="00343171" w:rsidRPr="00E446B1">
        <w:t xml:space="preserve"> increasing </w:t>
      </w:r>
      <w:r w:rsidR="00930FF2">
        <w:t>naloxone</w:t>
      </w:r>
      <w:r w:rsidR="00343171" w:rsidRPr="00E446B1">
        <w:t xml:space="preserve"> availability to 50%</w:t>
      </w:r>
      <w:r w:rsidR="004F4A6F">
        <w:t xml:space="preserve"> </w:t>
      </w:r>
      <w:r w:rsidR="00C00ED6" w:rsidRPr="00E446B1">
        <w:t>decreases</w:t>
      </w:r>
      <w:r w:rsidR="00343171" w:rsidRPr="00E446B1">
        <w:t xml:space="preserve"> </w:t>
      </w:r>
      <w:r w:rsidR="00930FF2">
        <w:t>the</w:t>
      </w:r>
      <w:r w:rsidR="00343171" w:rsidRPr="00E446B1">
        <w:t xml:space="preserve"> </w:t>
      </w:r>
      <w:r w:rsidR="00343171">
        <w:t>number</w:t>
      </w:r>
      <w:r w:rsidR="00343171" w:rsidRPr="00E446B1">
        <w:t xml:space="preserve"> of overdose deaths compared to the baseline</w:t>
      </w:r>
      <w:r w:rsidR="00343171">
        <w:t xml:space="preserve"> (</w:t>
      </w:r>
      <w:r w:rsidR="0075314B">
        <w:t xml:space="preserve">scenario 3 in </w:t>
      </w:r>
      <w:r w:rsidR="00DD1FE1">
        <w:rPr>
          <w:highlight w:val="yellow"/>
        </w:rPr>
        <w:fldChar w:fldCharType="begin"/>
      </w:r>
      <w:r w:rsidR="00DD1FE1">
        <w:instrText xml:space="preserve"> REF _Ref58949827 \h </w:instrText>
      </w:r>
      <w:r w:rsidR="00DD1FE1">
        <w:rPr>
          <w:highlight w:val="yellow"/>
        </w:rPr>
      </w:r>
      <w:r w:rsidR="00DD1FE1">
        <w:rPr>
          <w:highlight w:val="yellow"/>
        </w:rPr>
        <w:fldChar w:fldCharType="separate"/>
      </w:r>
      <w:r w:rsidR="00DD1FE1">
        <w:t xml:space="preserve">Figure </w:t>
      </w:r>
      <w:r w:rsidR="00DD1FE1">
        <w:rPr>
          <w:noProof/>
        </w:rPr>
        <w:t>7</w:t>
      </w:r>
      <w:r w:rsidR="00DD1FE1">
        <w:noBreakHyphen/>
      </w:r>
      <w:r w:rsidR="00DD1FE1">
        <w:rPr>
          <w:noProof/>
        </w:rPr>
        <w:t>16</w:t>
      </w:r>
      <w:r w:rsidR="00DD1FE1">
        <w:rPr>
          <w:highlight w:val="yellow"/>
        </w:rPr>
        <w:fldChar w:fldCharType="end"/>
      </w:r>
      <w:r w:rsidR="00343171">
        <w:t xml:space="preserve">). </w:t>
      </w:r>
    </w:p>
    <w:p w14:paraId="1DC3B171" w14:textId="65B0E79A" w:rsidR="00343171" w:rsidRPr="0073241F" w:rsidRDefault="00EA1487" w:rsidP="00343171">
      <w:r>
        <w:t xml:space="preserve">Examining </w:t>
      </w:r>
      <w:r w:rsidR="00343171">
        <w:t xml:space="preserve">the equation for </w:t>
      </w:r>
      <w:r w:rsidR="00343171" w:rsidRPr="00E446B1">
        <w:rPr>
          <w:b/>
          <w:bCs/>
        </w:rPr>
        <w:t>Overdose death HUD in MOUD Tx</w:t>
      </w:r>
      <w:r w:rsidR="00343171">
        <w:rPr>
          <w:b/>
          <w:bCs/>
        </w:rPr>
        <w:t xml:space="preserve"> </w:t>
      </w:r>
      <w:r w:rsidR="00343171">
        <w:rPr>
          <w:bCs/>
        </w:rPr>
        <w:t>shows it is equal to</w:t>
      </w:r>
      <w:r w:rsidR="00343171">
        <w:t xml:space="preserve"> </w:t>
      </w:r>
      <w:r w:rsidR="00343171" w:rsidRPr="00E446B1">
        <w:rPr>
          <w:b/>
          <w:bCs/>
        </w:rPr>
        <w:t>HUD in MOUD Tx</w:t>
      </w:r>
      <w:r w:rsidR="00343171" w:rsidRPr="00E446B1">
        <w:t xml:space="preserve"> * </w:t>
      </w:r>
      <w:r w:rsidR="00343171" w:rsidRPr="00E446B1">
        <w:rPr>
          <w:b/>
          <w:bCs/>
        </w:rPr>
        <w:t>OD death rate HUD in MOUD Tx</w:t>
      </w:r>
      <w:r w:rsidR="00343171">
        <w:t>.</w:t>
      </w:r>
      <w:r w:rsidR="00343171" w:rsidRPr="00E446B1">
        <w:t xml:space="preserve"> Since the amount of increase in </w:t>
      </w:r>
      <w:r w:rsidR="00343171" w:rsidRPr="00E446B1">
        <w:rPr>
          <w:b/>
          <w:bCs/>
        </w:rPr>
        <w:t>HUD in MOUD Tx</w:t>
      </w:r>
      <w:r w:rsidR="00343171" w:rsidRPr="00E446B1">
        <w:t xml:space="preserve"> is larger than </w:t>
      </w:r>
      <w:r w:rsidR="00835AEA">
        <w:t xml:space="preserve">the </w:t>
      </w:r>
      <w:r w:rsidR="00343171" w:rsidRPr="00E446B1">
        <w:t xml:space="preserve">decrease in </w:t>
      </w:r>
      <w:r w:rsidR="00343171" w:rsidRPr="00E446B1">
        <w:rPr>
          <w:b/>
          <w:bCs/>
        </w:rPr>
        <w:t>OD death rate HUD in MOUD Tx</w:t>
      </w:r>
      <w:r w:rsidR="00343171" w:rsidRPr="00E446B1">
        <w:t xml:space="preserve"> for the first two scenarios</w:t>
      </w:r>
      <w:r w:rsidR="006978F0">
        <w:t>,</w:t>
      </w:r>
      <w:r w:rsidR="00343171" w:rsidRPr="00E446B1">
        <w:t xml:space="preserve"> </w:t>
      </w:r>
      <w:r w:rsidR="00835AEA">
        <w:t>there is</w:t>
      </w:r>
      <w:r w:rsidR="00343171" w:rsidRPr="00E446B1">
        <w:t xml:space="preserve"> an increase in the </w:t>
      </w:r>
      <w:r w:rsidR="00343171">
        <w:t>number</w:t>
      </w:r>
      <w:r w:rsidR="00343171" w:rsidRPr="00E446B1">
        <w:t xml:space="preserve"> of OD deaths </w:t>
      </w:r>
      <w:r w:rsidR="00343171">
        <w:t>for</w:t>
      </w:r>
      <w:r w:rsidR="00343171" w:rsidRPr="00E446B1">
        <w:t xml:space="preserve"> people with HUD in Tx via Bup compared to the baseline. </w:t>
      </w:r>
      <w:r w:rsidR="0030499F">
        <w:t>Compared to the first two scenarios, the third s</w:t>
      </w:r>
      <w:r w:rsidR="00813931">
        <w:t xml:space="preserve">cenario </w:t>
      </w:r>
      <w:r w:rsidR="005F4674">
        <w:t xml:space="preserve">results in a greater reduction in </w:t>
      </w:r>
      <w:r w:rsidR="00343171" w:rsidRPr="00E446B1">
        <w:rPr>
          <w:b/>
          <w:bCs/>
        </w:rPr>
        <w:t xml:space="preserve">OD death rate HUD in MOUD Tx[Bup] </w:t>
      </w:r>
      <w:r w:rsidR="00343171" w:rsidRPr="00E446B1">
        <w:t>com</w:t>
      </w:r>
      <w:r w:rsidR="00343171">
        <w:t>p</w:t>
      </w:r>
      <w:r w:rsidR="00343171" w:rsidRPr="00E446B1">
        <w:t>ared to the baseline</w:t>
      </w:r>
      <w:r w:rsidR="001B6C03">
        <w:t xml:space="preserve">, and this </w:t>
      </w:r>
      <w:r w:rsidR="0094438F">
        <w:t xml:space="preserve">results in </w:t>
      </w:r>
      <w:r w:rsidR="00343171" w:rsidRPr="00E446B1">
        <w:t xml:space="preserve">a decrease in </w:t>
      </w:r>
      <w:r w:rsidR="00343171">
        <w:t>number</w:t>
      </w:r>
      <w:r w:rsidR="00343171" w:rsidRPr="00E446B1">
        <w:t xml:space="preserve"> of overdose deaths compared to the baseline</w:t>
      </w:r>
      <w:r w:rsidR="0094438F">
        <w:t xml:space="preserve"> in the third scenario</w:t>
      </w:r>
      <w:r w:rsidR="00343171" w:rsidRPr="00E446B1">
        <w:t xml:space="preserve">. </w:t>
      </w:r>
      <w:r w:rsidR="00FA45EF">
        <w:t>To elaborate, t</w:t>
      </w:r>
      <w:r w:rsidR="00B22202">
        <w:t>he effect of</w:t>
      </w:r>
      <w:r w:rsidR="00072F2A">
        <w:t xml:space="preserve"> th</w:t>
      </w:r>
      <w:r w:rsidR="00FA45EF">
        <w:t>ese</w:t>
      </w:r>
      <w:r w:rsidR="00343171" w:rsidRPr="00CD35F7">
        <w:t xml:space="preserve"> combined </w:t>
      </w:r>
      <w:r w:rsidR="000C0CBF">
        <w:t>interventions</w:t>
      </w:r>
      <w:r w:rsidR="00343171" w:rsidRPr="00CD35F7">
        <w:t xml:space="preserve"> shows that increasing probability of </w:t>
      </w:r>
      <w:r w:rsidR="000521DA">
        <w:t>bystander naloxone</w:t>
      </w:r>
      <w:r w:rsidR="00343171" w:rsidRPr="00CD35F7">
        <w:t xml:space="preserve"> availability up to 50% and seeking Tx up to </w:t>
      </w:r>
      <w:r w:rsidR="00612BD7">
        <w:t>0.</w:t>
      </w:r>
      <w:r w:rsidR="00343171" w:rsidRPr="00CD35F7">
        <w:t xml:space="preserve">65 </w:t>
      </w:r>
      <w:r w:rsidR="00612637">
        <w:t>(scenario 3</w:t>
      </w:r>
      <w:r w:rsidR="00D3681F">
        <w:t xml:space="preserve"> in </w:t>
      </w:r>
      <w:r w:rsidR="00B725BD">
        <w:fldChar w:fldCharType="begin"/>
      </w:r>
      <w:r w:rsidR="00B725BD">
        <w:instrText xml:space="preserve"> REF _Ref58949827 \h </w:instrText>
      </w:r>
      <w:r w:rsidR="00B725BD">
        <w:fldChar w:fldCharType="separate"/>
      </w:r>
      <w:r w:rsidR="00B725BD">
        <w:t xml:space="preserve">Figure </w:t>
      </w:r>
      <w:r w:rsidR="00B725BD">
        <w:rPr>
          <w:noProof/>
        </w:rPr>
        <w:t>7</w:t>
      </w:r>
      <w:r w:rsidR="00B725BD">
        <w:noBreakHyphen/>
      </w:r>
      <w:r w:rsidR="00B725BD">
        <w:rPr>
          <w:noProof/>
        </w:rPr>
        <w:t>16</w:t>
      </w:r>
      <w:r w:rsidR="00B725BD">
        <w:fldChar w:fldCharType="end"/>
      </w:r>
      <w:r w:rsidR="00612637">
        <w:t xml:space="preserve">) </w:t>
      </w:r>
      <w:r w:rsidR="00343171" w:rsidRPr="00CD35F7">
        <w:t xml:space="preserve">can decrease </w:t>
      </w:r>
      <w:r w:rsidR="00343171" w:rsidRPr="00CD35F7">
        <w:rPr>
          <w:b/>
          <w:bCs/>
        </w:rPr>
        <w:t>OD death rate HUD in MOUD Tx</w:t>
      </w:r>
      <w:r w:rsidR="00343171" w:rsidRPr="00CD35F7">
        <w:t xml:space="preserve"> </w:t>
      </w:r>
      <w:r w:rsidR="006D0A36">
        <w:t xml:space="preserve">more </w:t>
      </w:r>
      <w:r w:rsidR="00343171" w:rsidRPr="00CD35F7">
        <w:t xml:space="preserve">than </w:t>
      </w:r>
      <w:r w:rsidR="006D0A36">
        <w:t xml:space="preserve">it </w:t>
      </w:r>
      <w:r w:rsidR="00343171" w:rsidRPr="00CD35F7">
        <w:t>increase</w:t>
      </w:r>
      <w:r w:rsidR="006D0A36">
        <w:t>s</w:t>
      </w:r>
      <w:r w:rsidR="00343171" w:rsidRPr="00CD35F7">
        <w:t xml:space="preserve"> the </w:t>
      </w:r>
      <w:r w:rsidR="006D0A36">
        <w:t>number of</w:t>
      </w:r>
      <w:r w:rsidR="00343171" w:rsidRPr="00CD35F7">
        <w:t xml:space="preserve"> </w:t>
      </w:r>
      <w:r w:rsidR="00343171" w:rsidRPr="00CD35F7">
        <w:rPr>
          <w:b/>
          <w:bCs/>
        </w:rPr>
        <w:t>HUD in MOUD Tx</w:t>
      </w:r>
      <w:r w:rsidR="00343171" w:rsidRPr="00CD35F7">
        <w:t xml:space="preserve">. </w:t>
      </w:r>
      <w:r w:rsidR="006D0A36">
        <w:t>That is</w:t>
      </w:r>
      <w:r w:rsidR="00343171" w:rsidRPr="00CD35F7">
        <w:t xml:space="preserve">, increasing the </w:t>
      </w:r>
      <w:r w:rsidR="00343171" w:rsidRPr="00B5512E">
        <w:t>probability of Nx bystander heroin affects overdose death rate HUD</w:t>
      </w:r>
      <w:r w:rsidR="0090619C" w:rsidRPr="00B5512E">
        <w:t>,</w:t>
      </w:r>
      <w:r w:rsidR="00343171" w:rsidRPr="00B5512E">
        <w:t xml:space="preserve"> which affects </w:t>
      </w:r>
      <w:r w:rsidR="00343171" w:rsidRPr="00B5512E">
        <w:rPr>
          <w:b/>
        </w:rPr>
        <w:t>OD death rate HUD in MOUD Tx</w:t>
      </w:r>
      <w:r w:rsidR="00191244" w:rsidRPr="00B5512E">
        <w:t>.</w:t>
      </w:r>
      <w:r w:rsidR="00343171" w:rsidRPr="00B5512E">
        <w:t xml:space="preserve"> </w:t>
      </w:r>
      <w:r w:rsidR="00191244" w:rsidRPr="00B5512E">
        <w:t xml:space="preserve">This supports </w:t>
      </w:r>
      <w:r w:rsidR="00343171" w:rsidRPr="00B5512E">
        <w:t xml:space="preserve">the behavior in </w:t>
      </w:r>
      <w:r w:rsidR="00DD1FE1">
        <w:rPr>
          <w:highlight w:val="yellow"/>
        </w:rPr>
        <w:fldChar w:fldCharType="begin"/>
      </w:r>
      <w:r w:rsidR="00DD1FE1">
        <w:instrText xml:space="preserve"> REF _Ref58949827 \h </w:instrText>
      </w:r>
      <w:r w:rsidR="00DD1FE1">
        <w:rPr>
          <w:highlight w:val="yellow"/>
        </w:rPr>
      </w:r>
      <w:r w:rsidR="00DD1FE1">
        <w:rPr>
          <w:highlight w:val="yellow"/>
        </w:rPr>
        <w:fldChar w:fldCharType="separate"/>
      </w:r>
      <w:r w:rsidR="00DD1FE1">
        <w:t xml:space="preserve">Figure </w:t>
      </w:r>
      <w:r w:rsidR="00DD1FE1">
        <w:rPr>
          <w:noProof/>
        </w:rPr>
        <w:t>7</w:t>
      </w:r>
      <w:r w:rsidR="00DD1FE1">
        <w:noBreakHyphen/>
      </w:r>
      <w:r w:rsidR="00DD1FE1">
        <w:rPr>
          <w:noProof/>
        </w:rPr>
        <w:t>16</w:t>
      </w:r>
      <w:r w:rsidR="00DD1FE1">
        <w:rPr>
          <w:highlight w:val="yellow"/>
        </w:rPr>
        <w:fldChar w:fldCharType="end"/>
      </w:r>
      <w:r w:rsidR="00343171" w:rsidRPr="00B5512E">
        <w:t>.</w:t>
      </w:r>
    </w:p>
    <w:p w14:paraId="777AF13F" w14:textId="6A4B3EE1" w:rsidR="00343171" w:rsidRDefault="006B50B5" w:rsidP="0033322A">
      <w:pPr>
        <w:jc w:val="center"/>
        <w:rPr>
          <w:color w:val="0070C0"/>
        </w:rPr>
      </w:pPr>
      <w:r>
        <w:rPr>
          <w:noProof/>
          <w:color w:val="0070C0"/>
        </w:rPr>
        <w:lastRenderedPageBreak/>
        <w:drawing>
          <wp:inline distT="0" distB="0" distL="0" distR="0" wp14:anchorId="63B8219E" wp14:editId="32530943">
            <wp:extent cx="3477491" cy="2074791"/>
            <wp:effectExtent l="19050" t="19050" r="27940" b="209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95541" cy="2085560"/>
                    </a:xfrm>
                    <a:prstGeom prst="rect">
                      <a:avLst/>
                    </a:prstGeom>
                    <a:noFill/>
                    <a:ln>
                      <a:solidFill>
                        <a:schemeClr val="tx1"/>
                      </a:solidFill>
                    </a:ln>
                  </pic:spPr>
                </pic:pic>
              </a:graphicData>
            </a:graphic>
          </wp:inline>
        </w:drawing>
      </w:r>
    </w:p>
    <w:p w14:paraId="3384D42A" w14:textId="700031E5" w:rsidR="005E056C" w:rsidRPr="00471F6B" w:rsidRDefault="001A0582" w:rsidP="00D05863">
      <w:pPr>
        <w:pStyle w:val="Caption"/>
      </w:pPr>
      <w:bookmarkStart w:id="88" w:name="_Ref58949827"/>
      <w:bookmarkStart w:id="89" w:name="_Toc59050128"/>
      <w:r>
        <w:t xml:space="preserve">Figure </w:t>
      </w:r>
      <w:fldSimple w:instr=" STYLEREF 1 \s ">
        <w:r w:rsidR="00A955A5">
          <w:rPr>
            <w:noProof/>
          </w:rPr>
          <w:t>7</w:t>
        </w:r>
      </w:fldSimple>
      <w:r w:rsidR="00A955A5">
        <w:noBreakHyphen/>
      </w:r>
      <w:fldSimple w:instr=" SEQ Figure \* ARABIC \s 1 ">
        <w:r w:rsidR="00A955A5">
          <w:rPr>
            <w:noProof/>
          </w:rPr>
          <w:t>16</w:t>
        </w:r>
      </w:fldSimple>
      <w:bookmarkEnd w:id="88"/>
      <w:r>
        <w:t xml:space="preserve">: </w:t>
      </w:r>
      <w:r w:rsidR="005E056C" w:rsidRPr="004E7B55">
        <w:t xml:space="preserve">Number of </w:t>
      </w:r>
      <w:r w:rsidR="00D52060">
        <w:t>O</w:t>
      </w:r>
      <w:r w:rsidR="005E056C">
        <w:t xml:space="preserve">verdose death HUD in MOUD Tx[Bup] </w:t>
      </w:r>
      <w:r w:rsidR="00D52060">
        <w:t>W</w:t>
      </w:r>
      <w:r w:rsidR="005E056C" w:rsidRPr="004E7B55">
        <w:t xml:space="preserve">hen </w:t>
      </w:r>
      <w:r w:rsidR="00D52060">
        <w:t>I</w:t>
      </w:r>
      <w:r w:rsidR="005E056C" w:rsidRPr="004E7B55">
        <w:t xml:space="preserve">ncreasing Tx </w:t>
      </w:r>
      <w:r w:rsidR="002D47F7">
        <w:t>S</w:t>
      </w:r>
      <w:r w:rsidR="005E056C">
        <w:t xml:space="preserve">eeking </w:t>
      </w:r>
      <w:r w:rsidR="002D47F7">
        <w:t>R</w:t>
      </w:r>
      <w:r w:rsidR="005E056C">
        <w:t>ate</w:t>
      </w:r>
      <w:r w:rsidR="005E056C" w:rsidRPr="004E7B55">
        <w:t xml:space="preserve"> and </w:t>
      </w:r>
      <w:r w:rsidR="002D47F7">
        <w:t xml:space="preserve">Probability </w:t>
      </w:r>
      <w:r w:rsidR="005E056C" w:rsidRPr="004E7B55">
        <w:t xml:space="preserve">Nx </w:t>
      </w:r>
      <w:r w:rsidR="002D47F7">
        <w:t>A</w:t>
      </w:r>
      <w:r w:rsidR="005E056C" w:rsidRPr="004E7B55">
        <w:t xml:space="preserve">vailability </w:t>
      </w:r>
      <w:r w:rsidR="002D47F7">
        <w:t>B</w:t>
      </w:r>
      <w:r w:rsidR="005E056C" w:rsidRPr="004E7B55">
        <w:t>ystander (ID 1</w:t>
      </w:r>
      <w:r w:rsidR="005E056C">
        <w:t>1</w:t>
      </w:r>
      <w:r w:rsidR="005E056C" w:rsidRPr="004E7B55">
        <w:t>)</w:t>
      </w:r>
      <w:bookmarkEnd w:id="89"/>
    </w:p>
    <w:p w14:paraId="535D4624" w14:textId="7D803CF3" w:rsidR="00D3681F" w:rsidRPr="00C62372" w:rsidRDefault="005E056C" w:rsidP="00C62372">
      <w:pPr>
        <w:jc w:val="center"/>
        <w:rPr>
          <w:color w:val="0070C0"/>
          <w:szCs w:val="22"/>
        </w:rPr>
      </w:pPr>
      <w:r w:rsidRPr="00C62372">
        <w:rPr>
          <w:i/>
          <w:iCs/>
          <w:szCs w:val="22"/>
        </w:rPr>
        <w:t xml:space="preserve">Note: </w:t>
      </w:r>
      <w:r w:rsidR="00C62372">
        <w:rPr>
          <w:i/>
          <w:lang w:eastAsia="en-US"/>
        </w:rPr>
        <w:t>x-ax</w:t>
      </w:r>
      <w:r w:rsidR="00561A6B">
        <w:rPr>
          <w:i/>
          <w:lang w:eastAsia="en-US"/>
        </w:rPr>
        <w:t>i</w:t>
      </w:r>
      <w:r w:rsidR="00C62372">
        <w:rPr>
          <w:i/>
          <w:lang w:eastAsia="en-US"/>
        </w:rPr>
        <w:t>s = year; y-ax</w:t>
      </w:r>
      <w:r w:rsidR="00561A6B">
        <w:rPr>
          <w:i/>
          <w:lang w:eastAsia="en-US"/>
        </w:rPr>
        <w:t>i</w:t>
      </w:r>
      <w:r w:rsidR="00C62372">
        <w:rPr>
          <w:i/>
          <w:lang w:eastAsia="en-US"/>
        </w:rPr>
        <w:t>s = number of people. The vertical line designates the scenario start year.</w:t>
      </w:r>
      <w:r w:rsidR="0053633C">
        <w:rPr>
          <w:i/>
          <w:lang w:eastAsia="en-US"/>
        </w:rPr>
        <w:t xml:space="preserve"> </w:t>
      </w:r>
      <w:r w:rsidRPr="00C62372">
        <w:rPr>
          <w:i/>
          <w:iCs/>
          <w:szCs w:val="22"/>
        </w:rPr>
        <w:t xml:space="preserve">The colored lines represent percentage increase in the input values during each analysis (inputs in this test are </w:t>
      </w:r>
      <w:r w:rsidRPr="00AD0CE9">
        <w:rPr>
          <w:rFonts w:cs="Calibri"/>
          <w:b/>
          <w:i/>
          <w:iCs/>
          <w:color w:val="000000"/>
          <w:szCs w:val="22"/>
        </w:rPr>
        <w:t>Probability Nx bystander Rx, Probability Nx bystander heroin</w:t>
      </w:r>
      <w:r w:rsidRPr="00AD0CE9">
        <w:rPr>
          <w:rFonts w:cs="Calibri"/>
          <w:i/>
          <w:iCs/>
          <w:color w:val="000000"/>
          <w:szCs w:val="22"/>
        </w:rPr>
        <w:t>, and</w:t>
      </w:r>
      <w:r w:rsidRPr="00AD0CE9">
        <w:rPr>
          <w:rFonts w:cs="Calibri"/>
          <w:b/>
          <w:i/>
          <w:iCs/>
          <w:color w:val="000000"/>
          <w:szCs w:val="22"/>
        </w:rPr>
        <w:t xml:space="preserve"> Tx seeking rate Rx OUD no H total net</w:t>
      </w:r>
      <w:r w:rsidRPr="00C62372">
        <w:rPr>
          <w:rFonts w:cs="Calibri"/>
          <w:i/>
          <w:iCs/>
          <w:color w:val="000000"/>
          <w:szCs w:val="22"/>
        </w:rPr>
        <w:t>)</w:t>
      </w:r>
      <w:r w:rsidRPr="00C62372">
        <w:rPr>
          <w:i/>
          <w:iCs/>
          <w:szCs w:val="22"/>
        </w:rPr>
        <w:t>: The black line represents the Baseline, Scenario 1 (</w:t>
      </w:r>
      <w:r w:rsidRPr="00C62372">
        <w:rPr>
          <w:rFonts w:cs="Calibri"/>
          <w:i/>
          <w:iCs/>
          <w:color w:val="000000"/>
          <w:szCs w:val="22"/>
        </w:rPr>
        <w:t xml:space="preserve">20%, no change, 0.65, </w:t>
      </w:r>
      <w:r w:rsidRPr="00C62372">
        <w:rPr>
          <w:i/>
          <w:iCs/>
          <w:szCs w:val="22"/>
        </w:rPr>
        <w:t>orange), Scenario 2 (</w:t>
      </w:r>
      <w:r w:rsidRPr="00C62372">
        <w:rPr>
          <w:rFonts w:cs="Calibri"/>
          <w:i/>
          <w:iCs/>
          <w:color w:val="000000"/>
          <w:szCs w:val="22"/>
        </w:rPr>
        <w:t xml:space="preserve">25%, 25%, 0.65, </w:t>
      </w:r>
      <w:r w:rsidRPr="00C62372">
        <w:rPr>
          <w:i/>
          <w:iCs/>
          <w:szCs w:val="22"/>
        </w:rPr>
        <w:t>green), and Scenario 3 (</w:t>
      </w:r>
      <w:r w:rsidRPr="00C62372">
        <w:rPr>
          <w:rFonts w:cs="Calibri"/>
          <w:i/>
          <w:iCs/>
          <w:color w:val="000000"/>
          <w:szCs w:val="22"/>
        </w:rPr>
        <w:t xml:space="preserve">50%, 50%, 0.65, </w:t>
      </w:r>
      <w:r w:rsidRPr="00C62372">
        <w:rPr>
          <w:i/>
          <w:iCs/>
          <w:szCs w:val="22"/>
        </w:rPr>
        <w:t>red).</w:t>
      </w:r>
    </w:p>
    <w:p w14:paraId="42D875C5" w14:textId="720DED8B" w:rsidR="00343171" w:rsidRDefault="00BC5238" w:rsidP="00343171">
      <w:r>
        <w:t xml:space="preserve">We </w:t>
      </w:r>
      <w:r w:rsidR="0082373B">
        <w:t xml:space="preserve">discovered a similar type of effect </w:t>
      </w:r>
      <w:r w:rsidR="00794839">
        <w:t xml:space="preserve">on overdose deaths </w:t>
      </w:r>
      <w:r w:rsidR="00C04B98">
        <w:t xml:space="preserve">in </w:t>
      </w:r>
      <w:r w:rsidR="005E2877">
        <w:t xml:space="preserve">Bup </w:t>
      </w:r>
      <w:r w:rsidR="00C04B98">
        <w:t>treatment</w:t>
      </w:r>
      <w:r w:rsidR="003A7BCC">
        <w:t xml:space="preserve"> for Rx OUD without heroin</w:t>
      </w:r>
      <w:r w:rsidR="00F306FE">
        <w:t xml:space="preserve">. </w:t>
      </w:r>
      <w:r w:rsidR="00343171" w:rsidRPr="00E446B1">
        <w:t>When</w:t>
      </w:r>
      <w:r w:rsidR="00A01428">
        <w:t xml:space="preserve"> we increase naloxone</w:t>
      </w:r>
      <w:r w:rsidR="00343171" w:rsidRPr="00E446B1">
        <w:t xml:space="preserve"> availability to </w:t>
      </w:r>
      <w:r w:rsidR="00343171">
        <w:t xml:space="preserve">20%, </w:t>
      </w:r>
      <w:r w:rsidR="00343171" w:rsidRPr="00E446B1">
        <w:t>25%</w:t>
      </w:r>
      <w:r w:rsidR="00343171">
        <w:t>,</w:t>
      </w:r>
      <w:r w:rsidR="00343171" w:rsidRPr="00E446B1">
        <w:t xml:space="preserve"> and 50%</w:t>
      </w:r>
      <w:r w:rsidR="00343171">
        <w:t xml:space="preserve"> </w:t>
      </w:r>
      <w:r w:rsidR="00343171" w:rsidRPr="00E446B1">
        <w:t xml:space="preserve">combined with increasing treatment seeking rate to </w:t>
      </w:r>
      <w:r w:rsidR="00612BD7">
        <w:t>0.</w:t>
      </w:r>
      <w:r w:rsidR="00343171" w:rsidRPr="00E446B1">
        <w:t>65</w:t>
      </w:r>
      <w:r w:rsidR="001D28F6">
        <w:t xml:space="preserve"> (ID 11)</w:t>
      </w:r>
      <w:r w:rsidR="00343171" w:rsidRPr="00E446B1">
        <w:t>,</w:t>
      </w:r>
      <w:r w:rsidR="00343171">
        <w:t xml:space="preserve"> </w:t>
      </w:r>
      <w:r w:rsidR="00343171" w:rsidRPr="00E446B1">
        <w:t>scen</w:t>
      </w:r>
      <w:r w:rsidR="00343171">
        <w:t>ario</w:t>
      </w:r>
      <w:r w:rsidR="005B0368">
        <w:t>s</w:t>
      </w:r>
      <w:r w:rsidR="00343171" w:rsidRPr="00E446B1">
        <w:t xml:space="preserve"> 1 and 2 </w:t>
      </w:r>
      <w:r w:rsidR="005B0368">
        <w:t>result in</w:t>
      </w:r>
      <w:r w:rsidR="00343171" w:rsidRPr="00E446B1">
        <w:t xml:space="preserve"> more overdose deaths </w:t>
      </w:r>
      <w:r w:rsidR="003A44BF">
        <w:t xml:space="preserve">(i.e., </w:t>
      </w:r>
      <w:r w:rsidR="003A44BF" w:rsidRPr="00340062">
        <w:rPr>
          <w:b/>
        </w:rPr>
        <w:t>Overdose death Rx OUD no H in Tx[Bup]</w:t>
      </w:r>
      <w:r w:rsidR="003A44BF" w:rsidRPr="003A44BF">
        <w:t>)</w:t>
      </w:r>
      <w:r w:rsidR="00C466BC">
        <w:t xml:space="preserve"> </w:t>
      </w:r>
      <w:r w:rsidR="00343171" w:rsidRPr="00E446B1">
        <w:t>compared to the baseline (after 2022)</w:t>
      </w:r>
      <w:r w:rsidR="0069069F">
        <w:t>,</w:t>
      </w:r>
      <w:r w:rsidR="00343171" w:rsidRPr="00E446B1">
        <w:t xml:space="preserve"> but scen</w:t>
      </w:r>
      <w:r w:rsidR="00343171">
        <w:t>ario</w:t>
      </w:r>
      <w:r w:rsidR="00343171" w:rsidRPr="00E446B1">
        <w:t xml:space="preserve"> 3 </w:t>
      </w:r>
      <w:r w:rsidR="0069069F">
        <w:t xml:space="preserve">results in </w:t>
      </w:r>
      <w:r w:rsidR="008305D5">
        <w:t>fewer</w:t>
      </w:r>
      <w:r w:rsidR="0069069F">
        <w:t xml:space="preserve"> </w:t>
      </w:r>
      <w:r w:rsidR="00343171" w:rsidRPr="00E446B1">
        <w:t>overdose deaths compared to the baseline starting from 2020</w:t>
      </w:r>
      <w:r w:rsidR="00343171">
        <w:t xml:space="preserve"> (see </w:t>
      </w:r>
      <w:r w:rsidR="00DD1FE1" w:rsidRPr="00DD1FE1">
        <w:fldChar w:fldCharType="begin"/>
      </w:r>
      <w:r w:rsidR="00DD1FE1" w:rsidRPr="00DD1FE1">
        <w:instrText xml:space="preserve"> REF _Ref58949861 \h </w:instrText>
      </w:r>
      <w:r w:rsidR="00DD1FE1">
        <w:instrText xml:space="preserve"> \* MERGEFORMAT </w:instrText>
      </w:r>
      <w:r w:rsidR="00DD1FE1" w:rsidRPr="00DD1FE1">
        <w:fldChar w:fldCharType="separate"/>
      </w:r>
      <w:r w:rsidR="00DD1FE1" w:rsidRPr="00DD1FE1">
        <w:t xml:space="preserve">Figure </w:t>
      </w:r>
      <w:r w:rsidR="00DD1FE1" w:rsidRPr="00DD1FE1">
        <w:rPr>
          <w:noProof/>
        </w:rPr>
        <w:t>7</w:t>
      </w:r>
      <w:r w:rsidR="00DD1FE1" w:rsidRPr="00DD1FE1">
        <w:noBreakHyphen/>
      </w:r>
      <w:r w:rsidR="00DD1FE1" w:rsidRPr="00DD1FE1">
        <w:rPr>
          <w:noProof/>
        </w:rPr>
        <w:t>17</w:t>
      </w:r>
      <w:r w:rsidR="00DD1FE1" w:rsidRPr="00DD1FE1">
        <w:fldChar w:fldCharType="end"/>
      </w:r>
      <w:r w:rsidR="00343171" w:rsidRPr="00DD1FE1">
        <w:t>). By exploring the model</w:t>
      </w:r>
      <w:r w:rsidR="00E12975" w:rsidRPr="00DD1FE1">
        <w:t>,</w:t>
      </w:r>
      <w:r w:rsidR="00343171" w:rsidRPr="00DD1FE1">
        <w:t xml:space="preserve"> we realized that </w:t>
      </w:r>
      <w:r w:rsidR="0083186D" w:rsidRPr="00DD1FE1">
        <w:t xml:space="preserve">in the first two scenarios, </w:t>
      </w:r>
      <w:r w:rsidR="005E0F13" w:rsidRPr="00DD1FE1">
        <w:t>th</w:t>
      </w:r>
      <w:r w:rsidR="00E248AF" w:rsidRPr="00DD1FE1">
        <w:t xml:space="preserve">e reason for this result </w:t>
      </w:r>
      <w:r w:rsidR="0083186D" w:rsidRPr="00DD1FE1">
        <w:t xml:space="preserve">is </w:t>
      </w:r>
      <w:r w:rsidR="00E248AF" w:rsidRPr="00DD1FE1">
        <w:t>that</w:t>
      </w:r>
      <w:r w:rsidR="00343171" w:rsidRPr="00DD1FE1">
        <w:t xml:space="preserve"> the increase in </w:t>
      </w:r>
      <w:r w:rsidR="00343171" w:rsidRPr="00DD1FE1">
        <w:rPr>
          <w:b/>
          <w:bCs/>
        </w:rPr>
        <w:t>Rx OUD no heroin in MOUD Tx</w:t>
      </w:r>
      <w:r w:rsidR="00343171" w:rsidRPr="00DD1FE1">
        <w:t xml:space="preserve"> is larger than </w:t>
      </w:r>
      <w:r w:rsidR="00117C04" w:rsidRPr="00DD1FE1">
        <w:t xml:space="preserve">the </w:t>
      </w:r>
      <w:r w:rsidR="00343171" w:rsidRPr="00DD1FE1">
        <w:t xml:space="preserve">decrease in </w:t>
      </w:r>
      <w:r w:rsidR="00343171" w:rsidRPr="00DD1FE1">
        <w:rPr>
          <w:b/>
          <w:bCs/>
        </w:rPr>
        <w:t>OD death rate OUD no H in Tx</w:t>
      </w:r>
      <w:r w:rsidR="00343171" w:rsidRPr="00DD1FE1">
        <w:t xml:space="preserve">. </w:t>
      </w:r>
      <w:r w:rsidR="00212DEC" w:rsidRPr="00DD1FE1">
        <w:t>However,</w:t>
      </w:r>
      <w:r w:rsidR="00E248AF" w:rsidRPr="00DD1FE1">
        <w:t xml:space="preserve"> in the third scenario,</w:t>
      </w:r>
      <w:r w:rsidR="00343171" w:rsidRPr="00DD1FE1">
        <w:t xml:space="preserve"> the</w:t>
      </w:r>
      <w:r w:rsidR="00293DD8" w:rsidRPr="00DD1FE1">
        <w:t>re is</w:t>
      </w:r>
      <w:r w:rsidR="0074210E" w:rsidRPr="00DD1FE1">
        <w:t xml:space="preserve"> a greater reduction in</w:t>
      </w:r>
      <w:r w:rsidR="00343171" w:rsidRPr="00DD1FE1">
        <w:t xml:space="preserve"> </w:t>
      </w:r>
      <w:r w:rsidR="00343171" w:rsidRPr="00DD1FE1">
        <w:rPr>
          <w:b/>
          <w:bCs/>
        </w:rPr>
        <w:t>OD death rate OUD no H in Tx</w:t>
      </w:r>
      <w:r w:rsidR="00343171" w:rsidRPr="00DD1FE1">
        <w:t xml:space="preserve"> </w:t>
      </w:r>
      <w:r w:rsidR="00FA1AAD" w:rsidRPr="00DD1FE1">
        <w:t>compared to the first two</w:t>
      </w:r>
      <w:r w:rsidR="00FA1AAD">
        <w:t xml:space="preserve"> scenarios, and </w:t>
      </w:r>
      <w:r w:rsidR="00544F78">
        <w:t xml:space="preserve">this </w:t>
      </w:r>
      <w:r w:rsidR="00FD27D6">
        <w:t xml:space="preserve">causes </w:t>
      </w:r>
      <w:r w:rsidR="003E3B64">
        <w:t xml:space="preserve">there </w:t>
      </w:r>
      <w:r w:rsidR="00FD27D6">
        <w:t>to be</w:t>
      </w:r>
      <w:r w:rsidR="003E3B64">
        <w:t xml:space="preserve"> an overall</w:t>
      </w:r>
      <w:r w:rsidR="00343171" w:rsidRPr="00E446B1">
        <w:t xml:space="preserve"> decrease in </w:t>
      </w:r>
      <w:r w:rsidR="00343171">
        <w:t>the number</w:t>
      </w:r>
      <w:r w:rsidR="00343171" w:rsidRPr="00E446B1">
        <w:t xml:space="preserve"> of overdose deat</w:t>
      </w:r>
      <w:r w:rsidR="00343171">
        <w:t>hs</w:t>
      </w:r>
      <w:r w:rsidR="00DC45F0">
        <w:t xml:space="preserve"> </w:t>
      </w:r>
      <w:r w:rsidR="00322F90">
        <w:t>for the third scenario</w:t>
      </w:r>
      <w:r w:rsidR="00343171" w:rsidRPr="00E446B1">
        <w:t>. T</w:t>
      </w:r>
      <w:r w:rsidR="00ED037C">
        <w:t>he effect of t</w:t>
      </w:r>
      <w:r w:rsidR="00343171" w:rsidRPr="00E446B1">
        <w:t>h</w:t>
      </w:r>
      <w:r w:rsidR="00447E88">
        <w:t>ese</w:t>
      </w:r>
      <w:r w:rsidR="00343171" w:rsidRPr="00E446B1">
        <w:t xml:space="preserve"> combined </w:t>
      </w:r>
      <w:r w:rsidR="00447E88">
        <w:t>interventions</w:t>
      </w:r>
      <w:r w:rsidR="00343171" w:rsidRPr="00E446B1">
        <w:t xml:space="preserve"> shows that increasing probability of </w:t>
      </w:r>
      <w:r w:rsidR="00A01428">
        <w:t>naloxone</w:t>
      </w:r>
      <w:r w:rsidR="00343171" w:rsidRPr="00E446B1">
        <w:t xml:space="preserve"> bystander </w:t>
      </w:r>
      <w:r w:rsidR="00A01428">
        <w:t xml:space="preserve">availability </w:t>
      </w:r>
      <w:r w:rsidR="00343171" w:rsidRPr="00E446B1">
        <w:t xml:space="preserve">up to 50% and seeking </w:t>
      </w:r>
      <w:r w:rsidR="00A01428">
        <w:t>treatment</w:t>
      </w:r>
      <w:r w:rsidR="00343171" w:rsidRPr="00E446B1">
        <w:t xml:space="preserve"> up to </w:t>
      </w:r>
      <w:r w:rsidR="00612BD7">
        <w:t>0.</w:t>
      </w:r>
      <w:r w:rsidR="00343171" w:rsidRPr="00E446B1">
        <w:t xml:space="preserve">65 </w:t>
      </w:r>
      <w:r w:rsidR="002D6254">
        <w:t xml:space="preserve">(scenario 3) </w:t>
      </w:r>
      <w:r w:rsidR="00343171" w:rsidRPr="00E446B1">
        <w:t xml:space="preserve">can </w:t>
      </w:r>
      <w:r w:rsidR="00343171" w:rsidRPr="00A85E83">
        <w:t xml:space="preserve">decrease </w:t>
      </w:r>
      <w:r w:rsidR="00343171" w:rsidRPr="00A85E83">
        <w:rPr>
          <w:b/>
          <w:bCs/>
        </w:rPr>
        <w:t>OD death rate OUD no H in Tx</w:t>
      </w:r>
      <w:r w:rsidR="00343171" w:rsidRPr="00A85E83">
        <w:t xml:space="preserve"> more than </w:t>
      </w:r>
      <w:r w:rsidR="00457FC1">
        <w:t xml:space="preserve">the </w:t>
      </w:r>
      <w:r w:rsidR="00343171" w:rsidRPr="00A85E83">
        <w:t xml:space="preserve">increase the </w:t>
      </w:r>
      <w:r w:rsidR="00343171" w:rsidRPr="00A85E83">
        <w:rPr>
          <w:b/>
          <w:bCs/>
        </w:rPr>
        <w:t>Rx OUD no heroin in MOUD Tx</w:t>
      </w:r>
      <w:r w:rsidR="00343171" w:rsidRPr="00A85E83">
        <w:t xml:space="preserve">. </w:t>
      </w:r>
    </w:p>
    <w:p w14:paraId="1B5ED62C" w14:textId="204B2662" w:rsidR="00AF5299" w:rsidRDefault="00AF5299" w:rsidP="00343171"/>
    <w:p w14:paraId="7E0C539E" w14:textId="77777777" w:rsidR="00AF5299" w:rsidRPr="00C4308E" w:rsidRDefault="00AF5299" w:rsidP="00343171"/>
    <w:p w14:paraId="052AF04B" w14:textId="6214FD3C" w:rsidR="00343171" w:rsidRDefault="007E25D3" w:rsidP="007E25D3">
      <w:pPr>
        <w:jc w:val="center"/>
        <w:rPr>
          <w:color w:val="0070C0"/>
        </w:rPr>
      </w:pPr>
      <w:r>
        <w:rPr>
          <w:noProof/>
          <w:color w:val="0070C0"/>
        </w:rPr>
        <w:lastRenderedPageBreak/>
        <w:drawing>
          <wp:inline distT="0" distB="0" distL="0" distR="0" wp14:anchorId="5A43E19A" wp14:editId="5590B2DA">
            <wp:extent cx="3369846" cy="2051152"/>
            <wp:effectExtent l="19050" t="19050" r="21590" b="2540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0707" cy="2063850"/>
                    </a:xfrm>
                    <a:prstGeom prst="rect">
                      <a:avLst/>
                    </a:prstGeom>
                    <a:noFill/>
                    <a:ln>
                      <a:solidFill>
                        <a:schemeClr val="tx1"/>
                      </a:solidFill>
                    </a:ln>
                  </pic:spPr>
                </pic:pic>
              </a:graphicData>
            </a:graphic>
          </wp:inline>
        </w:drawing>
      </w:r>
    </w:p>
    <w:p w14:paraId="385997E5" w14:textId="31244B4D" w:rsidR="0073241F" w:rsidRPr="00471F6B" w:rsidRDefault="001A0582" w:rsidP="00D05863">
      <w:pPr>
        <w:pStyle w:val="Caption"/>
      </w:pPr>
      <w:bookmarkStart w:id="90" w:name="_Ref58949861"/>
      <w:bookmarkStart w:id="91" w:name="_Toc59050129"/>
      <w:r>
        <w:t xml:space="preserve">Figure </w:t>
      </w:r>
      <w:fldSimple w:instr=" STYLEREF 1 \s ">
        <w:r w:rsidR="00A955A5">
          <w:rPr>
            <w:noProof/>
          </w:rPr>
          <w:t>7</w:t>
        </w:r>
      </w:fldSimple>
      <w:r w:rsidR="00A955A5">
        <w:noBreakHyphen/>
      </w:r>
      <w:fldSimple w:instr=" SEQ Figure \* ARABIC \s 1 ">
        <w:r w:rsidR="00A955A5">
          <w:rPr>
            <w:noProof/>
          </w:rPr>
          <w:t>17</w:t>
        </w:r>
      </w:fldSimple>
      <w:bookmarkEnd w:id="90"/>
      <w:r>
        <w:t>:</w:t>
      </w:r>
      <w:r w:rsidR="004F6CC1">
        <w:t xml:space="preserve"> </w:t>
      </w:r>
      <w:r w:rsidR="0073241F" w:rsidRPr="004E7B55">
        <w:t xml:space="preserve">Number of </w:t>
      </w:r>
      <w:r w:rsidR="002D47F7">
        <w:t>O</w:t>
      </w:r>
      <w:r w:rsidR="0073241F">
        <w:t xml:space="preserve">verdose death </w:t>
      </w:r>
      <w:r w:rsidR="00C4308E">
        <w:t>Rx OUD no H in</w:t>
      </w:r>
      <w:r w:rsidR="0073241F">
        <w:t xml:space="preserve"> Tx[Bup] </w:t>
      </w:r>
      <w:r w:rsidR="002D47F7">
        <w:t>W</w:t>
      </w:r>
      <w:r w:rsidR="0073241F" w:rsidRPr="004E7B55">
        <w:t xml:space="preserve">hen </w:t>
      </w:r>
      <w:r w:rsidR="002D47F7">
        <w:t>I</w:t>
      </w:r>
      <w:r w:rsidR="0073241F" w:rsidRPr="004E7B55">
        <w:t xml:space="preserve">ncreasing Tx </w:t>
      </w:r>
      <w:r w:rsidR="002D47F7">
        <w:t>S</w:t>
      </w:r>
      <w:r w:rsidR="0073241F">
        <w:t xml:space="preserve">eeking </w:t>
      </w:r>
      <w:r w:rsidR="002D47F7">
        <w:t>R</w:t>
      </w:r>
      <w:r w:rsidR="0073241F">
        <w:t>ate</w:t>
      </w:r>
      <w:r w:rsidR="0073241F" w:rsidRPr="004E7B55">
        <w:t xml:space="preserve"> and Nx </w:t>
      </w:r>
      <w:r w:rsidR="002D47F7">
        <w:t>A</w:t>
      </w:r>
      <w:r w:rsidR="0073241F" w:rsidRPr="004E7B55">
        <w:t xml:space="preserve">vailability </w:t>
      </w:r>
      <w:r w:rsidR="002D47F7">
        <w:t>B</w:t>
      </w:r>
      <w:r w:rsidR="0073241F" w:rsidRPr="004E7B55">
        <w:t>ystander (ID 1</w:t>
      </w:r>
      <w:r w:rsidR="0073241F">
        <w:t>1</w:t>
      </w:r>
      <w:r w:rsidR="0073241F" w:rsidRPr="004E7B55">
        <w:t>)</w:t>
      </w:r>
      <w:bookmarkEnd w:id="91"/>
    </w:p>
    <w:p w14:paraId="5B512C09" w14:textId="484626FC" w:rsidR="009C6940" w:rsidRPr="00E63A9C" w:rsidRDefault="0073241F" w:rsidP="00E63A9C">
      <w:pPr>
        <w:jc w:val="center"/>
        <w:rPr>
          <w:color w:val="0070C0"/>
          <w:szCs w:val="22"/>
        </w:rPr>
      </w:pPr>
      <w:r w:rsidRPr="00E63A9C">
        <w:rPr>
          <w:i/>
          <w:iCs/>
          <w:szCs w:val="22"/>
        </w:rPr>
        <w:t xml:space="preserve">Note: </w:t>
      </w:r>
      <w:r w:rsidR="00E63A9C" w:rsidRPr="00E63A9C">
        <w:rPr>
          <w:i/>
          <w:szCs w:val="22"/>
          <w:lang w:eastAsia="en-US"/>
        </w:rPr>
        <w:t>x-axis = year; y-axis = number of people. The vertical line designates the scenario start year.</w:t>
      </w:r>
      <w:r w:rsidR="0053633C">
        <w:rPr>
          <w:i/>
          <w:szCs w:val="22"/>
          <w:lang w:eastAsia="en-US"/>
        </w:rPr>
        <w:t xml:space="preserve"> </w:t>
      </w:r>
      <w:r w:rsidRPr="00E63A9C">
        <w:rPr>
          <w:i/>
          <w:iCs/>
          <w:szCs w:val="22"/>
        </w:rPr>
        <w:t xml:space="preserve">The colored lines represent percentage increase in the input values during each analysis (inputs in this test are </w:t>
      </w:r>
      <w:r w:rsidRPr="002D47F7">
        <w:rPr>
          <w:rFonts w:cs="Calibri"/>
          <w:b/>
          <w:i/>
          <w:iCs/>
          <w:color w:val="000000"/>
          <w:szCs w:val="22"/>
        </w:rPr>
        <w:t>Probability Nx bystander Rx, Probability Nx bystander heroin</w:t>
      </w:r>
      <w:r w:rsidRPr="002D47F7">
        <w:rPr>
          <w:rFonts w:cs="Calibri"/>
          <w:i/>
          <w:iCs/>
          <w:color w:val="000000"/>
          <w:szCs w:val="22"/>
        </w:rPr>
        <w:t>, and</w:t>
      </w:r>
      <w:r w:rsidRPr="002D47F7">
        <w:rPr>
          <w:rFonts w:cs="Calibri"/>
          <w:b/>
          <w:i/>
          <w:iCs/>
          <w:color w:val="000000"/>
          <w:szCs w:val="22"/>
        </w:rPr>
        <w:t xml:space="preserve"> Tx seeking rate Rx OUD no H total net</w:t>
      </w:r>
      <w:r w:rsidRPr="00E63A9C">
        <w:rPr>
          <w:rFonts w:cs="Calibri"/>
          <w:i/>
          <w:iCs/>
          <w:color w:val="000000"/>
          <w:szCs w:val="22"/>
        </w:rPr>
        <w:t>)</w:t>
      </w:r>
      <w:r w:rsidRPr="00E63A9C">
        <w:rPr>
          <w:i/>
          <w:iCs/>
          <w:szCs w:val="22"/>
        </w:rPr>
        <w:t>: The black line represents the Baseline, Scenario 1 (</w:t>
      </w:r>
      <w:r w:rsidRPr="00E63A9C">
        <w:rPr>
          <w:rFonts w:cs="Calibri"/>
          <w:i/>
          <w:iCs/>
          <w:color w:val="000000"/>
          <w:szCs w:val="22"/>
        </w:rPr>
        <w:t xml:space="preserve">20%, no change, 0.65, </w:t>
      </w:r>
      <w:r w:rsidRPr="00E63A9C">
        <w:rPr>
          <w:i/>
          <w:iCs/>
          <w:szCs w:val="22"/>
        </w:rPr>
        <w:t>orange), Scenario 2 (</w:t>
      </w:r>
      <w:r w:rsidRPr="00E63A9C">
        <w:rPr>
          <w:rFonts w:cs="Calibri"/>
          <w:i/>
          <w:iCs/>
          <w:color w:val="000000"/>
          <w:szCs w:val="22"/>
        </w:rPr>
        <w:t xml:space="preserve">25%, 25%, 0.65, </w:t>
      </w:r>
      <w:r w:rsidRPr="00E63A9C">
        <w:rPr>
          <w:i/>
          <w:iCs/>
          <w:szCs w:val="22"/>
        </w:rPr>
        <w:t>green), and Scenario 3 (</w:t>
      </w:r>
      <w:r w:rsidRPr="00E63A9C">
        <w:rPr>
          <w:rFonts w:cs="Calibri"/>
          <w:i/>
          <w:iCs/>
          <w:color w:val="000000"/>
          <w:szCs w:val="22"/>
        </w:rPr>
        <w:t xml:space="preserve">50%, 50%, 0.65, </w:t>
      </w:r>
      <w:r w:rsidRPr="00E63A9C">
        <w:rPr>
          <w:i/>
          <w:iCs/>
          <w:szCs w:val="22"/>
        </w:rPr>
        <w:t>red).</w:t>
      </w:r>
    </w:p>
    <w:p w14:paraId="19BF849B" w14:textId="29CAE48A" w:rsidR="004A0A37" w:rsidRPr="006E2EC3" w:rsidRDefault="00D118A7" w:rsidP="006E2EC3">
      <w:pPr>
        <w:rPr>
          <w:color w:val="0070C0"/>
        </w:rPr>
      </w:pPr>
      <w:r>
        <w:t xml:space="preserve">More results, including </w:t>
      </w:r>
      <w:r w:rsidR="00996B9D">
        <w:t>graph over time</w:t>
      </w:r>
      <w:r>
        <w:t xml:space="preserve"> plots for </w:t>
      </w:r>
      <w:r w:rsidR="007B0E76">
        <w:t xml:space="preserve">different interventions </w:t>
      </w:r>
      <w:r w:rsidR="00FA5F1E">
        <w:t xml:space="preserve">and scenarios </w:t>
      </w:r>
      <w:r w:rsidR="007B0E76">
        <w:t>individually or combined together</w:t>
      </w:r>
      <w:r>
        <w:t xml:space="preserve"> are included in </w:t>
      </w:r>
      <w:r w:rsidR="00A955A5">
        <w:rPr>
          <w:highlight w:val="yellow"/>
        </w:rPr>
        <w:fldChar w:fldCharType="begin"/>
      </w:r>
      <w:r w:rsidR="00A955A5">
        <w:instrText xml:space="preserve"> REF _Ref58950279 \h </w:instrText>
      </w:r>
      <w:r w:rsidR="00A955A5">
        <w:rPr>
          <w:highlight w:val="yellow"/>
        </w:rPr>
      </w:r>
      <w:r w:rsidR="00A955A5">
        <w:rPr>
          <w:highlight w:val="yellow"/>
        </w:rPr>
        <w:fldChar w:fldCharType="separate"/>
      </w:r>
      <w:r w:rsidR="00A955A5">
        <w:t xml:space="preserve">Figure </w:t>
      </w:r>
      <w:r w:rsidR="00A955A5">
        <w:rPr>
          <w:noProof/>
        </w:rPr>
        <w:t>11</w:t>
      </w:r>
      <w:r w:rsidR="00A955A5">
        <w:noBreakHyphen/>
      </w:r>
      <w:r w:rsidR="00A955A5">
        <w:rPr>
          <w:noProof/>
        </w:rPr>
        <w:t>1</w:t>
      </w:r>
      <w:r w:rsidR="00A955A5">
        <w:rPr>
          <w:highlight w:val="yellow"/>
        </w:rPr>
        <w:fldChar w:fldCharType="end"/>
      </w:r>
      <w:r w:rsidR="00996B9D">
        <w:t xml:space="preserve"> and </w:t>
      </w:r>
      <w:r w:rsidR="00DF305F">
        <w:rPr>
          <w:highlight w:val="yellow"/>
        </w:rPr>
        <w:fldChar w:fldCharType="begin"/>
      </w:r>
      <w:r w:rsidR="00DF305F">
        <w:instrText xml:space="preserve"> REF _Ref58946314 \h </w:instrText>
      </w:r>
      <w:r w:rsidR="00DF305F">
        <w:rPr>
          <w:highlight w:val="yellow"/>
        </w:rPr>
      </w:r>
      <w:r w:rsidR="00DF305F">
        <w:rPr>
          <w:highlight w:val="yellow"/>
        </w:rPr>
        <w:fldChar w:fldCharType="separate"/>
      </w:r>
      <w:r w:rsidR="00DF305F">
        <w:t xml:space="preserve">Table </w:t>
      </w:r>
      <w:r w:rsidR="00DF305F">
        <w:rPr>
          <w:noProof/>
        </w:rPr>
        <w:t>11</w:t>
      </w:r>
      <w:r w:rsidR="00DF305F">
        <w:noBreakHyphen/>
      </w:r>
      <w:r w:rsidR="00DF305F">
        <w:rPr>
          <w:noProof/>
        </w:rPr>
        <w:t>3</w:t>
      </w:r>
      <w:r w:rsidR="00DF305F">
        <w:rPr>
          <w:highlight w:val="yellow"/>
        </w:rPr>
        <w:fldChar w:fldCharType="end"/>
      </w:r>
      <w:r w:rsidR="00996B9D">
        <w:t xml:space="preserve"> in the </w:t>
      </w:r>
      <w:hyperlink w:anchor="_Appendix" w:history="1">
        <w:r w:rsidR="00996B9D" w:rsidRPr="001F358A">
          <w:rPr>
            <w:rStyle w:val="Hyperlink"/>
          </w:rPr>
          <w:t>Appendix</w:t>
        </w:r>
      </w:hyperlink>
      <w:r w:rsidR="00996B9D">
        <w:t>.</w:t>
      </w:r>
      <w:r>
        <w:t xml:space="preserve"> </w:t>
      </w:r>
    </w:p>
    <w:p w14:paraId="4EEC998A" w14:textId="00F62B07" w:rsidR="00396030" w:rsidRDefault="00396030" w:rsidP="00CB32E9">
      <w:pPr>
        <w:pStyle w:val="Heading1"/>
      </w:pPr>
      <w:bookmarkStart w:id="92" w:name="_Model_Comparator_1"/>
      <w:bookmarkStart w:id="93" w:name="_Toc59050085"/>
      <w:bookmarkEnd w:id="92"/>
      <w:r>
        <w:t>Model Comparator</w:t>
      </w:r>
      <w:bookmarkEnd w:id="93"/>
    </w:p>
    <w:p w14:paraId="34F384AD" w14:textId="04528732" w:rsidR="0064796F" w:rsidRPr="00C8508F" w:rsidRDefault="00DF4941" w:rsidP="00396030">
      <w:r w:rsidRPr="00C8508F">
        <w:t xml:space="preserve">In this </w:t>
      </w:r>
      <w:r w:rsidR="002729A6">
        <w:t xml:space="preserve">section, </w:t>
      </w:r>
      <w:r w:rsidR="0064796F" w:rsidRPr="00C8508F">
        <w:t>we</w:t>
      </w:r>
      <w:r w:rsidR="003164B4">
        <w:t xml:space="preserve"> present a</w:t>
      </w:r>
      <w:r w:rsidR="0064796F" w:rsidRPr="00C8508F">
        <w:t xml:space="preserve"> comparison of </w:t>
      </w:r>
      <w:r w:rsidR="00CF128C" w:rsidRPr="00C8508F">
        <w:t>model</w:t>
      </w:r>
      <w:r w:rsidR="003164B4">
        <w:t xml:space="preserve"> v1110</w:t>
      </w:r>
      <w:r w:rsidR="0064796F" w:rsidRPr="00C8508F">
        <w:t xml:space="preserve"> with </w:t>
      </w:r>
      <w:r w:rsidR="003A6794">
        <w:t xml:space="preserve">the </w:t>
      </w:r>
      <w:r w:rsidR="0064796F" w:rsidRPr="00C8508F">
        <w:t>published, peer-reviewed</w:t>
      </w:r>
      <w:r w:rsidR="003A6794">
        <w:t xml:space="preserve"> HWM</w:t>
      </w:r>
      <w:r w:rsidR="0064796F" w:rsidRPr="00C8508F">
        <w:t xml:space="preserve">. </w:t>
      </w:r>
      <w:r w:rsidR="003164B4">
        <w:t>We also</w:t>
      </w:r>
      <w:r w:rsidR="007533BA" w:rsidRPr="00C8508F">
        <w:t xml:space="preserve"> report on a comparison of two policy scenarios analyzed </w:t>
      </w:r>
      <w:r w:rsidR="007E2927" w:rsidRPr="00C8508F">
        <w:t>in</w:t>
      </w:r>
      <w:r w:rsidR="007533BA" w:rsidRPr="00C8508F">
        <w:t xml:space="preserve"> </w:t>
      </w:r>
      <w:r w:rsidR="00C82EC7">
        <w:t>model v1110</w:t>
      </w:r>
      <w:r w:rsidR="007533BA" w:rsidRPr="00C8508F">
        <w:t xml:space="preserve"> and using the HWM.</w:t>
      </w:r>
      <w:r w:rsidR="00C47DA5">
        <w:t xml:space="preserve"> </w:t>
      </w:r>
    </w:p>
    <w:p w14:paraId="72DAD789" w14:textId="76F624B5" w:rsidR="0016326B" w:rsidRDefault="0016326B" w:rsidP="00CC49EF">
      <w:pPr>
        <w:pStyle w:val="Heading2"/>
      </w:pPr>
      <w:bookmarkStart w:id="94" w:name="_Toc59050086"/>
      <w:r>
        <w:t>Comparison with Homer and Wakelan</w:t>
      </w:r>
      <w:r w:rsidR="001C0D30">
        <w:t>d</w:t>
      </w:r>
      <w:r>
        <w:t xml:space="preserve"> 2020</w:t>
      </w:r>
      <w:bookmarkEnd w:id="94"/>
    </w:p>
    <w:p w14:paraId="33E7F501" w14:textId="0F06554F" w:rsidR="00E42562" w:rsidRPr="00941658" w:rsidRDefault="00E42562" w:rsidP="0016326B">
      <w:pPr>
        <w:pStyle w:val="BodyText"/>
      </w:pPr>
      <w:r w:rsidRPr="00941658">
        <w:t xml:space="preserve">This </w:t>
      </w:r>
      <w:r w:rsidR="00C82EC7">
        <w:t>sub-</w:t>
      </w:r>
      <w:r w:rsidRPr="00941658">
        <w:t xml:space="preserve">section reports on a comparison of </w:t>
      </w:r>
      <w:r w:rsidR="00930706" w:rsidRPr="00941658">
        <w:t>model</w:t>
      </w:r>
      <w:r w:rsidRPr="00941658">
        <w:t xml:space="preserve"> </w:t>
      </w:r>
      <w:r w:rsidR="00930706" w:rsidRPr="00941658">
        <w:t>v1110</w:t>
      </w:r>
      <w:r w:rsidR="00C47DA5" w:rsidRPr="00941658">
        <w:t xml:space="preserve"> </w:t>
      </w:r>
      <w:r w:rsidRPr="00941658">
        <w:t xml:space="preserve">with a model we call here the </w:t>
      </w:r>
      <w:r w:rsidR="00C82EC7">
        <w:t xml:space="preserve">HWM. </w:t>
      </w:r>
      <w:r w:rsidRPr="00941658">
        <w:t>Several characteristics of the HWM make it an ideal choice for model comparison.</w:t>
      </w:r>
      <w:r w:rsidR="00C47DA5" w:rsidRPr="00941658">
        <w:t xml:space="preserve"> </w:t>
      </w:r>
      <w:r w:rsidRPr="00941658">
        <w:t xml:space="preserve">First, both </w:t>
      </w:r>
      <w:r w:rsidR="00165664" w:rsidRPr="00941658">
        <w:t>model v1110</w:t>
      </w:r>
      <w:r w:rsidR="00E415BA" w:rsidRPr="00941658">
        <w:t xml:space="preserve"> </w:t>
      </w:r>
      <w:r w:rsidRPr="00941658">
        <w:t xml:space="preserve">and the HWM are models about opioids at the </w:t>
      </w:r>
      <w:r w:rsidR="00B11554">
        <w:t>U.S.</w:t>
      </w:r>
      <w:r w:rsidRPr="00941658">
        <w:t xml:space="preserve"> national level using system dynamics simulation methodology.</w:t>
      </w:r>
      <w:r w:rsidR="00C47DA5" w:rsidRPr="00941658">
        <w:t xml:space="preserve"> </w:t>
      </w:r>
      <w:r w:rsidRPr="00941658">
        <w:t xml:space="preserve">Not only are they both system dynamics models, but </w:t>
      </w:r>
      <w:r w:rsidR="00C82EC7">
        <w:t>they</w:t>
      </w:r>
      <w:r w:rsidRPr="00941658">
        <w:t xml:space="preserve"> are </w:t>
      </w:r>
      <w:r w:rsidR="00C973D4">
        <w:t>also both</w:t>
      </w:r>
      <w:r w:rsidRPr="00941658">
        <w:t xml:space="preserve"> built in the same simulation software</w:t>
      </w:r>
      <w:r w:rsidR="00C973D4">
        <w:t xml:space="preserve"> (i.e., </w:t>
      </w:r>
      <w:r w:rsidRPr="00941658">
        <w:t>Vensim</w:t>
      </w:r>
      <w:r w:rsidR="00C973D4">
        <w:t>)</w:t>
      </w:r>
      <w:r w:rsidRPr="00941658">
        <w:t>.</w:t>
      </w:r>
      <w:r w:rsidR="00C47DA5" w:rsidRPr="00941658">
        <w:t xml:space="preserve"> </w:t>
      </w:r>
      <w:r w:rsidRPr="00941658">
        <w:t>Second, a journal article based on the HWM has been published in</w:t>
      </w:r>
      <w:r w:rsidR="00C973D4">
        <w:t xml:space="preserve"> </w:t>
      </w:r>
      <w:r w:rsidRPr="00941658">
        <w:t xml:space="preserve">peer-reviewed scientific literature, </w:t>
      </w:r>
      <w:r w:rsidR="009749CC">
        <w:t xml:space="preserve">which is </w:t>
      </w:r>
      <w:r w:rsidRPr="00941658">
        <w:t>evidence that the model has been subject to scrutiny by qualified journal reviewers and editors</w:t>
      </w:r>
      <w:r w:rsidR="009749CC">
        <w:t xml:space="preserve"> (Homer and Wakeland 2020)</w:t>
      </w:r>
      <w:r w:rsidRPr="00941658">
        <w:t>.</w:t>
      </w:r>
      <w:r w:rsidR="00C47DA5" w:rsidRPr="00941658">
        <w:t xml:space="preserve"> </w:t>
      </w:r>
      <w:r w:rsidRPr="00941658">
        <w:t xml:space="preserve">The published article offers complete scientific documentation of the HWM, including a complete listing of all model equations and parameter values, and such transparency facilitates a useful comparison with the focal </w:t>
      </w:r>
      <w:r w:rsidR="0052552A" w:rsidRPr="00941658">
        <w:t>model v1110</w:t>
      </w:r>
      <w:r w:rsidRPr="00941658">
        <w:t>.</w:t>
      </w:r>
      <w:r w:rsidR="00C47DA5" w:rsidRPr="00941658">
        <w:t xml:space="preserve"> </w:t>
      </w:r>
      <w:r w:rsidRPr="00941658">
        <w:t>Third, the purposes of the two models are similar in that the primary aim of both models is to evaluate a range of policy interventions and allow examination and perhaps quantification of the intended and unintended consequences of the policy interventions tested.</w:t>
      </w:r>
    </w:p>
    <w:p w14:paraId="2774AEC2" w14:textId="58B33C1D" w:rsidR="0016326B" w:rsidRPr="00941658" w:rsidRDefault="005A2CE7" w:rsidP="0016326B">
      <w:pPr>
        <w:pStyle w:val="BodyText"/>
      </w:pPr>
      <w:r w:rsidRPr="00941658">
        <w:t xml:space="preserve">The following compares </w:t>
      </w:r>
      <w:r w:rsidR="0052552A" w:rsidRPr="00941658">
        <w:t xml:space="preserve">model v1110 </w:t>
      </w:r>
      <w:r w:rsidR="00A503E3" w:rsidRPr="00941658">
        <w:t xml:space="preserve">with </w:t>
      </w:r>
      <w:r w:rsidRPr="00941658">
        <w:t>the HWM</w:t>
      </w:r>
      <w:r w:rsidR="00766D1C" w:rsidRPr="009749CC">
        <w:t>.</w:t>
      </w:r>
      <w:r w:rsidR="00C47DA5" w:rsidRPr="009749CC">
        <w:t xml:space="preserve"> </w:t>
      </w:r>
      <w:r w:rsidR="000A61E3" w:rsidRPr="009749CC">
        <w:fldChar w:fldCharType="begin"/>
      </w:r>
      <w:r w:rsidR="000A61E3" w:rsidRPr="009749CC">
        <w:instrText xml:space="preserve"> REF _Ref58950508 \h </w:instrText>
      </w:r>
      <w:r w:rsidR="009749CC">
        <w:instrText xml:space="preserve"> \* MERGEFORMAT </w:instrText>
      </w:r>
      <w:r w:rsidR="000A61E3" w:rsidRPr="009749CC">
        <w:fldChar w:fldCharType="separate"/>
      </w:r>
      <w:r w:rsidR="000A61E3" w:rsidRPr="009749CC">
        <w:t xml:space="preserve">Table </w:t>
      </w:r>
      <w:r w:rsidR="000A61E3" w:rsidRPr="009749CC">
        <w:rPr>
          <w:noProof/>
        </w:rPr>
        <w:t>8</w:t>
      </w:r>
      <w:r w:rsidR="000A61E3" w:rsidRPr="009749CC">
        <w:noBreakHyphen/>
      </w:r>
      <w:r w:rsidR="000A61E3" w:rsidRPr="009749CC">
        <w:rPr>
          <w:noProof/>
        </w:rPr>
        <w:t>1</w:t>
      </w:r>
      <w:r w:rsidR="000A61E3" w:rsidRPr="009749CC">
        <w:fldChar w:fldCharType="end"/>
      </w:r>
      <w:r w:rsidRPr="009749CC">
        <w:t xml:space="preserve"> provides a summary of a comparison of the model structures of the two models across a select set of model characteristics</w:t>
      </w:r>
      <w:r w:rsidRPr="00941658">
        <w:t>.</w:t>
      </w:r>
      <w:r w:rsidR="00C47DA5" w:rsidRPr="00941658">
        <w:t xml:space="preserve"> </w:t>
      </w:r>
      <w:r w:rsidRPr="00941658">
        <w:t xml:space="preserve">In </w:t>
      </w:r>
      <w:r w:rsidR="00165664" w:rsidRPr="00941658">
        <w:t>brief</w:t>
      </w:r>
      <w:r w:rsidRPr="00941658">
        <w:t xml:space="preserve">, </w:t>
      </w:r>
      <w:r w:rsidR="00165664" w:rsidRPr="00941658">
        <w:t>model v1110</w:t>
      </w:r>
      <w:r w:rsidRPr="00941658">
        <w:t xml:space="preserve"> compares favorably with the HWM.</w:t>
      </w:r>
      <w:r w:rsidR="00C47DA5" w:rsidRPr="00941658">
        <w:t xml:space="preserve"> </w:t>
      </w:r>
      <w:r w:rsidR="00165664" w:rsidRPr="00941658">
        <w:t>Model v1110</w:t>
      </w:r>
      <w:r w:rsidRPr="00941658">
        <w:t xml:space="preserve"> is a larger, more nuanced model with additional stocks and flows and additional feedback structure.</w:t>
      </w:r>
      <w:r w:rsidR="00C47DA5" w:rsidRPr="00941658">
        <w:t xml:space="preserve"> </w:t>
      </w:r>
      <w:r w:rsidRPr="00941658">
        <w:t>It is constructed using standard, well-understood system dynamics formulations.</w:t>
      </w:r>
      <w:r w:rsidR="00C47DA5" w:rsidRPr="00941658">
        <w:t xml:space="preserve"> </w:t>
      </w:r>
      <w:r w:rsidRPr="00941658">
        <w:t xml:space="preserve">That is, the building blocks are sound, and the construction is </w:t>
      </w:r>
      <w:r w:rsidRPr="00941658">
        <w:lastRenderedPageBreak/>
        <w:t>conceptually clear.</w:t>
      </w:r>
      <w:r w:rsidR="00C47DA5" w:rsidRPr="00941658">
        <w:t xml:space="preserve"> </w:t>
      </w:r>
      <w:r w:rsidRPr="00941658">
        <w:t xml:space="preserve">As such, </w:t>
      </w:r>
      <w:r w:rsidR="00165664" w:rsidRPr="00941658">
        <w:t>model v1110</w:t>
      </w:r>
      <w:r w:rsidRPr="00941658">
        <w:t xml:space="preserve"> structure is consistent with and </w:t>
      </w:r>
      <w:r w:rsidR="00C32FCE">
        <w:t>has additional important and useful details and complexity compared to the HWM.</w:t>
      </w:r>
    </w:p>
    <w:p w14:paraId="53EFC236" w14:textId="22176396" w:rsidR="001A0582" w:rsidRDefault="001A0582" w:rsidP="00D05863">
      <w:pPr>
        <w:pStyle w:val="Caption"/>
      </w:pPr>
      <w:bookmarkStart w:id="95" w:name="_Ref58950508"/>
      <w:bookmarkStart w:id="96" w:name="_Toc59050107"/>
      <w:r>
        <w:t xml:space="preserve">Table </w:t>
      </w:r>
      <w:fldSimple w:instr=" STYLEREF 1 \s ">
        <w:r w:rsidR="00564EC2">
          <w:rPr>
            <w:noProof/>
          </w:rPr>
          <w:t>8</w:t>
        </w:r>
      </w:fldSimple>
      <w:r w:rsidR="00564EC2">
        <w:noBreakHyphen/>
      </w:r>
      <w:fldSimple w:instr=" SEQ Table \* ARABIC \s 1 ">
        <w:r w:rsidR="00564EC2">
          <w:rPr>
            <w:noProof/>
          </w:rPr>
          <w:t>1</w:t>
        </w:r>
      </w:fldSimple>
      <w:bookmarkEnd w:id="95"/>
      <w:r>
        <w:t xml:space="preserve">: </w:t>
      </w:r>
      <w:r w:rsidRPr="001A0582">
        <w:t xml:space="preserve">Model Comparison Between </w:t>
      </w:r>
      <w:r w:rsidR="008A2F11">
        <w:t>M</w:t>
      </w:r>
      <w:r w:rsidRPr="001A0582">
        <w:t>odel v1110 and the HWM</w:t>
      </w:r>
      <w:bookmarkEnd w:id="96"/>
    </w:p>
    <w:tbl>
      <w:tblPr>
        <w:tblStyle w:val="PlainTable11"/>
        <w:tblW w:w="5000" w:type="pct"/>
        <w:tblLook w:val="04A0" w:firstRow="1" w:lastRow="0" w:firstColumn="1" w:lastColumn="0" w:noHBand="0" w:noVBand="1"/>
      </w:tblPr>
      <w:tblGrid>
        <w:gridCol w:w="2585"/>
        <w:gridCol w:w="3382"/>
        <w:gridCol w:w="3383"/>
      </w:tblGrid>
      <w:tr w:rsidR="005438FD" w14:paraId="7C342A4E" w14:textId="77777777" w:rsidTr="00AD4790">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382"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D7D95" w:themeFill="accent1"/>
            <w:hideMark/>
          </w:tcPr>
          <w:p w14:paraId="4F8D2181" w14:textId="77777777" w:rsidR="005438FD" w:rsidRPr="00C32FCE" w:rsidRDefault="005438FD">
            <w:pPr>
              <w:spacing w:after="0"/>
              <w:rPr>
                <w:rFonts w:eastAsia="Times New Roman" w:cs="Calibri"/>
                <w:b w:val="0"/>
                <w:bCs w:val="0"/>
                <w:color w:val="FFFFFF" w:themeColor="background1"/>
                <w:szCs w:val="22"/>
              </w:rPr>
            </w:pPr>
            <w:r w:rsidRPr="00C32FCE">
              <w:rPr>
                <w:rFonts w:eastAsia="Times New Roman" w:cs="Calibri"/>
                <w:color w:val="FFFFFF" w:themeColor="background1"/>
                <w:szCs w:val="22"/>
              </w:rPr>
              <w:t> </w:t>
            </w:r>
          </w:p>
          <w:p w14:paraId="320E29A7" w14:textId="744B44CD" w:rsidR="005438FD" w:rsidRPr="00C32FCE" w:rsidRDefault="005438FD" w:rsidP="009D0435">
            <w:pPr>
              <w:spacing w:after="0"/>
              <w:jc w:val="center"/>
              <w:rPr>
                <w:rFonts w:eastAsia="Times New Roman" w:cs="Calibri"/>
                <w:color w:val="FFFFFF" w:themeColor="background1"/>
                <w:szCs w:val="22"/>
              </w:rPr>
            </w:pPr>
            <w:r w:rsidRPr="00C32FCE">
              <w:rPr>
                <w:rFonts w:eastAsia="Times New Roman" w:cs="Calibri"/>
                <w:color w:val="FFFFFF" w:themeColor="background1"/>
                <w:szCs w:val="22"/>
              </w:rPr>
              <w:t>User Stocks</w:t>
            </w:r>
          </w:p>
        </w:tc>
        <w:tc>
          <w:tcPr>
            <w:tcW w:w="1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D7D95" w:themeFill="accent1"/>
            <w:vAlign w:val="center"/>
            <w:hideMark/>
          </w:tcPr>
          <w:p w14:paraId="03926F89" w14:textId="3078BBDD"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themeColor="background1"/>
                <w:szCs w:val="22"/>
              </w:rPr>
            </w:pPr>
            <w:r w:rsidRPr="00C32FCE">
              <w:rPr>
                <w:rFonts w:eastAsia="Times New Roman" w:cs="Calibri"/>
                <w:color w:val="FFFFFF" w:themeColor="background1"/>
                <w:szCs w:val="22"/>
              </w:rPr>
              <w:t>Homer</w:t>
            </w:r>
            <w:r w:rsidR="00AF25AF">
              <w:rPr>
                <w:rFonts w:eastAsia="Times New Roman" w:cs="Calibri"/>
                <w:color w:val="FFFFFF" w:themeColor="background1"/>
                <w:szCs w:val="22"/>
              </w:rPr>
              <w:t xml:space="preserve"> and </w:t>
            </w:r>
            <w:r w:rsidRPr="00C32FCE">
              <w:rPr>
                <w:rFonts w:eastAsia="Times New Roman" w:cs="Calibri"/>
                <w:color w:val="FFFFFF" w:themeColor="background1"/>
                <w:szCs w:val="22"/>
              </w:rPr>
              <w:t>Wakeland</w:t>
            </w:r>
            <w:r w:rsidR="00AF25AF">
              <w:rPr>
                <w:rFonts w:eastAsia="Times New Roman" w:cs="Calibri"/>
                <w:color w:val="FFFFFF" w:themeColor="background1"/>
                <w:szCs w:val="22"/>
              </w:rPr>
              <w:t xml:space="preserve"> (2020)</w:t>
            </w:r>
            <w:r w:rsidR="003C7846">
              <w:rPr>
                <w:rStyle w:val="FootnoteReference"/>
                <w:rFonts w:eastAsia="Times New Roman" w:cs="Calibri"/>
                <w:b w:val="0"/>
                <w:bCs w:val="0"/>
                <w:color w:val="FFFFFF" w:themeColor="background1"/>
                <w:szCs w:val="22"/>
              </w:rPr>
              <w:footnoteReference w:id="3"/>
            </w:r>
          </w:p>
          <w:p w14:paraId="6460AF54" w14:textId="451F0275"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rPr>
            </w:pPr>
          </w:p>
        </w:tc>
        <w:tc>
          <w:tcPr>
            <w:tcW w:w="1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D7D95" w:themeFill="accent1"/>
            <w:vAlign w:val="center"/>
            <w:hideMark/>
          </w:tcPr>
          <w:p w14:paraId="38AE8FD5" w14:textId="042AC605"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themeColor="background1"/>
                <w:szCs w:val="22"/>
              </w:rPr>
            </w:pPr>
            <w:r w:rsidRPr="00C32FCE">
              <w:rPr>
                <w:rFonts w:eastAsia="Times New Roman" w:cs="Calibri"/>
                <w:color w:val="FFFFFF" w:themeColor="background1"/>
                <w:szCs w:val="22"/>
              </w:rPr>
              <w:t>Model v1110</w:t>
            </w:r>
          </w:p>
          <w:p w14:paraId="6C33042D" w14:textId="29B795A9"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rPr>
            </w:pPr>
          </w:p>
        </w:tc>
      </w:tr>
      <w:tr w:rsidR="000C62E4" w14:paraId="58CB50B1"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33E9FF2A" w14:textId="77777777" w:rsidR="000C62E4" w:rsidRDefault="000C62E4">
            <w:pPr>
              <w:spacing w:after="0"/>
              <w:rPr>
                <w:rFonts w:eastAsia="Times New Roman" w:cs="Calibri"/>
                <w:b w:val="0"/>
                <w:bCs w:val="0"/>
                <w:color w:val="000000"/>
              </w:rPr>
            </w:pPr>
            <w:r>
              <w:rPr>
                <w:rFonts w:eastAsia="Times New Roman" w:cs="Calibri"/>
                <w:color w:val="000000"/>
              </w:rPr>
              <w:t>Casual NMUs of POs with no heroin use</w:t>
            </w:r>
          </w:p>
        </w:tc>
        <w:tc>
          <w:tcPr>
            <w:tcW w:w="1809" w:type="pct"/>
            <w:tcBorders>
              <w:bottom w:val="single" w:sz="4" w:space="0" w:color="auto"/>
            </w:tcBorders>
            <w:hideMark/>
          </w:tcPr>
          <w:p w14:paraId="32EECB6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Casual PONHA</w:t>
            </w:r>
          </w:p>
        </w:tc>
        <w:tc>
          <w:tcPr>
            <w:tcW w:w="1809" w:type="pct"/>
            <w:tcBorders>
              <w:bottom w:val="single" w:sz="4" w:space="0" w:color="auto"/>
            </w:tcBorders>
            <w:hideMark/>
          </w:tcPr>
          <w:p w14:paraId="0DFDB311"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misuse no PY heroin</w:t>
            </w:r>
          </w:p>
        </w:tc>
      </w:tr>
      <w:tr w:rsidR="004E25A0" w14:paraId="532E645C"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vMerge w:val="restart"/>
            <w:tcBorders>
              <w:top w:val="single" w:sz="4" w:space="0" w:color="auto"/>
            </w:tcBorders>
            <w:hideMark/>
          </w:tcPr>
          <w:p w14:paraId="7002BCAD" w14:textId="77777777" w:rsidR="004E25A0" w:rsidRDefault="004E25A0">
            <w:pPr>
              <w:spacing w:after="0"/>
              <w:rPr>
                <w:rFonts w:eastAsia="Times New Roman" w:cs="Calibri"/>
                <w:b w:val="0"/>
                <w:bCs w:val="0"/>
                <w:color w:val="000000"/>
              </w:rPr>
            </w:pPr>
            <w:r>
              <w:rPr>
                <w:rFonts w:eastAsia="Times New Roman" w:cs="Calibri"/>
                <w:color w:val="000000"/>
              </w:rPr>
              <w:t>OUD users of POs with no heroin use</w:t>
            </w:r>
          </w:p>
          <w:p w14:paraId="340D317C" w14:textId="77777777" w:rsidR="004E25A0" w:rsidRDefault="004E25A0">
            <w:pPr>
              <w:spacing w:after="0"/>
              <w:rPr>
                <w:rFonts w:eastAsia="Times New Roman" w:cs="Calibri"/>
                <w:b w:val="0"/>
                <w:bCs w:val="0"/>
                <w:color w:val="000000"/>
              </w:rPr>
            </w:pPr>
            <w:r>
              <w:rPr>
                <w:rFonts w:eastAsia="Times New Roman" w:cs="Calibri"/>
                <w:color w:val="000000"/>
              </w:rPr>
              <w:t> </w:t>
            </w:r>
          </w:p>
          <w:p w14:paraId="2B780713" w14:textId="7930269A" w:rsidR="004E25A0" w:rsidRDefault="004E25A0" w:rsidP="00A67BF1">
            <w:pPr>
              <w:spacing w:after="0"/>
              <w:rPr>
                <w:rFonts w:eastAsia="Times New Roman" w:cs="Calibri"/>
                <w:color w:val="000000"/>
              </w:rPr>
            </w:pPr>
            <w:r>
              <w:rPr>
                <w:rFonts w:eastAsia="Times New Roman" w:cs="Calibri"/>
                <w:color w:val="000000"/>
              </w:rPr>
              <w:t> </w:t>
            </w:r>
          </w:p>
        </w:tc>
        <w:tc>
          <w:tcPr>
            <w:tcW w:w="1809" w:type="pct"/>
            <w:vMerge w:val="restart"/>
            <w:tcBorders>
              <w:top w:val="single" w:sz="4" w:space="0" w:color="auto"/>
            </w:tcBorders>
            <w:hideMark/>
          </w:tcPr>
          <w:p w14:paraId="5FD176AE"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Addicted PONHA</w:t>
            </w:r>
          </w:p>
          <w:p w14:paraId="01C2D76B"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w:t>
            </w:r>
          </w:p>
          <w:p w14:paraId="36B43341" w14:textId="2ACECE0F" w:rsidR="004E25A0" w:rsidRDefault="004E25A0" w:rsidP="00A67BF1">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w:t>
            </w:r>
          </w:p>
        </w:tc>
        <w:tc>
          <w:tcPr>
            <w:tcW w:w="1809" w:type="pct"/>
            <w:tcBorders>
              <w:top w:val="single" w:sz="4" w:space="0" w:color="auto"/>
            </w:tcBorders>
            <w:hideMark/>
          </w:tcPr>
          <w:p w14:paraId="3A1F05CD"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Rx OUD no PY heroin not in MOUD Tx</w:t>
            </w:r>
          </w:p>
        </w:tc>
      </w:tr>
      <w:tr w:rsidR="004E25A0" w14:paraId="21F45A2E"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35CD03ED" w14:textId="68CCD9F4" w:rsidR="004E25A0" w:rsidRDefault="004E25A0" w:rsidP="00A67BF1">
            <w:pPr>
              <w:spacing w:after="0"/>
              <w:rPr>
                <w:rFonts w:eastAsia="Times New Roman" w:cs="Calibri"/>
                <w:color w:val="000000"/>
              </w:rPr>
            </w:pPr>
          </w:p>
        </w:tc>
        <w:tc>
          <w:tcPr>
            <w:tcW w:w="1809" w:type="pct"/>
            <w:vMerge/>
            <w:hideMark/>
          </w:tcPr>
          <w:p w14:paraId="151C6129" w14:textId="4B2DF733" w:rsidR="004E25A0" w:rsidRDefault="004E25A0" w:rsidP="00A67BF1">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9" w:type="pct"/>
            <w:hideMark/>
          </w:tcPr>
          <w:p w14:paraId="7CC80EFF" w14:textId="77777777" w:rsidR="004E25A0" w:rsidRDefault="004E25A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OUD no heroin in MOUD Tx</w:t>
            </w:r>
          </w:p>
        </w:tc>
      </w:tr>
      <w:tr w:rsidR="004E25A0" w14:paraId="71339B1B"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tcBorders>
              <w:bottom w:val="single" w:sz="4" w:space="0" w:color="auto"/>
            </w:tcBorders>
            <w:hideMark/>
          </w:tcPr>
          <w:p w14:paraId="36344ED5" w14:textId="00780B9C" w:rsidR="004E25A0" w:rsidRDefault="004E25A0">
            <w:pPr>
              <w:spacing w:after="0"/>
              <w:rPr>
                <w:rFonts w:eastAsia="Times New Roman" w:cs="Calibri"/>
                <w:color w:val="000000"/>
              </w:rPr>
            </w:pPr>
          </w:p>
        </w:tc>
        <w:tc>
          <w:tcPr>
            <w:tcW w:w="1809" w:type="pct"/>
            <w:vMerge/>
            <w:tcBorders>
              <w:bottom w:val="single" w:sz="4" w:space="0" w:color="auto"/>
            </w:tcBorders>
            <w:hideMark/>
          </w:tcPr>
          <w:p w14:paraId="0FC11D18" w14:textId="5483DD58"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9" w:type="pct"/>
            <w:tcBorders>
              <w:bottom w:val="single" w:sz="4" w:space="0" w:color="auto"/>
            </w:tcBorders>
            <w:hideMark/>
          </w:tcPr>
          <w:p w14:paraId="7E85E1C7"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Rx OUD no heroin in remission</w:t>
            </w:r>
          </w:p>
        </w:tc>
      </w:tr>
      <w:tr w:rsidR="009B200E" w14:paraId="3625681C"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vMerge w:val="restart"/>
            <w:tcBorders>
              <w:top w:val="single" w:sz="4" w:space="0" w:color="auto"/>
            </w:tcBorders>
            <w:hideMark/>
          </w:tcPr>
          <w:p w14:paraId="42843441" w14:textId="228C909A" w:rsidR="009B200E" w:rsidRDefault="009B200E">
            <w:pPr>
              <w:spacing w:after="0"/>
              <w:rPr>
                <w:rFonts w:eastAsia="Times New Roman" w:cs="Calibri"/>
                <w:b w:val="0"/>
                <w:bCs w:val="0"/>
                <w:color w:val="000000"/>
              </w:rPr>
            </w:pPr>
            <w:r>
              <w:rPr>
                <w:rFonts w:eastAsia="Times New Roman" w:cs="Calibri"/>
                <w:color w:val="000000"/>
              </w:rPr>
              <w:t>OUD users of POs with</w:t>
            </w:r>
            <w:r w:rsidR="00C47DA5">
              <w:rPr>
                <w:rFonts w:eastAsia="Times New Roman" w:cs="Calibri"/>
                <w:color w:val="000000"/>
              </w:rPr>
              <w:t xml:space="preserve"> </w:t>
            </w:r>
            <w:r>
              <w:rPr>
                <w:rFonts w:eastAsia="Times New Roman" w:cs="Calibri"/>
                <w:color w:val="000000"/>
              </w:rPr>
              <w:t>heroin use</w:t>
            </w:r>
          </w:p>
          <w:p w14:paraId="64D588DD" w14:textId="77777777" w:rsidR="009B200E" w:rsidRDefault="009B200E">
            <w:pPr>
              <w:spacing w:after="0"/>
              <w:rPr>
                <w:rFonts w:eastAsia="Times New Roman" w:cs="Calibri"/>
                <w:b w:val="0"/>
                <w:bCs w:val="0"/>
                <w:color w:val="000000"/>
              </w:rPr>
            </w:pPr>
            <w:r>
              <w:rPr>
                <w:rFonts w:eastAsia="Times New Roman" w:cs="Calibri"/>
                <w:color w:val="000000"/>
              </w:rPr>
              <w:t> </w:t>
            </w:r>
          </w:p>
          <w:p w14:paraId="35439305" w14:textId="6EF06BA9" w:rsidR="009B200E" w:rsidRDefault="009B200E" w:rsidP="00A67BF1">
            <w:pPr>
              <w:spacing w:after="0"/>
              <w:rPr>
                <w:rFonts w:eastAsia="Times New Roman" w:cs="Calibri"/>
                <w:color w:val="000000"/>
              </w:rPr>
            </w:pPr>
            <w:r>
              <w:rPr>
                <w:rFonts w:eastAsia="Times New Roman" w:cs="Calibri"/>
                <w:color w:val="000000"/>
              </w:rPr>
              <w:t> </w:t>
            </w:r>
          </w:p>
        </w:tc>
        <w:tc>
          <w:tcPr>
            <w:tcW w:w="1809" w:type="pct"/>
            <w:vMerge w:val="restart"/>
            <w:tcBorders>
              <w:top w:val="single" w:sz="4" w:space="0" w:color="auto"/>
            </w:tcBorders>
            <w:hideMark/>
          </w:tcPr>
          <w:p w14:paraId="3D4D531A"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Casual HPPOU</w:t>
            </w:r>
          </w:p>
          <w:p w14:paraId="5A79D87F"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 </w:t>
            </w:r>
          </w:p>
          <w:p w14:paraId="7C6BF0C4" w14:textId="0F7367FE" w:rsidR="009B200E" w:rsidRDefault="009B200E" w:rsidP="00A67BF1">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 </w:t>
            </w:r>
          </w:p>
        </w:tc>
        <w:tc>
          <w:tcPr>
            <w:tcW w:w="1809" w:type="pct"/>
            <w:tcBorders>
              <w:top w:val="single" w:sz="4" w:space="0" w:color="auto"/>
            </w:tcBorders>
            <w:hideMark/>
          </w:tcPr>
          <w:p w14:paraId="54009A1F"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OUD with PY heroin not in MOUD Tx</w:t>
            </w:r>
          </w:p>
        </w:tc>
      </w:tr>
      <w:tr w:rsidR="009B200E" w14:paraId="6A4226A5"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5417D3A3" w14:textId="06CD1E4D" w:rsidR="009B200E" w:rsidRDefault="009B200E" w:rsidP="00A67BF1">
            <w:pPr>
              <w:spacing w:after="0"/>
              <w:rPr>
                <w:rFonts w:eastAsia="Times New Roman" w:cs="Calibri"/>
                <w:color w:val="000000"/>
              </w:rPr>
            </w:pPr>
          </w:p>
        </w:tc>
        <w:tc>
          <w:tcPr>
            <w:tcW w:w="1809" w:type="pct"/>
            <w:vMerge/>
            <w:hideMark/>
          </w:tcPr>
          <w:p w14:paraId="311EE969" w14:textId="15E9550A" w:rsidR="009B200E" w:rsidRDefault="009B200E" w:rsidP="00A67BF1">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9" w:type="pct"/>
            <w:hideMark/>
          </w:tcPr>
          <w:p w14:paraId="09ED28C8" w14:textId="77777777" w:rsidR="009B200E" w:rsidRDefault="009B200E">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Rx OUD with heroin in MOUD Tx</w:t>
            </w:r>
          </w:p>
        </w:tc>
      </w:tr>
      <w:tr w:rsidR="009B200E" w14:paraId="1F831E0A"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tcBorders>
              <w:bottom w:val="single" w:sz="4" w:space="0" w:color="auto"/>
            </w:tcBorders>
            <w:hideMark/>
          </w:tcPr>
          <w:p w14:paraId="06D1654E" w14:textId="5F28D61E" w:rsidR="009B200E" w:rsidRDefault="009B200E">
            <w:pPr>
              <w:spacing w:after="0"/>
              <w:rPr>
                <w:rFonts w:eastAsia="Times New Roman" w:cs="Calibri"/>
                <w:color w:val="000000"/>
              </w:rPr>
            </w:pPr>
          </w:p>
        </w:tc>
        <w:tc>
          <w:tcPr>
            <w:tcW w:w="1809" w:type="pct"/>
            <w:vMerge/>
            <w:tcBorders>
              <w:bottom w:val="single" w:sz="4" w:space="0" w:color="auto"/>
            </w:tcBorders>
            <w:hideMark/>
          </w:tcPr>
          <w:p w14:paraId="2A282140" w14:textId="75F9C40A"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9" w:type="pct"/>
            <w:tcBorders>
              <w:bottom w:val="single" w:sz="4" w:space="0" w:color="auto"/>
            </w:tcBorders>
            <w:hideMark/>
          </w:tcPr>
          <w:p w14:paraId="60906BC4"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OUD with heroin in remission</w:t>
            </w:r>
          </w:p>
        </w:tc>
      </w:tr>
      <w:tr w:rsidR="00BB78DD" w14:paraId="29A0FB2C"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val="restart"/>
            <w:tcBorders>
              <w:top w:val="single" w:sz="4" w:space="0" w:color="auto"/>
            </w:tcBorders>
            <w:hideMark/>
          </w:tcPr>
          <w:p w14:paraId="07242095" w14:textId="77777777" w:rsidR="00BB78DD" w:rsidRDefault="00BB78DD">
            <w:pPr>
              <w:spacing w:after="0"/>
              <w:rPr>
                <w:rFonts w:eastAsia="Times New Roman" w:cs="Calibri"/>
                <w:b w:val="0"/>
                <w:bCs w:val="0"/>
                <w:color w:val="000000"/>
              </w:rPr>
            </w:pPr>
            <w:r>
              <w:rPr>
                <w:rFonts w:eastAsia="Times New Roman" w:cs="Calibri"/>
                <w:color w:val="000000"/>
              </w:rPr>
              <w:t>Other Heroin Users</w:t>
            </w:r>
          </w:p>
          <w:p w14:paraId="1002A775" w14:textId="77777777" w:rsidR="00BB78DD" w:rsidRDefault="00BB78DD">
            <w:pPr>
              <w:spacing w:after="0"/>
              <w:rPr>
                <w:rFonts w:eastAsia="Times New Roman" w:cs="Calibri"/>
                <w:b w:val="0"/>
                <w:bCs w:val="0"/>
                <w:color w:val="000000"/>
              </w:rPr>
            </w:pPr>
            <w:r>
              <w:rPr>
                <w:rFonts w:eastAsia="Times New Roman" w:cs="Calibri"/>
                <w:color w:val="000000"/>
              </w:rPr>
              <w:t> </w:t>
            </w:r>
          </w:p>
          <w:p w14:paraId="50DEF73D" w14:textId="77777777" w:rsidR="00BB78DD" w:rsidRDefault="00BB78DD">
            <w:pPr>
              <w:spacing w:after="0"/>
              <w:rPr>
                <w:rFonts w:eastAsia="Times New Roman" w:cs="Calibri"/>
                <w:b w:val="0"/>
                <w:bCs w:val="0"/>
                <w:color w:val="000000"/>
              </w:rPr>
            </w:pPr>
            <w:r>
              <w:rPr>
                <w:rFonts w:eastAsia="Times New Roman" w:cs="Calibri"/>
                <w:color w:val="000000"/>
              </w:rPr>
              <w:t> </w:t>
            </w:r>
          </w:p>
          <w:p w14:paraId="14BFC0CB" w14:textId="77777777" w:rsidR="00BB78DD" w:rsidRDefault="00BB78DD">
            <w:pPr>
              <w:spacing w:after="0"/>
              <w:rPr>
                <w:rFonts w:eastAsia="Times New Roman" w:cs="Calibri"/>
                <w:b w:val="0"/>
                <w:bCs w:val="0"/>
                <w:color w:val="000000"/>
              </w:rPr>
            </w:pPr>
            <w:r>
              <w:rPr>
                <w:rFonts w:eastAsia="Times New Roman" w:cs="Calibri"/>
                <w:color w:val="000000"/>
              </w:rPr>
              <w:t> </w:t>
            </w:r>
          </w:p>
          <w:p w14:paraId="1B53F939" w14:textId="77777777" w:rsidR="00BB78DD" w:rsidRDefault="00BB78DD">
            <w:pPr>
              <w:spacing w:after="0"/>
              <w:rPr>
                <w:rFonts w:eastAsia="Times New Roman" w:cs="Calibri"/>
                <w:b w:val="0"/>
                <w:bCs w:val="0"/>
                <w:color w:val="000000"/>
              </w:rPr>
            </w:pPr>
            <w:r>
              <w:rPr>
                <w:rFonts w:eastAsia="Times New Roman" w:cs="Calibri"/>
                <w:color w:val="000000"/>
              </w:rPr>
              <w:t> </w:t>
            </w:r>
          </w:p>
          <w:p w14:paraId="7F8CD280" w14:textId="77777777" w:rsidR="00BB78DD" w:rsidRDefault="00BB78DD">
            <w:pPr>
              <w:spacing w:after="0"/>
              <w:rPr>
                <w:rFonts w:eastAsia="Times New Roman" w:cs="Calibri"/>
                <w:b w:val="0"/>
                <w:bCs w:val="0"/>
                <w:color w:val="000000"/>
              </w:rPr>
            </w:pPr>
            <w:r>
              <w:rPr>
                <w:rFonts w:eastAsia="Times New Roman" w:cs="Calibri"/>
                <w:color w:val="000000"/>
              </w:rPr>
              <w:t> </w:t>
            </w:r>
          </w:p>
          <w:p w14:paraId="58746DB0" w14:textId="77777777" w:rsidR="00BB78DD" w:rsidRDefault="00BB78DD">
            <w:pPr>
              <w:spacing w:after="0"/>
              <w:rPr>
                <w:rFonts w:eastAsia="Times New Roman" w:cs="Calibri"/>
                <w:color w:val="000000"/>
              </w:rPr>
            </w:pPr>
            <w:r>
              <w:rPr>
                <w:rFonts w:eastAsia="Times New Roman" w:cs="Calibri"/>
                <w:color w:val="000000"/>
              </w:rPr>
              <w:t> </w:t>
            </w:r>
          </w:p>
          <w:p w14:paraId="05A0D614" w14:textId="77777777" w:rsidR="00BB78DD" w:rsidRDefault="00BB78DD">
            <w:pPr>
              <w:spacing w:after="0"/>
              <w:rPr>
                <w:rFonts w:eastAsia="Times New Roman" w:cs="Calibri"/>
                <w:b w:val="0"/>
                <w:bCs w:val="0"/>
                <w:color w:val="000000"/>
              </w:rPr>
            </w:pPr>
            <w:r>
              <w:rPr>
                <w:rFonts w:eastAsia="Times New Roman" w:cs="Calibri"/>
                <w:color w:val="000000"/>
              </w:rPr>
              <w:t> </w:t>
            </w:r>
          </w:p>
          <w:p w14:paraId="06416847" w14:textId="77777777" w:rsidR="00BB78DD" w:rsidRDefault="00BB78DD">
            <w:pPr>
              <w:spacing w:after="0"/>
              <w:rPr>
                <w:rFonts w:eastAsia="Times New Roman" w:cs="Calibri"/>
                <w:b w:val="0"/>
                <w:bCs w:val="0"/>
                <w:color w:val="000000"/>
              </w:rPr>
            </w:pPr>
            <w:r>
              <w:rPr>
                <w:rFonts w:eastAsia="Times New Roman" w:cs="Calibri"/>
                <w:color w:val="000000"/>
              </w:rPr>
              <w:t> </w:t>
            </w:r>
          </w:p>
          <w:p w14:paraId="164A2950" w14:textId="77777777" w:rsidR="00BB78DD" w:rsidRDefault="00BB78DD">
            <w:pPr>
              <w:spacing w:after="0"/>
              <w:rPr>
                <w:rFonts w:eastAsia="Times New Roman" w:cs="Calibri"/>
                <w:b w:val="0"/>
                <w:bCs w:val="0"/>
                <w:color w:val="000000"/>
              </w:rPr>
            </w:pPr>
            <w:r>
              <w:rPr>
                <w:rFonts w:eastAsia="Times New Roman" w:cs="Calibri"/>
                <w:color w:val="000000"/>
              </w:rPr>
              <w:t> </w:t>
            </w:r>
          </w:p>
          <w:p w14:paraId="361F9A69" w14:textId="77777777" w:rsidR="00BB78DD" w:rsidRDefault="00BB78DD">
            <w:pPr>
              <w:spacing w:after="0"/>
              <w:rPr>
                <w:rFonts w:eastAsia="Times New Roman" w:cs="Calibri"/>
                <w:color w:val="000000"/>
              </w:rPr>
            </w:pPr>
            <w:r>
              <w:rPr>
                <w:rFonts w:eastAsia="Times New Roman" w:cs="Calibri"/>
                <w:color w:val="000000"/>
              </w:rPr>
              <w:t> </w:t>
            </w:r>
          </w:p>
          <w:p w14:paraId="75737865" w14:textId="77777777" w:rsidR="00BB78DD" w:rsidRDefault="00BB78DD">
            <w:pPr>
              <w:spacing w:after="0"/>
              <w:rPr>
                <w:rFonts w:eastAsia="Times New Roman" w:cs="Calibri"/>
                <w:b w:val="0"/>
                <w:bCs w:val="0"/>
                <w:color w:val="000000"/>
              </w:rPr>
            </w:pPr>
            <w:r>
              <w:rPr>
                <w:rFonts w:eastAsia="Times New Roman" w:cs="Calibri"/>
                <w:color w:val="000000"/>
              </w:rPr>
              <w:t> </w:t>
            </w:r>
          </w:p>
          <w:p w14:paraId="69DEBB1E" w14:textId="77777777" w:rsidR="00BB78DD" w:rsidRDefault="00BB78DD">
            <w:pPr>
              <w:spacing w:after="0"/>
              <w:rPr>
                <w:rFonts w:eastAsia="Times New Roman" w:cs="Calibri"/>
                <w:b w:val="0"/>
                <w:bCs w:val="0"/>
                <w:color w:val="000000"/>
              </w:rPr>
            </w:pPr>
            <w:r>
              <w:rPr>
                <w:rFonts w:eastAsia="Times New Roman" w:cs="Calibri"/>
                <w:color w:val="000000"/>
              </w:rPr>
              <w:t> </w:t>
            </w:r>
          </w:p>
          <w:p w14:paraId="20BD54A1" w14:textId="77777777" w:rsidR="00BB78DD" w:rsidRDefault="00BB78DD">
            <w:pPr>
              <w:spacing w:after="0"/>
              <w:rPr>
                <w:rFonts w:eastAsia="Times New Roman" w:cs="Calibri"/>
                <w:b w:val="0"/>
                <w:bCs w:val="0"/>
                <w:color w:val="000000"/>
              </w:rPr>
            </w:pPr>
            <w:r>
              <w:rPr>
                <w:rFonts w:eastAsia="Times New Roman" w:cs="Calibri"/>
                <w:color w:val="000000"/>
              </w:rPr>
              <w:t> </w:t>
            </w:r>
          </w:p>
          <w:p w14:paraId="11D033B5" w14:textId="1A645917" w:rsidR="00BB78DD" w:rsidRDefault="00BB78DD" w:rsidP="00A67BF1">
            <w:pPr>
              <w:spacing w:after="0"/>
              <w:rPr>
                <w:rFonts w:eastAsia="Times New Roman" w:cs="Calibri"/>
                <w:color w:val="000000"/>
              </w:rPr>
            </w:pPr>
            <w:r>
              <w:rPr>
                <w:rFonts w:eastAsia="Times New Roman" w:cs="Calibri"/>
                <w:color w:val="000000"/>
              </w:rPr>
              <w:t> </w:t>
            </w:r>
          </w:p>
        </w:tc>
        <w:tc>
          <w:tcPr>
            <w:tcW w:w="1809" w:type="pct"/>
            <w:tcBorders>
              <w:top w:val="single" w:sz="4" w:space="0" w:color="auto"/>
            </w:tcBorders>
            <w:hideMark/>
          </w:tcPr>
          <w:p w14:paraId="7B5C5DAC"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Casual HNPOU</w:t>
            </w:r>
          </w:p>
        </w:tc>
        <w:tc>
          <w:tcPr>
            <w:tcW w:w="1809" w:type="pct"/>
            <w:tcBorders>
              <w:top w:val="single" w:sz="4" w:space="0" w:color="auto"/>
            </w:tcBorders>
            <w:hideMark/>
          </w:tcPr>
          <w:p w14:paraId="21829529" w14:textId="5DD42E52"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Non</w:t>
            </w:r>
            <w:r w:rsidR="009760D4">
              <w:rPr>
                <w:rFonts w:eastAsia="Times New Roman" w:cs="Calibri"/>
                <w:color w:val="000000"/>
              </w:rPr>
              <w:t>-</w:t>
            </w:r>
            <w:r>
              <w:rPr>
                <w:rFonts w:eastAsia="Times New Roman" w:cs="Calibri"/>
                <w:color w:val="000000"/>
              </w:rPr>
              <w:t>disordered heroin use</w:t>
            </w:r>
          </w:p>
        </w:tc>
      </w:tr>
      <w:tr w:rsidR="00BB78DD" w14:paraId="43894F1D"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1FD08015" w14:textId="3782A8B0" w:rsidR="00BB78DD" w:rsidRDefault="00BB78DD" w:rsidP="00A67BF1">
            <w:pPr>
              <w:spacing w:after="0"/>
              <w:rPr>
                <w:rFonts w:eastAsia="Times New Roman" w:cs="Calibri"/>
                <w:color w:val="000000"/>
              </w:rPr>
            </w:pPr>
          </w:p>
        </w:tc>
        <w:tc>
          <w:tcPr>
            <w:tcW w:w="1809" w:type="pct"/>
            <w:hideMark/>
          </w:tcPr>
          <w:p w14:paraId="1CCE68D8"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Addicted HNPOU</w:t>
            </w:r>
          </w:p>
        </w:tc>
        <w:tc>
          <w:tcPr>
            <w:tcW w:w="1809" w:type="pct"/>
            <w:hideMark/>
          </w:tcPr>
          <w:p w14:paraId="3598D753"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HUD not in MOUD Tx</w:t>
            </w:r>
          </w:p>
        </w:tc>
      </w:tr>
      <w:tr w:rsidR="00BB78DD" w14:paraId="6A6C4C51"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05ACDBB6" w14:textId="7A4ED8D1" w:rsidR="00BB78DD" w:rsidRDefault="00BB78DD" w:rsidP="00A67BF1">
            <w:pPr>
              <w:spacing w:after="0"/>
              <w:rPr>
                <w:rFonts w:eastAsia="Times New Roman" w:cs="Calibri"/>
                <w:color w:val="000000"/>
              </w:rPr>
            </w:pPr>
          </w:p>
        </w:tc>
        <w:tc>
          <w:tcPr>
            <w:tcW w:w="1809" w:type="pct"/>
            <w:hideMark/>
          </w:tcPr>
          <w:p w14:paraId="5375963B"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Addicted HPPOU</w:t>
            </w:r>
          </w:p>
        </w:tc>
        <w:tc>
          <w:tcPr>
            <w:tcW w:w="1809" w:type="pct"/>
            <w:hideMark/>
          </w:tcPr>
          <w:p w14:paraId="6111295A"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HUD in MOUD Tx</w:t>
            </w:r>
          </w:p>
        </w:tc>
      </w:tr>
      <w:tr w:rsidR="00BB78DD" w14:paraId="69017B33"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57B8AB79" w14:textId="04F77CEB" w:rsidR="00BB78DD" w:rsidRDefault="00BB78DD" w:rsidP="00A67BF1">
            <w:pPr>
              <w:spacing w:after="0"/>
              <w:rPr>
                <w:rFonts w:eastAsia="Times New Roman" w:cs="Calibri"/>
                <w:color w:val="000000"/>
              </w:rPr>
            </w:pPr>
          </w:p>
        </w:tc>
        <w:tc>
          <w:tcPr>
            <w:tcW w:w="1809" w:type="pct"/>
            <w:tcBorders>
              <w:bottom w:val="single" w:sz="4" w:space="0" w:color="auto"/>
            </w:tcBorders>
            <w:hideMark/>
          </w:tcPr>
          <w:p w14:paraId="629717F2" w14:textId="77777777" w:rsidR="00BB78DD" w:rsidRDefault="00BB78D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9" w:type="pct"/>
            <w:tcBorders>
              <w:bottom w:val="single" w:sz="4" w:space="0" w:color="auto"/>
            </w:tcBorders>
            <w:hideMark/>
          </w:tcPr>
          <w:p w14:paraId="597E9AB2"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rPr>
              <w:t>HUD in remission</w:t>
            </w:r>
          </w:p>
        </w:tc>
      </w:tr>
      <w:tr w:rsidR="00BB78DD" w14:paraId="6EF9B8EC"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6D8D12F3" w14:textId="1AB64DC8" w:rsidR="00BB78DD" w:rsidRDefault="00BB78DD" w:rsidP="00A67BF1">
            <w:pPr>
              <w:spacing w:after="0"/>
              <w:rPr>
                <w:rFonts w:eastAsia="Times New Roman" w:cs="Calibri"/>
                <w:color w:val="000000"/>
              </w:rPr>
            </w:pPr>
          </w:p>
        </w:tc>
        <w:tc>
          <w:tcPr>
            <w:tcW w:w="1809" w:type="pct"/>
            <w:tcBorders>
              <w:top w:val="single" w:sz="4" w:space="0" w:color="auto"/>
              <w:bottom w:val="single" w:sz="4" w:space="0" w:color="BFBFBF" w:themeColor="background1" w:themeShade="BF"/>
            </w:tcBorders>
            <w:hideMark/>
          </w:tcPr>
          <w:p w14:paraId="581CF29B"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Pr>
                <w:rFonts w:eastAsia="Times New Roman" w:cs="Calibri"/>
                <w:b/>
                <w:bCs/>
                <w:color w:val="000000"/>
              </w:rPr>
              <w:t>Supply Stocks</w:t>
            </w:r>
          </w:p>
        </w:tc>
        <w:tc>
          <w:tcPr>
            <w:tcW w:w="1809" w:type="pct"/>
            <w:tcBorders>
              <w:top w:val="single" w:sz="4" w:space="0" w:color="auto"/>
              <w:bottom w:val="single" w:sz="4" w:space="0" w:color="BFBFBF" w:themeColor="background1" w:themeShade="BF"/>
            </w:tcBorders>
            <w:hideMark/>
          </w:tcPr>
          <w:p w14:paraId="699407BC"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Pr>
                <w:rFonts w:eastAsia="Times New Roman" w:cs="Calibri"/>
                <w:b/>
                <w:bCs/>
                <w:color w:val="000000"/>
              </w:rPr>
              <w:t>Supply Stocks</w:t>
            </w:r>
          </w:p>
        </w:tc>
      </w:tr>
      <w:tr w:rsidR="00BB78DD" w14:paraId="4F40E40B"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7D3818B6" w14:textId="5AF71841" w:rsidR="00BB78DD" w:rsidRDefault="00BB78DD" w:rsidP="00A67BF1">
            <w:pPr>
              <w:spacing w:after="0"/>
              <w:rPr>
                <w:rFonts w:eastAsia="Times New Roman" w:cs="Calibri"/>
                <w:b w:val="0"/>
                <w:bCs w:val="0"/>
                <w:color w:val="000000"/>
              </w:rPr>
            </w:pPr>
          </w:p>
        </w:tc>
        <w:tc>
          <w:tcPr>
            <w:tcW w:w="1809" w:type="pct"/>
            <w:hideMark/>
          </w:tcPr>
          <w:p w14:paraId="6C18FC5E"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Disguised Fent pills supply</w:t>
            </w:r>
          </w:p>
        </w:tc>
        <w:tc>
          <w:tcPr>
            <w:tcW w:w="1809" w:type="pct"/>
            <w:hideMark/>
          </w:tcPr>
          <w:p w14:paraId="1596A4E7"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street supply disruption</w:t>
            </w:r>
          </w:p>
        </w:tc>
      </w:tr>
      <w:tr w:rsidR="00BB78DD" w14:paraId="506C1483"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077967B2" w14:textId="7A2F9C2D" w:rsidR="00BB78DD" w:rsidRDefault="00BB78DD" w:rsidP="00A67BF1">
            <w:pPr>
              <w:spacing w:after="0"/>
              <w:rPr>
                <w:rFonts w:eastAsia="Times New Roman" w:cs="Calibri"/>
                <w:color w:val="000000"/>
              </w:rPr>
            </w:pPr>
          </w:p>
        </w:tc>
        <w:tc>
          <w:tcPr>
            <w:tcW w:w="1809" w:type="pct"/>
            <w:tcBorders>
              <w:bottom w:val="single" w:sz="4" w:space="0" w:color="auto"/>
            </w:tcBorders>
            <w:hideMark/>
          </w:tcPr>
          <w:p w14:paraId="578BC824"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Street supply authentic</w:t>
            </w:r>
          </w:p>
        </w:tc>
        <w:tc>
          <w:tcPr>
            <w:tcW w:w="1809" w:type="pct"/>
            <w:tcBorders>
              <w:bottom w:val="single" w:sz="4" w:space="0" w:color="auto"/>
            </w:tcBorders>
            <w:hideMark/>
          </w:tcPr>
          <w:p w14:paraId="2889FAED"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Tx exposure</w:t>
            </w:r>
          </w:p>
        </w:tc>
      </w:tr>
      <w:tr w:rsidR="00BB78DD" w14:paraId="3373308F"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47A4EE82" w14:textId="6490CA7D" w:rsidR="00BB78DD" w:rsidRDefault="00BB78DD" w:rsidP="00A67BF1">
            <w:pPr>
              <w:spacing w:after="0"/>
              <w:rPr>
                <w:rFonts w:eastAsia="Times New Roman" w:cs="Calibri"/>
                <w:color w:val="000000"/>
              </w:rPr>
            </w:pPr>
          </w:p>
        </w:tc>
        <w:tc>
          <w:tcPr>
            <w:tcW w:w="1809" w:type="pct"/>
            <w:hideMark/>
          </w:tcPr>
          <w:p w14:paraId="1D5EDE06"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Pr>
                <w:rFonts w:eastAsia="Times New Roman" w:cs="Calibri"/>
                <w:b/>
                <w:bCs/>
                <w:color w:val="000000"/>
              </w:rPr>
              <w:t>Outcomes</w:t>
            </w:r>
          </w:p>
        </w:tc>
        <w:tc>
          <w:tcPr>
            <w:tcW w:w="1809" w:type="pct"/>
            <w:hideMark/>
          </w:tcPr>
          <w:p w14:paraId="5B785C20"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Pr>
                <w:rFonts w:eastAsia="Times New Roman" w:cs="Calibri"/>
                <w:b/>
                <w:bCs/>
                <w:color w:val="000000"/>
              </w:rPr>
              <w:t>Outcomes</w:t>
            </w:r>
          </w:p>
        </w:tc>
      </w:tr>
      <w:tr w:rsidR="00BB78DD" w14:paraId="3E6993FC"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651ABE3B" w14:textId="7649E88E" w:rsidR="00BB78DD" w:rsidRDefault="00BB78DD" w:rsidP="00A67BF1">
            <w:pPr>
              <w:spacing w:after="0"/>
              <w:rPr>
                <w:rFonts w:eastAsia="Times New Roman" w:cs="Calibri"/>
                <w:b w:val="0"/>
                <w:bCs w:val="0"/>
                <w:color w:val="000000"/>
              </w:rPr>
            </w:pPr>
          </w:p>
        </w:tc>
        <w:tc>
          <w:tcPr>
            <w:tcW w:w="1809" w:type="pct"/>
            <w:hideMark/>
          </w:tcPr>
          <w:p w14:paraId="4E00C6EF"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opioid OD deaths</w:t>
            </w:r>
          </w:p>
        </w:tc>
        <w:tc>
          <w:tcPr>
            <w:tcW w:w="1809" w:type="pct"/>
            <w:hideMark/>
          </w:tcPr>
          <w:p w14:paraId="0EDC8F13"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Cumulative nonfatal overdoses since 2002</w:t>
            </w:r>
          </w:p>
        </w:tc>
      </w:tr>
      <w:tr w:rsidR="00BB78DD" w14:paraId="5A1CAE5D"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735EFA58" w14:textId="2864338B" w:rsidR="00BB78DD" w:rsidRDefault="00BB78DD" w:rsidP="00A67BF1">
            <w:pPr>
              <w:spacing w:after="0"/>
              <w:rPr>
                <w:rFonts w:eastAsia="Times New Roman" w:cs="Calibri"/>
                <w:color w:val="000000"/>
              </w:rPr>
            </w:pPr>
          </w:p>
        </w:tc>
        <w:tc>
          <w:tcPr>
            <w:tcW w:w="1809" w:type="pct"/>
            <w:hideMark/>
          </w:tcPr>
          <w:p w14:paraId="1DB6ECF8"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opioid ODs reversed by laypersons start 1996</w:t>
            </w:r>
          </w:p>
        </w:tc>
        <w:tc>
          <w:tcPr>
            <w:tcW w:w="1809" w:type="pct"/>
            <w:hideMark/>
          </w:tcPr>
          <w:p w14:paraId="0DADA842"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Cumulative overdose deaths since 2002</w:t>
            </w:r>
          </w:p>
        </w:tc>
      </w:tr>
      <w:tr w:rsidR="00BB78DD" w14:paraId="656192D4"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1959FD14" w14:textId="68C1AB4A" w:rsidR="00BB78DD" w:rsidRDefault="00BB78DD" w:rsidP="00A67BF1">
            <w:pPr>
              <w:spacing w:after="0"/>
              <w:rPr>
                <w:rFonts w:eastAsia="Times New Roman" w:cs="Calibri"/>
                <w:color w:val="000000"/>
              </w:rPr>
            </w:pPr>
          </w:p>
        </w:tc>
        <w:tc>
          <w:tcPr>
            <w:tcW w:w="1809" w:type="pct"/>
            <w:hideMark/>
          </w:tcPr>
          <w:p w14:paraId="2C4EB332"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opioid overdoses</w:t>
            </w:r>
          </w:p>
        </w:tc>
        <w:tc>
          <w:tcPr>
            <w:tcW w:w="1809" w:type="pct"/>
            <w:hideMark/>
          </w:tcPr>
          <w:p w14:paraId="623D5137"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w:t>
            </w:r>
          </w:p>
        </w:tc>
      </w:tr>
      <w:tr w:rsidR="00BB78DD" w14:paraId="2C1F8E26"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6B4AC5C6" w14:textId="45794F24" w:rsidR="00BB78DD" w:rsidRDefault="00BB78DD" w:rsidP="00A67BF1">
            <w:pPr>
              <w:spacing w:after="0"/>
              <w:rPr>
                <w:rFonts w:eastAsia="Times New Roman" w:cs="Calibri"/>
                <w:color w:val="000000"/>
              </w:rPr>
            </w:pPr>
          </w:p>
        </w:tc>
        <w:tc>
          <w:tcPr>
            <w:tcW w:w="1809" w:type="pct"/>
            <w:hideMark/>
          </w:tcPr>
          <w:p w14:paraId="2E923950"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script </w:t>
            </w:r>
            <w:proofErr w:type="spellStart"/>
            <w:r>
              <w:rPr>
                <w:rFonts w:eastAsia="Times New Roman" w:cs="Calibri"/>
                <w:color w:val="000000"/>
              </w:rPr>
              <w:t>gms</w:t>
            </w:r>
            <w:proofErr w:type="spellEnd"/>
            <w:r>
              <w:rPr>
                <w:rFonts w:eastAsia="Times New Roman" w:cs="Calibri"/>
                <w:color w:val="000000"/>
              </w:rPr>
              <w:t xml:space="preserve"> ME</w:t>
            </w:r>
          </w:p>
        </w:tc>
        <w:tc>
          <w:tcPr>
            <w:tcW w:w="1809" w:type="pct"/>
            <w:hideMark/>
          </w:tcPr>
          <w:p w14:paraId="3AAD799F"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 </w:t>
            </w:r>
          </w:p>
        </w:tc>
      </w:tr>
      <w:tr w:rsidR="000C62E4" w14:paraId="119AE879"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5BAD3C1E" w14:textId="77777777" w:rsidR="000C62E4" w:rsidRDefault="000C62E4">
            <w:pPr>
              <w:spacing w:after="0"/>
              <w:rPr>
                <w:rFonts w:eastAsia="Times New Roman" w:cs="Calibri"/>
                <w:color w:val="000000"/>
              </w:rPr>
            </w:pPr>
            <w:r>
              <w:rPr>
                <w:rFonts w:eastAsia="Times New Roman" w:cs="Calibri"/>
                <w:color w:val="000000"/>
              </w:rPr>
              <w:t>Sources of initiation</w:t>
            </w:r>
          </w:p>
        </w:tc>
        <w:tc>
          <w:tcPr>
            <w:tcW w:w="1809" w:type="pct"/>
            <w:tcBorders>
              <w:top w:val="single" w:sz="4" w:space="0" w:color="auto"/>
              <w:bottom w:val="single" w:sz="4" w:space="0" w:color="auto"/>
            </w:tcBorders>
            <w:hideMark/>
          </w:tcPr>
          <w:p w14:paraId="1FE81F1F"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Own Rx, Diverted Rx</w:t>
            </w:r>
          </w:p>
        </w:tc>
        <w:tc>
          <w:tcPr>
            <w:tcW w:w="1809" w:type="pct"/>
            <w:tcBorders>
              <w:top w:val="single" w:sz="4" w:space="0" w:color="auto"/>
              <w:bottom w:val="single" w:sz="4" w:space="0" w:color="auto"/>
            </w:tcBorders>
            <w:hideMark/>
          </w:tcPr>
          <w:p w14:paraId="26FEA20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Own Rx, Diverted Rx</w:t>
            </w:r>
          </w:p>
        </w:tc>
      </w:tr>
      <w:tr w:rsidR="000C62E4" w14:paraId="0A74E31F"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tcBorders>
            <w:hideMark/>
          </w:tcPr>
          <w:p w14:paraId="7ED51C15" w14:textId="0C3033A8" w:rsidR="000C62E4" w:rsidRDefault="000C62E4">
            <w:pPr>
              <w:spacing w:after="0"/>
              <w:rPr>
                <w:rFonts w:eastAsia="Times New Roman" w:cs="Calibri"/>
                <w:color w:val="000000"/>
              </w:rPr>
            </w:pPr>
            <w:r>
              <w:rPr>
                <w:rFonts w:eastAsia="Times New Roman" w:cs="Calibri"/>
                <w:color w:val="000000"/>
              </w:rPr>
              <w:t xml:space="preserve">Relapsing after </w:t>
            </w:r>
            <w:r w:rsidR="004E1A07">
              <w:rPr>
                <w:rFonts w:eastAsia="Times New Roman" w:cs="Calibri"/>
                <w:color w:val="000000"/>
              </w:rPr>
              <w:t>1-year</w:t>
            </w:r>
            <w:r>
              <w:rPr>
                <w:rFonts w:eastAsia="Times New Roman" w:cs="Calibri"/>
                <w:color w:val="000000"/>
              </w:rPr>
              <w:t xml:space="preserve"> abstinence</w:t>
            </w:r>
          </w:p>
        </w:tc>
        <w:tc>
          <w:tcPr>
            <w:tcW w:w="1809" w:type="pct"/>
            <w:tcBorders>
              <w:top w:val="single" w:sz="4" w:space="0" w:color="auto"/>
            </w:tcBorders>
            <w:hideMark/>
          </w:tcPr>
          <w:p w14:paraId="50A33F5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Implicit, as re-initiation</w:t>
            </w:r>
          </w:p>
        </w:tc>
        <w:tc>
          <w:tcPr>
            <w:tcW w:w="1809" w:type="pct"/>
            <w:tcBorders>
              <w:top w:val="single" w:sz="4" w:space="0" w:color="auto"/>
            </w:tcBorders>
            <w:hideMark/>
          </w:tcPr>
          <w:p w14:paraId="48121E8E" w14:textId="7E69AD13" w:rsidR="00C32FCE"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Explicit stocks for in remission and flows for relapsing</w:t>
            </w:r>
          </w:p>
          <w:p w14:paraId="5D281088" w14:textId="77777777" w:rsidR="00C32FCE" w:rsidRDefault="00C32FC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p w14:paraId="21C129FF" w14:textId="7A2AF5E3" w:rsidR="00C32FCE" w:rsidRDefault="00C32FC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C2252D" w14:paraId="7D3A29AE" w14:textId="77777777" w:rsidTr="004E704B">
        <w:trPr>
          <w:trHeight w:val="144"/>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BFBFBF" w:themeColor="background1" w:themeShade="BF"/>
            </w:tcBorders>
            <w:shd w:val="clear" w:color="auto" w:fill="243646" w:themeFill="accent2"/>
            <w:vAlign w:val="center"/>
            <w:hideMark/>
          </w:tcPr>
          <w:p w14:paraId="1DAE955A" w14:textId="6614EAD5" w:rsidR="00C2252D" w:rsidRPr="00C32FCE" w:rsidRDefault="00C2252D" w:rsidP="00C2252D">
            <w:pPr>
              <w:spacing w:after="0"/>
              <w:jc w:val="center"/>
              <w:rPr>
                <w:rFonts w:eastAsia="Times New Roman" w:cs="Calibri"/>
                <w:color w:val="FFFFFF" w:themeColor="background1"/>
              </w:rPr>
            </w:pPr>
            <w:r w:rsidRPr="00C32FCE">
              <w:rPr>
                <w:rFonts w:eastAsia="Times New Roman" w:cs="Calibri"/>
                <w:color w:val="FFFFFF" w:themeColor="background1"/>
              </w:rPr>
              <w:t>Core Feedback Structure</w:t>
            </w:r>
          </w:p>
          <w:p w14:paraId="3E487841" w14:textId="4B81CD5D" w:rsidR="00C2252D" w:rsidRPr="00C2252D" w:rsidRDefault="00C2252D" w:rsidP="00C2252D">
            <w:pPr>
              <w:spacing w:after="0"/>
              <w:jc w:val="center"/>
              <w:rPr>
                <w:rFonts w:eastAsia="Times New Roman" w:cs="Calibri"/>
                <w:color w:val="000000"/>
              </w:rPr>
            </w:pPr>
          </w:p>
        </w:tc>
      </w:tr>
      <w:tr w:rsidR="000C62E4" w14:paraId="3E525AE1"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3B5DF0C5" w14:textId="77777777" w:rsidR="000C62E4" w:rsidRDefault="000C62E4">
            <w:pPr>
              <w:spacing w:after="0"/>
              <w:rPr>
                <w:rFonts w:eastAsia="Times New Roman" w:cs="Calibri"/>
                <w:color w:val="000000"/>
              </w:rPr>
            </w:pPr>
            <w:r>
              <w:rPr>
                <w:rFonts w:eastAsia="Times New Roman" w:cs="Calibri"/>
                <w:color w:val="000000"/>
              </w:rPr>
              <w:t>Social Influence based on:</w:t>
            </w:r>
          </w:p>
        </w:tc>
        <w:tc>
          <w:tcPr>
            <w:tcW w:w="1809" w:type="pct"/>
            <w:hideMark/>
          </w:tcPr>
          <w:p w14:paraId="1DEA997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Not included</w:t>
            </w:r>
          </w:p>
        </w:tc>
        <w:tc>
          <w:tcPr>
            <w:tcW w:w="1809" w:type="pct"/>
            <w:hideMark/>
          </w:tcPr>
          <w:p w14:paraId="4C0D891F"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"Contagion:" Users as fraction of population</w:t>
            </w:r>
          </w:p>
        </w:tc>
      </w:tr>
      <w:tr w:rsidR="000C62E4" w14:paraId="7A26FDF7"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787543CD" w14:textId="77777777" w:rsidR="000C62E4" w:rsidRDefault="000C62E4">
            <w:pPr>
              <w:spacing w:after="0"/>
              <w:rPr>
                <w:rFonts w:eastAsia="Times New Roman" w:cs="Calibri"/>
                <w:color w:val="000000"/>
              </w:rPr>
            </w:pPr>
            <w:r>
              <w:rPr>
                <w:rFonts w:eastAsia="Times New Roman" w:cs="Calibri"/>
                <w:color w:val="000000"/>
              </w:rPr>
              <w:t>Social Influence effects on:</w:t>
            </w:r>
          </w:p>
        </w:tc>
        <w:tc>
          <w:tcPr>
            <w:tcW w:w="1809" w:type="pct"/>
            <w:hideMark/>
          </w:tcPr>
          <w:p w14:paraId="45B6F60D"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flows</w:t>
            </w:r>
          </w:p>
        </w:tc>
        <w:tc>
          <w:tcPr>
            <w:tcW w:w="1809" w:type="pct"/>
            <w:hideMark/>
          </w:tcPr>
          <w:p w14:paraId="170A1DD4" w14:textId="2AE80C99" w:rsidR="000C62E4" w:rsidRDefault="000B1711">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w:t>
            </w:r>
            <w:r w:rsidR="000C62E4">
              <w:rPr>
                <w:rFonts w:eastAsia="Times New Roman" w:cs="Calibri"/>
                <w:color w:val="000000"/>
              </w:rPr>
              <w:t xml:space="preserve">, </w:t>
            </w:r>
            <w:r>
              <w:rPr>
                <w:rFonts w:eastAsia="Times New Roman" w:cs="Calibri"/>
                <w:color w:val="000000"/>
              </w:rPr>
              <w:t>Escalating</w:t>
            </w:r>
            <w:r w:rsidR="000C62E4">
              <w:rPr>
                <w:rFonts w:eastAsia="Times New Roman" w:cs="Calibri"/>
                <w:color w:val="000000"/>
              </w:rPr>
              <w:t xml:space="preserve"> flows</w:t>
            </w:r>
          </w:p>
        </w:tc>
      </w:tr>
      <w:tr w:rsidR="000C62E4" w14:paraId="0145181E"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44E9F686" w14:textId="77777777" w:rsidR="000C62E4" w:rsidRDefault="000C62E4">
            <w:pPr>
              <w:spacing w:after="0"/>
              <w:rPr>
                <w:rFonts w:eastAsia="Times New Roman" w:cs="Calibri"/>
                <w:color w:val="000000"/>
              </w:rPr>
            </w:pPr>
            <w:r>
              <w:rPr>
                <w:rFonts w:eastAsia="Times New Roman" w:cs="Calibri"/>
                <w:color w:val="000000"/>
              </w:rPr>
              <w:t>Risk Perception based on:</w:t>
            </w:r>
          </w:p>
        </w:tc>
        <w:tc>
          <w:tcPr>
            <w:tcW w:w="1809" w:type="pct"/>
            <w:hideMark/>
          </w:tcPr>
          <w:p w14:paraId="5EA34E04"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Overdoses</w:t>
            </w:r>
          </w:p>
        </w:tc>
        <w:tc>
          <w:tcPr>
            <w:tcW w:w="1809" w:type="pct"/>
            <w:hideMark/>
          </w:tcPr>
          <w:p w14:paraId="39F4D967"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OD deaths and non-fatal ODs</w:t>
            </w:r>
          </w:p>
        </w:tc>
      </w:tr>
      <w:tr w:rsidR="000C62E4" w14:paraId="74616089"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52BAE641" w14:textId="77777777" w:rsidR="000C62E4" w:rsidRDefault="000C62E4">
            <w:pPr>
              <w:spacing w:after="0"/>
              <w:rPr>
                <w:rFonts w:eastAsia="Times New Roman" w:cs="Calibri"/>
                <w:color w:val="000000"/>
              </w:rPr>
            </w:pPr>
            <w:r>
              <w:rPr>
                <w:rFonts w:eastAsia="Times New Roman" w:cs="Calibri"/>
                <w:color w:val="000000"/>
              </w:rPr>
              <w:lastRenderedPageBreak/>
              <w:t>Risk Perception effects on:</w:t>
            </w:r>
          </w:p>
        </w:tc>
        <w:tc>
          <w:tcPr>
            <w:tcW w:w="1809" w:type="pct"/>
            <w:hideMark/>
          </w:tcPr>
          <w:p w14:paraId="67201DA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flows, Quitting flows</w:t>
            </w:r>
          </w:p>
        </w:tc>
        <w:tc>
          <w:tcPr>
            <w:tcW w:w="1809" w:type="pct"/>
            <w:hideMark/>
          </w:tcPr>
          <w:p w14:paraId="561EBDBA"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flows, Quitting flows</w:t>
            </w:r>
          </w:p>
        </w:tc>
      </w:tr>
      <w:tr w:rsidR="000C62E4" w14:paraId="749F4715"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56C14B0C" w14:textId="77777777" w:rsidR="000C62E4" w:rsidRDefault="000C62E4">
            <w:pPr>
              <w:spacing w:after="0"/>
              <w:rPr>
                <w:rFonts w:eastAsia="Times New Roman" w:cs="Calibri"/>
                <w:color w:val="000000"/>
              </w:rPr>
            </w:pPr>
            <w:r>
              <w:rPr>
                <w:rFonts w:eastAsia="Times New Roman" w:cs="Calibri"/>
                <w:color w:val="000000"/>
              </w:rPr>
              <w:t>Street Supply based on:</w:t>
            </w:r>
          </w:p>
        </w:tc>
        <w:tc>
          <w:tcPr>
            <w:tcW w:w="1809" w:type="pct"/>
            <w:hideMark/>
          </w:tcPr>
          <w:p w14:paraId="5068FF1F"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Endogenous diversion fraction, Prescriptions and MMEs/prescription</w:t>
            </w:r>
          </w:p>
        </w:tc>
        <w:tc>
          <w:tcPr>
            <w:tcW w:w="1809" w:type="pct"/>
            <w:hideMark/>
          </w:tcPr>
          <w:p w14:paraId="67103A7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Prescriptions and MMEs/prescription</w:t>
            </w:r>
          </w:p>
        </w:tc>
      </w:tr>
      <w:tr w:rsidR="000C62E4" w14:paraId="2E62639A"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1D76F3C2" w14:textId="77777777" w:rsidR="000C62E4" w:rsidRDefault="000C62E4">
            <w:pPr>
              <w:spacing w:after="0"/>
              <w:rPr>
                <w:rFonts w:eastAsia="Times New Roman" w:cs="Calibri"/>
                <w:color w:val="000000"/>
              </w:rPr>
            </w:pPr>
            <w:r>
              <w:rPr>
                <w:rFonts w:eastAsia="Times New Roman" w:cs="Calibri"/>
                <w:color w:val="000000"/>
              </w:rPr>
              <w:t>Street Supply effects on:</w:t>
            </w:r>
          </w:p>
        </w:tc>
        <w:tc>
          <w:tcPr>
            <w:tcW w:w="1809" w:type="pct"/>
            <w:hideMark/>
          </w:tcPr>
          <w:p w14:paraId="7772082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Initiation, Escalation, Addiction, Quitting Flows</w:t>
            </w:r>
          </w:p>
        </w:tc>
        <w:tc>
          <w:tcPr>
            <w:tcW w:w="1809" w:type="pct"/>
            <w:hideMark/>
          </w:tcPr>
          <w:p w14:paraId="6CAFC696"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and quitting misuse, escalating to OUD</w:t>
            </w:r>
          </w:p>
        </w:tc>
      </w:tr>
      <w:tr w:rsidR="000C62E4" w14:paraId="769E8120"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0F93CF35" w14:textId="77777777" w:rsidR="000C62E4" w:rsidRDefault="000C62E4">
            <w:pPr>
              <w:spacing w:after="0"/>
              <w:rPr>
                <w:rFonts w:eastAsia="Times New Roman" w:cs="Calibri"/>
                <w:color w:val="000000"/>
              </w:rPr>
            </w:pPr>
            <w:r>
              <w:rPr>
                <w:rFonts w:eastAsia="Times New Roman" w:cs="Calibri"/>
                <w:color w:val="000000"/>
              </w:rPr>
              <w:t>Heroin Price based on</w:t>
            </w:r>
          </w:p>
        </w:tc>
        <w:tc>
          <w:tcPr>
            <w:tcW w:w="1809" w:type="pct"/>
            <w:hideMark/>
          </w:tcPr>
          <w:p w14:paraId="3480E9F0"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 of heroin price</w:t>
            </w:r>
          </w:p>
        </w:tc>
        <w:tc>
          <w:tcPr>
            <w:tcW w:w="1809" w:type="pct"/>
            <w:hideMark/>
          </w:tcPr>
          <w:p w14:paraId="509B732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 of heroin price</w:t>
            </w:r>
          </w:p>
        </w:tc>
      </w:tr>
      <w:tr w:rsidR="000C62E4" w14:paraId="56CFD914"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39CCAB87" w14:textId="77777777" w:rsidR="000C62E4" w:rsidRDefault="000C62E4">
            <w:pPr>
              <w:spacing w:after="0"/>
              <w:rPr>
                <w:rFonts w:eastAsia="Times New Roman" w:cs="Calibri"/>
                <w:color w:val="000000"/>
              </w:rPr>
            </w:pPr>
            <w:r>
              <w:rPr>
                <w:rFonts w:eastAsia="Times New Roman" w:cs="Calibri"/>
                <w:color w:val="000000"/>
              </w:rPr>
              <w:t>Heroin Price effects on:</w:t>
            </w:r>
          </w:p>
        </w:tc>
        <w:tc>
          <w:tcPr>
            <w:tcW w:w="1809" w:type="pct"/>
            <w:hideMark/>
          </w:tcPr>
          <w:p w14:paraId="7BDD1A1A"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Escalating to heroin</w:t>
            </w:r>
          </w:p>
        </w:tc>
        <w:tc>
          <w:tcPr>
            <w:tcW w:w="1809" w:type="pct"/>
            <w:hideMark/>
          </w:tcPr>
          <w:p w14:paraId="6C3F6342" w14:textId="072F2092"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xml:space="preserve">Initiating and quitting heroin, </w:t>
            </w:r>
            <w:r w:rsidR="00382AEE">
              <w:rPr>
                <w:rFonts w:eastAsia="Times New Roman" w:cs="Calibri"/>
                <w:color w:val="000000"/>
              </w:rPr>
              <w:t>escalating</w:t>
            </w:r>
            <w:r>
              <w:rPr>
                <w:rFonts w:eastAsia="Times New Roman" w:cs="Calibri"/>
                <w:color w:val="000000"/>
              </w:rPr>
              <w:t xml:space="preserve"> to HUD,</w:t>
            </w:r>
          </w:p>
        </w:tc>
      </w:tr>
      <w:tr w:rsidR="000C62E4" w14:paraId="37B042DE"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7EC7C913" w14:textId="77777777" w:rsidR="000C62E4" w:rsidRDefault="000C62E4">
            <w:pPr>
              <w:spacing w:after="0"/>
              <w:rPr>
                <w:rFonts w:eastAsia="Times New Roman" w:cs="Calibri"/>
                <w:color w:val="000000"/>
              </w:rPr>
            </w:pPr>
            <w:r>
              <w:rPr>
                <w:rFonts w:eastAsia="Times New Roman" w:cs="Calibri"/>
                <w:color w:val="000000"/>
              </w:rPr>
              <w:t>Rx vs Heroin price based on:</w:t>
            </w:r>
          </w:p>
        </w:tc>
        <w:tc>
          <w:tcPr>
            <w:tcW w:w="1809" w:type="pct"/>
            <w:hideMark/>
          </w:tcPr>
          <w:p w14:paraId="5179E4EC"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series of heroin price per mg</w:t>
            </w:r>
          </w:p>
        </w:tc>
        <w:tc>
          <w:tcPr>
            <w:tcW w:w="1809" w:type="pct"/>
            <w:hideMark/>
          </w:tcPr>
          <w:p w14:paraId="4C5017DC"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Endogenous Rx price compared to exogenous heroin price</w:t>
            </w:r>
          </w:p>
        </w:tc>
      </w:tr>
      <w:tr w:rsidR="000C62E4" w14:paraId="5E638A9C"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0002005D" w14:textId="77777777" w:rsidR="000C62E4" w:rsidRDefault="000C62E4">
            <w:pPr>
              <w:spacing w:after="0"/>
              <w:rPr>
                <w:rFonts w:eastAsia="Times New Roman" w:cs="Calibri"/>
                <w:color w:val="000000"/>
              </w:rPr>
            </w:pPr>
            <w:r>
              <w:rPr>
                <w:rFonts w:eastAsia="Times New Roman" w:cs="Calibri"/>
                <w:color w:val="000000"/>
              </w:rPr>
              <w:t>Rx vs Heroin price effects on:</w:t>
            </w:r>
          </w:p>
        </w:tc>
        <w:tc>
          <w:tcPr>
            <w:tcW w:w="1809" w:type="pct"/>
            <w:hideMark/>
          </w:tcPr>
          <w:p w14:paraId="67D4AEB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Escalating to heroin</w:t>
            </w:r>
          </w:p>
        </w:tc>
        <w:tc>
          <w:tcPr>
            <w:tcW w:w="1809" w:type="pct"/>
            <w:hideMark/>
          </w:tcPr>
          <w:p w14:paraId="653FDF3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heroin with Rx OUD, initiating NDHU with Rx, developing HUD with Rx OUD</w:t>
            </w:r>
          </w:p>
        </w:tc>
      </w:tr>
      <w:tr w:rsidR="000C62E4" w14:paraId="23AEE4B0"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2BC97B02" w14:textId="77777777" w:rsidR="000C62E4" w:rsidRDefault="000C62E4">
            <w:pPr>
              <w:spacing w:after="0"/>
              <w:rPr>
                <w:rFonts w:eastAsia="Times New Roman" w:cs="Calibri"/>
                <w:color w:val="000000"/>
              </w:rPr>
            </w:pPr>
            <w:r>
              <w:rPr>
                <w:rFonts w:eastAsia="Times New Roman" w:cs="Calibri"/>
                <w:color w:val="000000"/>
              </w:rPr>
              <w:t>MAT based on:</w:t>
            </w:r>
          </w:p>
        </w:tc>
        <w:tc>
          <w:tcPr>
            <w:tcW w:w="1809" w:type="pct"/>
            <w:hideMark/>
          </w:tcPr>
          <w:p w14:paraId="6B80CAA0"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 of treatments</w:t>
            </w:r>
          </w:p>
        </w:tc>
        <w:tc>
          <w:tcPr>
            <w:tcW w:w="1809" w:type="pct"/>
            <w:hideMark/>
          </w:tcPr>
          <w:p w14:paraId="46EA403B"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Endogenous flows from user stocks, explicit treatment capacities</w:t>
            </w:r>
          </w:p>
        </w:tc>
      </w:tr>
      <w:tr w:rsidR="000C62E4" w14:paraId="276D1CDB"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0787F1D5" w14:textId="77777777" w:rsidR="000C62E4" w:rsidRDefault="000C62E4">
            <w:pPr>
              <w:spacing w:after="0"/>
              <w:rPr>
                <w:rFonts w:eastAsia="Times New Roman" w:cs="Calibri"/>
                <w:color w:val="000000"/>
              </w:rPr>
            </w:pPr>
            <w:r>
              <w:rPr>
                <w:rFonts w:eastAsia="Times New Roman" w:cs="Calibri"/>
                <w:color w:val="000000"/>
              </w:rPr>
              <w:t>MAT Effect on:</w:t>
            </w:r>
          </w:p>
        </w:tc>
        <w:tc>
          <w:tcPr>
            <w:tcW w:w="1809" w:type="pct"/>
            <w:hideMark/>
          </w:tcPr>
          <w:p w14:paraId="05552D35"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Quitting, Freq of use, Risk of OD</w:t>
            </w:r>
          </w:p>
        </w:tc>
        <w:tc>
          <w:tcPr>
            <w:tcW w:w="1809" w:type="pct"/>
            <w:hideMark/>
          </w:tcPr>
          <w:p w14:paraId="2FB3FFE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xml:space="preserve">Entering remission, Exiting treatment to OUD </w:t>
            </w:r>
          </w:p>
        </w:tc>
      </w:tr>
      <w:tr w:rsidR="00C2252D" w14:paraId="3DD76AC6" w14:textId="77777777" w:rsidTr="008A71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BFBFBF" w:themeColor="background1" w:themeShade="BF"/>
            </w:tcBorders>
            <w:shd w:val="clear" w:color="auto" w:fill="243646" w:themeFill="accent2"/>
            <w:vAlign w:val="center"/>
            <w:hideMark/>
          </w:tcPr>
          <w:p w14:paraId="503B98CD" w14:textId="61FA7ACD" w:rsidR="00C2252D" w:rsidRPr="00C32FCE" w:rsidRDefault="00C2252D" w:rsidP="00942977">
            <w:pPr>
              <w:spacing w:after="0"/>
              <w:jc w:val="center"/>
              <w:rPr>
                <w:rFonts w:eastAsia="Times New Roman" w:cs="Calibri"/>
                <w:color w:val="FFFFFF" w:themeColor="background1"/>
              </w:rPr>
            </w:pPr>
            <w:r w:rsidRPr="00C32FCE">
              <w:rPr>
                <w:rFonts w:eastAsia="Times New Roman" w:cs="Calibri"/>
                <w:color w:val="FFFFFF" w:themeColor="background1"/>
              </w:rPr>
              <w:t>Supply of Opioids</w:t>
            </w:r>
          </w:p>
          <w:p w14:paraId="69DC272A" w14:textId="178426AF" w:rsidR="00C2252D" w:rsidRPr="00942977" w:rsidRDefault="00C2252D" w:rsidP="00C2252D">
            <w:pPr>
              <w:spacing w:after="0"/>
              <w:jc w:val="center"/>
              <w:rPr>
                <w:rFonts w:eastAsia="Times New Roman" w:cs="Calibri"/>
                <w:color w:val="000000"/>
              </w:rPr>
            </w:pPr>
          </w:p>
        </w:tc>
      </w:tr>
      <w:tr w:rsidR="000C62E4" w14:paraId="5DA24178" w14:textId="77777777" w:rsidTr="008A7120">
        <w:trPr>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0C27F2B8" w14:textId="77777777" w:rsidR="000C62E4" w:rsidRDefault="000C62E4">
            <w:pPr>
              <w:spacing w:after="0"/>
              <w:rPr>
                <w:rFonts w:eastAsia="Times New Roman" w:cs="Calibri"/>
                <w:color w:val="000000"/>
              </w:rPr>
            </w:pPr>
            <w:r>
              <w:rPr>
                <w:rFonts w:eastAsia="Times New Roman" w:cs="Calibri"/>
                <w:color w:val="000000"/>
              </w:rPr>
              <w:t>Medical users modeled based on PO scripts</w:t>
            </w:r>
          </w:p>
        </w:tc>
        <w:tc>
          <w:tcPr>
            <w:tcW w:w="1809" w:type="pct"/>
            <w:tcBorders>
              <w:bottom w:val="single" w:sz="4" w:space="0" w:color="auto"/>
            </w:tcBorders>
            <w:hideMark/>
          </w:tcPr>
          <w:p w14:paraId="73972693"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bottom w:val="single" w:sz="4" w:space="0" w:color="auto"/>
            </w:tcBorders>
            <w:hideMark/>
          </w:tcPr>
          <w:p w14:paraId="08AFDC4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r>
      <w:tr w:rsidR="000C62E4" w14:paraId="3EE9CC2D" w14:textId="77777777" w:rsidTr="008A712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34B682D8" w14:textId="6219D9C3" w:rsidR="000C62E4" w:rsidRDefault="000C62E4">
            <w:pPr>
              <w:spacing w:after="0"/>
              <w:rPr>
                <w:rFonts w:eastAsia="Times New Roman" w:cs="Calibri"/>
                <w:color w:val="000000"/>
              </w:rPr>
            </w:pPr>
            <w:r>
              <w:rPr>
                <w:rFonts w:eastAsia="Times New Roman" w:cs="Calibri"/>
                <w:color w:val="000000"/>
              </w:rPr>
              <w:t>PO Scripts based on ex</w:t>
            </w:r>
            <w:r w:rsidR="008A7120">
              <w:rPr>
                <w:rFonts w:eastAsia="Times New Roman" w:cs="Calibri"/>
                <w:color w:val="000000"/>
              </w:rPr>
              <w:t>o</w:t>
            </w:r>
            <w:r>
              <w:rPr>
                <w:rFonts w:eastAsia="Times New Roman" w:cs="Calibri"/>
                <w:color w:val="000000"/>
              </w:rPr>
              <w:t>genous time series</w:t>
            </w:r>
          </w:p>
        </w:tc>
        <w:tc>
          <w:tcPr>
            <w:tcW w:w="1809" w:type="pct"/>
            <w:tcBorders>
              <w:top w:val="single" w:sz="4" w:space="0" w:color="auto"/>
              <w:bottom w:val="single" w:sz="4" w:space="0" w:color="auto"/>
            </w:tcBorders>
            <w:hideMark/>
          </w:tcPr>
          <w:p w14:paraId="58C661AC"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top w:val="single" w:sz="4" w:space="0" w:color="auto"/>
              <w:bottom w:val="single" w:sz="4" w:space="0" w:color="auto"/>
            </w:tcBorders>
            <w:hideMark/>
          </w:tcPr>
          <w:p w14:paraId="4D9DEF1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Yes</w:t>
            </w:r>
          </w:p>
        </w:tc>
      </w:tr>
      <w:tr w:rsidR="000C62E4" w14:paraId="2F20BFAC" w14:textId="77777777" w:rsidTr="008A7120">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2A4AA221" w14:textId="77777777" w:rsidR="000C62E4" w:rsidRDefault="000C62E4">
            <w:pPr>
              <w:spacing w:after="0"/>
              <w:rPr>
                <w:rFonts w:eastAsia="Times New Roman" w:cs="Calibri"/>
                <w:color w:val="000000"/>
              </w:rPr>
            </w:pPr>
            <w:r>
              <w:rPr>
                <w:rFonts w:eastAsia="Times New Roman" w:cs="Calibri"/>
                <w:color w:val="000000"/>
              </w:rPr>
              <w:t>Aggregates opioids to MME</w:t>
            </w:r>
          </w:p>
        </w:tc>
        <w:tc>
          <w:tcPr>
            <w:tcW w:w="1809" w:type="pct"/>
            <w:tcBorders>
              <w:top w:val="single" w:sz="4" w:space="0" w:color="auto"/>
              <w:bottom w:val="single" w:sz="4" w:space="0" w:color="auto"/>
            </w:tcBorders>
            <w:hideMark/>
          </w:tcPr>
          <w:p w14:paraId="0C3AA648"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top w:val="single" w:sz="4" w:space="0" w:color="auto"/>
              <w:bottom w:val="single" w:sz="4" w:space="0" w:color="auto"/>
            </w:tcBorders>
            <w:hideMark/>
          </w:tcPr>
          <w:p w14:paraId="4109C6E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r>
      <w:tr w:rsidR="000C62E4" w14:paraId="7DE9FADF" w14:textId="77777777" w:rsidTr="008A71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1665F9F6" w14:textId="77777777" w:rsidR="000C62E4" w:rsidRDefault="000C62E4">
            <w:pPr>
              <w:spacing w:after="0"/>
              <w:rPr>
                <w:rFonts w:eastAsia="Times New Roman" w:cs="Calibri"/>
                <w:color w:val="000000"/>
              </w:rPr>
            </w:pPr>
            <w:r>
              <w:rPr>
                <w:rFonts w:eastAsia="Times New Roman" w:cs="Calibri"/>
                <w:color w:val="000000"/>
              </w:rPr>
              <w:t>Average dose strength</w:t>
            </w:r>
          </w:p>
        </w:tc>
        <w:tc>
          <w:tcPr>
            <w:tcW w:w="1809" w:type="pct"/>
            <w:tcBorders>
              <w:top w:val="single" w:sz="4" w:space="0" w:color="auto"/>
              <w:bottom w:val="single" w:sz="4" w:space="0" w:color="auto"/>
            </w:tcBorders>
            <w:hideMark/>
          </w:tcPr>
          <w:p w14:paraId="613308FD"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c>
          <w:tcPr>
            <w:tcW w:w="1809" w:type="pct"/>
            <w:tcBorders>
              <w:top w:val="single" w:sz="4" w:space="0" w:color="auto"/>
              <w:bottom w:val="single" w:sz="4" w:space="0" w:color="auto"/>
            </w:tcBorders>
            <w:hideMark/>
          </w:tcPr>
          <w:p w14:paraId="7DECBBB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r>
      <w:tr w:rsidR="000C62E4" w14:paraId="6AC05B11" w14:textId="77777777" w:rsidTr="008A7120">
        <w:trPr>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144A416A" w14:textId="77777777" w:rsidR="000C62E4" w:rsidRDefault="000C62E4">
            <w:pPr>
              <w:spacing w:after="0"/>
              <w:rPr>
                <w:rFonts w:eastAsia="Times New Roman" w:cs="Calibri"/>
                <w:color w:val="000000"/>
              </w:rPr>
            </w:pPr>
            <w:r>
              <w:rPr>
                <w:rFonts w:eastAsia="Times New Roman" w:cs="Calibri"/>
                <w:color w:val="000000"/>
              </w:rPr>
              <w:t>Supply on street</w:t>
            </w:r>
          </w:p>
        </w:tc>
        <w:tc>
          <w:tcPr>
            <w:tcW w:w="1809" w:type="pct"/>
            <w:tcBorders>
              <w:top w:val="single" w:sz="4" w:space="0" w:color="auto"/>
              <w:bottom w:val="single" w:sz="4" w:space="0" w:color="auto"/>
            </w:tcBorders>
            <w:hideMark/>
          </w:tcPr>
          <w:p w14:paraId="7FBC317B"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All PO on street, Fent on street</w:t>
            </w:r>
          </w:p>
        </w:tc>
        <w:tc>
          <w:tcPr>
            <w:tcW w:w="1809" w:type="pct"/>
            <w:tcBorders>
              <w:top w:val="single" w:sz="4" w:space="0" w:color="auto"/>
              <w:bottom w:val="single" w:sz="4" w:space="0" w:color="auto"/>
            </w:tcBorders>
            <w:hideMark/>
          </w:tcPr>
          <w:p w14:paraId="71C341CD"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Calculated from several exogenous time series</w:t>
            </w:r>
          </w:p>
        </w:tc>
      </w:tr>
      <w:tr w:rsidR="000C62E4" w14:paraId="4E817E86" w14:textId="77777777" w:rsidTr="008A71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70729648" w14:textId="77777777" w:rsidR="000C62E4" w:rsidRDefault="000C62E4">
            <w:pPr>
              <w:spacing w:after="0"/>
              <w:rPr>
                <w:rFonts w:eastAsia="Times New Roman" w:cs="Calibri"/>
                <w:color w:val="000000"/>
              </w:rPr>
            </w:pPr>
            <w:r>
              <w:rPr>
                <w:rFonts w:eastAsia="Times New Roman" w:cs="Calibri"/>
                <w:color w:val="000000"/>
              </w:rPr>
              <w:t>Relative availability</w:t>
            </w:r>
          </w:p>
        </w:tc>
        <w:tc>
          <w:tcPr>
            <w:tcW w:w="1809" w:type="pct"/>
            <w:tcBorders>
              <w:top w:val="single" w:sz="4" w:space="0" w:color="auto"/>
              <w:bottom w:val="single" w:sz="4" w:space="0" w:color="auto"/>
            </w:tcBorders>
            <w:hideMark/>
          </w:tcPr>
          <w:p w14:paraId="76FC32B4"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Ratio of combined stock to demand</w:t>
            </w:r>
          </w:p>
        </w:tc>
        <w:tc>
          <w:tcPr>
            <w:tcW w:w="1809" w:type="pct"/>
            <w:tcBorders>
              <w:top w:val="single" w:sz="4" w:space="0" w:color="auto"/>
              <w:bottom w:val="single" w:sz="4" w:space="0" w:color="auto"/>
            </w:tcBorders>
            <w:hideMark/>
          </w:tcPr>
          <w:p w14:paraId="4432089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Ratio of calculated supply to demand</w:t>
            </w:r>
          </w:p>
        </w:tc>
      </w:tr>
      <w:tr w:rsidR="000C62E4" w14:paraId="520D49C6" w14:textId="77777777" w:rsidTr="008A7120">
        <w:trPr>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58DFAE73" w14:textId="717B38B7" w:rsidR="000C62E4" w:rsidRDefault="000C62E4">
            <w:pPr>
              <w:spacing w:after="0"/>
              <w:rPr>
                <w:rFonts w:eastAsia="Times New Roman" w:cs="Calibri"/>
                <w:color w:val="000000"/>
              </w:rPr>
            </w:pPr>
            <w:r>
              <w:rPr>
                <w:rFonts w:eastAsia="Times New Roman" w:cs="Calibri"/>
                <w:color w:val="000000"/>
              </w:rPr>
              <w:t xml:space="preserve">Feedback from </w:t>
            </w:r>
            <w:r w:rsidR="00C32FCE">
              <w:rPr>
                <w:rFonts w:eastAsia="Times New Roman" w:cs="Calibri"/>
                <w:color w:val="000000"/>
              </w:rPr>
              <w:t>availability</w:t>
            </w:r>
            <w:r>
              <w:rPr>
                <w:rFonts w:eastAsia="Times New Roman" w:cs="Calibri"/>
                <w:color w:val="000000"/>
              </w:rPr>
              <w:t>/price of POs</w:t>
            </w:r>
          </w:p>
        </w:tc>
        <w:tc>
          <w:tcPr>
            <w:tcW w:w="1809" w:type="pct"/>
            <w:tcBorders>
              <w:top w:val="single" w:sz="4" w:space="0" w:color="auto"/>
              <w:bottom w:val="single" w:sz="4" w:space="0" w:color="auto"/>
            </w:tcBorders>
            <w:hideMark/>
          </w:tcPr>
          <w:p w14:paraId="18344E7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On diversion (supply), On demand</w:t>
            </w:r>
          </w:p>
        </w:tc>
        <w:tc>
          <w:tcPr>
            <w:tcW w:w="1809" w:type="pct"/>
            <w:tcBorders>
              <w:top w:val="single" w:sz="4" w:space="0" w:color="auto"/>
              <w:bottom w:val="single" w:sz="4" w:space="0" w:color="auto"/>
            </w:tcBorders>
            <w:hideMark/>
          </w:tcPr>
          <w:p w14:paraId="29B2F928"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No</w:t>
            </w:r>
          </w:p>
        </w:tc>
      </w:tr>
      <w:tr w:rsidR="000C62E4" w14:paraId="7C89508B" w14:textId="77777777" w:rsidTr="008A712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62D40D64" w14:textId="77777777" w:rsidR="000C62E4" w:rsidRDefault="000C62E4">
            <w:pPr>
              <w:spacing w:after="0"/>
              <w:rPr>
                <w:rFonts w:eastAsia="Times New Roman" w:cs="Calibri"/>
                <w:color w:val="000000"/>
              </w:rPr>
            </w:pPr>
            <w:r>
              <w:rPr>
                <w:rFonts w:eastAsia="Times New Roman" w:cs="Calibri"/>
                <w:color w:val="000000"/>
              </w:rPr>
              <w:t>Disruptions/interventions</w:t>
            </w:r>
          </w:p>
        </w:tc>
        <w:tc>
          <w:tcPr>
            <w:tcW w:w="1809" w:type="pct"/>
            <w:tcBorders>
              <w:top w:val="single" w:sz="4" w:space="0" w:color="auto"/>
              <w:bottom w:val="single" w:sz="4" w:space="0" w:color="auto"/>
            </w:tcBorders>
            <w:hideMark/>
          </w:tcPr>
          <w:p w14:paraId="7C1294B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Diversion control reduces flow of new supply</w:t>
            </w:r>
          </w:p>
        </w:tc>
        <w:tc>
          <w:tcPr>
            <w:tcW w:w="1809" w:type="pct"/>
            <w:tcBorders>
              <w:top w:val="single" w:sz="4" w:space="0" w:color="auto"/>
              <w:bottom w:val="single" w:sz="4" w:space="0" w:color="auto"/>
            </w:tcBorders>
            <w:hideMark/>
          </w:tcPr>
          <w:p w14:paraId="6FDFECB8"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Temporary disruptions modeled as stock and does not match documented magnitude</w:t>
            </w:r>
          </w:p>
        </w:tc>
      </w:tr>
      <w:tr w:rsidR="000C62E4" w14:paraId="08DF38F9" w14:textId="77777777" w:rsidTr="008A7120">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tcBorders>
            <w:hideMark/>
          </w:tcPr>
          <w:p w14:paraId="3AE3CE85" w14:textId="77777777" w:rsidR="000C62E4" w:rsidRDefault="000C62E4">
            <w:pPr>
              <w:spacing w:after="0"/>
              <w:rPr>
                <w:rFonts w:eastAsia="Times New Roman" w:cs="Calibri"/>
                <w:color w:val="000000"/>
              </w:rPr>
            </w:pPr>
            <w:r>
              <w:rPr>
                <w:rFonts w:eastAsia="Times New Roman" w:cs="Calibri"/>
                <w:color w:val="000000"/>
              </w:rPr>
              <w:t>Tamper-resistant pills</w:t>
            </w:r>
          </w:p>
        </w:tc>
        <w:tc>
          <w:tcPr>
            <w:tcW w:w="1809" w:type="pct"/>
            <w:tcBorders>
              <w:top w:val="single" w:sz="4" w:space="0" w:color="auto"/>
            </w:tcBorders>
            <w:hideMark/>
          </w:tcPr>
          <w:p w14:paraId="50769F0E"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Implicit, as supply disruption</w:t>
            </w:r>
          </w:p>
        </w:tc>
        <w:tc>
          <w:tcPr>
            <w:tcW w:w="1809" w:type="pct"/>
            <w:tcBorders>
              <w:top w:val="single" w:sz="4" w:space="0" w:color="auto"/>
            </w:tcBorders>
            <w:hideMark/>
          </w:tcPr>
          <w:p w14:paraId="71C0B4A6"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Explicit representation of ADFs</w:t>
            </w:r>
          </w:p>
        </w:tc>
      </w:tr>
      <w:tr w:rsidR="00942977" w14:paraId="208F21D0" w14:textId="77777777" w:rsidTr="004E70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BFBFBF" w:themeColor="background1" w:themeShade="BF"/>
            </w:tcBorders>
            <w:shd w:val="clear" w:color="auto" w:fill="243646" w:themeFill="accent2"/>
            <w:vAlign w:val="center"/>
            <w:hideMark/>
          </w:tcPr>
          <w:p w14:paraId="529E5E29" w14:textId="6406A8A9" w:rsidR="00942977" w:rsidRPr="00C32FCE" w:rsidRDefault="00942977" w:rsidP="00942977">
            <w:pPr>
              <w:spacing w:after="0"/>
              <w:jc w:val="center"/>
              <w:rPr>
                <w:rFonts w:eastAsia="Times New Roman" w:cs="Calibri"/>
                <w:color w:val="FFFFFF" w:themeColor="background1"/>
              </w:rPr>
            </w:pPr>
            <w:r w:rsidRPr="00C32FCE">
              <w:rPr>
                <w:rFonts w:eastAsia="Times New Roman" w:cs="Calibri"/>
                <w:color w:val="FFFFFF" w:themeColor="background1"/>
              </w:rPr>
              <w:t>Overdoses and Deaths</w:t>
            </w:r>
          </w:p>
        </w:tc>
      </w:tr>
      <w:tr w:rsidR="000C62E4" w14:paraId="5FF820CA" w14:textId="77777777" w:rsidTr="004E704B">
        <w:trPr>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2E10F704" w14:textId="77777777" w:rsidR="000C62E4" w:rsidRDefault="000C62E4">
            <w:pPr>
              <w:spacing w:after="0"/>
              <w:rPr>
                <w:rFonts w:eastAsia="Times New Roman" w:cs="Calibri"/>
                <w:color w:val="000000"/>
              </w:rPr>
            </w:pPr>
            <w:r>
              <w:rPr>
                <w:rFonts w:eastAsia="Times New Roman" w:cs="Calibri"/>
                <w:color w:val="000000"/>
              </w:rPr>
              <w:t>Non-oral risk of OD</w:t>
            </w:r>
          </w:p>
        </w:tc>
        <w:tc>
          <w:tcPr>
            <w:tcW w:w="1809" w:type="pct"/>
            <w:tcBorders>
              <w:bottom w:val="single" w:sz="4" w:space="0" w:color="auto"/>
            </w:tcBorders>
            <w:hideMark/>
          </w:tcPr>
          <w:p w14:paraId="5BE10EBF"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Explicit and separate, Relative to risk for oral user</w:t>
            </w:r>
          </w:p>
        </w:tc>
        <w:tc>
          <w:tcPr>
            <w:tcW w:w="1809" w:type="pct"/>
            <w:tcBorders>
              <w:bottom w:val="single" w:sz="4" w:space="0" w:color="auto"/>
            </w:tcBorders>
            <w:hideMark/>
          </w:tcPr>
          <w:p w14:paraId="63FF9B5D"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Not explicit</w:t>
            </w:r>
          </w:p>
        </w:tc>
      </w:tr>
      <w:tr w:rsidR="000C62E4" w14:paraId="02447C8C"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4D0ED5B3" w14:textId="77777777" w:rsidR="000C62E4" w:rsidRDefault="000C62E4">
            <w:pPr>
              <w:spacing w:after="0"/>
              <w:rPr>
                <w:rFonts w:eastAsia="Times New Roman" w:cs="Calibri"/>
                <w:color w:val="000000"/>
              </w:rPr>
            </w:pPr>
            <w:r>
              <w:rPr>
                <w:rFonts w:eastAsia="Times New Roman" w:cs="Calibri"/>
                <w:color w:val="000000"/>
              </w:rPr>
              <w:t>Risk modification for fentanyl</w:t>
            </w:r>
          </w:p>
        </w:tc>
        <w:tc>
          <w:tcPr>
            <w:tcW w:w="1809" w:type="pct"/>
            <w:tcBorders>
              <w:top w:val="single" w:sz="4" w:space="0" w:color="auto"/>
              <w:bottom w:val="single" w:sz="4" w:space="0" w:color="auto"/>
            </w:tcBorders>
            <w:hideMark/>
          </w:tcPr>
          <w:p w14:paraId="4D29189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Pills endogenous, powder exogenous</w:t>
            </w:r>
          </w:p>
        </w:tc>
        <w:tc>
          <w:tcPr>
            <w:tcW w:w="1809" w:type="pct"/>
            <w:tcBorders>
              <w:top w:val="single" w:sz="4" w:space="0" w:color="auto"/>
              <w:bottom w:val="single" w:sz="4" w:space="0" w:color="auto"/>
            </w:tcBorders>
            <w:hideMark/>
          </w:tcPr>
          <w:p w14:paraId="3CA0DCD4" w14:textId="4775FBE4" w:rsidR="000C62E4" w:rsidRDefault="00C32FC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Fentanyl</w:t>
            </w:r>
            <w:r w:rsidR="000C62E4">
              <w:rPr>
                <w:rFonts w:eastAsia="Times New Roman" w:cs="Calibri"/>
                <w:color w:val="000000"/>
              </w:rPr>
              <w:t xml:space="preserve"> </w:t>
            </w:r>
            <w:r>
              <w:rPr>
                <w:rFonts w:eastAsia="Times New Roman" w:cs="Calibri"/>
                <w:color w:val="000000"/>
              </w:rPr>
              <w:t>penetration</w:t>
            </w:r>
            <w:r w:rsidR="000C62E4">
              <w:rPr>
                <w:rFonts w:eastAsia="Times New Roman" w:cs="Calibri"/>
                <w:color w:val="000000"/>
              </w:rPr>
              <w:t xml:space="preserve"> in heroin influences ODs and deaths</w:t>
            </w:r>
          </w:p>
        </w:tc>
      </w:tr>
      <w:tr w:rsidR="000C62E4" w14:paraId="7079914F" w14:textId="77777777" w:rsidTr="004E704B">
        <w:trPr>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186ABDEF" w14:textId="77777777" w:rsidR="000C62E4" w:rsidRDefault="000C62E4">
            <w:pPr>
              <w:spacing w:after="0"/>
              <w:rPr>
                <w:rFonts w:eastAsia="Times New Roman" w:cs="Calibri"/>
                <w:color w:val="000000"/>
              </w:rPr>
            </w:pPr>
            <w:r>
              <w:rPr>
                <w:rFonts w:eastAsia="Times New Roman" w:cs="Calibri"/>
                <w:color w:val="000000"/>
              </w:rPr>
              <w:lastRenderedPageBreak/>
              <w:t>Naloxone</w:t>
            </w:r>
          </w:p>
        </w:tc>
        <w:tc>
          <w:tcPr>
            <w:tcW w:w="1809" w:type="pct"/>
            <w:tcBorders>
              <w:top w:val="single" w:sz="4" w:space="0" w:color="auto"/>
              <w:bottom w:val="single" w:sz="4" w:space="0" w:color="auto"/>
            </w:tcBorders>
            <w:hideMark/>
          </w:tcPr>
          <w:p w14:paraId="520540B5"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Aggregated</w:t>
            </w:r>
          </w:p>
        </w:tc>
        <w:tc>
          <w:tcPr>
            <w:tcW w:w="1809" w:type="pct"/>
            <w:tcBorders>
              <w:top w:val="single" w:sz="4" w:space="0" w:color="auto"/>
              <w:bottom w:val="single" w:sz="4" w:space="0" w:color="auto"/>
            </w:tcBorders>
            <w:hideMark/>
          </w:tcPr>
          <w:p w14:paraId="2E904A2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Explicitly models LEO, EMS, and bystander use of Nx</w:t>
            </w:r>
          </w:p>
        </w:tc>
      </w:tr>
      <w:tr w:rsidR="000C62E4" w14:paraId="7D5193D4"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02C8670F" w14:textId="77777777" w:rsidR="000C62E4" w:rsidRDefault="000C62E4">
            <w:pPr>
              <w:spacing w:after="0"/>
              <w:rPr>
                <w:rFonts w:eastAsia="Times New Roman" w:cs="Calibri"/>
                <w:color w:val="000000"/>
              </w:rPr>
            </w:pPr>
            <w:r>
              <w:rPr>
                <w:rFonts w:eastAsia="Times New Roman" w:cs="Calibri"/>
                <w:color w:val="000000"/>
              </w:rPr>
              <w:t>Overdoses calculated from deaths</w:t>
            </w:r>
          </w:p>
        </w:tc>
        <w:tc>
          <w:tcPr>
            <w:tcW w:w="1809" w:type="pct"/>
            <w:tcBorders>
              <w:top w:val="single" w:sz="4" w:space="0" w:color="auto"/>
              <w:bottom w:val="single" w:sz="4" w:space="0" w:color="auto"/>
            </w:tcBorders>
            <w:hideMark/>
          </w:tcPr>
          <w:p w14:paraId="5D265887"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top w:val="single" w:sz="4" w:space="0" w:color="auto"/>
              <w:bottom w:val="single" w:sz="4" w:space="0" w:color="auto"/>
            </w:tcBorders>
            <w:hideMark/>
          </w:tcPr>
          <w:p w14:paraId="231F2816"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No, ODs and deaths calculated explicitly from user stocks</w:t>
            </w:r>
          </w:p>
        </w:tc>
      </w:tr>
      <w:tr w:rsidR="00942977" w14:paraId="584DF390" w14:textId="77777777" w:rsidTr="004E704B">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BFBFBF" w:themeColor="background1" w:themeShade="BF"/>
            </w:tcBorders>
            <w:shd w:val="clear" w:color="auto" w:fill="243646" w:themeFill="accent2"/>
            <w:vAlign w:val="center"/>
            <w:hideMark/>
          </w:tcPr>
          <w:p w14:paraId="36F73B61" w14:textId="5302B144" w:rsidR="00942977" w:rsidRPr="00C32FCE" w:rsidRDefault="00942977" w:rsidP="00942977">
            <w:pPr>
              <w:spacing w:after="0"/>
              <w:jc w:val="center"/>
              <w:rPr>
                <w:rFonts w:eastAsia="Times New Roman" w:cs="Calibri"/>
                <w:color w:val="FFFFFF" w:themeColor="background1"/>
              </w:rPr>
            </w:pPr>
            <w:r w:rsidRPr="00C32FCE">
              <w:rPr>
                <w:rFonts w:eastAsia="Times New Roman" w:cs="Calibri"/>
                <w:color w:val="FFFFFF" w:themeColor="background1"/>
              </w:rPr>
              <w:t>Heroin</w:t>
            </w:r>
          </w:p>
          <w:p w14:paraId="67EF098A" w14:textId="3013E5DD" w:rsidR="00942977" w:rsidRPr="00942977" w:rsidRDefault="00942977" w:rsidP="00942977">
            <w:pPr>
              <w:spacing w:after="0"/>
              <w:jc w:val="center"/>
              <w:rPr>
                <w:rFonts w:eastAsia="Times New Roman" w:cs="Calibri"/>
                <w:color w:val="000000"/>
              </w:rPr>
            </w:pPr>
          </w:p>
        </w:tc>
      </w:tr>
      <w:tr w:rsidR="000C62E4" w14:paraId="43064644"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4185B287" w14:textId="77777777" w:rsidR="000C62E4" w:rsidRDefault="000C62E4">
            <w:pPr>
              <w:spacing w:after="0"/>
              <w:rPr>
                <w:rFonts w:eastAsia="Times New Roman" w:cs="Calibri"/>
                <w:color w:val="000000"/>
              </w:rPr>
            </w:pPr>
            <w:r>
              <w:rPr>
                <w:rFonts w:eastAsia="Times New Roman" w:cs="Calibri"/>
                <w:color w:val="000000"/>
              </w:rPr>
              <w:t>Routes of initiation to heroin</w:t>
            </w:r>
          </w:p>
        </w:tc>
        <w:tc>
          <w:tcPr>
            <w:tcW w:w="1809" w:type="pct"/>
            <w:tcBorders>
              <w:bottom w:val="single" w:sz="4" w:space="0" w:color="auto"/>
            </w:tcBorders>
            <w:hideMark/>
          </w:tcPr>
          <w:p w14:paraId="411ECF5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NMU and not</w:t>
            </w:r>
          </w:p>
        </w:tc>
        <w:tc>
          <w:tcPr>
            <w:tcW w:w="1809" w:type="pct"/>
            <w:tcBorders>
              <w:bottom w:val="single" w:sz="4" w:space="0" w:color="auto"/>
            </w:tcBorders>
            <w:hideMark/>
          </w:tcPr>
          <w:p w14:paraId="56061952"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NMU and not</w:t>
            </w:r>
          </w:p>
        </w:tc>
      </w:tr>
      <w:tr w:rsidR="000C62E4" w14:paraId="0C2A6E4D" w14:textId="77777777" w:rsidTr="004E704B">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62C2729F" w14:textId="77777777" w:rsidR="000C62E4" w:rsidRDefault="000C62E4">
            <w:pPr>
              <w:spacing w:after="0"/>
              <w:rPr>
                <w:rFonts w:eastAsia="Times New Roman" w:cs="Calibri"/>
                <w:color w:val="000000"/>
              </w:rPr>
            </w:pPr>
            <w:r>
              <w:rPr>
                <w:rFonts w:eastAsia="Times New Roman" w:cs="Calibri"/>
                <w:color w:val="000000"/>
              </w:rPr>
              <w:t>Heroin price</w:t>
            </w:r>
          </w:p>
        </w:tc>
        <w:tc>
          <w:tcPr>
            <w:tcW w:w="1809" w:type="pct"/>
            <w:tcBorders>
              <w:top w:val="single" w:sz="4" w:space="0" w:color="auto"/>
              <w:bottom w:val="single" w:sz="4" w:space="0" w:color="auto"/>
            </w:tcBorders>
            <w:hideMark/>
          </w:tcPr>
          <w:p w14:paraId="58B42862"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c>
          <w:tcPr>
            <w:tcW w:w="1809" w:type="pct"/>
            <w:tcBorders>
              <w:top w:val="single" w:sz="4" w:space="0" w:color="auto"/>
              <w:bottom w:val="single" w:sz="4" w:space="0" w:color="auto"/>
            </w:tcBorders>
            <w:hideMark/>
          </w:tcPr>
          <w:p w14:paraId="127E23A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r>
      <w:tr w:rsidR="000C62E4" w14:paraId="55C09908"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tcBorders>
            <w:hideMark/>
          </w:tcPr>
          <w:p w14:paraId="52D62F07" w14:textId="77777777" w:rsidR="000C62E4" w:rsidRDefault="000C62E4">
            <w:pPr>
              <w:spacing w:after="0"/>
              <w:rPr>
                <w:rFonts w:eastAsia="Times New Roman" w:cs="Calibri"/>
                <w:color w:val="000000"/>
              </w:rPr>
            </w:pPr>
            <w:r>
              <w:rPr>
                <w:rFonts w:eastAsia="Times New Roman" w:cs="Calibri"/>
                <w:color w:val="000000"/>
              </w:rPr>
              <w:t>Routes of developing HUD</w:t>
            </w:r>
          </w:p>
        </w:tc>
        <w:tc>
          <w:tcPr>
            <w:tcW w:w="1809" w:type="pct"/>
            <w:tcBorders>
              <w:top w:val="single" w:sz="4" w:space="0" w:color="auto"/>
            </w:tcBorders>
            <w:hideMark/>
          </w:tcPr>
          <w:p w14:paraId="7DD6FC1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OUD, Escalation from non-OUD heroin</w:t>
            </w:r>
          </w:p>
        </w:tc>
        <w:tc>
          <w:tcPr>
            <w:tcW w:w="1809" w:type="pct"/>
            <w:tcBorders>
              <w:top w:val="single" w:sz="4" w:space="0" w:color="auto"/>
            </w:tcBorders>
            <w:hideMark/>
          </w:tcPr>
          <w:p w14:paraId="3B91719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OUD, Escalation from non-OUD heroin</w:t>
            </w:r>
          </w:p>
        </w:tc>
      </w:tr>
    </w:tbl>
    <w:p w14:paraId="6699BA69" w14:textId="77777777" w:rsidR="00FA5A23" w:rsidRDefault="00FA5A23" w:rsidP="0016326B">
      <w:pPr>
        <w:pStyle w:val="BodyText"/>
      </w:pPr>
    </w:p>
    <w:p w14:paraId="55BAB623" w14:textId="3592B85E" w:rsidR="00BB78DD" w:rsidRPr="00770188" w:rsidRDefault="00BB78DD" w:rsidP="00DF7246">
      <w:pPr>
        <w:pStyle w:val="Heading3"/>
        <w:numPr>
          <w:ilvl w:val="2"/>
          <w:numId w:val="4"/>
        </w:numPr>
      </w:pPr>
      <w:bookmarkStart w:id="97" w:name="_Toc59050087"/>
      <w:r w:rsidRPr="00770188">
        <w:t>Core Model Logic and Structure</w:t>
      </w:r>
      <w:bookmarkEnd w:id="97"/>
    </w:p>
    <w:p w14:paraId="76EA4670" w14:textId="238770E1" w:rsidR="00BB78DD" w:rsidRPr="00BB712F" w:rsidRDefault="00BB78DD" w:rsidP="00413AAF">
      <w:pPr>
        <w:pStyle w:val="ListParagraph"/>
        <w:ind w:left="0"/>
      </w:pPr>
      <w:r w:rsidRPr="00BB712F">
        <w:t>Two key elements are the core of any system dynamics model.</w:t>
      </w:r>
      <w:r w:rsidR="00C47DA5" w:rsidRPr="00BB712F">
        <w:t xml:space="preserve"> </w:t>
      </w:r>
      <w:r w:rsidRPr="00BB712F">
        <w:t>The first is the stock and flow structure, and the second is the set of interacting feedbacks that govern the rates of change of the stocks.</w:t>
      </w:r>
      <w:r w:rsidR="00C47DA5" w:rsidRPr="00BB712F">
        <w:t xml:space="preserve"> </w:t>
      </w:r>
      <w:r w:rsidRPr="00BB712F">
        <w:t>At a high level, the two models are quite similar.</w:t>
      </w:r>
      <w:r w:rsidR="00C47DA5" w:rsidRPr="00BB712F">
        <w:t xml:space="preserve"> </w:t>
      </w:r>
      <w:r w:rsidRPr="00BB712F">
        <w:t xml:space="preserve">Both disaggregate the population of opioid users and abusers in the </w:t>
      </w:r>
      <w:r w:rsidR="00305CD5">
        <w:t>U.S.</w:t>
      </w:r>
      <w:r w:rsidRPr="00BB712F">
        <w:t xml:space="preserve"> into a set of stocks that are connected by a series of flows that represent the entry to or exit from these stocks, or categories of users.</w:t>
      </w:r>
      <w:r w:rsidR="00C47DA5" w:rsidRPr="00BB712F">
        <w:t xml:space="preserve"> </w:t>
      </w:r>
      <w:r w:rsidRPr="00BB712F">
        <w:t>Both include flows such as initiating use or abuse, escalating or transitioning between categories, quitting, and dying from opioid overdoses or from other causes.</w:t>
      </w:r>
      <w:r w:rsidR="00C47DA5" w:rsidRPr="00BB712F">
        <w:t xml:space="preserve"> </w:t>
      </w:r>
      <w:r w:rsidRPr="00BB712F">
        <w:t>Both also include dozens of feedback loops, and we will focus our comparison below on the conceptually most important of these feedbacks.</w:t>
      </w:r>
    </w:p>
    <w:p w14:paraId="149D1BD8" w14:textId="6F02BE88" w:rsidR="00BB78DD" w:rsidRPr="00BB712F" w:rsidRDefault="00BB78DD" w:rsidP="00BB78DD">
      <w:r w:rsidRPr="00BB712F">
        <w:t>The HWM subdivides the population of non-medical users (NMU) of opioids into six mutually exclusive stocks that are defined by two criteria.</w:t>
      </w:r>
      <w:r w:rsidR="00C47DA5" w:rsidRPr="00BB712F">
        <w:t xml:space="preserve"> </w:t>
      </w:r>
      <w:r w:rsidRPr="00BB712F">
        <w:t xml:space="preserve">One </w:t>
      </w:r>
      <w:r w:rsidR="00E717EC" w:rsidRPr="00BB712F">
        <w:t>criterion</w:t>
      </w:r>
      <w:r w:rsidRPr="00BB712F">
        <w:t xml:space="preserve"> is the type of drugs used in a given year, resulting in three categories:</w:t>
      </w:r>
      <w:r w:rsidR="00C47DA5" w:rsidRPr="00BB712F">
        <w:t xml:space="preserve"> </w:t>
      </w:r>
      <w:r w:rsidRPr="00BB712F">
        <w:t xml:space="preserve">NMUs who use prescription opioids (PO) but not heroin, NMUs who </w:t>
      </w:r>
      <w:r w:rsidR="00B80848">
        <w:t>use POs</w:t>
      </w:r>
      <w:r w:rsidRPr="00BB712F">
        <w:t xml:space="preserve"> </w:t>
      </w:r>
      <w:r w:rsidR="004238F2">
        <w:t xml:space="preserve">and </w:t>
      </w:r>
      <w:r w:rsidRPr="00BB712F">
        <w:t xml:space="preserve">also use heroin, and those who use heroin but not </w:t>
      </w:r>
      <w:proofErr w:type="spellStart"/>
      <w:r w:rsidRPr="00BB712F">
        <w:t>POs.</w:t>
      </w:r>
      <w:proofErr w:type="spellEnd"/>
      <w:r w:rsidR="00C47DA5" w:rsidRPr="00BB712F">
        <w:t xml:space="preserve"> </w:t>
      </w:r>
      <w:r w:rsidRPr="00BB712F">
        <w:t>Within each of these categories, they have two stocks, one for casual users and the other for addicts, defined as those with</w:t>
      </w:r>
      <w:r w:rsidR="000058C1">
        <w:t xml:space="preserve"> OUD</w:t>
      </w:r>
      <w:r w:rsidRPr="00BB712F">
        <w:t>, for a total of six stocks of users.</w:t>
      </w:r>
    </w:p>
    <w:p w14:paraId="6A41E956" w14:textId="193408D6" w:rsidR="00BB78DD" w:rsidRPr="00BB712F" w:rsidRDefault="00165664" w:rsidP="00BB78DD">
      <w:r w:rsidRPr="00BB712F">
        <w:t>Model v1110</w:t>
      </w:r>
      <w:r w:rsidR="00BB78DD" w:rsidRPr="00BB712F">
        <w:t xml:space="preserve"> subdivides the population of </w:t>
      </w:r>
      <w:r w:rsidR="00AD4790">
        <w:t>NMUs</w:t>
      </w:r>
      <w:r w:rsidR="00BB78DD" w:rsidRPr="00BB712F">
        <w:t xml:space="preserve"> of opioids into 11 mutually exclusive stocks.</w:t>
      </w:r>
      <w:r w:rsidR="00C47DA5" w:rsidRPr="00BB712F">
        <w:t xml:space="preserve"> </w:t>
      </w:r>
      <w:r w:rsidR="00BB78DD" w:rsidRPr="00BB712F">
        <w:t>In contrast to the HWM which represents disease progression in only two categories (casual and addict),</w:t>
      </w:r>
      <w:r w:rsidR="00365619">
        <w:t xml:space="preserve"> model v1110 </w:t>
      </w:r>
      <w:r w:rsidR="00BB78DD" w:rsidRPr="00BB712F">
        <w:t>disaggregates progression into stages that include PO misusers who do not use heroin, PO users with OUD who do not use heroin, PO users with OUD who do use heroin, and then those with</w:t>
      </w:r>
      <w:r w:rsidR="00AD4790">
        <w:t xml:space="preserve"> HUD</w:t>
      </w:r>
      <w:r w:rsidR="00BB78DD" w:rsidRPr="00BB712F">
        <w:t>.</w:t>
      </w:r>
      <w:r w:rsidR="00C47DA5" w:rsidRPr="00BB712F">
        <w:t xml:space="preserve"> </w:t>
      </w:r>
      <w:r w:rsidR="00BB78DD" w:rsidRPr="00BB712F">
        <w:t xml:space="preserve">In addition to these five categories of PO misusers, </w:t>
      </w:r>
      <w:r w:rsidRPr="00BB712F">
        <w:t>model v1110</w:t>
      </w:r>
      <w:r w:rsidR="00BB78DD" w:rsidRPr="00BB712F">
        <w:t xml:space="preserve"> includes a stock of non-disordered heroin users.</w:t>
      </w:r>
      <w:r w:rsidR="00C47DA5" w:rsidRPr="00BB712F">
        <w:t xml:space="preserve"> </w:t>
      </w:r>
      <w:r w:rsidRPr="00BB712F">
        <w:t>Model v1110</w:t>
      </w:r>
      <w:r w:rsidR="00BB78DD" w:rsidRPr="00BB712F">
        <w:t xml:space="preserve"> assumes that some fraction of heroin users in both the stocks for HUD and for non-disordered use are also users of POs, but </w:t>
      </w:r>
      <w:r w:rsidRPr="00BB712F">
        <w:t>model v1110</w:t>
      </w:r>
      <w:r w:rsidR="00BB78DD" w:rsidRPr="00BB712F">
        <w:t xml:space="preserve"> does not include explicit stocks that match those in the HWM for heroin users.</w:t>
      </w:r>
    </w:p>
    <w:p w14:paraId="7DA16719" w14:textId="2C007962" w:rsidR="00BB78DD" w:rsidRPr="00BB712F" w:rsidRDefault="00165664" w:rsidP="00BB78DD">
      <w:r w:rsidRPr="00BB712F">
        <w:t>Model v1110</w:t>
      </w:r>
      <w:r w:rsidR="00BB78DD" w:rsidRPr="00BB712F">
        <w:t xml:space="preserve"> also subdivides the three central categories of disordered users into those who are not in </w:t>
      </w:r>
      <w:r w:rsidR="00BE00ED">
        <w:t>medication-</w:t>
      </w:r>
      <w:r w:rsidR="00BB78DD" w:rsidRPr="00BB712F">
        <w:t>assisted therapy (MAT), those who are currently in MAT, and those in remission.</w:t>
      </w:r>
      <w:r w:rsidR="00C47DA5" w:rsidRPr="00BB712F">
        <w:t xml:space="preserve"> </w:t>
      </w:r>
      <w:r w:rsidR="00BB78DD" w:rsidRPr="00BB712F">
        <w:t xml:space="preserve">Thus, there are three sub-categories each for PO users with OUD who do not use heroin, PO users with OUD who do use heroin, and those with </w:t>
      </w:r>
      <w:r w:rsidR="00AD4790">
        <w:t>HUD</w:t>
      </w:r>
      <w:r w:rsidR="00BB78DD" w:rsidRPr="00BB712F">
        <w:t xml:space="preserve"> for a total of nine stocks in these categories.</w:t>
      </w:r>
      <w:r w:rsidR="00C47DA5" w:rsidRPr="00BB712F">
        <w:t xml:space="preserve"> </w:t>
      </w:r>
      <w:r w:rsidR="00BB78DD" w:rsidRPr="00BB712F">
        <w:t>The two stocks for non-disordered use (one for POs and one for heroin) round out the 11 user stocks.</w:t>
      </w:r>
    </w:p>
    <w:p w14:paraId="7EB2646A" w14:textId="000E6C42" w:rsidR="00C8508F" w:rsidRPr="00BB712F" w:rsidRDefault="00BB78DD" w:rsidP="00BB78DD">
      <w:r w:rsidRPr="00BB712F">
        <w:t xml:space="preserve">The more disaggregated stock and flow structure found in </w:t>
      </w:r>
      <w:r w:rsidR="00165664" w:rsidRPr="00BB712F">
        <w:t>model v1110</w:t>
      </w:r>
      <w:r w:rsidRPr="00BB712F">
        <w:t xml:space="preserve"> has </w:t>
      </w:r>
      <w:r w:rsidR="00C8508F" w:rsidRPr="00BB712F">
        <w:t xml:space="preserve">two main </w:t>
      </w:r>
      <w:r w:rsidRPr="00BB712F">
        <w:t>advantages</w:t>
      </w:r>
      <w:r w:rsidR="00C8508F" w:rsidRPr="00BB712F">
        <w:t xml:space="preserve">: </w:t>
      </w:r>
    </w:p>
    <w:p w14:paraId="03865D4B" w14:textId="0073B1D9" w:rsidR="00C8508F" w:rsidRPr="00BB712F" w:rsidRDefault="00BB78DD" w:rsidP="00C8508F">
      <w:pPr>
        <w:pStyle w:val="ListParagraph"/>
        <w:numPr>
          <w:ilvl w:val="0"/>
          <w:numId w:val="34"/>
        </w:numPr>
      </w:pPr>
      <w:r w:rsidRPr="00BB712F">
        <w:t>First, the explicit representation of stocks of users in MAT provides a useful foundation for exploring policy interventions related to treatment.</w:t>
      </w:r>
      <w:r w:rsidR="00C47DA5" w:rsidRPr="00BB712F">
        <w:t xml:space="preserve"> </w:t>
      </w:r>
      <w:r w:rsidRPr="00BB712F">
        <w:t xml:space="preserve">The three stocks for users in MAT are each </w:t>
      </w:r>
      <w:r w:rsidRPr="00BB712F">
        <w:lastRenderedPageBreak/>
        <w:t>further subdivided into stocks for three kinds of treatment (</w:t>
      </w:r>
      <w:r w:rsidR="002923A7">
        <w:t>i.e., Bup, MMT, Viv</w:t>
      </w:r>
      <w:r w:rsidRPr="00BB712F">
        <w:t>), so in fact there are nine stocks tracking users in treatment.</w:t>
      </w:r>
      <w:r w:rsidR="00C47DA5" w:rsidRPr="00BB712F">
        <w:t xml:space="preserve"> </w:t>
      </w:r>
    </w:p>
    <w:p w14:paraId="33FD28A3" w14:textId="49C878B3" w:rsidR="00BB78DD" w:rsidRPr="00BB712F" w:rsidRDefault="00BB78DD" w:rsidP="002411FC">
      <w:pPr>
        <w:pStyle w:val="ListParagraph"/>
        <w:numPr>
          <w:ilvl w:val="0"/>
          <w:numId w:val="34"/>
        </w:numPr>
      </w:pPr>
      <w:r w:rsidRPr="00BB712F">
        <w:t xml:space="preserve">Second, </w:t>
      </w:r>
      <w:r w:rsidR="00165664" w:rsidRPr="00BB712F">
        <w:t>model v1110</w:t>
      </w:r>
      <w:r w:rsidRPr="00BB712F">
        <w:t xml:space="preserve"> includes stocks for disordered users who are in remission.</w:t>
      </w:r>
      <w:r w:rsidR="00C47DA5" w:rsidRPr="00BB712F">
        <w:t xml:space="preserve"> </w:t>
      </w:r>
      <w:r w:rsidRPr="00BB712F">
        <w:t>This is consistent with a belief that an opioid disorder is never cured, and the model</w:t>
      </w:r>
      <w:r w:rsidRPr="00BB712F" w:rsidDel="00881419">
        <w:t xml:space="preserve"> </w:t>
      </w:r>
      <w:r w:rsidRPr="00BB712F">
        <w:t>allows for explicit representation of the process of relapse, which generates a flow of people from a stock of persons in remission back into a stock of users.</w:t>
      </w:r>
      <w:r w:rsidR="00C47DA5" w:rsidRPr="00BB712F">
        <w:t xml:space="preserve"> </w:t>
      </w:r>
      <w:r w:rsidRPr="00BB712F">
        <w:t>Such flows might become particularly important as the numbers of persons in remission grow – which we would expect to happen over time due to continuous accumulation of those who have gone into remission and also due to possible future expansions in treatment that successfully transition</w:t>
      </w:r>
      <w:r w:rsidR="00BA4DA4">
        <w:t>s</w:t>
      </w:r>
      <w:r w:rsidRPr="00BB712F">
        <w:t xml:space="preserve"> more users into remission.</w:t>
      </w:r>
    </w:p>
    <w:p w14:paraId="120CC71D" w14:textId="40357470" w:rsidR="00BB78DD" w:rsidRPr="00BB712F" w:rsidRDefault="00BB78DD" w:rsidP="00BB78DD">
      <w:r w:rsidRPr="00BB712F">
        <w:t>Neither model includes an explicit stock to represent people with opioid prescriptions, but instead both models determine the flows of initiating PO misuse as comprising flows from patients with opioid prescription who begin misuse and also from people who acquire POs that are diverted to “street supply.”</w:t>
      </w:r>
      <w:r w:rsidR="00C47DA5" w:rsidRPr="00BB712F">
        <w:t xml:space="preserve"> </w:t>
      </w:r>
      <w:r w:rsidRPr="00BB712F">
        <w:t>Estimates of the magnitudes of these flows are driven by time series data streams in both cases.</w:t>
      </w:r>
    </w:p>
    <w:p w14:paraId="0F0A9C76" w14:textId="4203A383" w:rsidR="00BB78DD" w:rsidRPr="0062516B" w:rsidRDefault="00BB78DD" w:rsidP="00413AAF">
      <w:pPr>
        <w:pStyle w:val="Heading3"/>
        <w:numPr>
          <w:ilvl w:val="2"/>
          <w:numId w:val="4"/>
        </w:numPr>
      </w:pPr>
      <w:bookmarkStart w:id="98" w:name="_Toc59050088"/>
      <w:r w:rsidRPr="0062516B">
        <w:t>Key Conceptual Feedback Structure</w:t>
      </w:r>
      <w:bookmarkEnd w:id="98"/>
    </w:p>
    <w:p w14:paraId="25210162" w14:textId="795EC04C" w:rsidR="00BB78DD" w:rsidRPr="00BB712F" w:rsidRDefault="00165664" w:rsidP="00BB78DD">
      <w:r w:rsidRPr="00BB712F">
        <w:t>Model v1110</w:t>
      </w:r>
      <w:r w:rsidR="00BB78DD" w:rsidRPr="00BB712F">
        <w:t xml:space="preserve"> includes three major sets of feedback loops that influence the behavior of opioid users regarding the rates of initiating misuse, escalating to more severe categories (e.g., to OUD, to heroin use, or. to HUD), seeking treatment, and quitting.</w:t>
      </w:r>
      <w:r w:rsidR="00C47DA5" w:rsidRPr="00BB712F">
        <w:t xml:space="preserve"> </w:t>
      </w:r>
      <w:r w:rsidR="00BB78DD" w:rsidRPr="00BB712F">
        <w:t>One set of loops includes those that capture the effects of availability and price of POs and the price of POs relative to heroin.</w:t>
      </w:r>
      <w:r w:rsidR="00C47DA5" w:rsidRPr="00BB712F">
        <w:t xml:space="preserve"> </w:t>
      </w:r>
      <w:r w:rsidR="00BB78DD" w:rsidRPr="00BB712F">
        <w:t>Generally, lower prices and greater availability cause increases in initiating and escalating and decreases in quitting.</w:t>
      </w:r>
      <w:r w:rsidR="00C47DA5" w:rsidRPr="00BB712F">
        <w:t xml:space="preserve"> </w:t>
      </w:r>
      <w:r w:rsidR="00BB78DD" w:rsidRPr="00BB712F">
        <w:t>Increases in the price of POs relative to the price of heroin increase the likelihood of heroin use, as a less expensive alternative.</w:t>
      </w:r>
      <w:r w:rsidR="00C47DA5" w:rsidRPr="00BB712F">
        <w:t xml:space="preserve"> </w:t>
      </w:r>
      <w:r w:rsidR="00BB78DD" w:rsidRPr="00BB712F">
        <w:t>A second set of feedback loops models risk perception or fear.</w:t>
      </w:r>
      <w:r w:rsidR="00C47DA5" w:rsidRPr="00BB712F">
        <w:t xml:space="preserve"> </w:t>
      </w:r>
      <w:r w:rsidR="00BB78DD" w:rsidRPr="00BB712F">
        <w:t>Thus, increases in overdoses and/or deaths from overdoses lead to reductions in initiating and to increases in quitting.</w:t>
      </w:r>
      <w:r w:rsidR="00C47DA5" w:rsidRPr="00BB712F">
        <w:t xml:space="preserve"> </w:t>
      </w:r>
      <w:r w:rsidR="00BB78DD" w:rsidRPr="00BB712F">
        <w:t xml:space="preserve">Although there are some differences in the operationalization of these feedback loops, both </w:t>
      </w:r>
      <w:r w:rsidRPr="00BB712F">
        <w:t>model v1110</w:t>
      </w:r>
      <w:r w:rsidR="00BB78DD" w:rsidRPr="00BB712F">
        <w:t xml:space="preserve"> and the HWM model include these feedback effects, as shown in </w:t>
      </w:r>
      <w:r w:rsidR="008A2F11">
        <w:fldChar w:fldCharType="begin"/>
      </w:r>
      <w:r w:rsidR="008A2F11">
        <w:instrText xml:space="preserve"> REF _Ref58950508 \h </w:instrText>
      </w:r>
      <w:r w:rsidR="008A2F11">
        <w:fldChar w:fldCharType="separate"/>
      </w:r>
      <w:r w:rsidR="008A2F11">
        <w:t xml:space="preserve">Table </w:t>
      </w:r>
      <w:r w:rsidR="008A2F11">
        <w:rPr>
          <w:noProof/>
        </w:rPr>
        <w:t>8</w:t>
      </w:r>
      <w:r w:rsidR="008A2F11">
        <w:noBreakHyphen/>
      </w:r>
      <w:r w:rsidR="008A2F11">
        <w:rPr>
          <w:noProof/>
        </w:rPr>
        <w:t>1</w:t>
      </w:r>
      <w:r w:rsidR="008A2F11">
        <w:fldChar w:fldCharType="end"/>
      </w:r>
      <w:r w:rsidR="00BB78DD" w:rsidRPr="00BB712F">
        <w:t>.</w:t>
      </w:r>
    </w:p>
    <w:p w14:paraId="7E3ECE03" w14:textId="48C9FDC1" w:rsidR="00BB78DD" w:rsidRPr="00BB712F" w:rsidRDefault="00BB78DD" w:rsidP="00BB78DD">
      <w:r w:rsidRPr="00BB712F">
        <w:t>A third set of feedback loops models the effects of social influence on the flows for initiating and escalating to more severe categories.</w:t>
      </w:r>
      <w:r w:rsidR="00C47DA5" w:rsidRPr="00BB712F">
        <w:t xml:space="preserve"> </w:t>
      </w:r>
      <w:r w:rsidRPr="00BB712F">
        <w:t>More users and more advanced users both increase the likelihood that others will be exposed to and possibly influenced by the users, so this social influence creates a reinforcing feedback loop in which more users beget even more users.</w:t>
      </w:r>
      <w:r w:rsidR="00C47DA5" w:rsidRPr="00BB712F">
        <w:t xml:space="preserve"> </w:t>
      </w:r>
      <w:r w:rsidRPr="00BB712F">
        <w:t xml:space="preserve">The operational character of such feedback is similar to the contagious spread of a disease, and </w:t>
      </w:r>
      <w:r w:rsidR="00165664" w:rsidRPr="00BB712F">
        <w:t>model v1110</w:t>
      </w:r>
      <w:r w:rsidRPr="00BB712F">
        <w:t xml:space="preserve"> models this effect using a well-established approach.</w:t>
      </w:r>
      <w:r w:rsidR="00C47DA5" w:rsidRPr="00BB712F">
        <w:t xml:space="preserve"> </w:t>
      </w:r>
      <w:r w:rsidRPr="00BB712F">
        <w:t>The Homer</w:t>
      </w:r>
      <w:r w:rsidR="00AF25AF">
        <w:t xml:space="preserve"> and </w:t>
      </w:r>
      <w:r w:rsidRPr="00BB712F">
        <w:t xml:space="preserve">Wakeland </w:t>
      </w:r>
      <w:r w:rsidR="00AF25AF">
        <w:t xml:space="preserve">(2020) </w:t>
      </w:r>
      <w:r w:rsidRPr="00BB712F">
        <w:t>paper labels social diffusion in their model overview, and the HWM includes similar feedback from stocks of users to their inflows.</w:t>
      </w:r>
      <w:r w:rsidR="00C47DA5" w:rsidRPr="00BB712F">
        <w:t xml:space="preserve"> </w:t>
      </w:r>
      <w:r w:rsidRPr="00BB712F">
        <w:t xml:space="preserve">The explicit and separate representation of these feedbacks in </w:t>
      </w:r>
      <w:r w:rsidR="00165664" w:rsidRPr="00BB712F">
        <w:t>model v1110</w:t>
      </w:r>
      <w:r w:rsidRPr="00BB712F">
        <w:t xml:space="preserve"> model allows for a more fine-grained choice of parameters, enabling the adjustment of the effect sizes in a more nuanced manner.</w:t>
      </w:r>
    </w:p>
    <w:p w14:paraId="4A7238E2" w14:textId="62C92851" w:rsidR="00BB78DD" w:rsidRPr="00BB712F" w:rsidRDefault="00BB78DD" w:rsidP="00BB78DD">
      <w:pPr>
        <w:rPr>
          <w:rFonts w:eastAsia="Times New Roman" w:cs="Calibri"/>
        </w:rPr>
      </w:pPr>
      <w:r w:rsidRPr="00BB712F">
        <w:t>Both models recognize the importance of heroin price.</w:t>
      </w:r>
      <w:r w:rsidR="00C47DA5" w:rsidRPr="00BB712F">
        <w:t xml:space="preserve"> </w:t>
      </w:r>
      <w:proofErr w:type="gramStart"/>
      <w:r w:rsidRPr="00BB712F">
        <w:t>In particular, when</w:t>
      </w:r>
      <w:proofErr w:type="gramEnd"/>
      <w:r w:rsidRPr="00BB712F">
        <w:t xml:space="preserve"> heroin prices are low relative to street prices for POs, PO users are more likely to escalate to heroin, driven by the less expensive alternative.</w:t>
      </w:r>
      <w:r w:rsidR="0053633C">
        <w:t xml:space="preserve"> </w:t>
      </w:r>
      <w:r w:rsidRPr="00BB712F">
        <w:t>Both models use exogenous time series for heroin prices.</w:t>
      </w:r>
      <w:r w:rsidR="00C47DA5" w:rsidRPr="00BB712F">
        <w:t xml:space="preserve"> </w:t>
      </w:r>
      <w:r w:rsidRPr="00BB712F">
        <w:t>Both models include effects of heroin price on flows modeling escalation to heroin.</w:t>
      </w:r>
      <w:r w:rsidR="00C47DA5" w:rsidRPr="00BB712F">
        <w:t xml:space="preserve"> </w:t>
      </w:r>
      <w:r w:rsidR="00165664" w:rsidRPr="00BB712F">
        <w:t>Model v1110</w:t>
      </w:r>
      <w:r w:rsidRPr="00BB712F">
        <w:t xml:space="preserve"> also includes heroin price influences on flows for initiating and quitting </w:t>
      </w:r>
      <w:r w:rsidRPr="00BB712F">
        <w:rPr>
          <w:rFonts w:eastAsia="Times New Roman" w:cs="Calibri"/>
        </w:rPr>
        <w:t>as well as developing HUD with Rx OUD.</w:t>
      </w:r>
      <w:r w:rsidR="00C47DA5" w:rsidRPr="00BB712F">
        <w:rPr>
          <w:rFonts w:eastAsia="Times New Roman" w:cs="Calibri"/>
        </w:rPr>
        <w:t xml:space="preserve"> </w:t>
      </w:r>
      <w:r w:rsidRPr="00BB712F">
        <w:rPr>
          <w:rFonts w:eastAsia="Times New Roman" w:cs="Calibri"/>
        </w:rPr>
        <w:t xml:space="preserve">Thus, </w:t>
      </w:r>
      <w:r w:rsidR="00165664" w:rsidRPr="00BB712F">
        <w:rPr>
          <w:rFonts w:eastAsia="Times New Roman" w:cs="Calibri"/>
        </w:rPr>
        <w:t>model v1110</w:t>
      </w:r>
      <w:r w:rsidRPr="00BB712F">
        <w:rPr>
          <w:rFonts w:eastAsia="Times New Roman" w:cs="Calibri"/>
        </w:rPr>
        <w:t xml:space="preserve"> includes a more complex set of feedback effects of heroin price on the various flows in the stock and flow chains.</w:t>
      </w:r>
    </w:p>
    <w:p w14:paraId="1AFD103E" w14:textId="6F388EBD" w:rsidR="00BB78DD" w:rsidRPr="00413AAF" w:rsidRDefault="00BB78DD" w:rsidP="00413AAF">
      <w:pPr>
        <w:pStyle w:val="Heading3"/>
        <w:numPr>
          <w:ilvl w:val="2"/>
          <w:numId w:val="4"/>
        </w:numPr>
      </w:pPr>
      <w:bookmarkStart w:id="99" w:name="_Toc59050089"/>
      <w:r w:rsidRPr="00413AAF">
        <w:t>Treatment</w:t>
      </w:r>
      <w:bookmarkEnd w:id="99"/>
      <w:r w:rsidR="00770188" w:rsidRPr="00413AAF">
        <w:t xml:space="preserve"> </w:t>
      </w:r>
    </w:p>
    <w:p w14:paraId="7964E1B4" w14:textId="1BE779C6" w:rsidR="00BB78DD" w:rsidRPr="00BB712F" w:rsidRDefault="00BB78DD" w:rsidP="00BB78DD">
      <w:pPr>
        <w:rPr>
          <w:rFonts w:eastAsia="Times New Roman" w:cs="Calibri"/>
        </w:rPr>
      </w:pPr>
      <w:r w:rsidRPr="00BB712F">
        <w:rPr>
          <w:rFonts w:eastAsia="Times New Roman" w:cs="Calibri"/>
        </w:rPr>
        <w:t xml:space="preserve">The two models differ in the way they model </w:t>
      </w:r>
      <w:r w:rsidR="00716884">
        <w:rPr>
          <w:rFonts w:eastAsia="Times New Roman" w:cs="Calibri"/>
        </w:rPr>
        <w:t xml:space="preserve">MAT </w:t>
      </w:r>
      <w:r w:rsidRPr="00BB712F">
        <w:rPr>
          <w:rFonts w:eastAsia="Times New Roman" w:cs="Calibri"/>
        </w:rPr>
        <w:t>for opioids.</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 xml:space="preserve"> includes a more explicit and more detailed representation of MAT, so this is an area in which </w:t>
      </w:r>
      <w:r w:rsidR="00165664" w:rsidRPr="00BB712F">
        <w:rPr>
          <w:rFonts w:eastAsia="Times New Roman" w:cs="Calibri"/>
        </w:rPr>
        <w:t>model v1110</w:t>
      </w:r>
      <w:r w:rsidRPr="00BB712F">
        <w:rPr>
          <w:rFonts w:eastAsia="Times New Roman" w:cs="Calibri"/>
        </w:rPr>
        <w:t xml:space="preserve"> </w:t>
      </w:r>
      <w:r w:rsidR="009A26B1" w:rsidRPr="009A26B1">
        <w:rPr>
          <w:rFonts w:eastAsia="Times New Roman" w:cs="Calibri"/>
        </w:rPr>
        <w:t>has additional important and useful details and complexity</w:t>
      </w:r>
      <w:r w:rsidRPr="00BB712F">
        <w:rPr>
          <w:rFonts w:eastAsia="Times New Roman" w:cs="Calibri"/>
        </w:rPr>
        <w:t xml:space="preserve"> compared to the HWM.</w:t>
      </w:r>
      <w:r w:rsidR="00C47DA5" w:rsidRPr="00BB712F">
        <w:rPr>
          <w:rFonts w:eastAsia="Times New Roman" w:cs="Calibri"/>
        </w:rPr>
        <w:t xml:space="preserve"> </w:t>
      </w:r>
      <w:r w:rsidRPr="00BB712F">
        <w:rPr>
          <w:rFonts w:eastAsia="Times New Roman" w:cs="Calibri"/>
        </w:rPr>
        <w:t xml:space="preserve">As mentioned previously, </w:t>
      </w:r>
      <w:r w:rsidR="00165664" w:rsidRPr="00BB712F">
        <w:rPr>
          <w:rFonts w:eastAsia="Times New Roman" w:cs="Calibri"/>
        </w:rPr>
        <w:t>model v1110</w:t>
      </w:r>
      <w:r w:rsidRPr="00BB712F">
        <w:rPr>
          <w:rFonts w:eastAsia="Times New Roman" w:cs="Calibri"/>
        </w:rPr>
        <w:t xml:space="preserve"> </w:t>
      </w:r>
      <w:r w:rsidRPr="00BB712F">
        <w:rPr>
          <w:rFonts w:eastAsia="Times New Roman" w:cs="Calibri"/>
        </w:rPr>
        <w:lastRenderedPageBreak/>
        <w:t>explicitly tracks users who are in therapy according to three types of MAT:</w:t>
      </w:r>
      <w:r w:rsidR="00C47DA5" w:rsidRPr="00BB712F">
        <w:rPr>
          <w:rFonts w:eastAsia="Times New Roman" w:cs="Calibri"/>
        </w:rPr>
        <w:t xml:space="preserve"> </w:t>
      </w:r>
      <w:r w:rsidRPr="00BB712F">
        <w:rPr>
          <w:rFonts w:eastAsia="Times New Roman" w:cs="Calibri"/>
        </w:rPr>
        <w:t>buprenorphine, methadone, and vivitrol.</w:t>
      </w:r>
      <w:r w:rsidR="00C47DA5" w:rsidRPr="00BB712F">
        <w:rPr>
          <w:rFonts w:eastAsia="Times New Roman" w:cs="Calibri"/>
        </w:rPr>
        <w:t xml:space="preserve"> </w:t>
      </w:r>
      <w:r w:rsidRPr="00BB712F">
        <w:rPr>
          <w:rFonts w:eastAsia="Times New Roman" w:cs="Calibri"/>
        </w:rPr>
        <w:t xml:space="preserve">Along with the explicit stocks for these users, </w:t>
      </w:r>
      <w:r w:rsidR="00165664" w:rsidRPr="00BB712F">
        <w:rPr>
          <w:rFonts w:eastAsia="Times New Roman" w:cs="Calibri"/>
        </w:rPr>
        <w:t>model v1110</w:t>
      </w:r>
      <w:r w:rsidRPr="00BB712F">
        <w:rPr>
          <w:rFonts w:eastAsia="Times New Roman" w:cs="Calibri"/>
        </w:rPr>
        <w:t xml:space="preserve"> also includes explicit representation of users seeking treatment, users entering treatment, users successfully completing treatment, and users leaving treatment before completion.</w:t>
      </w:r>
      <w:r w:rsidR="00C47DA5" w:rsidRPr="00BB712F">
        <w:rPr>
          <w:rFonts w:eastAsia="Times New Roman" w:cs="Calibri"/>
        </w:rPr>
        <w:t xml:space="preserve"> </w:t>
      </w:r>
      <w:r w:rsidRPr="00BB712F">
        <w:rPr>
          <w:rFonts w:eastAsia="Times New Roman" w:cs="Calibri"/>
        </w:rPr>
        <w:t xml:space="preserve">With this more explicit structure, </w:t>
      </w:r>
      <w:r w:rsidR="00165664" w:rsidRPr="00BB712F">
        <w:rPr>
          <w:rFonts w:eastAsia="Times New Roman" w:cs="Calibri"/>
        </w:rPr>
        <w:t>model v1110</w:t>
      </w:r>
      <w:r w:rsidRPr="00BB712F">
        <w:rPr>
          <w:rFonts w:eastAsia="Times New Roman" w:cs="Calibri"/>
        </w:rPr>
        <w:t xml:space="preserve"> is able to include a feedback effect of users in treatment on flows for seeking and initiating treatment, capturing the social influence of and word</w:t>
      </w:r>
      <w:r w:rsidR="00424A9B">
        <w:rPr>
          <w:rFonts w:eastAsia="Times New Roman" w:cs="Calibri"/>
        </w:rPr>
        <w:t>-</w:t>
      </w:r>
      <w:r w:rsidRPr="00BB712F">
        <w:rPr>
          <w:rFonts w:eastAsia="Times New Roman" w:cs="Calibri"/>
        </w:rPr>
        <w:t>of</w:t>
      </w:r>
      <w:r w:rsidR="00424A9B">
        <w:rPr>
          <w:rFonts w:eastAsia="Times New Roman" w:cs="Calibri"/>
        </w:rPr>
        <w:t>-</w:t>
      </w:r>
      <w:r w:rsidRPr="00BB712F">
        <w:rPr>
          <w:rFonts w:eastAsia="Times New Roman" w:cs="Calibri"/>
        </w:rPr>
        <w:t>mouth from patients in treatment.</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 xml:space="preserve"> also tracks the users in remission, some of whom accomplished the transition to remission by going through MAT.</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’s stock and flow structure for treatment and more detailed disaggregation by treatment type give the use</w:t>
      </w:r>
      <w:r w:rsidR="005E1B12">
        <w:rPr>
          <w:rFonts w:eastAsia="Times New Roman" w:cs="Calibri"/>
        </w:rPr>
        <w:t>r</w:t>
      </w:r>
      <w:r w:rsidRPr="00BB712F">
        <w:rPr>
          <w:rFonts w:eastAsia="Times New Roman" w:cs="Calibri"/>
        </w:rPr>
        <w:t xml:space="preserve"> good visibility and an intuitively appealing description of the dynamics of patients seeking or receiving treatment.</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 xml:space="preserve"> also models the supply, or capacity, of MAT for each type, thus enabling a straightforward test of polic</w:t>
      </w:r>
      <w:r w:rsidR="00AA0B2D">
        <w:rPr>
          <w:rFonts w:eastAsia="Times New Roman" w:cs="Calibri"/>
        </w:rPr>
        <w:t xml:space="preserve">ies </w:t>
      </w:r>
      <w:r w:rsidRPr="00BB712F">
        <w:rPr>
          <w:rFonts w:eastAsia="Times New Roman" w:cs="Calibri"/>
        </w:rPr>
        <w:t>related to treatment.</w:t>
      </w:r>
      <w:r w:rsidR="00C47DA5" w:rsidRPr="00BB712F">
        <w:rPr>
          <w:rFonts w:eastAsia="Times New Roman" w:cs="Calibri"/>
        </w:rPr>
        <w:t xml:space="preserve"> </w:t>
      </w:r>
      <w:r w:rsidRPr="00BB712F">
        <w:rPr>
          <w:rFonts w:eastAsia="Times New Roman" w:cs="Calibri"/>
        </w:rPr>
        <w:t>The core feedback construct in both models is similar:</w:t>
      </w:r>
      <w:r w:rsidR="00C47DA5" w:rsidRPr="00BB712F">
        <w:rPr>
          <w:rFonts w:eastAsia="Times New Roman" w:cs="Calibri"/>
        </w:rPr>
        <w:t xml:space="preserve"> </w:t>
      </w:r>
      <w:r w:rsidRPr="00BB712F">
        <w:rPr>
          <w:rFonts w:eastAsia="Times New Roman" w:cs="Calibri"/>
        </w:rPr>
        <w:t>treatment leads to a lower likelihood of death from overdose and to a higher likelihood of quitting.</w:t>
      </w:r>
      <w:r w:rsidR="00C47DA5" w:rsidRPr="00BB712F">
        <w:rPr>
          <w:rFonts w:eastAsia="Times New Roman" w:cs="Calibri"/>
        </w:rPr>
        <w:t xml:space="preserve"> </w:t>
      </w:r>
      <w:r w:rsidRPr="00BB712F">
        <w:rPr>
          <w:rFonts w:eastAsia="Times New Roman" w:cs="Calibri"/>
        </w:rPr>
        <w:t>The HWM specifically represents an effect of treatment on frequency of use of opioids by various user categories, which in turn influences the fractional death rates.</w:t>
      </w:r>
      <w:r w:rsidR="00C47DA5" w:rsidRPr="00BB712F">
        <w:rPr>
          <w:rFonts w:eastAsia="Times New Roman" w:cs="Calibri"/>
        </w:rPr>
        <w:t xml:space="preserve"> </w:t>
      </w:r>
      <w:r w:rsidRPr="00BB712F">
        <w:rPr>
          <w:rFonts w:eastAsia="Times New Roman" w:cs="Calibri"/>
        </w:rPr>
        <w:t xml:space="preserve">Instead, </w:t>
      </w:r>
      <w:r w:rsidR="00165664" w:rsidRPr="00BB712F">
        <w:rPr>
          <w:rFonts w:eastAsia="Times New Roman" w:cs="Calibri"/>
        </w:rPr>
        <w:t>model v1110</w:t>
      </w:r>
      <w:r w:rsidRPr="00BB712F">
        <w:rPr>
          <w:rFonts w:eastAsia="Times New Roman" w:cs="Calibri"/>
        </w:rPr>
        <w:t xml:space="preserve"> generates a similar effect of treatment by modeling separate flows of deaths from patients in t</w:t>
      </w:r>
      <w:r w:rsidR="009B27C2">
        <w:rPr>
          <w:rFonts w:eastAsia="Times New Roman" w:cs="Calibri"/>
        </w:rPr>
        <w:t>reatment</w:t>
      </w:r>
      <w:r w:rsidRPr="00BB712F">
        <w:rPr>
          <w:rFonts w:eastAsia="Times New Roman" w:cs="Calibri"/>
        </w:rPr>
        <w:t xml:space="preserve"> and from users not in treatment.</w:t>
      </w:r>
      <w:r w:rsidR="00C47DA5" w:rsidRPr="00BB712F">
        <w:rPr>
          <w:rFonts w:eastAsia="Times New Roman" w:cs="Calibri"/>
        </w:rPr>
        <w:t xml:space="preserve"> </w:t>
      </w:r>
      <w:r w:rsidRPr="00BB712F">
        <w:rPr>
          <w:rFonts w:eastAsia="Times New Roman" w:cs="Calibri"/>
        </w:rPr>
        <w:t xml:space="preserve">Similarly, </w:t>
      </w:r>
      <w:r w:rsidR="00165664" w:rsidRPr="00BB712F">
        <w:rPr>
          <w:rFonts w:eastAsia="Times New Roman" w:cs="Calibri"/>
        </w:rPr>
        <w:t>model v1110</w:t>
      </w:r>
      <w:r w:rsidRPr="00BB712F">
        <w:rPr>
          <w:rFonts w:eastAsia="Times New Roman" w:cs="Calibri"/>
        </w:rPr>
        <w:t xml:space="preserve"> captures the effect of treatment on frequency of use by assuming a different average consumption for those in treatment versus those who are not.</w:t>
      </w:r>
    </w:p>
    <w:p w14:paraId="2E33A5A9" w14:textId="682271F8" w:rsidR="00BB78DD" w:rsidRPr="00413AAF" w:rsidRDefault="00BB78DD" w:rsidP="00413AAF">
      <w:pPr>
        <w:pStyle w:val="Heading3"/>
        <w:numPr>
          <w:ilvl w:val="2"/>
          <w:numId w:val="4"/>
        </w:numPr>
      </w:pPr>
      <w:bookmarkStart w:id="100" w:name="_Toc59050090"/>
      <w:r w:rsidRPr="00413AAF">
        <w:t>Opioid Supply</w:t>
      </w:r>
      <w:bookmarkEnd w:id="100"/>
    </w:p>
    <w:p w14:paraId="0E671432" w14:textId="661E8A40" w:rsidR="00BB78DD" w:rsidRPr="00BB712F" w:rsidRDefault="00BB78DD" w:rsidP="00BB78DD">
      <w:pPr>
        <w:rPr>
          <w:rFonts w:eastAsia="Times New Roman" w:cs="Calibri"/>
        </w:rPr>
      </w:pPr>
      <w:r w:rsidRPr="00BB712F">
        <w:rPr>
          <w:rFonts w:eastAsia="Times New Roman" w:cs="Calibri"/>
        </w:rPr>
        <w:t>The models differ slightly in the way in which they model the supply of POs available on the street.</w:t>
      </w:r>
      <w:r w:rsidR="00C47DA5" w:rsidRPr="00BB712F">
        <w:rPr>
          <w:rFonts w:eastAsia="Times New Roman" w:cs="Calibri"/>
        </w:rPr>
        <w:t xml:space="preserve"> </w:t>
      </w:r>
      <w:r w:rsidRPr="00BB712F">
        <w:rPr>
          <w:rFonts w:eastAsia="Times New Roman" w:cs="Calibri"/>
        </w:rPr>
        <w:t>Both models follow established approaches in the system dynamics tradition.</w:t>
      </w:r>
      <w:r w:rsidR="00C47DA5" w:rsidRPr="00BB712F">
        <w:rPr>
          <w:rFonts w:eastAsia="Times New Roman" w:cs="Calibri"/>
        </w:rPr>
        <w:t xml:space="preserve"> </w:t>
      </w:r>
      <w:r w:rsidRPr="00BB712F">
        <w:rPr>
          <w:rFonts w:eastAsia="Times New Roman" w:cs="Calibri"/>
        </w:rPr>
        <w:t xml:space="preserve">The key idea </w:t>
      </w:r>
      <w:r w:rsidR="00274D98" w:rsidRPr="00BB712F">
        <w:rPr>
          <w:rFonts w:eastAsia="Times New Roman" w:cs="Calibri"/>
        </w:rPr>
        <w:t>behind</w:t>
      </w:r>
      <w:r w:rsidRPr="00BB712F">
        <w:rPr>
          <w:rFonts w:eastAsia="Times New Roman" w:cs="Calibri"/>
        </w:rPr>
        <w:t xml:space="preserve"> both models is that some fraction of legitimate opioid prescriptions </w:t>
      </w:r>
      <w:r w:rsidR="00E41DC7">
        <w:rPr>
          <w:rFonts w:eastAsia="Times New Roman" w:cs="Calibri"/>
        </w:rPr>
        <w:t>are</w:t>
      </w:r>
      <w:r w:rsidR="00F46400" w:rsidRPr="00BB712F">
        <w:rPr>
          <w:rFonts w:eastAsia="Times New Roman" w:cs="Calibri"/>
        </w:rPr>
        <w:t xml:space="preserve"> </w:t>
      </w:r>
      <w:r w:rsidRPr="00BB712F">
        <w:rPr>
          <w:rFonts w:eastAsia="Times New Roman" w:cs="Calibri"/>
        </w:rPr>
        <w:t>diverted to be available for NMUs’ consumption.</w:t>
      </w:r>
      <w:r w:rsidR="00C47DA5" w:rsidRPr="00BB712F">
        <w:rPr>
          <w:rFonts w:eastAsia="Times New Roman" w:cs="Calibri"/>
        </w:rPr>
        <w:t xml:space="preserve"> </w:t>
      </w:r>
      <w:r w:rsidRPr="00BB712F">
        <w:rPr>
          <w:rFonts w:eastAsia="Times New Roman" w:cs="Calibri"/>
        </w:rPr>
        <w:t>In addition, counterfeit or illicit opioids (e.g., fentanyl) also enter the street supply.</w:t>
      </w:r>
      <w:r w:rsidR="00C47DA5" w:rsidRPr="00BB712F">
        <w:rPr>
          <w:rFonts w:eastAsia="Times New Roman" w:cs="Calibri"/>
        </w:rPr>
        <w:t xml:space="preserve"> </w:t>
      </w:r>
      <w:r w:rsidRPr="00BB712F">
        <w:rPr>
          <w:rFonts w:eastAsia="Times New Roman" w:cs="Calibri"/>
        </w:rPr>
        <w:t xml:space="preserve">Both models estimate PO street availability starting from exogenous time series of opioid </w:t>
      </w:r>
      <w:r w:rsidR="000919D0" w:rsidRPr="00BB712F">
        <w:rPr>
          <w:rFonts w:eastAsia="Times New Roman" w:cs="Calibri"/>
        </w:rPr>
        <w:t>prescriptions and</w:t>
      </w:r>
      <w:r w:rsidRPr="00BB712F">
        <w:rPr>
          <w:rFonts w:eastAsia="Times New Roman" w:cs="Calibri"/>
        </w:rPr>
        <w:t xml:space="preserve"> use milligram</w:t>
      </w:r>
      <w:r w:rsidR="006D6A22">
        <w:rPr>
          <w:rFonts w:eastAsia="Times New Roman" w:cs="Calibri"/>
        </w:rPr>
        <w:t xml:space="preserve"> </w:t>
      </w:r>
      <w:r w:rsidRPr="00BB712F">
        <w:rPr>
          <w:rFonts w:eastAsia="Times New Roman" w:cs="Calibri"/>
        </w:rPr>
        <w:t>morphine</w:t>
      </w:r>
      <w:r w:rsidR="006D6A22">
        <w:rPr>
          <w:rFonts w:eastAsia="Times New Roman" w:cs="Calibri"/>
        </w:rPr>
        <w:t xml:space="preserve"> </w:t>
      </w:r>
      <w:r w:rsidRPr="00BB712F">
        <w:rPr>
          <w:rFonts w:eastAsia="Times New Roman" w:cs="Calibri"/>
        </w:rPr>
        <w:t xml:space="preserve">equivalents (MME) to aggregate across various drugs, </w:t>
      </w:r>
      <w:r w:rsidR="005739B4" w:rsidRPr="00BB712F">
        <w:rPr>
          <w:rFonts w:eastAsia="Times New Roman" w:cs="Calibri"/>
        </w:rPr>
        <w:t xml:space="preserve">which is </w:t>
      </w:r>
      <w:r w:rsidRPr="00BB712F">
        <w:rPr>
          <w:rFonts w:eastAsia="Times New Roman" w:cs="Calibri"/>
        </w:rPr>
        <w:t>a useful simplification.</w:t>
      </w:r>
      <w:r w:rsidR="00C47DA5" w:rsidRPr="00BB712F">
        <w:rPr>
          <w:rFonts w:eastAsia="Times New Roman" w:cs="Calibri"/>
        </w:rPr>
        <w:t xml:space="preserve"> </w:t>
      </w:r>
      <w:r w:rsidRPr="00BB712F">
        <w:rPr>
          <w:rFonts w:eastAsia="Times New Roman" w:cs="Calibri"/>
        </w:rPr>
        <w:t>Street supply is impacted by diversion control attempts (e.g., by the DEA).</w:t>
      </w:r>
      <w:r w:rsidR="00C47DA5" w:rsidRPr="00BB712F">
        <w:rPr>
          <w:rFonts w:eastAsia="Times New Roman" w:cs="Calibri"/>
        </w:rPr>
        <w:t xml:space="preserve"> </w:t>
      </w:r>
      <w:r w:rsidRPr="00BB712F">
        <w:rPr>
          <w:rFonts w:eastAsia="Times New Roman" w:cs="Calibri"/>
        </w:rPr>
        <w:t>Both models explicitly include an exogenous effect of DEA intervention actions to reduce diversions from 2010 to 2013.</w:t>
      </w:r>
      <w:r w:rsidR="00C47DA5" w:rsidRPr="00BB712F">
        <w:rPr>
          <w:rFonts w:eastAsia="Times New Roman" w:cs="Calibri"/>
        </w:rPr>
        <w:t xml:space="preserve"> </w:t>
      </w:r>
      <w:r w:rsidRPr="00BB712F">
        <w:rPr>
          <w:rFonts w:eastAsia="Times New Roman" w:cs="Calibri"/>
        </w:rPr>
        <w:t>The HWM models the effect of these interventions straightforwardly as a fractional reduction in the street supply that affects the flow of newly diverted POs for the duration of the intervention.</w:t>
      </w:r>
    </w:p>
    <w:p w14:paraId="237E86CD" w14:textId="528ADBAA" w:rsidR="00BB78DD" w:rsidRPr="00BB712F" w:rsidRDefault="00165664" w:rsidP="00BB78DD">
      <w:pPr>
        <w:rPr>
          <w:rFonts w:eastAsia="Times New Roman" w:cs="Calibri"/>
        </w:rPr>
      </w:pPr>
      <w:r w:rsidRPr="00BB712F">
        <w:rPr>
          <w:rFonts w:eastAsia="Times New Roman" w:cs="Calibri"/>
        </w:rPr>
        <w:t>Model v1110</w:t>
      </w:r>
      <w:r w:rsidR="00BB78DD" w:rsidRPr="00BB712F">
        <w:rPr>
          <w:rFonts w:eastAsia="Times New Roman" w:cs="Calibri"/>
        </w:rPr>
        <w:t xml:space="preserve"> does not include a specific stock for supply of POs, so instead </w:t>
      </w:r>
      <w:r w:rsidRPr="00BB712F">
        <w:rPr>
          <w:rFonts w:eastAsia="Times New Roman" w:cs="Calibri"/>
        </w:rPr>
        <w:t>model v1110</w:t>
      </w:r>
      <w:r w:rsidR="00BB78DD" w:rsidRPr="00BB712F">
        <w:rPr>
          <w:rFonts w:eastAsia="Times New Roman" w:cs="Calibri"/>
        </w:rPr>
        <w:t xml:space="preserve"> includes a stock called ”Rx Street Supply Disruption” that accumulates several influences on street supply and dissipates </w:t>
      </w:r>
      <w:r w:rsidR="00E80A23">
        <w:rPr>
          <w:rFonts w:eastAsia="Times New Roman" w:cs="Calibri"/>
        </w:rPr>
        <w:t xml:space="preserve">them </w:t>
      </w:r>
      <w:r w:rsidR="00BB78DD" w:rsidRPr="00BB712F">
        <w:rPr>
          <w:rFonts w:eastAsia="Times New Roman" w:cs="Calibri"/>
        </w:rPr>
        <w:t>to mimic the somewhat rapid adjustment of street supply to disruptions.</w:t>
      </w:r>
      <w:r w:rsidR="00C47DA5" w:rsidRPr="00BB712F">
        <w:rPr>
          <w:rFonts w:eastAsia="Times New Roman" w:cs="Calibri"/>
        </w:rPr>
        <w:t xml:space="preserve"> </w:t>
      </w:r>
      <w:r w:rsidR="00BB78DD" w:rsidRPr="00BB712F">
        <w:rPr>
          <w:rFonts w:eastAsia="Times New Roman" w:cs="Calibri"/>
        </w:rPr>
        <w:t>Both the magnitude and dynamics of the effect of the DEA intervention differ in the two models, and we recommend further exploring this difference.</w:t>
      </w:r>
      <w:r w:rsidR="00C47DA5" w:rsidRPr="00BB712F">
        <w:rPr>
          <w:rFonts w:eastAsia="Times New Roman" w:cs="Calibri"/>
        </w:rPr>
        <w:t xml:space="preserve"> </w:t>
      </w:r>
      <w:r w:rsidR="00BB78DD" w:rsidRPr="00BB712F">
        <w:rPr>
          <w:rFonts w:eastAsia="Times New Roman" w:cs="Calibri"/>
        </w:rPr>
        <w:t xml:space="preserve">Unfortunately, it appears that the behavior of </w:t>
      </w:r>
      <w:r w:rsidRPr="00BB712F">
        <w:rPr>
          <w:rFonts w:eastAsia="Times New Roman" w:cs="Calibri"/>
        </w:rPr>
        <w:t>model v1110</w:t>
      </w:r>
      <w:r w:rsidR="00BB78DD" w:rsidRPr="00BB712F">
        <w:rPr>
          <w:rFonts w:eastAsia="Times New Roman" w:cs="Calibri"/>
        </w:rPr>
        <w:t xml:space="preserve"> model does not match the effects stated in the documentation.</w:t>
      </w:r>
      <w:r w:rsidR="00C47DA5" w:rsidRPr="00BB712F">
        <w:rPr>
          <w:rFonts w:eastAsia="Times New Roman" w:cs="Calibri"/>
        </w:rPr>
        <w:t xml:space="preserve"> </w:t>
      </w:r>
      <w:r w:rsidR="00BB78DD" w:rsidRPr="00BB712F">
        <w:rPr>
          <w:rFonts w:eastAsia="Times New Roman" w:cs="Calibri"/>
        </w:rPr>
        <w:t xml:space="preserve">Specifically, the embedded comment suggests a diversion reduction of 10% </w:t>
      </w:r>
      <w:r w:rsidR="00BB78DD" w:rsidRPr="00BB712F">
        <w:rPr>
          <w:rFonts w:eastAsia="Times New Roman" w:cs="Calibri"/>
          <w:i/>
        </w:rPr>
        <w:t xml:space="preserve">per year for 3 years </w:t>
      </w:r>
      <w:r w:rsidR="00BB78DD" w:rsidRPr="00BB712F">
        <w:rPr>
          <w:rFonts w:eastAsia="Times New Roman" w:cs="Calibri"/>
        </w:rPr>
        <w:t xml:space="preserve">but instead with the baseline model settings the disruption takes </w:t>
      </w:r>
      <w:r w:rsidR="00BB78DD" w:rsidRPr="00BB712F">
        <w:rPr>
          <w:rFonts w:eastAsia="Times New Roman" w:cs="Calibri"/>
          <w:i/>
        </w:rPr>
        <w:t>3 years to grow to 12%</w:t>
      </w:r>
      <w:r w:rsidR="00BB78DD" w:rsidRPr="00BB712F">
        <w:rPr>
          <w:rFonts w:eastAsia="Times New Roman" w:cs="Calibri"/>
        </w:rPr>
        <w:t>.</w:t>
      </w:r>
      <w:r w:rsidR="00C47DA5" w:rsidRPr="00BB712F">
        <w:rPr>
          <w:rFonts w:eastAsia="Times New Roman" w:cs="Calibri"/>
        </w:rPr>
        <w:t xml:space="preserve"> </w:t>
      </w:r>
      <w:r w:rsidR="00BB78DD" w:rsidRPr="00BB712F">
        <w:rPr>
          <w:rFonts w:eastAsia="Times New Roman" w:cs="Calibri"/>
        </w:rPr>
        <w:t>That is, by the end of the first year, disruptions total only 2%, and by the end of the second year only 6%.</w:t>
      </w:r>
      <w:r w:rsidR="00C47DA5" w:rsidRPr="00BB712F">
        <w:rPr>
          <w:rFonts w:eastAsia="Times New Roman" w:cs="Calibri"/>
        </w:rPr>
        <w:t xml:space="preserve"> </w:t>
      </w:r>
      <w:r w:rsidR="00BB78DD" w:rsidRPr="00BB712F">
        <w:rPr>
          <w:rFonts w:eastAsia="Times New Roman" w:cs="Calibri"/>
        </w:rPr>
        <w:t xml:space="preserve">It is not clear exactly </w:t>
      </w:r>
      <w:r w:rsidR="005E7ACF">
        <w:rPr>
          <w:rFonts w:eastAsia="Times New Roman" w:cs="Calibri"/>
        </w:rPr>
        <w:t xml:space="preserve">if the </w:t>
      </w:r>
      <w:r w:rsidR="00BB78DD" w:rsidRPr="00BB712F">
        <w:rPr>
          <w:rFonts w:eastAsia="Times New Roman" w:cs="Calibri"/>
        </w:rPr>
        <w:t xml:space="preserve">pattern of behavior </w:t>
      </w:r>
      <w:r w:rsidR="0001359F">
        <w:rPr>
          <w:rFonts w:eastAsia="Times New Roman" w:cs="Calibri"/>
        </w:rPr>
        <w:t>intends</w:t>
      </w:r>
      <w:r w:rsidR="00BB78DD" w:rsidRPr="00BB712F">
        <w:rPr>
          <w:rFonts w:eastAsia="Times New Roman" w:cs="Calibri"/>
        </w:rPr>
        <w:t xml:space="preserve"> to mimic the actual consequences of the DEA intervention, but this does not seem consistent with the pattern described.</w:t>
      </w:r>
      <w:r w:rsidR="00C47DA5" w:rsidRPr="00BB712F">
        <w:rPr>
          <w:rFonts w:eastAsia="Times New Roman" w:cs="Calibri"/>
        </w:rPr>
        <w:t xml:space="preserve"> </w:t>
      </w:r>
      <w:r w:rsidR="00BB78DD" w:rsidRPr="00BB712F">
        <w:rPr>
          <w:rFonts w:eastAsia="Times New Roman" w:cs="Calibri"/>
        </w:rPr>
        <w:t>It is likely that the operationalization of these disruptions needs to be corrected.</w:t>
      </w:r>
      <w:r w:rsidR="00C47DA5" w:rsidRPr="00BB712F">
        <w:rPr>
          <w:rFonts w:eastAsia="Times New Roman" w:cs="Calibri"/>
        </w:rPr>
        <w:t xml:space="preserve"> </w:t>
      </w:r>
    </w:p>
    <w:p w14:paraId="09775042" w14:textId="7550F261" w:rsidR="00284B54" w:rsidRPr="00F6347A" w:rsidRDefault="008B2240" w:rsidP="00F6347A">
      <w:pPr>
        <w:pStyle w:val="Heading3"/>
        <w:numPr>
          <w:ilvl w:val="2"/>
          <w:numId w:val="4"/>
        </w:numPr>
      </w:pPr>
      <w:bookmarkStart w:id="101" w:name="_Toc59050091"/>
      <w:r w:rsidRPr="00F6347A">
        <w:t>Overdoses, Deaths</w:t>
      </w:r>
      <w:r w:rsidR="00051BA3">
        <w:t>,</w:t>
      </w:r>
      <w:r w:rsidRPr="00F6347A">
        <w:t xml:space="preserve"> and Naloxone</w:t>
      </w:r>
      <w:bookmarkEnd w:id="101"/>
      <w:r w:rsidR="00284B54" w:rsidRPr="00F6347A">
        <w:t xml:space="preserve"> </w:t>
      </w:r>
    </w:p>
    <w:p w14:paraId="2F51B79A" w14:textId="464B552A" w:rsidR="00BB78DD" w:rsidRPr="00BB712F" w:rsidRDefault="00BB78DD" w:rsidP="00BB78DD">
      <w:pPr>
        <w:rPr>
          <w:rFonts w:eastAsia="Times New Roman" w:cs="Calibri"/>
        </w:rPr>
      </w:pPr>
      <w:r w:rsidRPr="00BB712F">
        <w:rPr>
          <w:rFonts w:eastAsia="Times New Roman" w:cs="Calibri"/>
        </w:rPr>
        <w:t xml:space="preserve">The modeling of non-fatal and fatal overdoses and the effects of naloxone on deaths is considerably more developed in </w:t>
      </w:r>
      <w:r w:rsidR="00165664" w:rsidRPr="00BB712F">
        <w:rPr>
          <w:rFonts w:eastAsia="Times New Roman" w:cs="Calibri"/>
        </w:rPr>
        <w:t>model v1110</w:t>
      </w:r>
      <w:r w:rsidRPr="00BB712F">
        <w:rPr>
          <w:rFonts w:eastAsia="Times New Roman" w:cs="Calibri"/>
        </w:rPr>
        <w:t xml:space="preserve"> compared to the HWM.</w:t>
      </w:r>
      <w:r w:rsidR="00C47DA5" w:rsidRPr="00BB712F">
        <w:rPr>
          <w:rFonts w:eastAsia="Times New Roman" w:cs="Calibri"/>
        </w:rPr>
        <w:t xml:space="preserve"> </w:t>
      </w:r>
      <w:r w:rsidRPr="00BB712F">
        <w:rPr>
          <w:rFonts w:eastAsia="Times New Roman" w:cs="Calibri"/>
        </w:rPr>
        <w:t xml:space="preserve">Each death flow in </w:t>
      </w:r>
      <w:r w:rsidR="00165664" w:rsidRPr="00BB712F">
        <w:rPr>
          <w:rFonts w:eastAsia="Times New Roman" w:cs="Calibri"/>
        </w:rPr>
        <w:t>model v1110</w:t>
      </w:r>
      <w:r w:rsidRPr="00BB712F">
        <w:rPr>
          <w:rFonts w:eastAsia="Times New Roman" w:cs="Calibri"/>
        </w:rPr>
        <w:t xml:space="preserve"> is calculated as a fraction per unit time of the relevant stock of users.</w:t>
      </w:r>
      <w:r w:rsidR="00C47DA5" w:rsidRPr="00BB712F">
        <w:rPr>
          <w:rFonts w:eastAsia="Times New Roman" w:cs="Calibri"/>
        </w:rPr>
        <w:t xml:space="preserve"> </w:t>
      </w:r>
      <w:r w:rsidRPr="00BB712F">
        <w:rPr>
          <w:rFonts w:eastAsia="Times New Roman" w:cs="Calibri"/>
        </w:rPr>
        <w:t xml:space="preserve">The fractional rates depend on the stocks from which they flow and are endogenously modified by other factors such as the prevalence of benzodiazepines in the drug supply, the penetration of fentanyl in the heroin supply, the prevalence of </w:t>
      </w:r>
      <w:r w:rsidRPr="00BB712F">
        <w:rPr>
          <w:rFonts w:eastAsia="Times New Roman" w:cs="Calibri"/>
        </w:rPr>
        <w:lastRenderedPageBreak/>
        <w:t>synthetics in the drug supply, and the likelihood that an overdose death is averted due to use of naloxone.</w:t>
      </w:r>
    </w:p>
    <w:p w14:paraId="6CFD663C" w14:textId="156799E7" w:rsidR="00BB78DD" w:rsidRPr="00BB712F" w:rsidRDefault="00165664" w:rsidP="00BB78DD">
      <w:pPr>
        <w:rPr>
          <w:rFonts w:eastAsia="Times New Roman" w:cs="Calibri"/>
        </w:rPr>
      </w:pPr>
      <w:r w:rsidRPr="00BB712F">
        <w:rPr>
          <w:rFonts w:eastAsia="Times New Roman" w:cs="Calibri"/>
        </w:rPr>
        <w:t>Model v1110</w:t>
      </w:r>
      <w:r w:rsidR="00BB78DD" w:rsidRPr="00BB712F">
        <w:rPr>
          <w:rFonts w:eastAsia="Times New Roman" w:cs="Calibri"/>
        </w:rPr>
        <w:t xml:space="preserve"> model also contains a well-developed representation of the use of naloxone.</w:t>
      </w:r>
      <w:r w:rsidR="00C47DA5" w:rsidRPr="00BB712F">
        <w:rPr>
          <w:rFonts w:eastAsia="Times New Roman" w:cs="Calibri"/>
        </w:rPr>
        <w:t xml:space="preserve"> </w:t>
      </w:r>
      <w:r w:rsidRPr="00BB712F">
        <w:rPr>
          <w:rFonts w:eastAsia="Times New Roman" w:cs="Calibri"/>
        </w:rPr>
        <w:t>Model v1110</w:t>
      </w:r>
      <w:r w:rsidR="00BB78DD" w:rsidRPr="00BB712F">
        <w:rPr>
          <w:rFonts w:eastAsia="Times New Roman" w:cs="Calibri"/>
        </w:rPr>
        <w:t xml:space="preserve"> carefully accounts for several different causal paths through which an overdosed user might receive naloxone.</w:t>
      </w:r>
      <w:r w:rsidR="00C47DA5" w:rsidRPr="00BB712F">
        <w:rPr>
          <w:rFonts w:eastAsia="Times New Roman" w:cs="Calibri"/>
        </w:rPr>
        <w:t xml:space="preserve"> </w:t>
      </w:r>
      <w:r w:rsidRPr="00BB712F">
        <w:rPr>
          <w:rFonts w:eastAsia="Times New Roman" w:cs="Calibri"/>
        </w:rPr>
        <w:t>Model v1110</w:t>
      </w:r>
      <w:r w:rsidR="00BB78DD" w:rsidRPr="00BB712F">
        <w:rPr>
          <w:rFonts w:eastAsia="Times New Roman" w:cs="Calibri"/>
        </w:rPr>
        <w:t xml:space="preserve"> tracks overdoes through a chain of events that include the likelihood that an overdose is witnessed and if so the likelihood of calling emergency services.</w:t>
      </w:r>
      <w:r w:rsidR="0053633C">
        <w:rPr>
          <w:rFonts w:eastAsia="Times New Roman" w:cs="Calibri"/>
        </w:rPr>
        <w:t xml:space="preserve"> </w:t>
      </w:r>
      <w:r w:rsidR="00BB78DD" w:rsidRPr="00BB712F">
        <w:rPr>
          <w:rFonts w:eastAsia="Times New Roman" w:cs="Calibri"/>
        </w:rPr>
        <w:t>Another path is from law enforcement officers</w:t>
      </w:r>
      <w:r w:rsidR="007E2598">
        <w:rPr>
          <w:rFonts w:eastAsia="Times New Roman" w:cs="Calibri"/>
        </w:rPr>
        <w:t xml:space="preserve"> </w:t>
      </w:r>
      <w:r w:rsidR="00BB78DD" w:rsidRPr="00BB712F">
        <w:rPr>
          <w:rFonts w:eastAsia="Times New Roman" w:cs="Calibri"/>
        </w:rPr>
        <w:t>(LEO), so the model includes the likelihood of getting naloxone from a LEO (based on an exogenous time series</w:t>
      </w:r>
      <w:r w:rsidR="00274D98" w:rsidRPr="00BB712F">
        <w:rPr>
          <w:rFonts w:eastAsia="Times New Roman" w:cs="Calibri"/>
        </w:rPr>
        <w:t>)</w:t>
      </w:r>
      <w:r w:rsidR="00BB78DD" w:rsidRPr="00BB712F">
        <w:rPr>
          <w:rFonts w:eastAsia="Times New Roman" w:cs="Calibri"/>
        </w:rPr>
        <w:t>.</w:t>
      </w:r>
      <w:r w:rsidR="00C47DA5" w:rsidRPr="00BB712F">
        <w:rPr>
          <w:rFonts w:eastAsia="Times New Roman" w:cs="Calibri"/>
        </w:rPr>
        <w:t xml:space="preserve"> </w:t>
      </w:r>
      <w:r w:rsidR="00BB78DD" w:rsidRPr="00BB712F">
        <w:rPr>
          <w:rFonts w:eastAsia="Times New Roman" w:cs="Calibri"/>
        </w:rPr>
        <w:t>The model also includes naloxone administration by bystanders, which in turn depends on the availability of naloxone among bystanders, which of course is influence</w:t>
      </w:r>
      <w:r w:rsidR="00DF3295">
        <w:rPr>
          <w:rFonts w:eastAsia="Times New Roman" w:cs="Calibri"/>
        </w:rPr>
        <w:t>d</w:t>
      </w:r>
      <w:r w:rsidR="00BB78DD" w:rsidRPr="00BB712F">
        <w:rPr>
          <w:rFonts w:eastAsia="Times New Roman" w:cs="Calibri"/>
        </w:rPr>
        <w:t xml:space="preserve"> by naloxone distribution and use policies.</w:t>
      </w:r>
    </w:p>
    <w:p w14:paraId="5047FD16" w14:textId="177145B7" w:rsidR="00BB78DD" w:rsidRPr="00BB712F" w:rsidRDefault="00BB78DD" w:rsidP="00BB78DD">
      <w:pPr>
        <w:rPr>
          <w:rFonts w:eastAsia="Times New Roman" w:cs="Calibri"/>
        </w:rPr>
      </w:pPr>
      <w:r w:rsidRPr="00BB712F">
        <w:rPr>
          <w:rFonts w:eastAsia="Times New Roman" w:cs="Calibri"/>
        </w:rPr>
        <w:t xml:space="preserve">The naloxone sector of </w:t>
      </w:r>
      <w:r w:rsidR="00165664" w:rsidRPr="00BB712F">
        <w:rPr>
          <w:rFonts w:eastAsia="Times New Roman" w:cs="Calibri"/>
        </w:rPr>
        <w:t>model v1110</w:t>
      </w:r>
      <w:r w:rsidRPr="00BB712F">
        <w:rPr>
          <w:rFonts w:eastAsia="Times New Roman" w:cs="Calibri"/>
        </w:rPr>
        <w:t xml:space="preserve"> should be considered a major strength of this model compared to the HWM.</w:t>
      </w:r>
      <w:r w:rsidR="00C47DA5" w:rsidRPr="00BB712F">
        <w:rPr>
          <w:rFonts w:eastAsia="Times New Roman" w:cs="Calibri"/>
        </w:rPr>
        <w:t xml:space="preserve"> </w:t>
      </w:r>
      <w:r w:rsidRPr="00BB712F">
        <w:rPr>
          <w:rFonts w:eastAsia="Times New Roman" w:cs="Calibri"/>
        </w:rPr>
        <w:t>The more disaggregated and higher fidelity representation of overdose, naloxone, and deaths will help support a variety of possible policy interventions in this domain.</w:t>
      </w:r>
      <w:r w:rsidR="00C47DA5" w:rsidRPr="00BB712F">
        <w:rPr>
          <w:rFonts w:eastAsia="Times New Roman" w:cs="Calibri"/>
        </w:rPr>
        <w:t xml:space="preserve"> </w:t>
      </w:r>
      <w:r w:rsidRPr="00BB712F">
        <w:rPr>
          <w:rFonts w:eastAsia="Times New Roman" w:cs="Calibri"/>
        </w:rPr>
        <w:t>Almost any step in the causal paths described in the previous paragraph offers a possible policy intervention, so the rich detail in this sector will facilitate examination of a range of policy interventions, including combinations using several policy levers.</w:t>
      </w:r>
    </w:p>
    <w:p w14:paraId="74C52768" w14:textId="3AADE57E" w:rsidR="00BB78DD" w:rsidRPr="00F62789" w:rsidRDefault="00BB78DD" w:rsidP="00F62789">
      <w:pPr>
        <w:pStyle w:val="Heading3"/>
        <w:numPr>
          <w:ilvl w:val="2"/>
          <w:numId w:val="4"/>
        </w:numPr>
      </w:pPr>
      <w:bookmarkStart w:id="102" w:name="_Toc59050092"/>
      <w:r w:rsidRPr="00F62789">
        <w:t>Heroin</w:t>
      </w:r>
      <w:bookmarkEnd w:id="102"/>
    </w:p>
    <w:p w14:paraId="10275ABE" w14:textId="57CB10DF" w:rsidR="00BB78DD" w:rsidRPr="00BB712F" w:rsidRDefault="00BB78DD" w:rsidP="00F62789">
      <w:pPr>
        <w:rPr>
          <w:rFonts w:eastAsia="Times New Roman" w:cs="Calibri"/>
        </w:rPr>
      </w:pPr>
      <w:r w:rsidRPr="00BB712F">
        <w:rPr>
          <w:rFonts w:eastAsia="Times New Roman" w:cs="Calibri"/>
        </w:rPr>
        <w:t xml:space="preserve">As shown in </w:t>
      </w:r>
      <w:r w:rsidR="008A2F11">
        <w:fldChar w:fldCharType="begin"/>
      </w:r>
      <w:r w:rsidR="008A2F11">
        <w:instrText xml:space="preserve"> REF _Ref58950508 \h </w:instrText>
      </w:r>
      <w:r w:rsidR="008A2F11">
        <w:fldChar w:fldCharType="separate"/>
      </w:r>
      <w:r w:rsidR="008A2F11">
        <w:t xml:space="preserve">Table </w:t>
      </w:r>
      <w:r w:rsidR="008A2F11">
        <w:rPr>
          <w:noProof/>
        </w:rPr>
        <w:t>8</w:t>
      </w:r>
      <w:r w:rsidR="008A2F11">
        <w:noBreakHyphen/>
      </w:r>
      <w:r w:rsidR="008A2F11">
        <w:rPr>
          <w:noProof/>
        </w:rPr>
        <w:t>1</w:t>
      </w:r>
      <w:r w:rsidR="008A2F11">
        <w:fldChar w:fldCharType="end"/>
      </w:r>
      <w:r w:rsidRPr="00BB712F">
        <w:rPr>
          <w:rFonts w:eastAsia="Times New Roman" w:cs="Calibri"/>
        </w:rPr>
        <w:t xml:space="preserve">, there is not a one-to-one mapping of the stocks in </w:t>
      </w:r>
      <w:r w:rsidR="00165664" w:rsidRPr="00BB712F">
        <w:rPr>
          <w:rFonts w:eastAsia="Times New Roman" w:cs="Calibri"/>
        </w:rPr>
        <w:t>model v1110</w:t>
      </w:r>
      <w:r w:rsidRPr="00BB712F">
        <w:rPr>
          <w:rFonts w:eastAsia="Times New Roman" w:cs="Calibri"/>
        </w:rPr>
        <w:t xml:space="preserve"> to the stocks in the HWM.</w:t>
      </w:r>
      <w:r w:rsidR="00C47DA5" w:rsidRPr="00BB712F">
        <w:rPr>
          <w:rFonts w:eastAsia="Times New Roman" w:cs="Calibri"/>
        </w:rPr>
        <w:t xml:space="preserve"> </w:t>
      </w:r>
      <w:r w:rsidRPr="00BB712F">
        <w:rPr>
          <w:rFonts w:eastAsia="Times New Roman" w:cs="Calibri"/>
        </w:rPr>
        <w:t>There is no reason for concern that the stocks do not map directly to each other, but it does mean that we must be cautious about making comparisons from one model to the other.</w:t>
      </w:r>
      <w:r w:rsidR="00C47DA5" w:rsidRPr="00BB712F">
        <w:rPr>
          <w:rFonts w:eastAsia="Times New Roman" w:cs="Calibri"/>
        </w:rPr>
        <w:t xml:space="preserve"> </w:t>
      </w:r>
      <w:r w:rsidRPr="00BB712F">
        <w:rPr>
          <w:rFonts w:eastAsia="Times New Roman" w:cs="Calibri"/>
        </w:rPr>
        <w:t>The difference in stock definitions is most notable in the stocks of heroin users, as shown in the table.</w:t>
      </w:r>
    </w:p>
    <w:p w14:paraId="267D640F" w14:textId="708AF854" w:rsidR="0016326B" w:rsidRDefault="007E1509" w:rsidP="00CC49EF">
      <w:pPr>
        <w:pStyle w:val="Heading2"/>
      </w:pPr>
      <w:bookmarkStart w:id="103" w:name="_Policy_Comparison"/>
      <w:bookmarkStart w:id="104" w:name="_Toc59050093"/>
      <w:bookmarkEnd w:id="103"/>
      <w:r>
        <w:t>P</w:t>
      </w:r>
      <w:r w:rsidR="0077043F">
        <w:t>olicy</w:t>
      </w:r>
      <w:r w:rsidR="00D76471">
        <w:t xml:space="preserve"> </w:t>
      </w:r>
      <w:r w:rsidR="007C4B1B">
        <w:t>C</w:t>
      </w:r>
      <w:r w:rsidR="00D76471">
        <w:t>omparison</w:t>
      </w:r>
      <w:bookmarkEnd w:id="104"/>
    </w:p>
    <w:p w14:paraId="0A4FE2DB" w14:textId="719EADDF" w:rsidR="00274D98" w:rsidRPr="00BB712F" w:rsidRDefault="00D026C7" w:rsidP="00333B2C">
      <w:r w:rsidRPr="00BB712F">
        <w:t>This section reports on a comparison of two policy scenarios analyzed using</w:t>
      </w:r>
      <w:r w:rsidR="00415A3C" w:rsidRPr="00BB712F">
        <w:t xml:space="preserve"> model v1110</w:t>
      </w:r>
      <w:r w:rsidRPr="00BB712F">
        <w:t xml:space="preserve"> and using the</w:t>
      </w:r>
      <w:r w:rsidR="0054587B" w:rsidRPr="00BB712F">
        <w:t xml:space="preserve"> HWM</w:t>
      </w:r>
      <w:r w:rsidRPr="00BB712F">
        <w:t>.</w:t>
      </w:r>
      <w:r w:rsidR="00C47DA5" w:rsidRPr="00BB712F">
        <w:t xml:space="preserve"> </w:t>
      </w:r>
      <w:r w:rsidRPr="00BB712F">
        <w:t xml:space="preserve">The </w:t>
      </w:r>
      <w:r w:rsidR="00EC5C7B" w:rsidRPr="00BB712F">
        <w:t>Homer</w:t>
      </w:r>
      <w:r w:rsidR="00EC5C7B">
        <w:t xml:space="preserve"> and </w:t>
      </w:r>
      <w:r w:rsidR="00EC5C7B" w:rsidRPr="00BB712F">
        <w:t xml:space="preserve">Wakeland </w:t>
      </w:r>
      <w:r w:rsidR="00EC5C7B">
        <w:t xml:space="preserve">(2020) </w:t>
      </w:r>
      <w:r w:rsidRPr="00BB712F">
        <w:t>paper reports these scenarios as illustrative tests implemented starting in 2020 through the end of the simulation in 2030.</w:t>
      </w:r>
      <w:r w:rsidR="00C47DA5" w:rsidRPr="00BB712F">
        <w:t xml:space="preserve"> </w:t>
      </w:r>
      <w:r w:rsidRPr="00BB712F">
        <w:t xml:space="preserve">To conduct this policy comparison here, we reproduced the scenarios reported in </w:t>
      </w:r>
      <w:r w:rsidR="00431C82" w:rsidRPr="00BB712F">
        <w:t>Homer</w:t>
      </w:r>
      <w:r w:rsidR="00431C82">
        <w:t xml:space="preserve"> and </w:t>
      </w:r>
      <w:r w:rsidR="00431C82" w:rsidRPr="00BB712F">
        <w:t xml:space="preserve">Wakeland </w:t>
      </w:r>
      <w:r w:rsidR="00431C82">
        <w:t xml:space="preserve">(2020) </w:t>
      </w:r>
      <w:r w:rsidRPr="00BB712F">
        <w:t xml:space="preserve">and confirmed that the resulting values of three variables in 2030 were as reported in the paper. </w:t>
      </w:r>
      <w:r w:rsidR="009B4FF4" w:rsidRPr="00BB712F">
        <w:t>Homer</w:t>
      </w:r>
      <w:r w:rsidR="009B4FF4">
        <w:t xml:space="preserve"> and </w:t>
      </w:r>
      <w:r w:rsidR="009B4FF4" w:rsidRPr="00BB712F">
        <w:t xml:space="preserve">Wakeland </w:t>
      </w:r>
      <w:r w:rsidR="009B4FF4">
        <w:t>(2020)</w:t>
      </w:r>
      <w:r w:rsidR="0053633C">
        <w:t xml:space="preserve"> </w:t>
      </w:r>
      <w:r w:rsidRPr="00BB712F">
        <w:t>selected these three variables for comparison of several policy options because they most directly indicate the burden of opioid use.</w:t>
      </w:r>
      <w:r w:rsidR="00C47DA5" w:rsidRPr="00BB712F">
        <w:t xml:space="preserve"> </w:t>
      </w:r>
      <w:r w:rsidRPr="00BB712F">
        <w:t xml:space="preserve">Accordingly, </w:t>
      </w:r>
      <w:r w:rsidR="009B4FF4">
        <w:t>here we</w:t>
      </w:r>
      <w:r w:rsidRPr="00BB712F">
        <w:t xml:space="preserve"> use the same three constructs for comparison of the policy analyses accomplished in the two models</w:t>
      </w:r>
      <w:r w:rsidR="007C326C">
        <w:t xml:space="preserve"> (as of 2030)</w:t>
      </w:r>
      <w:r w:rsidRPr="00BB712F">
        <w:t>:</w:t>
      </w:r>
      <w:r w:rsidR="00C47DA5" w:rsidRPr="00BB712F">
        <w:t xml:space="preserve"> </w:t>
      </w:r>
      <w:r w:rsidRPr="00BB712F">
        <w:t>persons with OUD, overdoses, and overdose deaths.</w:t>
      </w:r>
      <w:r w:rsidR="00C47DA5" w:rsidRPr="00BB712F">
        <w:t xml:space="preserve"> </w:t>
      </w:r>
      <w:r w:rsidRPr="00BB712F">
        <w:t xml:space="preserve">The variable names in </w:t>
      </w:r>
      <w:r w:rsidR="00165664" w:rsidRPr="00BB712F">
        <w:t>model v1110</w:t>
      </w:r>
      <w:r w:rsidRPr="00BB712F">
        <w:t xml:space="preserve"> and the HWM are not identical, nor are the exact definitions of these variables, in part due to the differences in stock and flow structure described earlier in </w:t>
      </w:r>
      <w:hyperlink w:anchor="_Model_Comparator_1" w:history="1">
        <w:r w:rsidR="00B33BFD" w:rsidRPr="00B33BFD">
          <w:rPr>
            <w:rStyle w:val="Hyperlink"/>
          </w:rPr>
          <w:t>Section 8</w:t>
        </w:r>
      </w:hyperlink>
      <w:r w:rsidRPr="00BB712F">
        <w:t xml:space="preserve">.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Pr="00BB712F">
        <w:t xml:space="preserve"> summarizes the results of comparisons of two policy scenarios and includes the exact names of the roughly comparable variables from each of the two models.</w:t>
      </w:r>
      <w:r w:rsidR="00C47DA5" w:rsidRPr="00BB712F">
        <w:t xml:space="preserve"> </w:t>
      </w:r>
      <w:r w:rsidRPr="00BB712F">
        <w:t>Persons with OUD and overdose deaths are similar constructs, and the baseline values are similar.</w:t>
      </w:r>
      <w:r w:rsidR="00C47DA5" w:rsidRPr="00BB712F">
        <w:t xml:space="preserve"> </w:t>
      </w:r>
      <w:r w:rsidRPr="00BB712F">
        <w:t>However, overdoses are tracked differently in the two models.</w:t>
      </w:r>
      <w:r w:rsidR="00C47DA5" w:rsidRPr="00BB712F">
        <w:t xml:space="preserve"> </w:t>
      </w:r>
      <w:r w:rsidRPr="00BB712F">
        <w:t xml:space="preserve">The HWM reports overdoses seen at the ED, whereas </w:t>
      </w:r>
      <w:r w:rsidR="00165664" w:rsidRPr="00BB712F">
        <w:t>model v1110</w:t>
      </w:r>
      <w:r w:rsidRPr="00BB712F">
        <w:t xml:space="preserve"> instead reports overdoses from POs, some fraction of which would be seen at the ED</w:t>
      </w:r>
      <w:r w:rsidR="00533AD6">
        <w:t>.</w:t>
      </w:r>
    </w:p>
    <w:p w14:paraId="41A5D800" w14:textId="4C977CC3" w:rsidR="00E2183C" w:rsidRDefault="00D026C7" w:rsidP="00D026C7">
      <w:pPr>
        <w:rPr>
          <w:color w:val="00B050"/>
        </w:rPr>
        <w:sectPr w:rsidR="00E2183C" w:rsidSect="00230490">
          <w:headerReference w:type="default" r:id="rId60"/>
          <w:pgSz w:w="12240" w:h="15840" w:code="1"/>
          <w:pgMar w:top="1440" w:right="1440" w:bottom="1440" w:left="1440" w:header="720" w:footer="720" w:gutter="0"/>
          <w:cols w:space="720"/>
          <w:noEndnote/>
          <w:docGrid w:linePitch="326"/>
        </w:sectPr>
      </w:pPr>
      <w:r w:rsidRPr="00BB712F">
        <w:t>The important comparisons in this section are how the behavior of each model changes relative to its own baseline, not the comparison of variable quantities per se, so we have not attempted to reconcile these differences in baseline values or variable definitions.</w:t>
      </w:r>
      <w:r w:rsidR="00C47DA5" w:rsidRPr="00BB712F">
        <w:t xml:space="preserve"> </w:t>
      </w:r>
      <w:r w:rsidRPr="00BB712F">
        <w:t>Such differences are to be expected when models are developed separately.</w:t>
      </w:r>
      <w:r w:rsidR="00C47DA5" w:rsidRPr="00BB712F">
        <w:t xml:space="preserve"> </w:t>
      </w:r>
      <w:r w:rsidRPr="00BB712F">
        <w:t xml:space="preserve">For </w:t>
      </w:r>
      <w:r w:rsidR="00165664" w:rsidRPr="00BB712F">
        <w:t>model v1110</w:t>
      </w:r>
      <w:r w:rsidRPr="00BB712F">
        <w:t xml:space="preserve">, the scenarios reported here are all conducted with the </w:t>
      </w:r>
      <w:r w:rsidRPr="00C229D8">
        <w:rPr>
          <w:b/>
        </w:rPr>
        <w:t>Switch for Constant Projections</w:t>
      </w:r>
      <w:r w:rsidRPr="00BB712F">
        <w:t xml:space="preserve"> set to 1, which has the effect of holding a set of exogenous time series at their 202</w:t>
      </w:r>
      <w:r w:rsidR="002A02C9" w:rsidRPr="00BB712F">
        <w:t>0</w:t>
      </w:r>
      <w:r w:rsidRPr="00BB712F">
        <w:t xml:space="preserve"> values, a setting that is somewhat comparable to the baseline runs for the HWM.</w:t>
      </w:r>
    </w:p>
    <w:p w14:paraId="7B79D45E" w14:textId="1D34C943" w:rsidR="00396387" w:rsidRDefault="00396387" w:rsidP="00396387">
      <w:pPr>
        <w:pStyle w:val="Caption"/>
        <w:rPr>
          <w:bCs/>
          <w:color w:val="00B050"/>
        </w:rPr>
      </w:pPr>
      <w:bookmarkStart w:id="105" w:name="_Ref58950411"/>
      <w:bookmarkStart w:id="106" w:name="_Toc59050108"/>
      <w:r>
        <w:lastRenderedPageBreak/>
        <w:t xml:space="preserve">Table </w:t>
      </w:r>
      <w:fldSimple w:instr=" STYLEREF 1 \s ">
        <w:r>
          <w:rPr>
            <w:noProof/>
          </w:rPr>
          <w:t>8</w:t>
        </w:r>
      </w:fldSimple>
      <w:r>
        <w:noBreakHyphen/>
      </w:r>
      <w:fldSimple w:instr=" SEQ Table \* ARABIC \s 1 ">
        <w:r>
          <w:rPr>
            <w:noProof/>
          </w:rPr>
          <w:t>2</w:t>
        </w:r>
      </w:fldSimple>
      <w:bookmarkEnd w:id="105"/>
      <w:r>
        <w:t xml:space="preserve">: </w:t>
      </w:r>
      <w:r w:rsidRPr="003A0708">
        <w:t xml:space="preserve">Policy </w:t>
      </w:r>
      <w:r>
        <w:t>C</w:t>
      </w:r>
      <w:r w:rsidRPr="003A0708">
        <w:t xml:space="preserve">omparison </w:t>
      </w:r>
      <w:r>
        <w:t>B</w:t>
      </w:r>
      <w:r w:rsidRPr="003A0708">
        <w:t xml:space="preserve">etween </w:t>
      </w:r>
      <w:r>
        <w:t>M</w:t>
      </w:r>
      <w:r w:rsidRPr="003A0708">
        <w:t>odel v1110 and</w:t>
      </w:r>
      <w:r w:rsidR="003F34F0">
        <w:t xml:space="preserve"> the</w:t>
      </w:r>
      <w:r w:rsidRPr="003A0708">
        <w:t xml:space="preserve"> HWM</w:t>
      </w:r>
      <w:bookmarkEnd w:id="106"/>
      <w:r>
        <w:t xml:space="preserve"> </w:t>
      </w:r>
    </w:p>
    <w:tbl>
      <w:tblPr>
        <w:tblW w:w="0" w:type="auto"/>
        <w:tblLook w:val="04A0" w:firstRow="1" w:lastRow="0" w:firstColumn="1" w:lastColumn="0" w:noHBand="0" w:noVBand="1"/>
      </w:tblPr>
      <w:tblGrid>
        <w:gridCol w:w="929"/>
        <w:gridCol w:w="2259"/>
        <w:gridCol w:w="1293"/>
        <w:gridCol w:w="1410"/>
        <w:gridCol w:w="1343"/>
        <w:gridCol w:w="1281"/>
        <w:gridCol w:w="1003"/>
        <w:gridCol w:w="1180"/>
        <w:gridCol w:w="1134"/>
        <w:gridCol w:w="1118"/>
      </w:tblGrid>
      <w:tr w:rsidR="00396387" w:rsidRPr="0056518F" w14:paraId="69C47D04" w14:textId="77777777" w:rsidTr="009870D8">
        <w:trPr>
          <w:trHeight w:val="290"/>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0BD51BB4"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FFFFFF"/>
              <w:left w:val="single" w:sz="4" w:space="0" w:color="FFFFFF"/>
              <w:bottom w:val="single" w:sz="4" w:space="0" w:color="FFFFFF"/>
              <w:right w:val="single" w:sz="4" w:space="0" w:color="BFBFBF"/>
            </w:tcBorders>
            <w:shd w:val="clear" w:color="auto" w:fill="auto"/>
            <w:noWrap/>
            <w:vAlign w:val="center"/>
            <w:hideMark/>
          </w:tcPr>
          <w:p w14:paraId="09947E1E" w14:textId="77777777" w:rsidR="00396387" w:rsidRPr="00DD5C35" w:rsidRDefault="00396387" w:rsidP="009870D8">
            <w:pPr>
              <w:spacing w:after="0"/>
              <w:jc w:val="center"/>
              <w:rPr>
                <w:rFonts w:ascii="Times New Roman" w:eastAsia="Times New Roman" w:hAnsi="Times New Roman" w:cs="Times New Roman"/>
                <w:b/>
                <w:sz w:val="20"/>
                <w:lang w:eastAsia="en-US"/>
              </w:rPr>
            </w:pP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243646" w:themeFill="accent2"/>
            <w:noWrap/>
            <w:vAlign w:val="center"/>
            <w:hideMark/>
          </w:tcPr>
          <w:p w14:paraId="20B70171"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bCs/>
                <w:color w:val="FFFFFF" w:themeColor="background1"/>
                <w:sz w:val="20"/>
                <w:lang w:eastAsia="en-US"/>
              </w:rPr>
              <w:t>H</w:t>
            </w:r>
            <w:r>
              <w:rPr>
                <w:rFonts w:eastAsia="Times New Roman" w:cs="Calibri"/>
                <w:b/>
                <w:bCs/>
                <w:color w:val="FFFFFF" w:themeColor="background1"/>
                <w:sz w:val="20"/>
                <w:lang w:eastAsia="en-US"/>
              </w:rPr>
              <w:t>omer and Wakeland (2020)</w:t>
            </w:r>
            <w:r w:rsidRPr="00DD5C35">
              <w:rPr>
                <w:rFonts w:eastAsia="Times New Roman" w:cs="Calibri"/>
                <w:b/>
                <w:bCs/>
                <w:color w:val="FFFFFF" w:themeColor="background1"/>
                <w:sz w:val="20"/>
                <w:lang w:eastAsia="en-US"/>
              </w:rPr>
              <w:t xml:space="preserve"> Simulated Results as of 2030</w:t>
            </w: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87AF99" w:themeFill="accent3"/>
            <w:noWrap/>
            <w:vAlign w:val="center"/>
            <w:hideMark/>
          </w:tcPr>
          <w:p w14:paraId="27BF1CE6" w14:textId="77777777" w:rsidR="00396387" w:rsidRPr="00DD5C35" w:rsidRDefault="00396387" w:rsidP="009870D8">
            <w:pPr>
              <w:spacing w:after="0"/>
              <w:jc w:val="center"/>
              <w:rPr>
                <w:rFonts w:eastAsia="Times New Roman" w:cs="Calibri"/>
                <w:b/>
                <w:bCs/>
                <w:color w:val="FFFFFF" w:themeColor="background1"/>
                <w:sz w:val="20"/>
                <w:lang w:eastAsia="en-US"/>
              </w:rPr>
            </w:pPr>
            <w:r w:rsidRPr="00DD5C35">
              <w:rPr>
                <w:rFonts w:eastAsia="Times New Roman" w:cs="Calibri"/>
                <w:b/>
                <w:bCs/>
                <w:color w:val="FFFFFF" w:themeColor="background1"/>
                <w:sz w:val="20"/>
                <w:lang w:eastAsia="en-US"/>
              </w:rPr>
              <w:t xml:space="preserve">Percent </w:t>
            </w:r>
            <w:r>
              <w:rPr>
                <w:rFonts w:eastAsia="Times New Roman" w:cs="Calibri"/>
                <w:b/>
                <w:bCs/>
                <w:color w:val="FFFFFF" w:themeColor="background1"/>
                <w:sz w:val="20"/>
                <w:lang w:eastAsia="en-US"/>
              </w:rPr>
              <w:t>C</w:t>
            </w:r>
            <w:r w:rsidRPr="00DD5C35">
              <w:rPr>
                <w:rFonts w:eastAsia="Times New Roman" w:cs="Calibri"/>
                <w:b/>
                <w:bCs/>
                <w:color w:val="FFFFFF" w:themeColor="background1"/>
                <w:sz w:val="20"/>
                <w:lang w:eastAsia="en-US"/>
              </w:rPr>
              <w:t xml:space="preserve">hange </w:t>
            </w:r>
            <w:r>
              <w:rPr>
                <w:rFonts w:eastAsia="Times New Roman" w:cs="Calibri"/>
                <w:b/>
                <w:bCs/>
                <w:color w:val="FFFFFF" w:themeColor="background1"/>
                <w:sz w:val="20"/>
                <w:lang w:eastAsia="en-US"/>
              </w:rPr>
              <w:t>F</w:t>
            </w:r>
            <w:r w:rsidRPr="00DD5C35">
              <w:rPr>
                <w:rFonts w:eastAsia="Times New Roman" w:cs="Calibri"/>
                <w:b/>
                <w:bCs/>
                <w:color w:val="FFFFFF" w:themeColor="background1"/>
                <w:sz w:val="20"/>
                <w:lang w:eastAsia="en-US"/>
              </w:rPr>
              <w:t xml:space="preserve">rom </w:t>
            </w:r>
            <w:r>
              <w:rPr>
                <w:rFonts w:eastAsia="Times New Roman" w:cs="Calibri"/>
                <w:b/>
                <w:bCs/>
                <w:color w:val="FFFFFF" w:themeColor="background1"/>
                <w:sz w:val="20"/>
                <w:lang w:eastAsia="en-US"/>
              </w:rPr>
              <w:t>B</w:t>
            </w:r>
            <w:r w:rsidRPr="00DD5C35">
              <w:rPr>
                <w:rFonts w:eastAsia="Times New Roman" w:cs="Calibri"/>
                <w:b/>
                <w:bCs/>
                <w:color w:val="FFFFFF" w:themeColor="background1"/>
                <w:sz w:val="20"/>
                <w:lang w:eastAsia="en-US"/>
              </w:rPr>
              <w:t>aseline</w:t>
            </w:r>
          </w:p>
        </w:tc>
      </w:tr>
      <w:tr w:rsidR="00396387" w:rsidRPr="00456A93" w14:paraId="4391375A" w14:textId="77777777" w:rsidTr="009870D8">
        <w:trPr>
          <w:trHeight w:val="737"/>
        </w:trPr>
        <w:tc>
          <w:tcPr>
            <w:tcW w:w="0" w:type="auto"/>
            <w:tcBorders>
              <w:top w:val="single" w:sz="4" w:space="0" w:color="FFFFFF"/>
              <w:left w:val="single" w:sz="4" w:space="0" w:color="FFFFFF"/>
              <w:bottom w:val="single" w:sz="4" w:space="0" w:color="BFBFBF"/>
              <w:right w:val="single" w:sz="4" w:space="0" w:color="FFFFFF"/>
            </w:tcBorders>
            <w:shd w:val="clear" w:color="auto" w:fill="auto"/>
            <w:vAlign w:val="bottom"/>
            <w:hideMark/>
          </w:tcPr>
          <w:p w14:paraId="31FCFE03"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FFFFFF"/>
              <w:left w:val="single" w:sz="4" w:space="0" w:color="FFFFFF"/>
              <w:bottom w:val="single" w:sz="4" w:space="0" w:color="BFBFBF"/>
              <w:right w:val="single" w:sz="4" w:space="0" w:color="BFBFBF"/>
            </w:tcBorders>
            <w:shd w:val="clear" w:color="auto" w:fill="auto"/>
            <w:vAlign w:val="center"/>
            <w:hideMark/>
          </w:tcPr>
          <w:p w14:paraId="51A980B8" w14:textId="77777777" w:rsidR="00396387" w:rsidRPr="00DD5C35" w:rsidRDefault="00396387" w:rsidP="009870D8">
            <w:pPr>
              <w:spacing w:after="0"/>
              <w:jc w:val="center"/>
              <w:rPr>
                <w:rFonts w:ascii="Times New Roman" w:eastAsia="Times New Roman" w:hAnsi="Times New Roman" w:cs="Times New Roman"/>
                <w:b/>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6EBC058E"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Persons with OUD (thou)</w:t>
            </w:r>
          </w:p>
        </w:tc>
        <w:tc>
          <w:tcPr>
            <w:tcW w:w="0" w:type="auto"/>
            <w:gridSpan w:val="2"/>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E2E1C4F"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0A00E921"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 deaths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5FFC5614"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Persons with OUD (thou)</w:t>
            </w:r>
          </w:p>
        </w:tc>
        <w:tc>
          <w:tcPr>
            <w:tcW w:w="0" w:type="auto"/>
            <w:gridSpan w:val="2"/>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E7F14DB"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1C4FFC5D"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 deaths</w:t>
            </w:r>
          </w:p>
        </w:tc>
      </w:tr>
      <w:tr w:rsidR="00396387" w:rsidRPr="0056518F" w14:paraId="3EFF051A" w14:textId="77777777" w:rsidTr="009870D8">
        <w:trPr>
          <w:trHeight w:val="81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243646" w:themeFill="text2"/>
            <w:vAlign w:val="center"/>
            <w:hideMark/>
          </w:tcPr>
          <w:p w14:paraId="3505610C" w14:textId="77777777" w:rsidR="00396387" w:rsidRPr="00A15C0D" w:rsidRDefault="00396387" w:rsidP="009870D8">
            <w:pPr>
              <w:spacing w:after="0"/>
              <w:jc w:val="center"/>
              <w:rPr>
                <w:rFonts w:eastAsia="Times New Roman" w:cs="Calibri"/>
                <w:b/>
                <w:color w:val="FFFFFF" w:themeColor="background1"/>
                <w:sz w:val="20"/>
                <w:lang w:eastAsia="en-US"/>
              </w:rPr>
            </w:pPr>
            <w:r w:rsidRPr="00A15C0D">
              <w:rPr>
                <w:rFonts w:eastAsia="Times New Roman" w:cs="Calibri"/>
                <w:b/>
                <w:color w:val="FFFFFF" w:themeColor="background1"/>
                <w:sz w:val="20"/>
                <w:lang w:eastAsia="en-US"/>
              </w:rPr>
              <w:t>Scenario</w:t>
            </w:r>
          </w:p>
          <w:p w14:paraId="2A68CBAC" w14:textId="77777777" w:rsidR="00396387" w:rsidRPr="00A15C0D" w:rsidRDefault="00396387" w:rsidP="009870D8">
            <w:pPr>
              <w:spacing w:after="0"/>
              <w:jc w:val="center"/>
              <w:rPr>
                <w:rFonts w:eastAsia="Times New Roman" w:cs="Calibri"/>
                <w:b/>
                <w:color w:val="FFFFFF" w:themeColor="background1"/>
                <w:sz w:val="20"/>
                <w:lang w:eastAsia="en-US"/>
              </w:rPr>
            </w:pPr>
            <w:r w:rsidRPr="00A15C0D">
              <w:rPr>
                <w:rFonts w:eastAsia="Times New Roman" w:cs="Calibri"/>
                <w:b/>
                <w:color w:val="FFFFFF" w:themeColor="background1"/>
                <w:sz w:val="20"/>
                <w:lang w:eastAsia="en-US"/>
              </w:rPr>
              <w:t>or</w:t>
            </w:r>
          </w:p>
          <w:p w14:paraId="115A55D0" w14:textId="77777777" w:rsidR="00396387" w:rsidRPr="00A15C0D" w:rsidRDefault="00396387" w:rsidP="009870D8">
            <w:pPr>
              <w:spacing w:after="0"/>
              <w:jc w:val="center"/>
              <w:rPr>
                <w:rFonts w:eastAsia="Times New Roman" w:cs="Calibri"/>
                <w:b/>
                <w:color w:val="FFFFFF" w:themeColor="background1"/>
                <w:sz w:val="20"/>
                <w:lang w:eastAsia="en-US"/>
              </w:rPr>
            </w:pPr>
            <w:r w:rsidRPr="00A15C0D">
              <w:rPr>
                <w:rFonts w:eastAsia="Times New Roman" w:cs="Calibri"/>
                <w:b/>
                <w:color w:val="FFFFFF" w:themeColor="background1"/>
                <w:sz w:val="20"/>
                <w:lang w:eastAsia="en-US"/>
              </w:rPr>
              <w:t>Baseline</w:t>
            </w:r>
          </w:p>
        </w:tc>
        <w:tc>
          <w:tcPr>
            <w:tcW w:w="0" w:type="auto"/>
            <w:tcBorders>
              <w:top w:val="single" w:sz="4" w:space="0" w:color="BFBFBF"/>
              <w:left w:val="single" w:sz="4" w:space="0" w:color="BFBFBF"/>
              <w:bottom w:val="single" w:sz="4" w:space="0" w:color="BFBFBF"/>
              <w:right w:val="single" w:sz="4" w:space="0" w:color="BFBFBF"/>
            </w:tcBorders>
            <w:shd w:val="clear" w:color="auto" w:fill="5D7D95" w:themeFill="accent1"/>
            <w:vAlign w:val="center"/>
            <w:hideMark/>
          </w:tcPr>
          <w:p w14:paraId="519AB53F"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HW Variable Name</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72823EE" w14:textId="147C4C50"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 xml:space="preserve">Total </w:t>
            </w:r>
            <w:r w:rsidR="00EB199C">
              <w:rPr>
                <w:rFonts w:eastAsia="Times New Roman" w:cs="Calibri"/>
                <w:b/>
                <w:color w:val="FFFFFF" w:themeColor="background1"/>
                <w:sz w:val="20"/>
                <w:lang w:eastAsia="en-US"/>
              </w:rPr>
              <w:t>o</w:t>
            </w:r>
            <w:r w:rsidRPr="00DD5C35">
              <w:rPr>
                <w:rFonts w:eastAsia="Times New Roman" w:cs="Calibri"/>
                <w:b/>
                <w:color w:val="FFFFFF" w:themeColor="background1"/>
                <w:sz w:val="20"/>
                <w:lang w:eastAsia="en-US"/>
              </w:rPr>
              <w:t>pioid addicts</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19F72679"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 seen at ED</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98BAE99"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EB5F7BA"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opioid OD deaths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5ED73BC"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opioid addicts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17DD2FB"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 seen at ED</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3313BF4D"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179EB7D4"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opioid OD deaths</w:t>
            </w:r>
          </w:p>
        </w:tc>
      </w:tr>
      <w:tr w:rsidR="00396387" w:rsidRPr="0056518F" w14:paraId="5831C3FD" w14:textId="77777777" w:rsidTr="009870D8">
        <w:trPr>
          <w:trHeight w:val="810"/>
        </w:trPr>
        <w:tc>
          <w:tcPr>
            <w:tcW w:w="0" w:type="auto"/>
            <w:vMerge/>
            <w:tcBorders>
              <w:top w:val="single" w:sz="4" w:space="0" w:color="BFBFBF"/>
              <w:left w:val="single" w:sz="4" w:space="0" w:color="BFBFBF"/>
              <w:bottom w:val="single" w:sz="4" w:space="0" w:color="BFBFBF"/>
              <w:right w:val="single" w:sz="4" w:space="0" w:color="BFBFBF"/>
            </w:tcBorders>
            <w:shd w:val="clear" w:color="auto" w:fill="243646" w:themeFill="text2"/>
            <w:vAlign w:val="bottom"/>
            <w:hideMark/>
          </w:tcPr>
          <w:p w14:paraId="58737C0D" w14:textId="77777777" w:rsidR="00396387" w:rsidRPr="00456A93" w:rsidRDefault="00396387" w:rsidP="009870D8">
            <w:pPr>
              <w:spacing w:after="0"/>
              <w:rPr>
                <w:rFonts w:eastAsia="Times New Roman" w:cs="Calibri"/>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5D7D95" w:themeFill="accent1"/>
            <w:vAlign w:val="center"/>
            <w:hideMark/>
          </w:tcPr>
          <w:p w14:paraId="616AF51C"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OSM Variable Name</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5F4A0CB6"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Rx OUD all total</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6D67E48"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5DB753AA"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Overdoses Rx</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5D1193D9"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overdose deaths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0661C5AD"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Rx OUD all total</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FE92927"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5EDCBCEB" w14:textId="2B1559FF"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 xml:space="preserve">Total </w:t>
            </w:r>
            <w:r w:rsidR="00EB199C">
              <w:rPr>
                <w:rFonts w:eastAsia="Times New Roman" w:cs="Calibri"/>
                <w:b/>
                <w:color w:val="FFFFFF" w:themeColor="background1"/>
                <w:sz w:val="20"/>
                <w:lang w:eastAsia="en-US"/>
              </w:rPr>
              <w:t>o</w:t>
            </w:r>
            <w:r w:rsidRPr="00DD5C35">
              <w:rPr>
                <w:rFonts w:eastAsia="Times New Roman" w:cs="Calibri"/>
                <w:b/>
                <w:color w:val="FFFFFF" w:themeColor="background1"/>
                <w:sz w:val="20"/>
                <w:lang w:eastAsia="en-US"/>
              </w:rPr>
              <w:t>verdoses Rx</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55487809"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overdose deaths</w:t>
            </w:r>
          </w:p>
        </w:tc>
      </w:tr>
      <w:tr w:rsidR="00396387" w:rsidRPr="00456A93" w14:paraId="01A36640" w14:textId="77777777" w:rsidTr="009870D8">
        <w:trPr>
          <w:trHeight w:val="290"/>
        </w:trPr>
        <w:tc>
          <w:tcPr>
            <w:tcW w:w="0" w:type="auto"/>
            <w:gridSpan w:val="10"/>
            <w:tcBorders>
              <w:top w:val="single" w:sz="4" w:space="0" w:color="BFBFBF"/>
              <w:left w:val="single" w:sz="4" w:space="0" w:color="BFBFBF" w:themeColor="background1" w:themeShade="BF"/>
              <w:bottom w:val="single" w:sz="4" w:space="0" w:color="auto"/>
              <w:right w:val="single" w:sz="4" w:space="0" w:color="BFBFBF" w:themeColor="background1" w:themeShade="BF"/>
            </w:tcBorders>
            <w:shd w:val="clear" w:color="auto" w:fill="F6A81B" w:themeFill="accent6"/>
            <w:noWrap/>
            <w:vAlign w:val="center"/>
            <w:hideMark/>
          </w:tcPr>
          <w:p w14:paraId="0838AF22" w14:textId="77777777" w:rsidR="00396387" w:rsidRPr="009D0435" w:rsidRDefault="00396387" w:rsidP="009870D8">
            <w:pPr>
              <w:spacing w:after="0"/>
              <w:rPr>
                <w:rFonts w:ascii="Times New Roman" w:eastAsia="Times New Roman" w:hAnsi="Times New Roman" w:cs="Times New Roman"/>
                <w:color w:val="FFFFFF" w:themeColor="background1"/>
                <w:sz w:val="20"/>
                <w:lang w:eastAsia="en-US"/>
              </w:rPr>
            </w:pPr>
            <w:r w:rsidRPr="009D0435">
              <w:rPr>
                <w:rFonts w:eastAsia="Times New Roman" w:cs="Calibri"/>
                <w:b/>
                <w:bCs/>
                <w:color w:val="FFFFFF" w:themeColor="background1"/>
                <w:sz w:val="20"/>
                <w:lang w:eastAsia="en-US"/>
              </w:rPr>
              <w:t>Baseline Measures</w:t>
            </w:r>
          </w:p>
        </w:tc>
      </w:tr>
      <w:tr w:rsidR="00396387" w:rsidRPr="00456A93" w14:paraId="2C7201E0" w14:textId="77777777" w:rsidTr="009870D8">
        <w:trPr>
          <w:trHeight w:val="290"/>
        </w:trPr>
        <w:tc>
          <w:tcPr>
            <w:tcW w:w="0" w:type="auto"/>
            <w:tcBorders>
              <w:top w:val="single" w:sz="4" w:space="0" w:color="auto"/>
              <w:left w:val="single" w:sz="4" w:space="0" w:color="BFBFBF"/>
              <w:bottom w:val="single" w:sz="4" w:space="0" w:color="FFFFFF"/>
              <w:right w:val="single" w:sz="4" w:space="0" w:color="BFBFBF"/>
            </w:tcBorders>
            <w:shd w:val="clear" w:color="auto" w:fill="auto"/>
            <w:noWrap/>
            <w:vAlign w:val="bottom"/>
          </w:tcPr>
          <w:p w14:paraId="74964FE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45837881" w14:textId="77777777" w:rsidR="00396387" w:rsidRPr="00456A93" w:rsidRDefault="00396387" w:rsidP="009870D8">
            <w:pPr>
              <w:spacing w:after="0"/>
              <w:rPr>
                <w:rFonts w:eastAsia="Times New Roman" w:cs="Calibri"/>
                <w:color w:val="000000"/>
                <w:sz w:val="20"/>
                <w:lang w:eastAsia="en-US"/>
              </w:rPr>
            </w:pPr>
            <w:r w:rsidRPr="00456A93">
              <w:rPr>
                <w:rFonts w:eastAsia="Times New Roman" w:cs="Calibri"/>
                <w:color w:val="000000"/>
                <w:sz w:val="20"/>
                <w:lang w:eastAsia="en-US"/>
              </w:rPr>
              <w:t>HWM Baseline</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5FB2C55A"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1,694</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6849FB63"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154,710</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793E022B"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5AE6197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40,323</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486BCF29"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6AF7251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265600D4"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4C6A7E09" w14:textId="77777777" w:rsidR="00396387" w:rsidRPr="00456A93" w:rsidRDefault="00396387" w:rsidP="009870D8">
            <w:pPr>
              <w:spacing w:after="0"/>
              <w:rPr>
                <w:rFonts w:ascii="Times New Roman" w:eastAsia="Times New Roman" w:hAnsi="Times New Roman" w:cs="Times New Roman"/>
                <w:sz w:val="20"/>
                <w:lang w:eastAsia="en-US"/>
              </w:rPr>
            </w:pPr>
          </w:p>
        </w:tc>
      </w:tr>
      <w:tr w:rsidR="00396387" w:rsidRPr="00456A93" w14:paraId="140D0AD1" w14:textId="77777777" w:rsidTr="009870D8">
        <w:trPr>
          <w:trHeight w:val="290"/>
        </w:trPr>
        <w:tc>
          <w:tcPr>
            <w:tcW w:w="0" w:type="auto"/>
            <w:tcBorders>
              <w:top w:val="single" w:sz="4" w:space="0" w:color="FFFFFF"/>
              <w:left w:val="single" w:sz="4" w:space="0" w:color="BFBFBF"/>
              <w:bottom w:val="single" w:sz="4" w:space="0" w:color="BFBFBF"/>
              <w:right w:val="single" w:sz="4" w:space="0" w:color="BFBFBF"/>
            </w:tcBorders>
            <w:shd w:val="clear" w:color="auto" w:fill="auto"/>
            <w:noWrap/>
            <w:vAlign w:val="bottom"/>
            <w:hideMark/>
          </w:tcPr>
          <w:p w14:paraId="2CBEC9B7"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E4D3511"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Baseline</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2F9A0DE"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1,502</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D9D60BB"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994B7FB"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322,219</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62EE0E"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48,266</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35348B6"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D19156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36560AF9"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1DEFD00B" w14:textId="77777777" w:rsidR="00396387" w:rsidRPr="00456A93" w:rsidRDefault="00396387" w:rsidP="009870D8">
            <w:pPr>
              <w:spacing w:after="0"/>
              <w:rPr>
                <w:rFonts w:ascii="Times New Roman" w:eastAsia="Times New Roman" w:hAnsi="Times New Roman" w:cs="Times New Roman"/>
                <w:sz w:val="20"/>
                <w:lang w:eastAsia="en-US"/>
              </w:rPr>
            </w:pPr>
          </w:p>
        </w:tc>
      </w:tr>
      <w:tr w:rsidR="00396387" w:rsidRPr="00456A93" w14:paraId="5B034339" w14:textId="77777777" w:rsidTr="009870D8">
        <w:trPr>
          <w:trHeight w:val="290"/>
        </w:trPr>
        <w:tc>
          <w:tcPr>
            <w:tcW w:w="0" w:type="auto"/>
            <w:gridSpan w:val="10"/>
            <w:tcBorders>
              <w:top w:val="single" w:sz="4" w:space="0" w:color="BFBFBF"/>
              <w:left w:val="single" w:sz="4" w:space="0" w:color="BFBFBF" w:themeColor="background1" w:themeShade="BF"/>
              <w:bottom w:val="single" w:sz="4" w:space="0" w:color="auto"/>
              <w:right w:val="single" w:sz="4" w:space="0" w:color="BFBFBF" w:themeColor="background1" w:themeShade="BF"/>
            </w:tcBorders>
            <w:shd w:val="clear" w:color="auto" w:fill="F6A81B" w:themeFill="accent6"/>
            <w:noWrap/>
            <w:vAlign w:val="center"/>
            <w:hideMark/>
          </w:tcPr>
          <w:p w14:paraId="5364BF14" w14:textId="77777777" w:rsidR="00396387" w:rsidRPr="009D0435" w:rsidRDefault="00396387" w:rsidP="009870D8">
            <w:pPr>
              <w:spacing w:after="0"/>
              <w:rPr>
                <w:rFonts w:ascii="Times New Roman" w:eastAsia="Times New Roman" w:hAnsi="Times New Roman" w:cs="Times New Roman"/>
                <w:color w:val="FFFFFF" w:themeColor="background1"/>
                <w:sz w:val="20"/>
                <w:lang w:eastAsia="en-US"/>
              </w:rPr>
            </w:pPr>
            <w:r w:rsidRPr="009D0435">
              <w:rPr>
                <w:rFonts w:eastAsia="Times New Roman" w:cs="Calibri"/>
                <w:b/>
                <w:bCs/>
                <w:color w:val="FFFFFF" w:themeColor="background1"/>
                <w:sz w:val="20"/>
                <w:lang w:eastAsia="en-US"/>
              </w:rPr>
              <w:t>Scenario Comparison 1: Avg MME dose down 20%</w:t>
            </w:r>
          </w:p>
        </w:tc>
      </w:tr>
      <w:tr w:rsidR="00396387" w:rsidRPr="00456A93" w14:paraId="7EB56E50" w14:textId="77777777" w:rsidTr="009870D8">
        <w:trPr>
          <w:trHeight w:val="290"/>
        </w:trPr>
        <w:tc>
          <w:tcPr>
            <w:tcW w:w="0" w:type="auto"/>
            <w:tcBorders>
              <w:top w:val="single" w:sz="4" w:space="0" w:color="auto"/>
              <w:left w:val="single" w:sz="4" w:space="0" w:color="BFBFBF"/>
              <w:bottom w:val="single" w:sz="4" w:space="0" w:color="FFFFFF"/>
              <w:right w:val="single" w:sz="4" w:space="0" w:color="BFBFBF"/>
            </w:tcBorders>
            <w:shd w:val="clear" w:color="auto" w:fill="auto"/>
            <w:vAlign w:val="bottom"/>
            <w:hideMark/>
          </w:tcPr>
          <w:p w14:paraId="2736BD3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bottom"/>
            <w:hideMark/>
          </w:tcPr>
          <w:p w14:paraId="7A04F8AF" w14:textId="77777777" w:rsidR="00396387" w:rsidRPr="00456A93" w:rsidRDefault="00396387" w:rsidP="009870D8">
            <w:pPr>
              <w:spacing w:after="0"/>
              <w:rPr>
                <w:rFonts w:eastAsia="Times New Roman" w:cs="Calibri"/>
                <w:color w:val="000000"/>
                <w:sz w:val="20"/>
                <w:lang w:eastAsia="en-US"/>
              </w:rPr>
            </w:pPr>
            <w:r w:rsidRPr="00456A93">
              <w:rPr>
                <w:rFonts w:eastAsia="Times New Roman" w:cs="Calibri"/>
                <w:color w:val="000000"/>
                <w:sz w:val="20"/>
                <w:lang w:eastAsia="en-US"/>
              </w:rPr>
              <w:t xml:space="preserve">HWM </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2BC5436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1,510</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9B729DF"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152,686</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12CE21FD"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08FA8F73"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39,796</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0F5DEC8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-10.9%</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2147779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-1.3%</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DC2D9EE"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72F5AA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-1.3%</w:t>
            </w:r>
          </w:p>
        </w:tc>
      </w:tr>
      <w:tr w:rsidR="00396387" w:rsidRPr="00456A93" w14:paraId="08A73D62" w14:textId="77777777" w:rsidTr="009870D8">
        <w:trPr>
          <w:trHeight w:val="580"/>
        </w:trPr>
        <w:tc>
          <w:tcPr>
            <w:tcW w:w="0" w:type="auto"/>
            <w:tcBorders>
              <w:top w:val="single" w:sz="4" w:space="0" w:color="FFFFFF"/>
              <w:left w:val="single" w:sz="4" w:space="0" w:color="BFBFBF"/>
              <w:bottom w:val="single" w:sz="4" w:space="0" w:color="BFBFBF"/>
              <w:right w:val="single" w:sz="4" w:space="0" w:color="BFBFBF"/>
            </w:tcBorders>
            <w:shd w:val="clear" w:color="auto" w:fill="auto"/>
            <w:noWrap/>
            <w:vAlign w:val="bottom"/>
            <w:hideMark/>
          </w:tcPr>
          <w:p w14:paraId="1155F55E" w14:textId="77777777" w:rsidR="00396387" w:rsidRPr="00456A93" w:rsidRDefault="00396387" w:rsidP="009870D8">
            <w:pPr>
              <w:spacing w:after="0"/>
              <w:jc w:val="right"/>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9B2C5D5"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Avg MME dose down 20%</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A5C3613"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1,400</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E934B7F"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3C423C1"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291,932</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69C43B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46,762</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DE511F"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-6.8%</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2DAC7FD"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E36F17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-9.4%</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CD9BFFE"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-3.1%</w:t>
            </w:r>
          </w:p>
        </w:tc>
      </w:tr>
      <w:tr w:rsidR="00396387" w:rsidRPr="00456A93" w14:paraId="48FEA49B" w14:textId="77777777" w:rsidTr="009870D8">
        <w:trPr>
          <w:trHeight w:val="290"/>
        </w:trPr>
        <w:tc>
          <w:tcPr>
            <w:tcW w:w="0" w:type="auto"/>
            <w:gridSpan w:val="10"/>
            <w:tcBorders>
              <w:top w:val="single" w:sz="4" w:space="0" w:color="BFBFBF"/>
              <w:left w:val="single" w:sz="4" w:space="0" w:color="BFBFBF" w:themeColor="background1" w:themeShade="BF"/>
              <w:bottom w:val="single" w:sz="4" w:space="0" w:color="auto"/>
              <w:right w:val="single" w:sz="4" w:space="0" w:color="BFBFBF" w:themeColor="background1" w:themeShade="BF"/>
            </w:tcBorders>
            <w:shd w:val="clear" w:color="auto" w:fill="F6A81B" w:themeFill="accent6"/>
            <w:noWrap/>
            <w:vAlign w:val="center"/>
            <w:hideMark/>
          </w:tcPr>
          <w:p w14:paraId="12EA7E5E" w14:textId="77777777" w:rsidR="00396387" w:rsidRPr="00456A93" w:rsidRDefault="00396387" w:rsidP="009870D8">
            <w:pPr>
              <w:spacing w:after="0"/>
              <w:rPr>
                <w:rFonts w:ascii="Times New Roman" w:eastAsia="Times New Roman" w:hAnsi="Times New Roman" w:cs="Times New Roman"/>
                <w:sz w:val="20"/>
                <w:lang w:eastAsia="en-US"/>
              </w:rPr>
            </w:pPr>
            <w:r w:rsidRPr="009D0435">
              <w:rPr>
                <w:rFonts w:eastAsia="Times New Roman" w:cs="Calibri"/>
                <w:b/>
                <w:bCs/>
                <w:color w:val="FFFFFF" w:themeColor="background1"/>
                <w:sz w:val="20"/>
                <w:lang w:eastAsia="en-US"/>
              </w:rPr>
              <w:t>Scenario Comparison 2: Five-fold increase in Naloxone distribution to laypersons</w:t>
            </w:r>
          </w:p>
        </w:tc>
      </w:tr>
      <w:tr w:rsidR="00396387" w:rsidRPr="00456A93" w14:paraId="093E62ED" w14:textId="77777777" w:rsidTr="009870D8">
        <w:trPr>
          <w:trHeight w:val="290"/>
        </w:trPr>
        <w:tc>
          <w:tcPr>
            <w:tcW w:w="0" w:type="auto"/>
            <w:tcBorders>
              <w:top w:val="single" w:sz="4" w:space="0" w:color="auto"/>
              <w:left w:val="single" w:sz="4" w:space="0" w:color="BFBFBF"/>
              <w:bottom w:val="single" w:sz="4" w:space="0" w:color="FFFFFF"/>
              <w:right w:val="single" w:sz="4" w:space="0" w:color="BFBFBF"/>
            </w:tcBorders>
            <w:shd w:val="clear" w:color="auto" w:fill="auto"/>
            <w:vAlign w:val="bottom"/>
            <w:hideMark/>
          </w:tcPr>
          <w:p w14:paraId="6BFD9A95"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7B2042E2" w14:textId="77777777" w:rsidR="00396387" w:rsidRPr="00456A93" w:rsidRDefault="00396387" w:rsidP="009870D8">
            <w:pPr>
              <w:spacing w:after="0"/>
              <w:rPr>
                <w:rFonts w:eastAsia="Times New Roman" w:cs="Calibri"/>
                <w:color w:val="000000"/>
                <w:sz w:val="20"/>
                <w:lang w:eastAsia="en-US"/>
              </w:rPr>
            </w:pPr>
            <w:r w:rsidRPr="00456A93">
              <w:rPr>
                <w:rFonts w:eastAsia="Times New Roman" w:cs="Calibri"/>
                <w:color w:val="000000"/>
                <w:sz w:val="20"/>
                <w:lang w:eastAsia="en-US"/>
              </w:rPr>
              <w:t>HWM</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1FB2C29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1,728</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27DF5F9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159,228</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3F62E3B2"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FC5F43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35,302</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78369F9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2.0%</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629489B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2.9%</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77741E0C"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3CB1BA21"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-12.5%</w:t>
            </w:r>
          </w:p>
        </w:tc>
      </w:tr>
      <w:tr w:rsidR="00396387" w:rsidRPr="00456A93" w14:paraId="70DA7890" w14:textId="77777777" w:rsidTr="009870D8">
        <w:trPr>
          <w:trHeight w:val="870"/>
        </w:trPr>
        <w:tc>
          <w:tcPr>
            <w:tcW w:w="0" w:type="auto"/>
            <w:tcBorders>
              <w:top w:val="single" w:sz="4" w:space="0" w:color="FFFFFF"/>
              <w:left w:val="single" w:sz="4" w:space="0" w:color="BFBFBF"/>
              <w:bottom w:val="single" w:sz="4" w:space="0" w:color="FFFFFF"/>
              <w:right w:val="single" w:sz="4" w:space="0" w:color="BFBFBF"/>
            </w:tcBorders>
            <w:shd w:val="clear" w:color="auto" w:fill="auto"/>
            <w:noWrap/>
            <w:vAlign w:val="bottom"/>
            <w:hideMark/>
          </w:tcPr>
          <w:p w14:paraId="3965D6E5" w14:textId="77777777" w:rsidR="00396387" w:rsidRPr="00456A93" w:rsidRDefault="00396387" w:rsidP="009870D8">
            <w:pPr>
              <w:spacing w:after="0"/>
              <w:jc w:val="right"/>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2F1DCE5"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Increase Nx distribution to both Rx and H</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3B3FE8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1,482</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B3869DF"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E4247E9"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318,408</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FCD7C7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37,818</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92C3A9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-1.3%</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20CFB102"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C65585"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-1.2%</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5CBA73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-21.6%</w:t>
            </w:r>
          </w:p>
        </w:tc>
      </w:tr>
      <w:tr w:rsidR="00396387" w:rsidRPr="00456A93" w14:paraId="26CE12FC" w14:textId="77777777" w:rsidTr="009870D8">
        <w:trPr>
          <w:trHeight w:val="870"/>
        </w:trPr>
        <w:tc>
          <w:tcPr>
            <w:tcW w:w="0" w:type="auto"/>
            <w:tcBorders>
              <w:top w:val="single" w:sz="4" w:space="0" w:color="FFFFFF"/>
              <w:left w:val="single" w:sz="4" w:space="0" w:color="BFBFBF"/>
              <w:bottom w:val="single" w:sz="4" w:space="0" w:color="BFBFBF"/>
              <w:right w:val="single" w:sz="4" w:space="0" w:color="BFBFBF"/>
            </w:tcBorders>
            <w:shd w:val="clear" w:color="auto" w:fill="auto"/>
            <w:noWrap/>
            <w:vAlign w:val="bottom"/>
            <w:hideMark/>
          </w:tcPr>
          <w:p w14:paraId="08502420" w14:textId="77777777" w:rsidR="00396387" w:rsidRPr="00456A93" w:rsidRDefault="00396387" w:rsidP="009870D8">
            <w:pPr>
              <w:spacing w:after="0"/>
              <w:jc w:val="right"/>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586A430"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Increase Nx distribution to only Rx</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5580A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1,510</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0348D5D"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B1FD95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324,135</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FE1AD0F"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46,901</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FB8E13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0.5%</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2A4700A"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96B1BE8"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0.6%</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A58D0"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-2.8%</w:t>
            </w:r>
          </w:p>
        </w:tc>
      </w:tr>
    </w:tbl>
    <w:p w14:paraId="4C048E52" w14:textId="77777777" w:rsidR="00355EF8" w:rsidRDefault="00355EF8" w:rsidP="00D026C7">
      <w:pPr>
        <w:rPr>
          <w:color w:val="00B050"/>
        </w:rPr>
      </w:pPr>
    </w:p>
    <w:p w14:paraId="2ECB1E69" w14:textId="77777777" w:rsidR="00E2183C" w:rsidRDefault="00E2183C" w:rsidP="00D026C7">
      <w:pPr>
        <w:rPr>
          <w:rFonts w:asciiTheme="minorHAnsi" w:hAnsiTheme="minorHAnsi" w:cstheme="minorBidi"/>
          <w:b/>
          <w:bCs/>
          <w:color w:val="00B050"/>
        </w:rPr>
        <w:sectPr w:rsidR="00E2183C" w:rsidSect="00E2183C">
          <w:headerReference w:type="default" r:id="rId61"/>
          <w:pgSz w:w="15840" w:h="12240" w:orient="landscape" w:code="1"/>
          <w:pgMar w:top="1440" w:right="1440" w:bottom="1440" w:left="1440" w:header="720" w:footer="720" w:gutter="0"/>
          <w:cols w:space="720"/>
          <w:noEndnote/>
          <w:docGrid w:linePitch="326"/>
        </w:sectPr>
      </w:pPr>
    </w:p>
    <w:p w14:paraId="7B02705B" w14:textId="6C3BD34D" w:rsidR="00D026C7" w:rsidRPr="00BB712F" w:rsidRDefault="00D026C7" w:rsidP="00D026C7">
      <w:r w:rsidRPr="00BB712F">
        <w:lastRenderedPageBreak/>
        <w:t xml:space="preserve">The first scenario we compared is the first scenario reported in </w:t>
      </w:r>
      <w:r w:rsidR="00CB621A">
        <w:t>Homer and Wakeland (2020)</w:t>
      </w:r>
      <w:r w:rsidRPr="00BB712F">
        <w:t>.</w:t>
      </w:r>
      <w:r w:rsidR="00C47DA5" w:rsidRPr="00BB712F">
        <w:t xml:space="preserve"> </w:t>
      </w:r>
      <w:r w:rsidRPr="00BB712F">
        <w:t xml:space="preserve">In this scenario, beginning in 2020 the average prescribed opioid dose decreases over a </w:t>
      </w:r>
      <w:r w:rsidR="000C0D5A">
        <w:t>one</w:t>
      </w:r>
      <w:r w:rsidR="00274D98" w:rsidRPr="00BB712F">
        <w:t>-year</w:t>
      </w:r>
      <w:r w:rsidRPr="00BB712F">
        <w:t xml:space="preserve"> period to 80% of its 2020 value and remains at this reduced value for the duration of the simulation until 2030.</w:t>
      </w:r>
      <w:r w:rsidR="00C47DA5" w:rsidRPr="00BB712F">
        <w:t xml:space="preserve"> </w:t>
      </w:r>
      <w:r w:rsidRPr="00BB712F">
        <w:t xml:space="preserve">As shown in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Pr="00BB712F">
        <w:t>, the two models exhibit similar responses to this policy intervention.</w:t>
      </w:r>
      <w:r w:rsidR="00C47DA5" w:rsidRPr="00BB712F">
        <w:t xml:space="preserve"> </w:t>
      </w:r>
      <w:r w:rsidRPr="00BB712F">
        <w:t>In both models, medical user addiction is reduced (by 10.9% in HWM and 6.8% in OSM).</w:t>
      </w:r>
      <w:r w:rsidR="00C47DA5" w:rsidRPr="00BB712F">
        <w:t xml:space="preserve"> </w:t>
      </w:r>
      <w:r w:rsidRPr="00BB712F">
        <w:t>The direction of the effect is the same, and the magnitudes of the effect are similar.</w:t>
      </w:r>
      <w:r w:rsidR="00C47DA5" w:rsidRPr="00BB712F">
        <w:t xml:space="preserve"> </w:t>
      </w:r>
      <w:r w:rsidRPr="00BB712F">
        <w:t>Both models show that this intervention reduces availability</w:t>
      </w:r>
      <w:r w:rsidR="00634EA8">
        <w:t xml:space="preserve"> of POs</w:t>
      </w:r>
      <w:r w:rsidRPr="00BB712F">
        <w:t>, and lower availability reduces both initiation of misuse and escalation to PO disorders.</w:t>
      </w:r>
      <w:r w:rsidR="00C47DA5" w:rsidRPr="00BB712F">
        <w:t xml:space="preserve"> </w:t>
      </w:r>
      <w:r w:rsidRPr="00BB712F">
        <w:t xml:space="preserve">Total overdose deaths decrease with both models, although the effect is stronger in </w:t>
      </w:r>
      <w:r w:rsidR="00165664" w:rsidRPr="00BB712F">
        <w:t>model v1110</w:t>
      </w:r>
      <w:r w:rsidRPr="00BB712F">
        <w:t xml:space="preserve"> (-3.1% vs. -1.3% in HWM).</w:t>
      </w:r>
      <w:r w:rsidR="00C47DA5" w:rsidRPr="00BB712F">
        <w:t xml:space="preserve"> </w:t>
      </w:r>
      <w:r w:rsidRPr="00BB712F">
        <w:t>Both models show a reduction in overdoses, although as mentioned above the variables for overdoses are not directly comparable.</w:t>
      </w:r>
      <w:r w:rsidR="00C47DA5" w:rsidRPr="00BB712F">
        <w:t xml:space="preserve"> </w:t>
      </w:r>
      <w:r w:rsidRPr="00BB712F">
        <w:t>In total, both models show this intervention to be effective in reducing PO addiction, overdoses, and deaths.</w:t>
      </w:r>
      <w:r w:rsidR="00C47DA5" w:rsidRPr="00BB712F">
        <w:t xml:space="preserve"> </w:t>
      </w:r>
      <w:r w:rsidRPr="00BB712F">
        <w:t>For this Scenario Comparison 1, the model results are similar.</w:t>
      </w:r>
    </w:p>
    <w:p w14:paraId="3CECA139" w14:textId="2400CF9F" w:rsidR="00F01399" w:rsidRDefault="00D026C7" w:rsidP="00F62789">
      <w:r w:rsidRPr="00BB712F">
        <w:t xml:space="preserve">The second scenario we compared is the fourth scenario reported in </w:t>
      </w:r>
      <w:r w:rsidR="00CB621A">
        <w:t>Homer and Wakeland (2020)</w:t>
      </w:r>
      <w:r w:rsidRPr="00BB712F">
        <w:t>.</w:t>
      </w:r>
      <w:r w:rsidR="00C47DA5" w:rsidRPr="00BB712F">
        <w:t xml:space="preserve"> </w:t>
      </w:r>
      <w:r w:rsidRPr="00BB712F">
        <w:t xml:space="preserve">In this scenario, beginning in 2020 the distribution of naloxone to laypersons is expanded </w:t>
      </w:r>
      <w:r w:rsidR="00DD001B">
        <w:t>five</w:t>
      </w:r>
      <w:r w:rsidRPr="00BB712F">
        <w:t xml:space="preserve">-fold over a </w:t>
      </w:r>
      <w:r w:rsidR="00DD001B">
        <w:t>one</w:t>
      </w:r>
      <w:r w:rsidR="00274D98" w:rsidRPr="00BB712F">
        <w:t>-year</w:t>
      </w:r>
      <w:r w:rsidRPr="00BB712F">
        <w:t xml:space="preserve"> period </w:t>
      </w:r>
      <w:r w:rsidR="00DD001B">
        <w:t xml:space="preserve">and </w:t>
      </w:r>
      <w:r w:rsidRPr="00BB712F">
        <w:t>remains at this higher value for the duration of the simulation until 2030.</w:t>
      </w:r>
      <w:r w:rsidR="00C47DA5" w:rsidRPr="00BB712F">
        <w:t xml:space="preserve"> </w:t>
      </w:r>
      <w:r w:rsidRPr="00BB712F">
        <w:t>Note that the two models implement such a policy change differently.</w:t>
      </w:r>
      <w:r w:rsidR="00C47DA5" w:rsidRPr="00BB712F">
        <w:t xml:space="preserve"> </w:t>
      </w:r>
      <w:r w:rsidRPr="00BB712F">
        <w:t xml:space="preserve">The HWM uses an exogenous time series for naloxone distribution, and the 2020 value is 4%. </w:t>
      </w:r>
      <w:r w:rsidR="00165664" w:rsidRPr="00BB712F">
        <w:t>Model v1110</w:t>
      </w:r>
      <w:r w:rsidRPr="00BB712F">
        <w:t xml:space="preserve"> separates naloxone distribution to laypersons into a group for PO users and a group for heroin users.</w:t>
      </w:r>
      <w:r w:rsidR="00C47DA5" w:rsidRPr="00BB712F">
        <w:t xml:space="preserve"> </w:t>
      </w:r>
      <w:r w:rsidRPr="00BB712F">
        <w:t xml:space="preserve">The 2020 values in </w:t>
      </w:r>
      <w:r w:rsidR="00165664" w:rsidRPr="00BB712F">
        <w:t>model v1110</w:t>
      </w:r>
      <w:r w:rsidRPr="00BB712F">
        <w:t xml:space="preserve"> are slightly higher than those in the HWM</w:t>
      </w:r>
      <w:r w:rsidR="000919D0" w:rsidRPr="00BB712F">
        <w:t>;</w:t>
      </w:r>
      <w:r w:rsidRPr="00BB712F">
        <w:t xml:space="preserve"> so</w:t>
      </w:r>
      <w:r w:rsidR="004B3486" w:rsidRPr="00BB712F">
        <w:t>,</w:t>
      </w:r>
      <w:r w:rsidRPr="00BB712F">
        <w:t xml:space="preserve"> to facilitate a comparison with each model’s own baseline, we used a five-fold increase from the model’s own 202</w:t>
      </w:r>
      <w:r w:rsidR="000919D0" w:rsidRPr="00BB712F">
        <w:t>0</w:t>
      </w:r>
      <w:r w:rsidRPr="00BB712F">
        <w:t xml:space="preserve"> value in both cases.</w:t>
      </w:r>
      <w:r w:rsidR="00C47DA5" w:rsidRPr="00BB712F">
        <w:t xml:space="preserve">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00F62789" w:rsidRPr="00BB712F">
        <w:t xml:space="preserve"> </w:t>
      </w:r>
      <w:r w:rsidRPr="00BB712F">
        <w:t xml:space="preserve">shows the results from a five-fold increase in the HWM, from a five-fold increase in distribution to both PO and heroin users in </w:t>
      </w:r>
      <w:r w:rsidR="00522E95">
        <w:t>model v1110</w:t>
      </w:r>
      <w:r w:rsidRPr="00BB712F">
        <w:t xml:space="preserve">, </w:t>
      </w:r>
      <w:proofErr w:type="gramStart"/>
      <w:r w:rsidRPr="00BB712F">
        <w:t>and also</w:t>
      </w:r>
      <w:proofErr w:type="gramEnd"/>
      <w:r w:rsidRPr="00BB712F">
        <w:t xml:space="preserve"> from a five-fold increase to just the PO users.</w:t>
      </w:r>
      <w:r w:rsidR="00C47DA5" w:rsidRPr="00BB712F">
        <w:t xml:space="preserve"> </w:t>
      </w:r>
      <w:r w:rsidRPr="00BB712F">
        <w:t xml:space="preserve">As shown in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00F62789" w:rsidRPr="00BB712F">
        <w:t xml:space="preserve"> </w:t>
      </w:r>
      <w:r w:rsidRPr="00BB712F">
        <w:t>the two models exhibit similar responses to this policy intervention as well, but they differ more in this scenario that in the first.</w:t>
      </w:r>
      <w:r w:rsidR="00C47DA5" w:rsidRPr="00BB712F">
        <w:t xml:space="preserve"> </w:t>
      </w:r>
      <w:r w:rsidRPr="00BB712F">
        <w:t>In both models, one main effect is the reduction of opioid deaths.</w:t>
      </w:r>
      <w:r w:rsidR="00C47DA5" w:rsidRPr="00BB712F">
        <w:t xml:space="preserve"> </w:t>
      </w:r>
      <w:r w:rsidRPr="00BB712F">
        <w:t xml:space="preserve">The reduction in deaths in </w:t>
      </w:r>
      <w:r w:rsidR="00165664" w:rsidRPr="00BB712F">
        <w:t>model v1110</w:t>
      </w:r>
      <w:r w:rsidRPr="00BB712F">
        <w:t xml:space="preserve"> appears to result mostly from a reduction in deaths from heroin, consistent with the fact that overdose deaths among heroin users contribute the largest portion of overdose deaths.</w:t>
      </w:r>
      <w:r w:rsidR="00C47DA5" w:rsidRPr="00BB712F">
        <w:t xml:space="preserve"> </w:t>
      </w:r>
      <w:r w:rsidRPr="00BB712F">
        <w:t>Moreover, heroin users are the most exposed to</w:t>
      </w:r>
      <w:r w:rsidR="00BF48E7">
        <w:t xml:space="preserve"> </w:t>
      </w:r>
      <w:r w:rsidRPr="00BB712F">
        <w:t>fentanyl concomitant</w:t>
      </w:r>
      <w:r w:rsidR="00444386">
        <w:t>s</w:t>
      </w:r>
      <w:r w:rsidRPr="00BB712F">
        <w:t xml:space="preserve"> </w:t>
      </w:r>
      <w:r w:rsidR="00444386">
        <w:t xml:space="preserve">which </w:t>
      </w:r>
      <w:r w:rsidRPr="00BB712F">
        <w:t>increase</w:t>
      </w:r>
      <w:r w:rsidR="00444386">
        <w:t>s</w:t>
      </w:r>
      <w:r w:rsidR="0053633C">
        <w:t xml:space="preserve"> </w:t>
      </w:r>
      <w:r w:rsidRPr="00BB712F">
        <w:t>the likelihood of overdosing.</w:t>
      </w:r>
      <w:r w:rsidR="00C47DA5" w:rsidRPr="00BB712F">
        <w:t xml:space="preserve"> </w:t>
      </w:r>
      <w:r w:rsidRPr="00BB712F">
        <w:t xml:space="preserve">In the </w:t>
      </w:r>
      <w:r w:rsidR="00CB621A">
        <w:t>Homer and Wakeland (2020)</w:t>
      </w:r>
      <w:r w:rsidRPr="00BB712F">
        <w:t>, this policy intervention is the only one the tested that leads to an increase in the number of overdoses, because some averted overdose death survivors will overdose again.</w:t>
      </w:r>
      <w:r w:rsidR="00C47DA5" w:rsidRPr="00BB712F">
        <w:t xml:space="preserve"> </w:t>
      </w:r>
      <w:r w:rsidRPr="00BB712F">
        <w:t xml:space="preserve">Recall that the variable for overdoses in </w:t>
      </w:r>
      <w:r w:rsidR="00165664" w:rsidRPr="00BB712F">
        <w:t>model v1110</w:t>
      </w:r>
      <w:r w:rsidRPr="00BB712F">
        <w:t xml:space="preserve"> includes a different aggregation of cases.</w:t>
      </w:r>
      <w:r w:rsidR="00C47DA5" w:rsidRPr="00BB712F">
        <w:t xml:space="preserve"> </w:t>
      </w:r>
      <w:r w:rsidRPr="00BB712F">
        <w:t>Although a different variable, for the increase in naloxone distribution to PO NMUs only, we also see a small increase in overdoses.</w:t>
      </w:r>
      <w:r w:rsidR="00C47DA5" w:rsidRPr="00BB712F">
        <w:t xml:space="preserve"> </w:t>
      </w:r>
      <w:r w:rsidRPr="00BB712F">
        <w:t xml:space="preserve">For this Scenario Comparison 2, the model results differ somewhat, and the differences are mostly rooted in the more nuanced modeling of overdoses and naloxone use in </w:t>
      </w:r>
      <w:r w:rsidR="00165664" w:rsidRPr="00BB712F">
        <w:t>model v1110</w:t>
      </w:r>
      <w:r w:rsidRPr="00BB712F">
        <w:t>.</w:t>
      </w:r>
    </w:p>
    <w:p w14:paraId="4E29BAC3" w14:textId="77777777" w:rsidR="00F01399" w:rsidRDefault="00F01399">
      <w:pPr>
        <w:spacing w:after="0"/>
      </w:pPr>
      <w:r>
        <w:br w:type="page"/>
      </w:r>
    </w:p>
    <w:p w14:paraId="027FE836" w14:textId="2F734ECB" w:rsidR="00CB32E9" w:rsidRDefault="00CB32E9" w:rsidP="00CB32E9">
      <w:pPr>
        <w:pStyle w:val="Heading1"/>
      </w:pPr>
      <w:bookmarkStart w:id="107" w:name="_Conclusion_2"/>
      <w:bookmarkStart w:id="108" w:name="_Toc59050094"/>
      <w:bookmarkEnd w:id="107"/>
      <w:r>
        <w:lastRenderedPageBreak/>
        <w:t>Conclusion</w:t>
      </w:r>
      <w:bookmarkEnd w:id="44"/>
      <w:bookmarkEnd w:id="45"/>
      <w:bookmarkEnd w:id="108"/>
    </w:p>
    <w:p w14:paraId="5CFA0ED0" w14:textId="68FF09F6" w:rsidR="00E6167C" w:rsidRPr="00E6167C" w:rsidRDefault="00C17CC2" w:rsidP="00E6167C">
      <w:r>
        <w:t>Below are</w:t>
      </w:r>
      <w:r w:rsidR="00716DDD">
        <w:t xml:space="preserve"> </w:t>
      </w:r>
      <w:r w:rsidR="0056627D">
        <w:t>the</w:t>
      </w:r>
      <w:r>
        <w:t xml:space="preserve"> high-level summary of findings from Part </w:t>
      </w:r>
      <w:r w:rsidR="005302ED">
        <w:t>2</w:t>
      </w:r>
      <w:r>
        <w:t xml:space="preserve"> of the Final Validation </w:t>
      </w:r>
      <w:r w:rsidR="00716DDD">
        <w:t>(</w:t>
      </w:r>
      <w:hyperlink w:anchor="_Summary_of_Findings" w:history="1">
        <w:r w:rsidR="00036CAC" w:rsidRPr="001F4AAB">
          <w:rPr>
            <w:rStyle w:val="Hyperlink"/>
          </w:rPr>
          <w:t>Se</w:t>
        </w:r>
        <w:r w:rsidR="005242AE" w:rsidRPr="001F4AAB">
          <w:rPr>
            <w:rStyle w:val="Hyperlink"/>
          </w:rPr>
          <w:t xml:space="preserve">ction </w:t>
        </w:r>
        <w:r w:rsidR="003A5733" w:rsidRPr="001F4AAB">
          <w:rPr>
            <w:rStyle w:val="Hyperlink"/>
          </w:rPr>
          <w:t>9.1</w:t>
        </w:r>
      </w:hyperlink>
      <w:r w:rsidR="00716DDD">
        <w:t>)</w:t>
      </w:r>
      <w:r w:rsidR="00AB64DC">
        <w:t>, recommendation</w:t>
      </w:r>
      <w:r w:rsidR="00036CAC">
        <w:t xml:space="preserve">s </w:t>
      </w:r>
      <w:r w:rsidR="00A60CD7">
        <w:t>for moving into full operationalization of model v1110</w:t>
      </w:r>
      <w:r w:rsidR="008945E7">
        <w:t xml:space="preserve"> </w:t>
      </w:r>
      <w:r w:rsidR="00716DDD">
        <w:t>(</w:t>
      </w:r>
      <w:hyperlink w:anchor="_Recommendations_on_How" w:history="1">
        <w:r w:rsidR="00716DDD" w:rsidRPr="00716DDD">
          <w:rPr>
            <w:rStyle w:val="Hyperlink"/>
          </w:rPr>
          <w:t xml:space="preserve">Section </w:t>
        </w:r>
        <w:r w:rsidR="003A5733">
          <w:rPr>
            <w:rStyle w:val="Hyperlink"/>
          </w:rPr>
          <w:t>9</w:t>
        </w:r>
        <w:r w:rsidR="00716DDD" w:rsidRPr="00716DDD">
          <w:rPr>
            <w:rStyle w:val="Hyperlink"/>
          </w:rPr>
          <w:t>.2</w:t>
        </w:r>
      </w:hyperlink>
      <w:r w:rsidR="00716DDD">
        <w:t>)</w:t>
      </w:r>
      <w:r w:rsidR="00AB64DC">
        <w:t>, and a usability assessment (</w:t>
      </w:r>
      <w:hyperlink w:anchor="_Usability_Assessment" w:history="1">
        <w:r w:rsidR="00AB64DC" w:rsidRPr="001C0D30">
          <w:rPr>
            <w:rStyle w:val="Hyperlink"/>
          </w:rPr>
          <w:t>Section 9.3</w:t>
        </w:r>
      </w:hyperlink>
      <w:r w:rsidR="00AB64DC">
        <w:t>)</w:t>
      </w:r>
      <w:r w:rsidR="003C1F0D">
        <w:t>.</w:t>
      </w:r>
    </w:p>
    <w:p w14:paraId="6B89072B" w14:textId="07B610E4" w:rsidR="0011727F" w:rsidRDefault="0011727F" w:rsidP="00CC49EF">
      <w:pPr>
        <w:pStyle w:val="Heading2"/>
      </w:pPr>
      <w:bookmarkStart w:id="109" w:name="_Summary_of_Findings"/>
      <w:bookmarkStart w:id="110" w:name="_Toc51849706"/>
      <w:bookmarkStart w:id="111" w:name="_Toc52396028"/>
      <w:bookmarkStart w:id="112" w:name="_Toc59050095"/>
      <w:bookmarkStart w:id="113" w:name="_Hlk57190205"/>
      <w:bookmarkEnd w:id="109"/>
      <w:r>
        <w:t>Summar</w:t>
      </w:r>
      <w:r w:rsidR="0006441A">
        <w:t>y of Findings</w:t>
      </w:r>
      <w:bookmarkEnd w:id="110"/>
      <w:bookmarkEnd w:id="111"/>
      <w:bookmarkEnd w:id="112"/>
    </w:p>
    <w:bookmarkEnd w:id="113"/>
    <w:p w14:paraId="229D37B5" w14:textId="7E2DA596" w:rsidR="00B4420D" w:rsidRDefault="00F124D6" w:rsidP="00B4420D">
      <w:pPr>
        <w:pStyle w:val="BodyText"/>
        <w:rPr>
          <w:rFonts w:eastAsia="Times New Roman" w:cs="Calibri"/>
        </w:rPr>
      </w:pPr>
      <w:r>
        <w:rPr>
          <w:szCs w:val="22"/>
        </w:rPr>
        <w:t>For Final Validation Part 2, the Validation Team</w:t>
      </w:r>
      <w:r w:rsidRPr="003C6BDC">
        <w:rPr>
          <w:szCs w:val="22"/>
        </w:rPr>
        <w:t xml:space="preserve"> evaluated </w:t>
      </w:r>
      <w:r w:rsidR="009E446A">
        <w:rPr>
          <w:szCs w:val="22"/>
        </w:rPr>
        <w:t>model v1110</w:t>
      </w:r>
      <w:r w:rsidRPr="003C6BDC">
        <w:rPr>
          <w:szCs w:val="22"/>
        </w:rPr>
        <w:t xml:space="preserve"> to: </w:t>
      </w:r>
      <w:r w:rsidRPr="006951CD">
        <w:rPr>
          <w:szCs w:val="22"/>
        </w:rPr>
        <w:t>1) review and verify updates resulting from Final Validation Part 1 feedback; 2) verify technical documentation is complete and accurate; 3) certify the model adheres to sounds modeling principals; and 4) provide an un-biased evaluation of the model’s readiness to be used in FDA decision-</w:t>
      </w:r>
      <w:r w:rsidRPr="009D058A">
        <w:rPr>
          <w:szCs w:val="22"/>
        </w:rPr>
        <w:t>making</w:t>
      </w:r>
      <w:r w:rsidR="00B4420D">
        <w:rPr>
          <w:rFonts w:eastAsia="Times New Roman" w:cs="Calibri"/>
        </w:rPr>
        <w:t>.</w:t>
      </w:r>
      <w:r w:rsidR="00C47DA5">
        <w:rPr>
          <w:rFonts w:eastAsia="Times New Roman" w:cs="Calibri"/>
        </w:rPr>
        <w:t xml:space="preserve"> </w:t>
      </w:r>
      <w:r w:rsidR="00B4420D">
        <w:rPr>
          <w:rFonts w:eastAsia="Times New Roman" w:cs="Calibri"/>
        </w:rPr>
        <w:t xml:space="preserve">The </w:t>
      </w:r>
      <w:r w:rsidR="00906C77">
        <w:rPr>
          <w:rFonts w:eastAsia="Times New Roman" w:cs="Calibri"/>
        </w:rPr>
        <w:t>Validation Team</w:t>
      </w:r>
      <w:r w:rsidR="00B4420D">
        <w:rPr>
          <w:rFonts w:eastAsia="Times New Roman" w:cs="Calibri"/>
        </w:rPr>
        <w:t xml:space="preserve"> previously conducted extensive reviews of model structure, behavior, and documentation</w:t>
      </w:r>
      <w:r w:rsidR="00767193">
        <w:rPr>
          <w:rFonts w:eastAsia="Times New Roman" w:cs="Calibri"/>
        </w:rPr>
        <w:t xml:space="preserve"> (as outlined in the </w:t>
      </w:r>
      <w:hyperlink w:anchor="_Introduction" w:history="1">
        <w:r w:rsidR="00767193" w:rsidRPr="00767193">
          <w:rPr>
            <w:rStyle w:val="Hyperlink"/>
            <w:rFonts w:eastAsia="Times New Roman" w:cs="Calibri"/>
          </w:rPr>
          <w:t>Section 2</w:t>
        </w:r>
      </w:hyperlink>
      <w:r w:rsidR="00767193">
        <w:rPr>
          <w:rFonts w:eastAsia="Times New Roman" w:cs="Calibri"/>
        </w:rPr>
        <w:t>)</w:t>
      </w:r>
      <w:r w:rsidR="00B4420D">
        <w:rPr>
          <w:rFonts w:eastAsia="Times New Roman" w:cs="Calibri"/>
        </w:rPr>
        <w:t>.</w:t>
      </w:r>
      <w:r w:rsidR="00C47DA5">
        <w:rPr>
          <w:rFonts w:eastAsia="Times New Roman" w:cs="Calibri"/>
        </w:rPr>
        <w:t xml:space="preserve"> </w:t>
      </w:r>
      <w:r w:rsidR="00B4420D">
        <w:rPr>
          <w:rFonts w:eastAsia="Times New Roman" w:cs="Calibri"/>
        </w:rPr>
        <w:t xml:space="preserve">The previous reviews have sequentially identified various concerns and action items, </w:t>
      </w:r>
      <w:r w:rsidR="003C3442">
        <w:rPr>
          <w:rFonts w:eastAsia="Times New Roman" w:cs="Calibri"/>
        </w:rPr>
        <w:t xml:space="preserve">and </w:t>
      </w:r>
      <w:r w:rsidR="00B4420D">
        <w:rPr>
          <w:rFonts w:eastAsia="Times New Roman" w:cs="Calibri"/>
        </w:rPr>
        <w:t xml:space="preserve">the </w:t>
      </w:r>
      <w:r w:rsidR="00475448">
        <w:rPr>
          <w:rFonts w:eastAsia="Times New Roman" w:cs="Calibri"/>
        </w:rPr>
        <w:t>G</w:t>
      </w:r>
      <w:r w:rsidR="00B4420D">
        <w:rPr>
          <w:rFonts w:eastAsia="Times New Roman" w:cs="Calibri"/>
        </w:rPr>
        <w:t xml:space="preserve">rant </w:t>
      </w:r>
      <w:r w:rsidR="00475448">
        <w:rPr>
          <w:rFonts w:eastAsia="Times New Roman" w:cs="Calibri"/>
        </w:rPr>
        <w:t>T</w:t>
      </w:r>
      <w:r w:rsidR="00B4420D">
        <w:rPr>
          <w:rFonts w:eastAsia="Times New Roman" w:cs="Calibri"/>
        </w:rPr>
        <w:t>eam</w:t>
      </w:r>
      <w:r w:rsidR="003C3442">
        <w:rPr>
          <w:rFonts w:eastAsia="Times New Roman" w:cs="Calibri"/>
        </w:rPr>
        <w:t xml:space="preserve"> has addressed</w:t>
      </w:r>
      <w:r w:rsidR="000D119B">
        <w:rPr>
          <w:rFonts w:eastAsia="Times New Roman" w:cs="Calibri"/>
        </w:rPr>
        <w:t xml:space="preserve"> the majority of these </w:t>
      </w:r>
      <w:r w:rsidR="00736313">
        <w:rPr>
          <w:rFonts w:eastAsia="Times New Roman" w:cs="Calibri"/>
        </w:rPr>
        <w:t xml:space="preserve">findings. </w:t>
      </w:r>
      <w:r w:rsidR="0009411B">
        <w:rPr>
          <w:rFonts w:eastAsia="Times New Roman" w:cs="Calibri"/>
        </w:rPr>
        <w:t>Th</w:t>
      </w:r>
      <w:r w:rsidR="00541719">
        <w:rPr>
          <w:rFonts w:eastAsia="Times New Roman" w:cs="Calibri"/>
        </w:rPr>
        <w:t xml:space="preserve">is report </w:t>
      </w:r>
      <w:r w:rsidR="00F51675">
        <w:rPr>
          <w:rFonts w:eastAsia="Times New Roman" w:cs="Calibri"/>
        </w:rPr>
        <w:t>identifies</w:t>
      </w:r>
      <w:r w:rsidR="00541719">
        <w:rPr>
          <w:rFonts w:eastAsia="Times New Roman" w:cs="Calibri"/>
        </w:rPr>
        <w:t xml:space="preserve"> </w:t>
      </w:r>
      <w:r w:rsidR="00F51675">
        <w:rPr>
          <w:rFonts w:eastAsia="Times New Roman" w:cs="Calibri"/>
        </w:rPr>
        <w:t>minor</w:t>
      </w:r>
      <w:r w:rsidR="009A26C8">
        <w:rPr>
          <w:rFonts w:eastAsia="Times New Roman" w:cs="Calibri"/>
        </w:rPr>
        <w:t xml:space="preserve"> areas</w:t>
      </w:r>
      <w:r w:rsidR="00F51675">
        <w:rPr>
          <w:rFonts w:eastAsia="Times New Roman" w:cs="Calibri"/>
        </w:rPr>
        <w:t xml:space="preserve"> where we recommend</w:t>
      </w:r>
      <w:r w:rsidR="00F00956">
        <w:rPr>
          <w:rFonts w:eastAsia="Times New Roman" w:cs="Calibri"/>
        </w:rPr>
        <w:t xml:space="preserve"> </w:t>
      </w:r>
      <w:r w:rsidR="001A74A3">
        <w:rPr>
          <w:rFonts w:eastAsia="Times New Roman" w:cs="Calibri"/>
        </w:rPr>
        <w:t>improvements</w:t>
      </w:r>
      <w:r w:rsidR="00F51675">
        <w:rPr>
          <w:rFonts w:eastAsia="Times New Roman" w:cs="Calibri"/>
        </w:rPr>
        <w:t xml:space="preserve"> </w:t>
      </w:r>
      <w:r w:rsidR="00AD1ABC">
        <w:rPr>
          <w:rFonts w:eastAsia="Times New Roman" w:cs="Calibri"/>
        </w:rPr>
        <w:t>(</w:t>
      </w:r>
      <w:r w:rsidR="001B2B0F">
        <w:rPr>
          <w:rFonts w:eastAsia="Times New Roman" w:cs="Calibri"/>
        </w:rPr>
        <w:t>summarized</w:t>
      </w:r>
      <w:r w:rsidR="00405591">
        <w:rPr>
          <w:rFonts w:eastAsia="Times New Roman" w:cs="Calibri"/>
        </w:rPr>
        <w:t xml:space="preserve"> in </w:t>
      </w:r>
      <w:hyperlink w:anchor="_Summary_of_Recommendations" w:history="1">
        <w:r w:rsidR="007E1542" w:rsidRPr="007E1542">
          <w:rPr>
            <w:rStyle w:val="Hyperlink"/>
            <w:rFonts w:eastAsia="Times New Roman" w:cs="Calibri"/>
          </w:rPr>
          <w:t>Section 9.2</w:t>
        </w:r>
      </w:hyperlink>
      <w:r w:rsidR="00405591">
        <w:rPr>
          <w:rFonts w:eastAsia="Times New Roman" w:cs="Calibri"/>
        </w:rPr>
        <w:t>)</w:t>
      </w:r>
      <w:r w:rsidR="00B4420D">
        <w:rPr>
          <w:rFonts w:eastAsia="Times New Roman" w:cs="Calibri"/>
        </w:rPr>
        <w:t>.</w:t>
      </w:r>
    </w:p>
    <w:p w14:paraId="58D2E175" w14:textId="1CD77424" w:rsidR="009C7F6D" w:rsidRDefault="00B4420D" w:rsidP="00A774BB">
      <w:pPr>
        <w:rPr>
          <w:lang w:eastAsia="en-US"/>
        </w:rPr>
      </w:pPr>
      <w:r w:rsidRPr="00BC2C96">
        <w:rPr>
          <w:lang w:eastAsia="en-US"/>
        </w:rPr>
        <w:t>Part 1 of the Final Validation focused on the general be</w:t>
      </w:r>
      <w:r>
        <w:rPr>
          <w:lang w:eastAsia="en-US"/>
        </w:rPr>
        <w:t xml:space="preserve">havior and structural assessment of </w:t>
      </w:r>
      <w:r w:rsidR="000B18CD">
        <w:rPr>
          <w:lang w:eastAsia="en-US"/>
        </w:rPr>
        <w:t xml:space="preserve">model </w:t>
      </w:r>
      <w:r w:rsidR="00C320B1">
        <w:rPr>
          <w:lang w:eastAsia="en-US"/>
        </w:rPr>
        <w:t>v831</w:t>
      </w:r>
      <w:r>
        <w:rPr>
          <w:lang w:eastAsia="en-US"/>
        </w:rPr>
        <w:t>.</w:t>
      </w:r>
      <w:r w:rsidR="00C47DA5">
        <w:rPr>
          <w:lang w:eastAsia="en-US"/>
        </w:rPr>
        <w:t xml:space="preserve"> </w:t>
      </w:r>
      <w:r>
        <w:rPr>
          <w:lang w:eastAsia="en-US"/>
        </w:rPr>
        <w:t xml:space="preserve">In this report, Part 2 </w:t>
      </w:r>
      <w:r w:rsidR="00164372">
        <w:rPr>
          <w:lang w:eastAsia="en-US"/>
        </w:rPr>
        <w:t xml:space="preserve">of the Final Validation </w:t>
      </w:r>
      <w:r>
        <w:rPr>
          <w:lang w:eastAsia="en-US"/>
        </w:rPr>
        <w:t xml:space="preserve">focused on </w:t>
      </w:r>
      <w:r w:rsidR="00F514D2">
        <w:rPr>
          <w:lang w:eastAsia="en-US"/>
        </w:rPr>
        <w:t>p</w:t>
      </w:r>
      <w:r>
        <w:rPr>
          <w:lang w:eastAsia="en-US"/>
        </w:rPr>
        <w:t xml:space="preserve">olicy </w:t>
      </w:r>
      <w:r w:rsidR="00F514D2">
        <w:rPr>
          <w:lang w:eastAsia="en-US"/>
        </w:rPr>
        <w:t>v</w:t>
      </w:r>
      <w:r>
        <w:rPr>
          <w:lang w:eastAsia="en-US"/>
        </w:rPr>
        <w:t xml:space="preserve">alidation </w:t>
      </w:r>
      <w:r w:rsidR="00F514D2">
        <w:rPr>
          <w:lang w:eastAsia="en-US"/>
        </w:rPr>
        <w:t>(</w:t>
      </w:r>
      <w:hyperlink w:anchor="_Policy_Validation" w:history="1">
        <w:r w:rsidR="00F514D2" w:rsidRPr="00794224">
          <w:rPr>
            <w:rStyle w:val="Hyperlink"/>
            <w:lang w:eastAsia="en-US"/>
          </w:rPr>
          <w:t>Section 7</w:t>
        </w:r>
      </w:hyperlink>
      <w:r w:rsidR="00F514D2">
        <w:rPr>
          <w:lang w:eastAsia="en-US"/>
        </w:rPr>
        <w:t xml:space="preserve">) </w:t>
      </w:r>
      <w:r>
        <w:rPr>
          <w:lang w:eastAsia="en-US"/>
        </w:rPr>
        <w:t xml:space="preserve">and </w:t>
      </w:r>
      <w:r w:rsidR="00F514D2">
        <w:rPr>
          <w:lang w:eastAsia="en-US"/>
        </w:rPr>
        <w:t>m</w:t>
      </w:r>
      <w:r>
        <w:rPr>
          <w:lang w:eastAsia="en-US"/>
        </w:rPr>
        <w:t xml:space="preserve">odel </w:t>
      </w:r>
      <w:r w:rsidR="00F514D2">
        <w:rPr>
          <w:lang w:eastAsia="en-US"/>
        </w:rPr>
        <w:t>c</w:t>
      </w:r>
      <w:r>
        <w:rPr>
          <w:lang w:eastAsia="en-US"/>
        </w:rPr>
        <w:t>omparison</w:t>
      </w:r>
      <w:r w:rsidR="00F514D2">
        <w:rPr>
          <w:lang w:eastAsia="en-US"/>
        </w:rPr>
        <w:t xml:space="preserve"> (</w:t>
      </w:r>
      <w:hyperlink w:anchor="_Policy_Comparison" w:history="1">
        <w:r w:rsidR="00794224" w:rsidRPr="00794224">
          <w:rPr>
            <w:rStyle w:val="Hyperlink"/>
            <w:lang w:eastAsia="en-US"/>
          </w:rPr>
          <w:t>Section 8</w:t>
        </w:r>
      </w:hyperlink>
      <w:r w:rsidR="00794224">
        <w:rPr>
          <w:lang w:eastAsia="en-US"/>
        </w:rPr>
        <w:t>)</w:t>
      </w:r>
      <w:r>
        <w:rPr>
          <w:lang w:eastAsia="en-US"/>
        </w:rPr>
        <w:t xml:space="preserve">. </w:t>
      </w:r>
      <w:r w:rsidR="00A75AF3" w:rsidRPr="00B7143D">
        <w:t>During this validation period we found that this model is flexible</w:t>
      </w:r>
      <w:r w:rsidR="00A75AF3">
        <w:t xml:space="preserve"> in its outputs.</w:t>
      </w:r>
      <w:r w:rsidR="00C47DA5">
        <w:t xml:space="preserve"> </w:t>
      </w:r>
      <w:r w:rsidR="00A75AF3">
        <w:t xml:space="preserve">Users can choose general outputs to check for </w:t>
      </w:r>
      <w:r w:rsidR="00F41A3E">
        <w:t>high-</w:t>
      </w:r>
      <w:r w:rsidR="00A75AF3">
        <w:t>level</w:t>
      </w:r>
      <w:r w:rsidR="001B09EC">
        <w:t xml:space="preserve"> </w:t>
      </w:r>
      <w:r w:rsidR="00A75AF3">
        <w:t>differences between scenarios and</w:t>
      </w:r>
      <w:r w:rsidR="00D3490F">
        <w:t xml:space="preserve"> the</w:t>
      </w:r>
      <w:r w:rsidR="00A75AF3">
        <w:t xml:space="preserve"> baseline or choose more granular variables</w:t>
      </w:r>
      <w:r w:rsidR="00903C0F">
        <w:t xml:space="preserve"> to check for </w:t>
      </w:r>
      <w:r w:rsidR="00D3490F">
        <w:t>detailed, nuanced differences between scenarios and the baseline</w:t>
      </w:r>
      <w:r w:rsidR="00A75AF3">
        <w:t>.</w:t>
      </w:r>
      <w:r w:rsidR="00C47DA5">
        <w:t xml:space="preserve"> </w:t>
      </w:r>
      <w:r w:rsidR="00A75AF3">
        <w:t>This allows for future analysts to report results for summary</w:t>
      </w:r>
      <w:r w:rsidR="00855F11">
        <w:t>-</w:t>
      </w:r>
      <w:r w:rsidR="00A75AF3">
        <w:t>level output</w:t>
      </w:r>
      <w:r w:rsidR="00855F11">
        <w:t xml:space="preserve">s </w:t>
      </w:r>
      <w:r w:rsidR="00A75AF3">
        <w:t xml:space="preserve">or choose more nuanced variables to describe consequences or relationships the model identifies as important within a scenario (e.g., reporting </w:t>
      </w:r>
      <w:r w:rsidR="00A75AF3" w:rsidRPr="00F138FA">
        <w:rPr>
          <w:b/>
          <w:bCs/>
        </w:rPr>
        <w:t>Total overdose deaths</w:t>
      </w:r>
      <w:r w:rsidR="00A75AF3">
        <w:t xml:space="preserve"> versus </w:t>
      </w:r>
      <w:r w:rsidR="00A75AF3" w:rsidRPr="00F138FA">
        <w:rPr>
          <w:b/>
          <w:bCs/>
        </w:rPr>
        <w:t>Overdose death HUD</w:t>
      </w:r>
      <w:r w:rsidR="00A75AF3">
        <w:t xml:space="preserve"> or </w:t>
      </w:r>
      <w:r w:rsidR="00A75AF3" w:rsidRPr="00F138FA">
        <w:rPr>
          <w:b/>
          <w:bCs/>
        </w:rPr>
        <w:t>Overdose death Rx OUD no H</w:t>
      </w:r>
      <w:r w:rsidR="00A75AF3">
        <w:t>).</w:t>
      </w:r>
    </w:p>
    <w:p w14:paraId="046ED14E" w14:textId="5180550F" w:rsidR="00B4420D" w:rsidRDefault="00B4420D" w:rsidP="00A774BB">
      <w:pPr>
        <w:rPr>
          <w:rFonts w:eastAsia="DengXian"/>
          <w:caps/>
        </w:rPr>
      </w:pPr>
      <w:r>
        <w:rPr>
          <w:lang w:eastAsia="en-US"/>
        </w:rPr>
        <w:t xml:space="preserve">For </w:t>
      </w:r>
      <w:r w:rsidR="009D59DE">
        <w:rPr>
          <w:lang w:eastAsia="en-US"/>
        </w:rPr>
        <w:t>p</w:t>
      </w:r>
      <w:r>
        <w:rPr>
          <w:lang w:eastAsia="en-US"/>
        </w:rPr>
        <w:t xml:space="preserve">olicy </w:t>
      </w:r>
      <w:r w:rsidR="009D59DE">
        <w:rPr>
          <w:lang w:eastAsia="en-US"/>
        </w:rPr>
        <w:t>v</w:t>
      </w:r>
      <w:r>
        <w:rPr>
          <w:lang w:eastAsia="en-US"/>
        </w:rPr>
        <w:t xml:space="preserve">alidation, </w:t>
      </w:r>
      <w:r>
        <w:rPr>
          <w:rFonts w:eastAsia="DengXian"/>
        </w:rPr>
        <w:t xml:space="preserve">the </w:t>
      </w:r>
      <w:r w:rsidR="009D59DE">
        <w:rPr>
          <w:rFonts w:eastAsia="DengXian"/>
        </w:rPr>
        <w:t>Validation T</w:t>
      </w:r>
      <w:r>
        <w:rPr>
          <w:rFonts w:eastAsia="DengXian"/>
        </w:rPr>
        <w:t>eam tested a</w:t>
      </w:r>
      <w:r w:rsidRPr="00BC2C96">
        <w:rPr>
          <w:rFonts w:eastAsia="DengXian"/>
        </w:rPr>
        <w:t xml:space="preserve"> list of scenarios and assess</w:t>
      </w:r>
      <w:r>
        <w:rPr>
          <w:rFonts w:eastAsia="DengXian"/>
        </w:rPr>
        <w:t>ed</w:t>
      </w:r>
      <w:r w:rsidRPr="00BC2C96">
        <w:rPr>
          <w:rFonts w:eastAsia="DengXian"/>
        </w:rPr>
        <w:t xml:space="preserve"> the reasonableness of the </w:t>
      </w:r>
      <w:r>
        <w:rPr>
          <w:rFonts w:eastAsia="DengXian"/>
        </w:rPr>
        <w:t>outputs reporte</w:t>
      </w:r>
      <w:r w:rsidRPr="00BC2C96">
        <w:rPr>
          <w:rFonts w:eastAsia="DengXian"/>
        </w:rPr>
        <w:t>d by the model</w:t>
      </w:r>
      <w:r>
        <w:rPr>
          <w:rFonts w:eastAsia="DengXian"/>
        </w:rPr>
        <w:t>.</w:t>
      </w:r>
      <w:r w:rsidR="00C47DA5">
        <w:rPr>
          <w:rFonts w:eastAsia="DengXian"/>
        </w:rPr>
        <w:t xml:space="preserve"> </w:t>
      </w:r>
      <w:r>
        <w:rPr>
          <w:rFonts w:eastAsia="DengXian"/>
        </w:rPr>
        <w:t xml:space="preserve">Overall, the model behavior in these </w:t>
      </w:r>
      <w:r w:rsidRPr="003C1F0D">
        <w:rPr>
          <w:rFonts w:eastAsia="DengXian"/>
        </w:rPr>
        <w:t xml:space="preserve">scenarios </w:t>
      </w:r>
      <w:r w:rsidR="009D59DE">
        <w:rPr>
          <w:rFonts w:eastAsia="DengXian"/>
        </w:rPr>
        <w:t>wa</w:t>
      </w:r>
      <w:r w:rsidRPr="003C1F0D">
        <w:rPr>
          <w:rFonts w:eastAsia="DengXian"/>
        </w:rPr>
        <w:t>s reasonable</w:t>
      </w:r>
      <w:r w:rsidR="00C458DC" w:rsidRPr="003C1F0D">
        <w:rPr>
          <w:rFonts w:eastAsia="DengXian"/>
        </w:rPr>
        <w:t xml:space="preserve"> and the model performs as expected</w:t>
      </w:r>
      <w:r w:rsidRPr="003C1F0D">
        <w:rPr>
          <w:rFonts w:eastAsia="DengXian"/>
        </w:rPr>
        <w:t xml:space="preserve">, as reported in </w:t>
      </w:r>
      <w:hyperlink w:anchor="_Model_Comparator_1" w:history="1">
        <w:r w:rsidRPr="009D59DE">
          <w:rPr>
            <w:rStyle w:val="Hyperlink"/>
            <w:rFonts w:eastAsia="DengXian"/>
          </w:rPr>
          <w:t>Section 7</w:t>
        </w:r>
      </w:hyperlink>
      <w:r w:rsidRPr="003C1F0D">
        <w:rPr>
          <w:rFonts w:eastAsia="DengXian"/>
        </w:rPr>
        <w:t xml:space="preserve">. </w:t>
      </w:r>
      <w:r w:rsidR="000D1D0E" w:rsidRPr="003C1F0D">
        <w:rPr>
          <w:rFonts w:eastAsia="DengXian"/>
        </w:rPr>
        <w:t xml:space="preserve">However, </w:t>
      </w:r>
      <w:r w:rsidR="005F61C4" w:rsidRPr="003C1F0D">
        <w:rPr>
          <w:rStyle w:val="normaltextrun"/>
          <w:rFonts w:cs="Calibri"/>
          <w:szCs w:val="22"/>
        </w:rPr>
        <w:t>the policy validation tests</w:t>
      </w:r>
      <w:r w:rsidR="00DC3147" w:rsidRPr="003C1F0D">
        <w:rPr>
          <w:rStyle w:val="normaltextrun"/>
          <w:rFonts w:cs="Calibri"/>
          <w:szCs w:val="22"/>
        </w:rPr>
        <w:t xml:space="preserve"> were limited to </w:t>
      </w:r>
      <w:r w:rsidR="005F61C4" w:rsidRPr="003C1F0D">
        <w:rPr>
          <w:rStyle w:val="normaltextrun"/>
          <w:rFonts w:cs="Calibri"/>
          <w:szCs w:val="22"/>
        </w:rPr>
        <w:t>interventions related to increasing naloxone availability and treatment expansion. Any recommendation or assessment regarding usability of the model regarding policy testing is based on our observation related to these two interventions.</w:t>
      </w:r>
    </w:p>
    <w:p w14:paraId="7923201F" w14:textId="6DB10256" w:rsidR="009B41D0" w:rsidRDefault="00B4420D" w:rsidP="003A0708">
      <w:r>
        <w:t xml:space="preserve">In the </w:t>
      </w:r>
      <w:r w:rsidR="009D59DE">
        <w:t>m</w:t>
      </w:r>
      <w:r>
        <w:t xml:space="preserve">odel </w:t>
      </w:r>
      <w:r w:rsidR="009D59DE">
        <w:t>c</w:t>
      </w:r>
      <w:r>
        <w:t xml:space="preserve">omparison, we conducted a comparison of </w:t>
      </w:r>
      <w:r w:rsidR="00C458DC">
        <w:t>model v1110</w:t>
      </w:r>
      <w:r w:rsidR="000B18CD">
        <w:t xml:space="preserve"> </w:t>
      </w:r>
      <w:r>
        <w:t xml:space="preserve">with </w:t>
      </w:r>
      <w:r w:rsidR="00CF5166">
        <w:t>the</w:t>
      </w:r>
      <w:r>
        <w:t xml:space="preserve"> published, peer-reviewed</w:t>
      </w:r>
      <w:r w:rsidR="00CF5166">
        <w:t xml:space="preserve"> HWM</w:t>
      </w:r>
      <w:r>
        <w:t>.</w:t>
      </w:r>
      <w:r w:rsidR="00C47DA5">
        <w:t xml:space="preserve"> </w:t>
      </w:r>
      <w:r>
        <w:t xml:space="preserve">In summary, </w:t>
      </w:r>
      <w:r w:rsidR="00165664">
        <w:t>model v1110</w:t>
      </w:r>
      <w:r>
        <w:t xml:space="preserve"> compares favorably with the HWM.</w:t>
      </w:r>
      <w:r w:rsidR="00C47DA5">
        <w:t xml:space="preserve"> </w:t>
      </w:r>
      <w:r w:rsidR="00165664">
        <w:t>Model v1110</w:t>
      </w:r>
      <w:r>
        <w:t xml:space="preserve"> is a larger, more nuanced model with additional stocks and flows and additional feedback structure.</w:t>
      </w:r>
      <w:r w:rsidR="00C47DA5">
        <w:t xml:space="preserve"> </w:t>
      </w:r>
      <w:r>
        <w:t>It is constructed using standard, well-understood system dynamics formulations.</w:t>
      </w:r>
      <w:r w:rsidR="00C47DA5">
        <w:t xml:space="preserve"> </w:t>
      </w:r>
      <w:r>
        <w:t>That is, the building blocks are sound, and the construction is conceptually clear.</w:t>
      </w:r>
      <w:r w:rsidR="00C47DA5">
        <w:t xml:space="preserve"> </w:t>
      </w:r>
      <w:r>
        <w:t xml:space="preserve">As such, </w:t>
      </w:r>
      <w:r w:rsidR="00165664">
        <w:t>model v1110</w:t>
      </w:r>
      <w:r>
        <w:t xml:space="preserve"> structure is consistent with and </w:t>
      </w:r>
      <w:r w:rsidR="00021B6A">
        <w:t>h</w:t>
      </w:r>
      <w:r w:rsidR="005E514A">
        <w:t>as additional important and useful details and complexity compared to the HWM</w:t>
      </w:r>
      <w:r>
        <w:t>.</w:t>
      </w:r>
      <w:bookmarkStart w:id="114" w:name="_Next_Steps"/>
      <w:bookmarkStart w:id="115" w:name="_Recommendations_on_How"/>
      <w:bookmarkEnd w:id="114"/>
      <w:bookmarkEnd w:id="115"/>
    </w:p>
    <w:p w14:paraId="4E9260B6" w14:textId="6C435C98" w:rsidR="00A44F87" w:rsidRDefault="00A44F87" w:rsidP="00B65550">
      <w:pPr>
        <w:pStyle w:val="Heading2"/>
      </w:pPr>
      <w:bookmarkStart w:id="116" w:name="_Summary_of_Recommendations"/>
      <w:bookmarkStart w:id="117" w:name="_Toc59050096"/>
      <w:bookmarkEnd w:id="116"/>
      <w:r>
        <w:t>Summary of Recommendations</w:t>
      </w:r>
      <w:bookmarkEnd w:id="117"/>
    </w:p>
    <w:p w14:paraId="0D4DF13F" w14:textId="6D9FC6C3" w:rsidR="006F132D" w:rsidRDefault="00881848" w:rsidP="00B65550">
      <w:pPr>
        <w:pStyle w:val="BodyText"/>
      </w:pPr>
      <w:r>
        <w:t>In order to</w:t>
      </w:r>
      <w:r w:rsidR="00E0143D">
        <w:t xml:space="preserve"> move into full operationalization of model v1110</w:t>
      </w:r>
      <w:r w:rsidR="004E1A07">
        <w:t xml:space="preserve"> (e.g., through </w:t>
      </w:r>
      <w:r>
        <w:t>the Opioids Systems Analytic Service</w:t>
      </w:r>
      <w:r w:rsidR="004E1A07">
        <w:t xml:space="preserve">), </w:t>
      </w:r>
      <w:r>
        <w:t>we recommend the following actions be taken</w:t>
      </w:r>
      <w:r w:rsidR="00067A79">
        <w:t xml:space="preserve">: </w:t>
      </w:r>
    </w:p>
    <w:p w14:paraId="38736476" w14:textId="3112E34F" w:rsidR="00A62867" w:rsidRPr="003F1C87" w:rsidRDefault="00A62867" w:rsidP="002B59D2">
      <w:pPr>
        <w:pStyle w:val="ListParagraph"/>
        <w:numPr>
          <w:ilvl w:val="0"/>
          <w:numId w:val="35"/>
        </w:numPr>
        <w:rPr>
          <w:rFonts w:eastAsia="Times New Roman" w:cs="Calibri"/>
        </w:rPr>
      </w:pPr>
      <w:r w:rsidRPr="00B056D5">
        <w:rPr>
          <w:u w:val="single"/>
        </w:rPr>
        <w:t xml:space="preserve">Enhance information </w:t>
      </w:r>
      <w:r w:rsidR="00CF28AF" w:rsidRPr="00B056D5">
        <w:rPr>
          <w:u w:val="single"/>
        </w:rPr>
        <w:t xml:space="preserve">for </w:t>
      </w:r>
      <w:r w:rsidRPr="00B056D5">
        <w:rPr>
          <w:u w:val="single"/>
        </w:rPr>
        <w:t>and documentation of limitations and assumptions.</w:t>
      </w:r>
      <w:r w:rsidRPr="004E1A07">
        <w:t xml:space="preserve"> There were several items </w:t>
      </w:r>
      <w:r w:rsidR="007B34DC" w:rsidRPr="004E1A07">
        <w:t xml:space="preserve">in the </w:t>
      </w:r>
      <w:hyperlink r:id="rId62" w:history="1">
        <w:r w:rsidR="007B34DC" w:rsidRPr="004E1A07">
          <w:rPr>
            <w:rStyle w:val="Hyperlink"/>
          </w:rPr>
          <w:t xml:space="preserve">Final Validation </w:t>
        </w:r>
        <w:r w:rsidR="00A530B1" w:rsidRPr="004E1A07">
          <w:rPr>
            <w:rStyle w:val="Hyperlink"/>
          </w:rPr>
          <w:t>Part 1</w:t>
        </w:r>
        <w:r w:rsidR="00A379EB" w:rsidRPr="004E1A07">
          <w:rPr>
            <w:rStyle w:val="Hyperlink"/>
          </w:rPr>
          <w:t xml:space="preserve"> Findings Version 2</w:t>
        </w:r>
      </w:hyperlink>
      <w:r w:rsidR="00634A39" w:rsidRPr="004E1A07">
        <w:t xml:space="preserve"> </w:t>
      </w:r>
      <w:r w:rsidR="00A379EB" w:rsidRPr="004E1A07">
        <w:t>“</w:t>
      </w:r>
      <w:r w:rsidR="003D795B" w:rsidRPr="004E1A07">
        <w:t>Model Actions</w:t>
      </w:r>
      <w:r w:rsidR="00A379EB" w:rsidRPr="004E1A07">
        <w:t>” tab</w:t>
      </w:r>
      <w:r w:rsidR="00634A39" w:rsidRPr="004E1A07">
        <w:t xml:space="preserve"> </w:t>
      </w:r>
      <w:r w:rsidR="00021B6A" w:rsidRPr="004E1A07">
        <w:t xml:space="preserve">for which </w:t>
      </w:r>
      <w:r w:rsidRPr="004E1A07">
        <w:t xml:space="preserve">we have recommended that the Grant Team include specific documentation of </w:t>
      </w:r>
      <w:r w:rsidR="00A379EB" w:rsidRPr="004E1A07">
        <w:t>r</w:t>
      </w:r>
      <w:r w:rsidRPr="004E1A07">
        <w:t xml:space="preserve">elevant model characteristics. </w:t>
      </w:r>
      <w:r w:rsidR="003F1C87" w:rsidRPr="004E1A07">
        <w:t>Also</w:t>
      </w:r>
      <w:r w:rsidRPr="004E1A07">
        <w:t>, most of the responses from the</w:t>
      </w:r>
      <w:r>
        <w:t xml:space="preserve"> Grant Team provided extra detail regarding </w:t>
      </w:r>
      <w:r>
        <w:lastRenderedPageBreak/>
        <w:t xml:space="preserve">model behavior. We recommend that these responses be documented in </w:t>
      </w:r>
      <w:r w:rsidR="000824D8">
        <w:t xml:space="preserve">an </w:t>
      </w:r>
      <w:r>
        <w:t xml:space="preserve">appropriate </w:t>
      </w:r>
      <w:r w:rsidR="000824D8">
        <w:t>file</w:t>
      </w:r>
      <w:r>
        <w:t xml:space="preserve"> (e.g., “Model Documentation File.xlsx,” a list of assumptions, or model scope brief).</w:t>
      </w:r>
    </w:p>
    <w:p w14:paraId="1E978CEA" w14:textId="41F6F580" w:rsidR="003F1C87" w:rsidRPr="007B4309" w:rsidRDefault="00EC10EE" w:rsidP="00E07C8B">
      <w:pPr>
        <w:pStyle w:val="ListParagraph"/>
        <w:numPr>
          <w:ilvl w:val="0"/>
          <w:numId w:val="35"/>
        </w:numPr>
        <w:spacing w:after="0"/>
      </w:pPr>
      <w:r w:rsidRPr="00B056D5">
        <w:rPr>
          <w:u w:val="single"/>
        </w:rPr>
        <w:t>Document</w:t>
      </w:r>
      <w:r w:rsidR="00C069D6" w:rsidRPr="00B056D5">
        <w:rPr>
          <w:rFonts w:cs="Calibri"/>
          <w:u w:val="single"/>
        </w:rPr>
        <w:t xml:space="preserve"> justification for the weight </w:t>
      </w:r>
      <w:r w:rsidR="00C069D6" w:rsidRPr="00B056D5">
        <w:rPr>
          <w:u w:val="single"/>
        </w:rPr>
        <w:t xml:space="preserve">of nonfatal overdose risk (i.e., </w:t>
      </w:r>
      <w:r w:rsidR="00C069D6" w:rsidRPr="00B056D5">
        <w:rPr>
          <w:b/>
          <w:bCs/>
          <w:u w:val="single"/>
        </w:rPr>
        <w:t>Perceived risk weight NFOD</w:t>
      </w:r>
      <w:r w:rsidR="00C069D6" w:rsidRPr="00B056D5">
        <w:rPr>
          <w:u w:val="single"/>
        </w:rPr>
        <w:t xml:space="preserve">) </w:t>
      </w:r>
      <w:r w:rsidR="00C069D6" w:rsidRPr="00B056D5">
        <w:rPr>
          <w:rFonts w:cs="Calibri"/>
          <w:u w:val="single"/>
        </w:rPr>
        <w:t xml:space="preserve">of 0.1 or </w:t>
      </w:r>
      <w:r w:rsidR="00C069D6" w:rsidRPr="00B056D5">
        <w:rPr>
          <w:u w:val="single"/>
        </w:rPr>
        <w:t>increas</w:t>
      </w:r>
      <w:r w:rsidR="0090258B" w:rsidRPr="00B056D5">
        <w:rPr>
          <w:u w:val="single"/>
        </w:rPr>
        <w:t>e</w:t>
      </w:r>
      <w:r w:rsidR="00C069D6" w:rsidRPr="00B056D5">
        <w:rPr>
          <w:u w:val="single"/>
        </w:rPr>
        <w:t xml:space="preserve"> the weight value to at least 0.5</w:t>
      </w:r>
      <w:r w:rsidR="00C069D6" w:rsidRPr="00B056D5">
        <w:rPr>
          <w:rFonts w:cs="Calibri"/>
          <w:u w:val="single"/>
        </w:rPr>
        <w:t>.</w:t>
      </w:r>
      <w:r w:rsidR="00C069D6">
        <w:rPr>
          <w:rFonts w:cs="Calibri"/>
        </w:rPr>
        <w:t xml:space="preserve"> </w:t>
      </w:r>
      <w:r w:rsidR="00977327">
        <w:t xml:space="preserve">The </w:t>
      </w:r>
      <w:hyperlink r:id="rId63" w:history="1">
        <w:r w:rsidR="00A87EEB" w:rsidRPr="00A01428">
          <w:rPr>
            <w:rStyle w:val="Hyperlink"/>
          </w:rPr>
          <w:t>I</w:t>
        </w:r>
        <w:r w:rsidR="00977327" w:rsidRPr="00A01428">
          <w:rPr>
            <w:rStyle w:val="Hyperlink"/>
          </w:rPr>
          <w:t xml:space="preserve">nitial </w:t>
        </w:r>
        <w:r w:rsidR="00A87EEB" w:rsidRPr="00A01428">
          <w:rPr>
            <w:rStyle w:val="Hyperlink"/>
          </w:rPr>
          <w:t>V</w:t>
        </w:r>
        <w:r w:rsidR="00977327" w:rsidRPr="00A01428">
          <w:rPr>
            <w:rStyle w:val="Hyperlink"/>
          </w:rPr>
          <w:t xml:space="preserve">alidation </w:t>
        </w:r>
        <w:r w:rsidR="00A87EEB" w:rsidRPr="00A01428">
          <w:rPr>
            <w:rStyle w:val="Hyperlink"/>
          </w:rPr>
          <w:t>R</w:t>
        </w:r>
        <w:r w:rsidR="00977327" w:rsidRPr="00A01428">
          <w:rPr>
            <w:rStyle w:val="Hyperlink"/>
          </w:rPr>
          <w:t>eport</w:t>
        </w:r>
      </w:hyperlink>
      <w:r w:rsidR="00977327">
        <w:t xml:space="preserve"> questioned the default parameter value (0.1) for </w:t>
      </w:r>
      <w:r w:rsidR="001239F9">
        <w:rPr>
          <w:rFonts w:cs="Calibri"/>
        </w:rPr>
        <w:t>n</w:t>
      </w:r>
      <w:r w:rsidR="00977327" w:rsidRPr="00977327">
        <w:rPr>
          <w:rFonts w:cs="Calibri"/>
        </w:rPr>
        <w:t>onfatal overdose risk weight</w:t>
      </w:r>
      <w:r w:rsidR="00977327">
        <w:t xml:space="preserve"> </w:t>
      </w:r>
      <w:r w:rsidR="00977327" w:rsidRPr="00977327">
        <w:t>(</w:t>
      </w:r>
      <w:r w:rsidR="00CF28AF">
        <w:t xml:space="preserve">i.e., </w:t>
      </w:r>
      <w:r w:rsidR="00977327" w:rsidRPr="0086394D">
        <w:rPr>
          <w:b/>
          <w:bCs/>
        </w:rPr>
        <w:t>Perceived risk weight NFOD</w:t>
      </w:r>
      <w:r w:rsidR="00977327">
        <w:rPr>
          <w:b/>
          <w:bCs/>
        </w:rPr>
        <w:t xml:space="preserve"> </w:t>
      </w:r>
      <w:r w:rsidR="00977327" w:rsidRPr="00977327">
        <w:t>in model v1110), but</w:t>
      </w:r>
      <w:r w:rsidR="00977327">
        <w:t xml:space="preserve"> this observation was not addressed in model v1110.</w:t>
      </w:r>
      <w:r w:rsidR="003F1C87">
        <w:t xml:space="preserve"> </w:t>
      </w:r>
      <w:r w:rsidR="00BE2ED7">
        <w:t>T</w:t>
      </w:r>
      <w:r w:rsidR="003F1C87">
        <w:t xml:space="preserve">he </w:t>
      </w:r>
      <w:r w:rsidR="0047452C">
        <w:t>I</w:t>
      </w:r>
      <w:r w:rsidR="003F1C87">
        <w:t xml:space="preserve">nitial </w:t>
      </w:r>
      <w:r w:rsidR="0047452C">
        <w:t>V</w:t>
      </w:r>
      <w:r w:rsidR="003F1C87">
        <w:t xml:space="preserve">alidation </w:t>
      </w:r>
      <w:r w:rsidR="0047452C">
        <w:t>R</w:t>
      </w:r>
      <w:r w:rsidR="003F1C87">
        <w:t xml:space="preserve">eport </w:t>
      </w:r>
      <w:r w:rsidR="00977327">
        <w:t>discussed</w:t>
      </w:r>
      <w:r w:rsidR="003F1C87">
        <w:t xml:space="preserve"> </w:t>
      </w:r>
      <w:r w:rsidR="00F6517C">
        <w:t>how</w:t>
      </w:r>
      <w:r w:rsidR="003F1C87">
        <w:t xml:space="preserve"> the model </w:t>
      </w:r>
      <w:r w:rsidR="009D5DA2">
        <w:t xml:space="preserve">weighs </w:t>
      </w:r>
      <w:r w:rsidR="003F1C87">
        <w:t>fatal overdoses more heavily than nonfatal overdoses when calculating perceived risks</w:t>
      </w:r>
      <w:r w:rsidR="006E637B">
        <w:t xml:space="preserve"> and </w:t>
      </w:r>
      <w:r w:rsidR="003C6EAF">
        <w:t>how the weight</w:t>
      </w:r>
      <w:r w:rsidR="005B5D9A">
        <w:t xml:space="preserve"> </w:t>
      </w:r>
      <w:r w:rsidR="006E637B">
        <w:t>should be increased</w:t>
      </w:r>
      <w:r w:rsidR="003F1C87">
        <w:t xml:space="preserve">. </w:t>
      </w:r>
    </w:p>
    <w:p w14:paraId="7147F5EF" w14:textId="00C511CF" w:rsidR="000D2DD6" w:rsidRPr="001823F5" w:rsidRDefault="008B7D4C" w:rsidP="001823F5">
      <w:pPr>
        <w:pStyle w:val="ListParagraph"/>
        <w:numPr>
          <w:ilvl w:val="0"/>
          <w:numId w:val="35"/>
        </w:numPr>
        <w:spacing w:after="0"/>
        <w:rPr>
          <w:rFonts w:ascii="Segoe UI" w:eastAsia="Times New Roman" w:hAnsi="Segoe UI" w:cs="Segoe UI"/>
          <w:sz w:val="21"/>
          <w:szCs w:val="21"/>
        </w:rPr>
      </w:pPr>
      <w:r w:rsidRPr="004E1A07">
        <w:rPr>
          <w:rFonts w:eastAsia="Times New Roman" w:cstheme="minorHAnsi"/>
          <w:u w:val="single"/>
        </w:rPr>
        <w:t xml:space="preserve">Follow up on </w:t>
      </w:r>
      <w:r w:rsidR="00B056D5" w:rsidRPr="004E1A07">
        <w:rPr>
          <w:rFonts w:eastAsia="Times New Roman" w:cstheme="minorHAnsi"/>
          <w:u w:val="single"/>
        </w:rPr>
        <w:t xml:space="preserve">the </w:t>
      </w:r>
      <w:r w:rsidRPr="004E1A07">
        <w:rPr>
          <w:rFonts w:eastAsia="Times New Roman" w:cstheme="minorHAnsi"/>
          <w:u w:val="single"/>
        </w:rPr>
        <w:t>finding regarding the</w:t>
      </w:r>
      <w:r w:rsidR="001823F5" w:rsidRPr="004E1A07">
        <w:rPr>
          <w:rFonts w:eastAsia="Times New Roman" w:cstheme="minorHAnsi"/>
          <w:u w:val="single"/>
        </w:rPr>
        <w:t xml:space="preserve"> differences in both the magnitude and dynamics of elements related to street supply disruptions compared to HWM</w:t>
      </w:r>
      <w:r w:rsidR="00801DF3" w:rsidRPr="004E1A07">
        <w:rPr>
          <w:rFonts w:eastAsia="Times New Roman" w:cstheme="minorHAnsi"/>
          <w:u w:val="single"/>
        </w:rPr>
        <w:t>.</w:t>
      </w:r>
      <w:r w:rsidR="00801DF3">
        <w:rPr>
          <w:rFonts w:ascii="Segoe UI" w:eastAsia="Times New Roman" w:hAnsi="Segoe UI" w:cs="Segoe UI"/>
          <w:sz w:val="21"/>
          <w:szCs w:val="21"/>
        </w:rPr>
        <w:t xml:space="preserve"> </w:t>
      </w:r>
      <w:r w:rsidR="00CC3E8D" w:rsidRPr="00CC3E8D">
        <w:t>A</w:t>
      </w:r>
      <w:r w:rsidR="000D2DD6" w:rsidRPr="00CC3E8D">
        <w:t>fter</w:t>
      </w:r>
      <w:r w:rsidR="000D2DD6">
        <w:t xml:space="preserve"> comparing model v1110 with </w:t>
      </w:r>
      <w:r w:rsidR="001C6680">
        <w:t>the H</w:t>
      </w:r>
      <w:r w:rsidR="000D2DD6">
        <w:t xml:space="preserve">WM, </w:t>
      </w:r>
      <w:r w:rsidR="000D2DD6" w:rsidRPr="001823F5">
        <w:rPr>
          <w:rFonts w:eastAsia="Times New Roman" w:cs="Calibri"/>
        </w:rPr>
        <w:t xml:space="preserve">we </w:t>
      </w:r>
      <w:r w:rsidR="00CC3E8D" w:rsidRPr="001823F5">
        <w:rPr>
          <w:rFonts w:eastAsia="Times New Roman" w:cs="Calibri"/>
        </w:rPr>
        <w:t>observed</w:t>
      </w:r>
      <w:r w:rsidR="000D2DD6" w:rsidRPr="001823F5">
        <w:rPr>
          <w:rFonts w:eastAsia="Times New Roman" w:cs="Calibri"/>
        </w:rPr>
        <w:t xml:space="preserve"> that both</w:t>
      </w:r>
      <w:r w:rsidR="00220532">
        <w:rPr>
          <w:rFonts w:eastAsia="Times New Roman" w:cs="Calibri"/>
        </w:rPr>
        <w:t xml:space="preserve"> the</w:t>
      </w:r>
      <w:r w:rsidR="000D2DD6" w:rsidRPr="001823F5">
        <w:rPr>
          <w:rFonts w:eastAsia="Times New Roman" w:cs="Calibri"/>
        </w:rPr>
        <w:t xml:space="preserve"> magnitude and dynamics of the effect of the DEA intervention differ </w:t>
      </w:r>
      <w:r w:rsidR="00647E06" w:rsidRPr="001823F5">
        <w:rPr>
          <w:rFonts w:eastAsia="Times New Roman" w:cs="Calibri"/>
        </w:rPr>
        <w:t>between</w:t>
      </w:r>
      <w:r w:rsidR="000D2DD6" w:rsidRPr="001823F5">
        <w:rPr>
          <w:rFonts w:eastAsia="Times New Roman" w:cs="Calibri"/>
        </w:rPr>
        <w:t xml:space="preserve"> the two models, and we recommend further exploring this difference. </w:t>
      </w:r>
      <w:r w:rsidR="00CC3E8D" w:rsidRPr="001823F5">
        <w:rPr>
          <w:rFonts w:eastAsia="Times New Roman" w:cs="Calibri"/>
        </w:rPr>
        <w:t>I</w:t>
      </w:r>
      <w:r w:rsidR="000D2DD6" w:rsidRPr="001823F5">
        <w:rPr>
          <w:rFonts w:eastAsia="Times New Roman" w:cs="Calibri"/>
        </w:rPr>
        <w:t xml:space="preserve">t appears that the behavior of </w:t>
      </w:r>
      <w:r w:rsidR="000D2DD6">
        <w:t>model v1110</w:t>
      </w:r>
      <w:r w:rsidR="000D2DD6" w:rsidRPr="001823F5">
        <w:rPr>
          <w:rFonts w:eastAsia="Times New Roman" w:cs="Calibri"/>
        </w:rPr>
        <w:t xml:space="preserve"> does not match the effects stated in the documentation. Therefore, w</w:t>
      </w:r>
      <w:r w:rsidR="000D2DD6">
        <w:t xml:space="preserve">e recommend one additional follow-up action. </w:t>
      </w:r>
      <w:r w:rsidR="000D2DD6" w:rsidRPr="001823F5">
        <w:rPr>
          <w:rFonts w:eastAsia="Times New Roman" w:cs="Calibri"/>
        </w:rPr>
        <w:t xml:space="preserve">The embedded comment for the variable </w:t>
      </w:r>
      <w:r w:rsidR="000D2DD6" w:rsidRPr="001823F5">
        <w:rPr>
          <w:rFonts w:eastAsia="Times New Roman" w:cs="Calibri"/>
          <w:b/>
        </w:rPr>
        <w:t>DEA disruption supply impact</w:t>
      </w:r>
      <w:r w:rsidR="000D2DD6" w:rsidRPr="001823F5">
        <w:rPr>
          <w:rFonts w:eastAsia="Times New Roman" w:cs="Calibri"/>
        </w:rPr>
        <w:t xml:space="preserve"> suggests a diversion reduction of 10% </w:t>
      </w:r>
      <w:r w:rsidR="000D2DD6" w:rsidRPr="001823F5">
        <w:rPr>
          <w:rFonts w:eastAsia="Times New Roman" w:cs="Calibri"/>
          <w:i/>
        </w:rPr>
        <w:t xml:space="preserve">per year for 3 years </w:t>
      </w:r>
      <w:r w:rsidR="000D2DD6" w:rsidRPr="001823F5">
        <w:rPr>
          <w:rFonts w:eastAsia="Times New Roman" w:cs="Calibri"/>
        </w:rPr>
        <w:t xml:space="preserve">but instead with the baseline model settings the disruption takes </w:t>
      </w:r>
      <w:r w:rsidR="000D2DD6" w:rsidRPr="001823F5">
        <w:rPr>
          <w:rFonts w:eastAsia="Times New Roman" w:cs="Calibri"/>
          <w:i/>
        </w:rPr>
        <w:t>3 years to grow to 12%</w:t>
      </w:r>
      <w:r w:rsidR="000D2DD6" w:rsidRPr="001823F5">
        <w:rPr>
          <w:rFonts w:eastAsia="Times New Roman" w:cs="Calibri"/>
        </w:rPr>
        <w:t>. That is, by the end of the first year, disruptions total only 2%, and by the end of the second year only 6%.</w:t>
      </w:r>
      <w:r w:rsidR="00C47DA5" w:rsidRPr="001823F5">
        <w:rPr>
          <w:rFonts w:eastAsia="Times New Roman" w:cs="Calibri"/>
        </w:rPr>
        <w:t xml:space="preserve"> </w:t>
      </w:r>
      <w:r w:rsidR="000D2DD6" w:rsidRPr="001823F5">
        <w:rPr>
          <w:rFonts w:eastAsia="Times New Roman" w:cs="Calibri"/>
        </w:rPr>
        <w:t>It is not clear exactly what pattern of behavior is intended to mimic the actual consequences of the DEA intervention, but this does not seem consistent with the pattern described.</w:t>
      </w:r>
      <w:r w:rsidR="00C47DA5" w:rsidRPr="001823F5">
        <w:rPr>
          <w:rFonts w:eastAsia="Times New Roman" w:cs="Calibri"/>
        </w:rPr>
        <w:t xml:space="preserve"> </w:t>
      </w:r>
      <w:r w:rsidR="000D2DD6" w:rsidRPr="001823F5">
        <w:rPr>
          <w:rFonts w:eastAsia="Times New Roman" w:cs="Calibri"/>
        </w:rPr>
        <w:t>It is likely that the operationalization of these disruptions needs to be corrected.</w:t>
      </w:r>
      <w:r w:rsidR="00C47DA5" w:rsidRPr="001823F5">
        <w:rPr>
          <w:rFonts w:eastAsia="Times New Roman" w:cs="Calibri"/>
        </w:rPr>
        <w:t xml:space="preserve"> </w:t>
      </w:r>
    </w:p>
    <w:p w14:paraId="7467514E" w14:textId="579D59DA" w:rsidR="00956D4F" w:rsidRPr="00F342D5" w:rsidRDefault="00926EB5" w:rsidP="002D5F71">
      <w:pPr>
        <w:pStyle w:val="ListParagraph"/>
        <w:numPr>
          <w:ilvl w:val="0"/>
          <w:numId w:val="35"/>
        </w:numPr>
      </w:pPr>
      <w:r w:rsidRPr="00926EB5">
        <w:rPr>
          <w:u w:val="single"/>
        </w:rPr>
        <w:t>Consider the treatment area of the model for further adjustment or development.</w:t>
      </w:r>
      <w:r>
        <w:t xml:space="preserve"> B</w:t>
      </w:r>
      <w:r w:rsidR="00956D4F" w:rsidRPr="007453AB">
        <w:t xml:space="preserve">y increasing </w:t>
      </w:r>
      <w:r w:rsidR="00956D4F">
        <w:t>treatment</w:t>
      </w:r>
      <w:r w:rsidR="00956D4F" w:rsidRPr="007453AB">
        <w:t xml:space="preserve"> capacit</w:t>
      </w:r>
      <w:r w:rsidR="00956D4F">
        <w:t>ies</w:t>
      </w:r>
      <w:r w:rsidR="00956D4F" w:rsidRPr="007453AB">
        <w:t xml:space="preserve"> of all </w:t>
      </w:r>
      <w:r w:rsidR="00956D4F">
        <w:t xml:space="preserve">three </w:t>
      </w:r>
      <w:r w:rsidR="00956D4F" w:rsidRPr="007453AB">
        <w:t>treatment</w:t>
      </w:r>
      <w:r w:rsidR="00956D4F">
        <w:t>s</w:t>
      </w:r>
      <w:r w:rsidR="00E463F2">
        <w:t xml:space="preserve"> (</w:t>
      </w:r>
      <w:r w:rsidR="00C61C7D">
        <w:t xml:space="preserve">i.e., </w:t>
      </w:r>
      <w:r w:rsidR="00E463F2">
        <w:t>Bup</w:t>
      </w:r>
      <w:r w:rsidR="007E12DF">
        <w:t>,</w:t>
      </w:r>
      <w:r w:rsidR="00E463F2">
        <w:t xml:space="preserve"> MMT</w:t>
      </w:r>
      <w:r w:rsidR="007E12DF">
        <w:t>,</w:t>
      </w:r>
      <w:r w:rsidR="00E463F2">
        <w:t xml:space="preserve"> Viv)</w:t>
      </w:r>
      <w:r w:rsidR="00956D4F" w:rsidRPr="007453AB">
        <w:t xml:space="preserve">, the </w:t>
      </w:r>
      <w:r w:rsidR="00956D4F">
        <w:t>number</w:t>
      </w:r>
      <w:r w:rsidR="00956D4F" w:rsidRPr="007453AB">
        <w:t xml:space="preserve"> of people with HUD in </w:t>
      </w:r>
      <w:r w:rsidR="00E463F2" w:rsidRPr="00E463F2">
        <w:t>MMT</w:t>
      </w:r>
      <w:r w:rsidR="00956D4F" w:rsidRPr="007453AB">
        <w:t xml:space="preserve"> and </w:t>
      </w:r>
      <w:r w:rsidR="00E463F2" w:rsidRPr="00E463F2">
        <w:t>Viv treatment</w:t>
      </w:r>
      <w:r w:rsidR="007E12DF">
        <w:t>s</w:t>
      </w:r>
      <w:r w:rsidR="00956D4F">
        <w:t xml:space="preserve"> </w:t>
      </w:r>
      <w:r w:rsidR="00956D4F" w:rsidRPr="007453AB">
        <w:t>increase</w:t>
      </w:r>
      <w:r w:rsidR="00956D4F">
        <w:t>,</w:t>
      </w:r>
      <w:r w:rsidR="00956D4F" w:rsidRPr="007453AB">
        <w:t xml:space="preserve"> but the </w:t>
      </w:r>
      <w:r w:rsidR="00956D4F">
        <w:t>number</w:t>
      </w:r>
      <w:r w:rsidR="00956D4F" w:rsidRPr="007453AB">
        <w:t xml:space="preserve"> of people with </w:t>
      </w:r>
      <w:r w:rsidR="00956D4F">
        <w:t>HUD in Bup</w:t>
      </w:r>
      <w:r w:rsidR="00E463F2">
        <w:t xml:space="preserve"> treatment</w:t>
      </w:r>
      <w:r w:rsidR="00956D4F" w:rsidRPr="00956D4F">
        <w:rPr>
          <w:b/>
          <w:bCs/>
        </w:rPr>
        <w:t xml:space="preserve"> </w:t>
      </w:r>
      <w:r w:rsidR="00956D4F" w:rsidRPr="007453AB">
        <w:t>decrease</w:t>
      </w:r>
      <w:r w:rsidR="00956D4F">
        <w:t>s. Th</w:t>
      </w:r>
      <w:r w:rsidR="00077A3F">
        <w:t>is</w:t>
      </w:r>
      <w:r w:rsidR="00956D4F">
        <w:t xml:space="preserve"> finding result</w:t>
      </w:r>
      <w:r w:rsidR="002A55B4">
        <w:t>s</w:t>
      </w:r>
      <w:r w:rsidR="00956D4F">
        <w:t xml:space="preserve"> in part from the model’s assumptions about the therapy-seeking rates of the three treatment paths. The choice of which therapy to seek is not influenced by relative availability. </w:t>
      </w:r>
      <w:r w:rsidR="00B16B96">
        <w:t>In other words, t</w:t>
      </w:r>
      <w:r w:rsidR="00956D4F">
        <w:t xml:space="preserve">here is no feedback from capacity utilization that affects people’s decision for seeking one treatment versus another. </w:t>
      </w:r>
      <w:r w:rsidR="000413B4">
        <w:t>Therefore, this could be a potential area in the model that may benefit from further adjustment or development.</w:t>
      </w:r>
      <w:r w:rsidR="000413B4" w:rsidRPr="00B11E17">
        <w:t xml:space="preserve"> </w:t>
      </w:r>
      <w:r w:rsidR="000413B4" w:rsidRPr="000413B4">
        <w:rPr>
          <w:color w:val="000000"/>
        </w:rPr>
        <w:t>A</w:t>
      </w:r>
      <w:r w:rsidR="000413B4" w:rsidRPr="007D0AB3">
        <w:rPr>
          <w:color w:val="000000"/>
        </w:rPr>
        <w:t>ddressing this limitation on the treatment part could lead to increased confidence into the model's results</w:t>
      </w:r>
      <w:r w:rsidR="00196529">
        <w:rPr>
          <w:color w:val="000000"/>
        </w:rPr>
        <w:t xml:space="preserve"> but is not necessary for operationalization</w:t>
      </w:r>
      <w:r w:rsidR="000413B4" w:rsidRPr="007D0AB3">
        <w:rPr>
          <w:color w:val="000000"/>
        </w:rPr>
        <w:t>.</w:t>
      </w:r>
    </w:p>
    <w:p w14:paraId="15E1DC56" w14:textId="0A72FEAF" w:rsidR="0002727D" w:rsidRDefault="00574AE9" w:rsidP="00EB210D">
      <w:r>
        <w:t xml:space="preserve">If these items are fully </w:t>
      </w:r>
      <w:r w:rsidR="00B670D1">
        <w:t>addressed,</w:t>
      </w:r>
      <w:r>
        <w:t xml:space="preserve"> we</w:t>
      </w:r>
      <w:r w:rsidR="007E50A9">
        <w:t xml:space="preserve"> believe the model is ready </w:t>
      </w:r>
      <w:r w:rsidR="00196EF8">
        <w:t>to be used as a tool to</w:t>
      </w:r>
      <w:r w:rsidR="00F230EF">
        <w:t xml:space="preserve"> help</w:t>
      </w:r>
      <w:r w:rsidR="00196EF8">
        <w:t xml:space="preserve"> inform opioid policy decisions. </w:t>
      </w:r>
    </w:p>
    <w:p w14:paraId="18511DEE" w14:textId="6134B214" w:rsidR="00036CAC" w:rsidRDefault="003A5733" w:rsidP="00CC49EF">
      <w:pPr>
        <w:pStyle w:val="Heading2"/>
      </w:pPr>
      <w:bookmarkStart w:id="118" w:name="_Usability_Assessment"/>
      <w:bookmarkStart w:id="119" w:name="_Toc59050097"/>
      <w:bookmarkEnd w:id="118"/>
      <w:r>
        <w:t>Usability Assessment</w:t>
      </w:r>
      <w:bookmarkEnd w:id="119"/>
    </w:p>
    <w:p w14:paraId="690B6C04" w14:textId="22783C6E" w:rsidR="00976B09" w:rsidRPr="0012238D" w:rsidRDefault="00C166A5" w:rsidP="00976B09">
      <w:r>
        <w:t xml:space="preserve">Overall, </w:t>
      </w:r>
      <w:r w:rsidR="00B63005">
        <w:t>t</w:t>
      </w:r>
      <w:r w:rsidR="00976B09">
        <w:t xml:space="preserve">he model is suitable for use to </w:t>
      </w:r>
      <w:r w:rsidR="005F5E5F">
        <w:t xml:space="preserve">help </w:t>
      </w:r>
      <w:r w:rsidR="00976B09">
        <w:t xml:space="preserve">evaluate a </w:t>
      </w:r>
      <w:r w:rsidR="00976B09" w:rsidRPr="0012238D">
        <w:t xml:space="preserve">variety of </w:t>
      </w:r>
      <w:r w:rsidR="00F50B11" w:rsidRPr="0012238D">
        <w:t>opioid policies and to</w:t>
      </w:r>
      <w:r w:rsidR="00976B09" w:rsidRPr="0012238D">
        <w:t xml:space="preserve"> simulate and examine their intended and unintended consequences. </w:t>
      </w:r>
      <w:r w:rsidR="0061119C" w:rsidRPr="0012238D">
        <w:t>However, b</w:t>
      </w:r>
      <w:r w:rsidR="0012238D" w:rsidRPr="0012238D">
        <w:t>oth</w:t>
      </w:r>
      <w:r w:rsidR="0061119C" w:rsidRPr="0012238D">
        <w:t xml:space="preserve"> model v1110 and the validation process have some limitations that </w:t>
      </w:r>
      <w:r w:rsidR="0012238D" w:rsidRPr="0012238D">
        <w:t>are discussed throughout this report</w:t>
      </w:r>
      <w:r w:rsidR="0061119C" w:rsidRPr="0012238D">
        <w:t>. Therefore,</w:t>
      </w:r>
      <w:r w:rsidR="00976B09" w:rsidRPr="0012238D">
        <w:t xml:space="preserve"> </w:t>
      </w:r>
      <w:r w:rsidR="0061119C" w:rsidRPr="0012238D">
        <w:t>w</w:t>
      </w:r>
      <w:r w:rsidR="00976B09" w:rsidRPr="0012238D">
        <w:t xml:space="preserve">e offer some recommendations to enhance the </w:t>
      </w:r>
      <w:r w:rsidR="00BD2265">
        <w:t xml:space="preserve">usability and </w:t>
      </w:r>
      <w:r w:rsidR="00976B09" w:rsidRPr="0012238D">
        <w:t>usefulness of the model:</w:t>
      </w:r>
    </w:p>
    <w:p w14:paraId="763BCBFD" w14:textId="71182829"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The model structure should be “frozen” unless future changes to model structure will be subjected to examination and review</w:t>
      </w:r>
      <w:r w:rsidR="004E1A07">
        <w:rPr>
          <w:rFonts w:ascii="Calibri" w:eastAsia="Times New Roman" w:hAnsi="Calibri" w:cs="Calibri"/>
        </w:rPr>
        <w:t xml:space="preserve"> </w:t>
      </w:r>
      <w:r w:rsidR="00C35D69">
        <w:rPr>
          <w:rFonts w:ascii="Calibri" w:eastAsia="Times New Roman" w:hAnsi="Calibri" w:cs="Calibri"/>
        </w:rPr>
        <w:t xml:space="preserve">(e.g., </w:t>
      </w:r>
      <w:r w:rsidR="008C2FD7">
        <w:rPr>
          <w:rFonts w:ascii="Calibri" w:eastAsia="Times New Roman" w:hAnsi="Calibri" w:cs="Calibri"/>
        </w:rPr>
        <w:t>calibration, validation</w:t>
      </w:r>
      <w:r w:rsidR="00C35D69">
        <w:rPr>
          <w:rFonts w:ascii="Calibri" w:eastAsia="Times New Roman" w:hAnsi="Calibri" w:cs="Calibri"/>
        </w:rPr>
        <w:t>)</w:t>
      </w:r>
      <w:r>
        <w:rPr>
          <w:rFonts w:ascii="Calibri" w:eastAsia="Times New Roman" w:hAnsi="Calibri" w:cs="Calibri"/>
        </w:rPr>
        <w:t>.</w:t>
      </w:r>
    </w:p>
    <w:p w14:paraId="6F0D9062" w14:textId="52E345D1" w:rsidR="00976B09" w:rsidRDefault="0045250D" w:rsidP="00976B09">
      <w:pPr>
        <w:pStyle w:val="ListParagraph"/>
        <w:numPr>
          <w:ilvl w:val="0"/>
          <w:numId w:val="30"/>
        </w:numPr>
        <w:rPr>
          <w:rFonts w:ascii="Calibri" w:eastAsia="Times New Roman" w:hAnsi="Calibri" w:cs="Calibri"/>
        </w:rPr>
      </w:pPr>
      <w:r>
        <w:rPr>
          <w:rFonts w:ascii="Calibri" w:eastAsia="Times New Roman" w:hAnsi="Calibri" w:cs="Calibri"/>
        </w:rPr>
        <w:t>N</w:t>
      </w:r>
      <w:r w:rsidR="00976B09">
        <w:rPr>
          <w:rFonts w:ascii="Calibri" w:eastAsia="Times New Roman" w:hAnsi="Calibri" w:cs="Calibri"/>
        </w:rPr>
        <w:t>o model is ever complete</w:t>
      </w:r>
      <w:r>
        <w:rPr>
          <w:rFonts w:ascii="Calibri" w:eastAsia="Times New Roman" w:hAnsi="Calibri" w:cs="Calibri"/>
        </w:rPr>
        <w:t>;</w:t>
      </w:r>
      <w:r w:rsidR="00976B09">
        <w:rPr>
          <w:rFonts w:ascii="Calibri" w:eastAsia="Times New Roman" w:hAnsi="Calibri" w:cs="Calibri"/>
        </w:rPr>
        <w:t xml:space="preserve"> </w:t>
      </w:r>
      <w:r>
        <w:rPr>
          <w:rFonts w:ascii="Calibri" w:eastAsia="Times New Roman" w:hAnsi="Calibri" w:cs="Calibri"/>
        </w:rPr>
        <w:t xml:space="preserve">users </w:t>
      </w:r>
      <w:r w:rsidR="00976B09">
        <w:rPr>
          <w:rFonts w:ascii="Calibri" w:eastAsia="Times New Roman" w:hAnsi="Calibri" w:cs="Calibri"/>
        </w:rPr>
        <w:t>and modelers should remain alert to the need for future enhancements.</w:t>
      </w:r>
    </w:p>
    <w:p w14:paraId="7668F9F5" w14:textId="67EBB7A9"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lastRenderedPageBreak/>
        <w:t xml:space="preserve">Model simulations to project the consequences of </w:t>
      </w:r>
      <w:r w:rsidR="000E7122">
        <w:rPr>
          <w:rFonts w:ascii="Calibri" w:eastAsia="Times New Roman" w:hAnsi="Calibri" w:cs="Calibri"/>
        </w:rPr>
        <w:t>opioid policies</w:t>
      </w:r>
      <w:r>
        <w:rPr>
          <w:rFonts w:ascii="Calibri" w:eastAsia="Times New Roman" w:hAnsi="Calibri" w:cs="Calibri"/>
        </w:rPr>
        <w:t xml:space="preserve"> should be limited to the time horizon through 2030.</w:t>
      </w:r>
    </w:p>
    <w:p w14:paraId="344A1DAC" w14:textId="554AC75D"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 xml:space="preserve">The </w:t>
      </w:r>
      <w:r w:rsidR="00780D69">
        <w:rPr>
          <w:rFonts w:ascii="Calibri" w:eastAsia="Times New Roman" w:hAnsi="Calibri" w:cs="Calibri"/>
        </w:rPr>
        <w:t xml:space="preserve">Grant Team </w:t>
      </w:r>
      <w:r>
        <w:rPr>
          <w:rFonts w:ascii="Calibri" w:eastAsia="Times New Roman" w:hAnsi="Calibri" w:cs="Calibri"/>
        </w:rPr>
        <w:t>should compile of list of limitations</w:t>
      </w:r>
      <w:r w:rsidR="006532D9">
        <w:rPr>
          <w:rFonts w:ascii="Calibri" w:eastAsia="Times New Roman" w:hAnsi="Calibri" w:cs="Calibri"/>
        </w:rPr>
        <w:t xml:space="preserve"> and </w:t>
      </w:r>
      <w:r w:rsidR="00DB56A3">
        <w:rPr>
          <w:rFonts w:ascii="Calibri" w:eastAsia="Times New Roman" w:hAnsi="Calibri" w:cs="Calibri"/>
        </w:rPr>
        <w:t>assumption</w:t>
      </w:r>
      <w:r w:rsidR="005F2286">
        <w:rPr>
          <w:rFonts w:ascii="Calibri" w:eastAsia="Times New Roman" w:hAnsi="Calibri" w:cs="Calibri"/>
        </w:rPr>
        <w:t>s most relevant</w:t>
      </w:r>
      <w:r w:rsidR="00934266">
        <w:rPr>
          <w:rFonts w:ascii="Calibri" w:eastAsia="Times New Roman" w:hAnsi="Calibri" w:cs="Calibri"/>
        </w:rPr>
        <w:t xml:space="preserve"> for pro</w:t>
      </w:r>
      <w:r w:rsidR="00D26F14">
        <w:rPr>
          <w:rFonts w:ascii="Calibri" w:eastAsia="Times New Roman" w:hAnsi="Calibri" w:cs="Calibri"/>
        </w:rPr>
        <w:t>per use of</w:t>
      </w:r>
      <w:r>
        <w:rPr>
          <w:rFonts w:ascii="Calibri" w:eastAsia="Times New Roman" w:hAnsi="Calibri" w:cs="Calibri"/>
        </w:rPr>
        <w:t xml:space="preserve"> the model, some of which</w:t>
      </w:r>
      <w:r w:rsidR="004A4991">
        <w:rPr>
          <w:rFonts w:ascii="Calibri" w:eastAsia="Times New Roman" w:hAnsi="Calibri" w:cs="Calibri"/>
        </w:rPr>
        <w:t xml:space="preserve"> are </w:t>
      </w:r>
      <w:r>
        <w:rPr>
          <w:rFonts w:ascii="Calibri" w:eastAsia="Times New Roman" w:hAnsi="Calibri" w:cs="Calibri"/>
        </w:rPr>
        <w:t>identified</w:t>
      </w:r>
      <w:r w:rsidR="004A4991">
        <w:rPr>
          <w:rFonts w:ascii="Calibri" w:eastAsia="Times New Roman" w:hAnsi="Calibri" w:cs="Calibri"/>
        </w:rPr>
        <w:t xml:space="preserve"> in this report</w:t>
      </w:r>
      <w:r>
        <w:rPr>
          <w:rFonts w:ascii="Calibri" w:eastAsia="Times New Roman" w:hAnsi="Calibri" w:cs="Calibri"/>
        </w:rPr>
        <w:t xml:space="preserve">, to be used </w:t>
      </w:r>
      <w:r w:rsidR="00262158">
        <w:rPr>
          <w:rFonts w:ascii="Calibri" w:eastAsia="Times New Roman" w:hAnsi="Calibri" w:cs="Calibri"/>
        </w:rPr>
        <w:t>in the interpretation of</w:t>
      </w:r>
      <w:r>
        <w:rPr>
          <w:rFonts w:ascii="Calibri" w:eastAsia="Times New Roman" w:hAnsi="Calibri" w:cs="Calibri"/>
        </w:rPr>
        <w:t xml:space="preserve"> policy</w:t>
      </w:r>
      <w:r w:rsidR="00F55D6A">
        <w:rPr>
          <w:rFonts w:ascii="Calibri" w:eastAsia="Times New Roman" w:hAnsi="Calibri" w:cs="Calibri"/>
        </w:rPr>
        <w:t xml:space="preserve"> testing results</w:t>
      </w:r>
      <w:r>
        <w:rPr>
          <w:rFonts w:ascii="Calibri" w:eastAsia="Times New Roman" w:hAnsi="Calibri" w:cs="Calibri"/>
        </w:rPr>
        <w:t>.</w:t>
      </w:r>
    </w:p>
    <w:p w14:paraId="1A611818" w14:textId="30CF29D5"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The model should be supported by a model user environment including elements</w:t>
      </w:r>
      <w:r w:rsidR="009D2FF8">
        <w:rPr>
          <w:rFonts w:ascii="Calibri" w:eastAsia="Times New Roman" w:hAnsi="Calibri" w:cs="Calibri"/>
        </w:rPr>
        <w:t xml:space="preserve"> such</w:t>
      </w:r>
      <w:r>
        <w:rPr>
          <w:rFonts w:ascii="Calibri" w:eastAsia="Times New Roman" w:hAnsi="Calibri" w:cs="Calibri"/>
        </w:rPr>
        <w:t xml:space="preserve"> as a user interface, comprehensive and transparent model documentation, effective and understandable visualization of model results, and informed facilitation of model exploration in the service of policy questions</w:t>
      </w:r>
      <w:r w:rsidR="00DC7300">
        <w:rPr>
          <w:rFonts w:ascii="Calibri" w:eastAsia="Times New Roman" w:hAnsi="Calibri" w:cs="Calibri"/>
        </w:rPr>
        <w:t xml:space="preserve"> (e.g., through the Opioid Systems Analytics Service)</w:t>
      </w:r>
      <w:r>
        <w:rPr>
          <w:rFonts w:ascii="Calibri" w:eastAsia="Times New Roman" w:hAnsi="Calibri" w:cs="Calibri"/>
        </w:rPr>
        <w:t>.</w:t>
      </w:r>
    </w:p>
    <w:p w14:paraId="19E60492" w14:textId="10C1D74E"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Users should be encouraged to test the sensitivity or robustness of policy conclusions to the uncertainties of model parameters.</w:t>
      </w:r>
      <w:r w:rsidR="0053633C">
        <w:rPr>
          <w:rFonts w:ascii="Calibri" w:eastAsia="Times New Roman" w:hAnsi="Calibri" w:cs="Calibri"/>
        </w:rPr>
        <w:t xml:space="preserve"> </w:t>
      </w:r>
    </w:p>
    <w:p w14:paraId="284A2331" w14:textId="440C2DB6" w:rsidR="00976B09" w:rsidRPr="007227F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The model user environment should encourage users to explore and understand why simulation results for any given scenario behave as they do.</w:t>
      </w:r>
      <w:r w:rsidR="00C47DA5">
        <w:rPr>
          <w:rFonts w:ascii="Calibri" w:eastAsia="Times New Roman" w:hAnsi="Calibri" w:cs="Calibri"/>
        </w:rPr>
        <w:t xml:space="preserve"> </w:t>
      </w:r>
      <w:r w:rsidR="00594931">
        <w:rPr>
          <w:rFonts w:ascii="Calibri" w:eastAsia="Times New Roman" w:hAnsi="Calibri" w:cs="Calibri"/>
        </w:rPr>
        <w:t xml:space="preserve">It is essential to have visibility of the </w:t>
      </w:r>
      <w:r>
        <w:rPr>
          <w:rFonts w:ascii="Calibri" w:eastAsia="Times New Roman" w:hAnsi="Calibri" w:cs="Calibri"/>
        </w:rPr>
        <w:t>model structure to analyze the causal paths that generate observed results.</w:t>
      </w:r>
      <w:r w:rsidR="00C47DA5">
        <w:rPr>
          <w:rFonts w:ascii="Calibri" w:eastAsia="Times New Roman" w:hAnsi="Calibri" w:cs="Calibri"/>
        </w:rPr>
        <w:t xml:space="preserve"> </w:t>
      </w:r>
      <w:r>
        <w:rPr>
          <w:rFonts w:ascii="Calibri" w:eastAsia="Times New Roman" w:hAnsi="Calibri" w:cs="Calibri"/>
        </w:rPr>
        <w:t xml:space="preserve">In this way, the formal model can serve to extend and enhance the </w:t>
      </w:r>
      <w:r w:rsidR="00D20ED1">
        <w:rPr>
          <w:rFonts w:ascii="Calibri" w:eastAsia="Times New Roman" w:hAnsi="Calibri" w:cs="Calibri"/>
        </w:rPr>
        <w:t>users’ mental models</w:t>
      </w:r>
      <w:r>
        <w:rPr>
          <w:rFonts w:ascii="Calibri" w:eastAsia="Times New Roman" w:hAnsi="Calibri" w:cs="Calibri"/>
        </w:rPr>
        <w:t>.</w:t>
      </w:r>
      <w:r w:rsidR="00C47DA5">
        <w:rPr>
          <w:rFonts w:ascii="Calibri" w:eastAsia="Times New Roman" w:hAnsi="Calibri" w:cs="Calibri"/>
        </w:rPr>
        <w:t xml:space="preserve"> </w:t>
      </w:r>
    </w:p>
    <w:p w14:paraId="078AA05C" w14:textId="77777777" w:rsidR="00BD6A48" w:rsidRPr="00F612C6" w:rsidRDefault="00BD6A48" w:rsidP="00B54235">
      <w:pPr>
        <w:rPr>
          <w:rFonts w:asciiTheme="minorHAnsi" w:hAnsiTheme="minorHAnsi" w:cstheme="minorBidi"/>
        </w:rPr>
      </w:pPr>
    </w:p>
    <w:p w14:paraId="2BCE23CF" w14:textId="77777777" w:rsidR="00274D98" w:rsidRDefault="00274D98">
      <w:pPr>
        <w:spacing w:after="0"/>
        <w:rPr>
          <w:rFonts w:ascii="Oswald" w:hAnsi="Oswald" w:cs="Knockout-HTF28-JuniorFeatherwt"/>
          <w:caps/>
          <w:color w:val="5D7D95" w:themeColor="accent1"/>
          <w:spacing w:val="51"/>
          <w:sz w:val="36"/>
          <w:szCs w:val="36"/>
        </w:rPr>
      </w:pPr>
      <w:bookmarkStart w:id="120" w:name="_Toc51849712"/>
      <w:bookmarkStart w:id="121" w:name="_Toc52396030"/>
      <w:r>
        <w:br w:type="page"/>
      </w:r>
    </w:p>
    <w:p w14:paraId="60B2E561" w14:textId="646FBC54" w:rsidR="00C54D4D" w:rsidRDefault="00C54D4D" w:rsidP="00C54D4D">
      <w:pPr>
        <w:pStyle w:val="Heading1"/>
      </w:pPr>
      <w:bookmarkStart w:id="122" w:name="_Toc59050098"/>
      <w:r>
        <w:lastRenderedPageBreak/>
        <w:t>References</w:t>
      </w:r>
      <w:bookmarkEnd w:id="120"/>
      <w:bookmarkEnd w:id="121"/>
      <w:bookmarkEnd w:id="122"/>
    </w:p>
    <w:p w14:paraId="0F6613A0" w14:textId="77777777" w:rsidR="009E7F6B" w:rsidRPr="000F5B1E" w:rsidRDefault="009E7F6B" w:rsidP="009E7F6B">
      <w:pPr>
        <w:ind w:left="446" w:hanging="446"/>
        <w:rPr>
          <w:rFonts w:cs="Calibri"/>
          <w:szCs w:val="22"/>
          <w:shd w:val="clear" w:color="auto" w:fill="FFFFFF"/>
        </w:rPr>
      </w:pPr>
      <w:r>
        <w:rPr>
          <w:rFonts w:cs="Calibri"/>
          <w:szCs w:val="22"/>
          <w:shd w:val="clear" w:color="auto" w:fill="FFFFFF"/>
        </w:rPr>
        <w:t xml:space="preserve">Department of Defense. </w:t>
      </w:r>
      <w:r w:rsidRPr="000F5B1E">
        <w:rPr>
          <w:rFonts w:cs="Calibri"/>
          <w:szCs w:val="22"/>
          <w:shd w:val="clear" w:color="auto" w:fill="FFFFFF"/>
        </w:rPr>
        <w:t>“DoD Standard Practice Documentation of Verification, Validation, and Accreditation (VV&amp;A) for Models and Simulations,” 2018.</w:t>
      </w:r>
    </w:p>
    <w:p w14:paraId="71FDCCE7" w14:textId="77777777" w:rsidR="0026386A" w:rsidRDefault="0026386A" w:rsidP="0026386A">
      <w:pPr>
        <w:ind w:left="446" w:hanging="446"/>
        <w:rPr>
          <w:rFonts w:cs="Calibri"/>
          <w:szCs w:val="22"/>
          <w:shd w:val="clear" w:color="auto" w:fill="FFFFFF"/>
        </w:rPr>
      </w:pPr>
      <w:r w:rsidRPr="000F5B1E">
        <w:rPr>
          <w:rFonts w:cs="Calibri"/>
          <w:szCs w:val="22"/>
          <w:shd w:val="clear" w:color="auto" w:fill="FFFFFF"/>
        </w:rPr>
        <w:t>Homer, Jack. “Best Practices in System Dynamics Modeling, Revisited: a Practitioners View.” </w:t>
      </w:r>
      <w:r w:rsidRPr="000F5B1E">
        <w:rPr>
          <w:rFonts w:cs="Calibri"/>
          <w:i/>
          <w:iCs/>
          <w:szCs w:val="22"/>
          <w:shd w:val="clear" w:color="auto" w:fill="FFFFFF"/>
        </w:rPr>
        <w:t>System Dynamics Review</w:t>
      </w:r>
      <w:r w:rsidRPr="000F5B1E">
        <w:rPr>
          <w:rFonts w:cs="Calibri"/>
          <w:szCs w:val="22"/>
          <w:shd w:val="clear" w:color="auto" w:fill="FFFFFF"/>
        </w:rPr>
        <w:t> 35, no. 2 (2019): 177–81.</w:t>
      </w:r>
      <w:r w:rsidRPr="006E1CF1">
        <w:rPr>
          <w:rFonts w:cs="Calibri"/>
          <w:color w:val="243646" w:themeColor="accent2"/>
          <w:szCs w:val="22"/>
          <w:shd w:val="clear" w:color="auto" w:fill="FFFFFF"/>
        </w:rPr>
        <w:t xml:space="preserve"> </w:t>
      </w:r>
      <w:hyperlink r:id="rId64" w:history="1">
        <w:r w:rsidRPr="006E1CF1">
          <w:rPr>
            <w:rStyle w:val="Hyperlink"/>
            <w:rFonts w:cs="Calibri"/>
            <w:color w:val="243646" w:themeColor="accent2"/>
            <w:szCs w:val="22"/>
            <w:shd w:val="clear" w:color="auto" w:fill="FFFFFF"/>
          </w:rPr>
          <w:t>https://doi.org/10.1002/sdr.1630</w:t>
        </w:r>
      </w:hyperlink>
      <w:r w:rsidRPr="000F5B1E">
        <w:rPr>
          <w:rFonts w:cs="Calibri"/>
          <w:szCs w:val="22"/>
          <w:shd w:val="clear" w:color="auto" w:fill="FFFFFF"/>
        </w:rPr>
        <w:t>.</w:t>
      </w:r>
    </w:p>
    <w:p w14:paraId="6E26685A" w14:textId="3CE097AB" w:rsidR="009C3EE2" w:rsidRDefault="007D2D12" w:rsidP="009C3EE2">
      <w:pPr>
        <w:ind w:left="446" w:hanging="446"/>
        <w:rPr>
          <w:rFonts w:cs="Calibri"/>
          <w:szCs w:val="22"/>
          <w:shd w:val="clear" w:color="auto" w:fill="FFFFFF"/>
        </w:rPr>
      </w:pPr>
      <w:r w:rsidRPr="007D2D12">
        <w:rPr>
          <w:rFonts w:cs="Calibri"/>
          <w:szCs w:val="22"/>
          <w:shd w:val="clear" w:color="auto" w:fill="FFFFFF"/>
        </w:rPr>
        <w:t xml:space="preserve">Homer, Jack, and Wayne Wakeland. “A Dynamic Model of the Opioid Drug Epidemic with Implications for Policy.” </w:t>
      </w:r>
      <w:r w:rsidRPr="00631218">
        <w:rPr>
          <w:rFonts w:cs="Calibri"/>
          <w:i/>
          <w:szCs w:val="22"/>
          <w:shd w:val="clear" w:color="auto" w:fill="FFFFFF"/>
        </w:rPr>
        <w:t>The American Journal of Drug and Alcohol Abuse</w:t>
      </w:r>
      <w:r w:rsidRPr="007D2D12">
        <w:rPr>
          <w:rFonts w:cs="Calibri"/>
          <w:szCs w:val="22"/>
          <w:shd w:val="clear" w:color="auto" w:fill="FFFFFF"/>
        </w:rPr>
        <w:t xml:space="preserve">, 2020, 1–11. </w:t>
      </w:r>
      <w:hyperlink r:id="rId65" w:history="1">
        <w:r w:rsidRPr="00EB3C33">
          <w:rPr>
            <w:rStyle w:val="Hyperlink"/>
            <w:rFonts w:cs="Calibri"/>
            <w:szCs w:val="22"/>
            <w:shd w:val="clear" w:color="auto" w:fill="FFFFFF"/>
          </w:rPr>
          <w:t>https://doi.org/10.1080/00952990.2020.1755677</w:t>
        </w:r>
      </w:hyperlink>
      <w:r w:rsidRPr="007D2D12">
        <w:rPr>
          <w:rFonts w:cs="Calibri"/>
          <w:szCs w:val="22"/>
          <w:shd w:val="clear" w:color="auto" w:fill="FFFFFF"/>
        </w:rPr>
        <w:t>.</w:t>
      </w:r>
      <w:r w:rsidR="0053633C">
        <w:rPr>
          <w:rFonts w:cs="Calibri"/>
          <w:szCs w:val="22"/>
          <w:shd w:val="clear" w:color="auto" w:fill="FFFFFF"/>
        </w:rPr>
        <w:t xml:space="preserve"> </w:t>
      </w:r>
    </w:p>
    <w:p w14:paraId="166899B2" w14:textId="13529958" w:rsidR="009C3EE2" w:rsidRDefault="009C3EE2" w:rsidP="009C3EE2">
      <w:pPr>
        <w:ind w:left="446" w:hanging="446"/>
        <w:rPr>
          <w:rFonts w:cs="Calibri"/>
          <w:szCs w:val="22"/>
          <w:shd w:val="clear" w:color="auto" w:fill="FFFFFF"/>
        </w:rPr>
      </w:pPr>
      <w:r>
        <w:rPr>
          <w:rFonts w:cs="Calibri"/>
          <w:szCs w:val="22"/>
          <w:shd w:val="clear" w:color="auto" w:fill="FFFFFF"/>
        </w:rPr>
        <w:t>Irvine</w:t>
      </w:r>
      <w:r w:rsidR="00D0048B">
        <w:rPr>
          <w:rFonts w:cs="Calibri"/>
          <w:szCs w:val="22"/>
          <w:shd w:val="clear" w:color="auto" w:fill="FFFFFF"/>
        </w:rPr>
        <w:t>,</w:t>
      </w:r>
      <w:r>
        <w:rPr>
          <w:rFonts w:cs="Calibri"/>
          <w:szCs w:val="22"/>
          <w:shd w:val="clear" w:color="auto" w:fill="FFFFFF"/>
        </w:rPr>
        <w:t xml:space="preserve"> Michael, </w:t>
      </w:r>
      <w:r w:rsidR="00D0048B">
        <w:rPr>
          <w:rFonts w:cs="Calibri"/>
          <w:szCs w:val="22"/>
          <w:shd w:val="clear" w:color="auto" w:fill="FFFFFF"/>
        </w:rPr>
        <w:t xml:space="preserve">Declan </w:t>
      </w:r>
      <w:proofErr w:type="spellStart"/>
      <w:r>
        <w:rPr>
          <w:rFonts w:cs="Calibri"/>
          <w:szCs w:val="22"/>
          <w:shd w:val="clear" w:color="auto" w:fill="FFFFFF"/>
        </w:rPr>
        <w:t>Oller</w:t>
      </w:r>
      <w:proofErr w:type="spellEnd"/>
      <w:r>
        <w:rPr>
          <w:rFonts w:cs="Calibri"/>
          <w:szCs w:val="22"/>
          <w:shd w:val="clear" w:color="auto" w:fill="FFFFFF"/>
        </w:rPr>
        <w:t xml:space="preserve">, </w:t>
      </w:r>
      <w:r w:rsidR="00D0048B">
        <w:rPr>
          <w:rFonts w:cs="Calibri"/>
          <w:szCs w:val="22"/>
          <w:shd w:val="clear" w:color="auto" w:fill="FFFFFF"/>
        </w:rPr>
        <w:t xml:space="preserve">Brian </w:t>
      </w:r>
      <w:r>
        <w:rPr>
          <w:rFonts w:cs="Calibri"/>
          <w:szCs w:val="22"/>
          <w:shd w:val="clear" w:color="auto" w:fill="FFFFFF"/>
        </w:rPr>
        <w:t xml:space="preserve">Bishop, </w:t>
      </w:r>
      <w:r w:rsidR="00D0048B">
        <w:rPr>
          <w:rFonts w:cs="Calibri"/>
          <w:szCs w:val="22"/>
          <w:shd w:val="clear" w:color="auto" w:fill="FFFFFF"/>
        </w:rPr>
        <w:t xml:space="preserve">Jesse </w:t>
      </w:r>
      <w:proofErr w:type="spellStart"/>
      <w:r>
        <w:rPr>
          <w:rFonts w:cs="Calibri"/>
          <w:szCs w:val="22"/>
          <w:shd w:val="clear" w:color="auto" w:fill="FFFFFF"/>
        </w:rPr>
        <w:t>Boggis</w:t>
      </w:r>
      <w:proofErr w:type="spellEnd"/>
      <w:r>
        <w:rPr>
          <w:rFonts w:cs="Calibri"/>
          <w:szCs w:val="22"/>
          <w:shd w:val="clear" w:color="auto" w:fill="FFFFFF"/>
        </w:rPr>
        <w:t xml:space="preserve">, </w:t>
      </w:r>
      <w:r w:rsidR="00D0048B">
        <w:rPr>
          <w:rFonts w:cs="Calibri"/>
          <w:szCs w:val="22"/>
          <w:shd w:val="clear" w:color="auto" w:fill="FFFFFF"/>
        </w:rPr>
        <w:t xml:space="preserve">Dan </w:t>
      </w:r>
      <w:r>
        <w:rPr>
          <w:rFonts w:cs="Calibri"/>
          <w:szCs w:val="22"/>
          <w:shd w:val="clear" w:color="auto" w:fill="FFFFFF"/>
        </w:rPr>
        <w:t xml:space="preserve">Coombs, and </w:t>
      </w:r>
      <w:r w:rsidR="00D0048B">
        <w:rPr>
          <w:rFonts w:cs="Calibri"/>
          <w:szCs w:val="22"/>
          <w:shd w:val="clear" w:color="auto" w:fill="FFFFFF"/>
        </w:rPr>
        <w:t xml:space="preserve">Traci </w:t>
      </w:r>
      <w:r>
        <w:rPr>
          <w:rFonts w:cs="Calibri"/>
          <w:szCs w:val="22"/>
          <w:shd w:val="clear" w:color="auto" w:fill="FFFFFF"/>
        </w:rPr>
        <w:t>Green. “Modeling the impact of naloxone distribution for overdose prevention through community programs, prescriptions, and pharmacy-facilitated channels in the U.S</w:t>
      </w:r>
      <w:r w:rsidR="00D0048B">
        <w:rPr>
          <w:rFonts w:cs="Calibri"/>
          <w:szCs w:val="22"/>
          <w:shd w:val="clear" w:color="auto" w:fill="FFFFFF"/>
        </w:rPr>
        <w:t>.</w:t>
      </w:r>
      <w:r>
        <w:rPr>
          <w:rFonts w:cs="Calibri"/>
          <w:szCs w:val="22"/>
          <w:shd w:val="clear" w:color="auto" w:fill="FFFFFF"/>
        </w:rPr>
        <w:t>: Results from a 10-state analysis.” (2020).</w:t>
      </w:r>
    </w:p>
    <w:p w14:paraId="62D190DF" w14:textId="7FE614DF" w:rsidR="006410B8" w:rsidRPr="000F5B1E" w:rsidRDefault="00EA0E24" w:rsidP="009C3EE2">
      <w:pPr>
        <w:ind w:left="446" w:hanging="446"/>
        <w:rPr>
          <w:rFonts w:cs="Calibri"/>
          <w:szCs w:val="22"/>
          <w:shd w:val="clear" w:color="auto" w:fill="FFFFFF"/>
        </w:rPr>
      </w:pPr>
      <w:r w:rsidRPr="00EA0E24">
        <w:rPr>
          <w:rFonts w:cs="Calibri"/>
          <w:szCs w:val="22"/>
          <w:shd w:val="clear" w:color="auto" w:fill="FFFFFF"/>
        </w:rPr>
        <w:t>Irvine, Mike, and Traci C Green. “Case Study #2: Naloxone Distribution Naloxone Needed to Save (NNS)</w:t>
      </w:r>
      <w:r w:rsidR="00631218">
        <w:rPr>
          <w:rFonts w:cs="Calibri"/>
          <w:szCs w:val="22"/>
          <w:shd w:val="clear" w:color="auto" w:fill="FFFFFF"/>
        </w:rPr>
        <w:t>.</w:t>
      </w:r>
      <w:r w:rsidRPr="00EA0E24">
        <w:rPr>
          <w:rFonts w:cs="Calibri"/>
          <w:szCs w:val="22"/>
          <w:shd w:val="clear" w:color="auto" w:fill="FFFFFF"/>
        </w:rPr>
        <w:t>” In</w:t>
      </w:r>
      <w:r w:rsidR="00631218" w:rsidRPr="00631218">
        <w:rPr>
          <w:rFonts w:cs="Calibri"/>
          <w:szCs w:val="22"/>
          <w:shd w:val="clear" w:color="auto" w:fill="FFFFFF"/>
        </w:rPr>
        <w:t xml:space="preserve"> </w:t>
      </w:r>
      <w:r w:rsidR="00631218" w:rsidRPr="00631218">
        <w:rPr>
          <w:rFonts w:cs="Calibri"/>
          <w:i/>
          <w:szCs w:val="22"/>
          <w:shd w:val="clear" w:color="auto" w:fill="FFFFFF"/>
        </w:rPr>
        <w:t>Duke-Margolis Center for Health Policy Assessing and Incorporating Intervention Effectiveness in Systems Models of the Opioids Crisis</w:t>
      </w:r>
      <w:r w:rsidRPr="00EA0E24">
        <w:rPr>
          <w:rFonts w:cs="Calibri"/>
          <w:szCs w:val="22"/>
          <w:shd w:val="clear" w:color="auto" w:fill="FFFFFF"/>
        </w:rPr>
        <w:t>, 2020.</w:t>
      </w:r>
    </w:p>
    <w:p w14:paraId="3C16D4B9" w14:textId="5AB7F920" w:rsidR="0061326F" w:rsidRDefault="0061326F" w:rsidP="0061326F">
      <w:pPr>
        <w:ind w:left="446" w:hanging="446"/>
        <w:rPr>
          <w:rFonts w:cs="Calibri"/>
          <w:szCs w:val="22"/>
          <w:shd w:val="clear" w:color="auto" w:fill="FFFFFF"/>
        </w:rPr>
      </w:pPr>
      <w:r w:rsidRPr="000F5B1E">
        <w:rPr>
          <w:rFonts w:cs="Calibri"/>
          <w:szCs w:val="22"/>
          <w:shd w:val="clear" w:color="auto" w:fill="FFFFFF"/>
        </w:rPr>
        <w:t xml:space="preserve">Pitt, Allison L., Keith Humphreys, and Margaret L. </w:t>
      </w:r>
      <w:proofErr w:type="spellStart"/>
      <w:r w:rsidRPr="000F5B1E">
        <w:rPr>
          <w:rFonts w:cs="Calibri"/>
          <w:szCs w:val="22"/>
          <w:shd w:val="clear" w:color="auto" w:fill="FFFFFF"/>
        </w:rPr>
        <w:t>Brandeau</w:t>
      </w:r>
      <w:proofErr w:type="spellEnd"/>
      <w:r w:rsidRPr="000F5B1E">
        <w:rPr>
          <w:rFonts w:cs="Calibri"/>
          <w:szCs w:val="22"/>
          <w:shd w:val="clear" w:color="auto" w:fill="FFFFFF"/>
        </w:rPr>
        <w:t>. “Modeling Health Benefits and Harms of Public Policy Responses to the US Opioid Epidemic.” </w:t>
      </w:r>
      <w:r w:rsidRPr="0076440B">
        <w:rPr>
          <w:rFonts w:cs="Calibri"/>
          <w:i/>
          <w:szCs w:val="22"/>
          <w:shd w:val="clear" w:color="auto" w:fill="FFFFFF"/>
        </w:rPr>
        <w:t>American Journal of Public Health</w:t>
      </w:r>
      <w:r w:rsidRPr="000F5B1E">
        <w:rPr>
          <w:rFonts w:cs="Calibri"/>
          <w:szCs w:val="22"/>
          <w:shd w:val="clear" w:color="auto" w:fill="FFFFFF"/>
        </w:rPr>
        <w:t xml:space="preserve"> 108, no. 10 (2018): 1394–1400. </w:t>
      </w:r>
      <w:hyperlink r:id="rId66" w:history="1">
        <w:r w:rsidRPr="006E1CF1">
          <w:rPr>
            <w:rStyle w:val="Hyperlink"/>
            <w:rFonts w:cs="Calibri"/>
            <w:color w:val="243646" w:themeColor="accent2"/>
            <w:szCs w:val="22"/>
            <w:shd w:val="clear" w:color="auto" w:fill="FFFFFF"/>
          </w:rPr>
          <w:t>https://doi.org/10.2105/ajph.2018.304590</w:t>
        </w:r>
      </w:hyperlink>
      <w:r w:rsidRPr="006E1CF1">
        <w:rPr>
          <w:rFonts w:cs="Calibri"/>
          <w:color w:val="243646" w:themeColor="accent2"/>
          <w:szCs w:val="22"/>
          <w:shd w:val="clear" w:color="auto" w:fill="FFFFFF"/>
        </w:rPr>
        <w:t>.</w:t>
      </w:r>
    </w:p>
    <w:p w14:paraId="16D9A47B" w14:textId="77777777" w:rsidR="00935971" w:rsidRDefault="00935971" w:rsidP="00935971">
      <w:pPr>
        <w:ind w:left="446" w:hanging="446"/>
        <w:rPr>
          <w:rFonts w:cs="Calibri"/>
          <w:szCs w:val="22"/>
          <w:shd w:val="clear" w:color="auto" w:fill="FFFFFF"/>
        </w:rPr>
      </w:pPr>
      <w:proofErr w:type="spellStart"/>
      <w:r w:rsidRPr="000F5B1E">
        <w:rPr>
          <w:rFonts w:cs="Calibri"/>
          <w:szCs w:val="22"/>
          <w:shd w:val="clear" w:color="auto" w:fill="FFFFFF"/>
        </w:rPr>
        <w:t>Sterman</w:t>
      </w:r>
      <w:proofErr w:type="spellEnd"/>
      <w:r w:rsidRPr="000F5B1E">
        <w:rPr>
          <w:rFonts w:cs="Calibri"/>
          <w:szCs w:val="22"/>
          <w:shd w:val="clear" w:color="auto" w:fill="FFFFFF"/>
        </w:rPr>
        <w:t>, John D. Business Dynamics: Systems Thinking and Modeling for a Complex World. Boston: Irwin, 20</w:t>
      </w:r>
      <w:r>
        <w:rPr>
          <w:rFonts w:cs="Calibri"/>
          <w:szCs w:val="22"/>
          <w:shd w:val="clear" w:color="auto" w:fill="FFFFFF"/>
        </w:rPr>
        <w:t>00</w:t>
      </w:r>
      <w:r w:rsidRPr="000F5B1E">
        <w:rPr>
          <w:rFonts w:cs="Calibri"/>
          <w:szCs w:val="22"/>
          <w:shd w:val="clear" w:color="auto" w:fill="FFFFFF"/>
        </w:rPr>
        <w:t>.</w:t>
      </w:r>
    </w:p>
    <w:p w14:paraId="67AC868E" w14:textId="77777777" w:rsidR="00C54D4D" w:rsidRDefault="00C54D4D" w:rsidP="00C54D4D">
      <w:pPr>
        <w:pStyle w:val="BodyText"/>
      </w:pPr>
    </w:p>
    <w:p w14:paraId="0E7A85E7" w14:textId="77777777" w:rsidR="00C54D4D" w:rsidRDefault="00C54D4D" w:rsidP="00C54D4D">
      <w:pPr>
        <w:pStyle w:val="BodyText"/>
      </w:pPr>
    </w:p>
    <w:p w14:paraId="2F48A3DA" w14:textId="77777777" w:rsidR="00C54D4D" w:rsidRDefault="00C54D4D" w:rsidP="00C54D4D">
      <w:pPr>
        <w:pStyle w:val="BodyText"/>
      </w:pPr>
    </w:p>
    <w:p w14:paraId="5746336F" w14:textId="77777777" w:rsidR="00C54D4D" w:rsidRDefault="00C54D4D" w:rsidP="00C54D4D">
      <w:pPr>
        <w:pStyle w:val="BodyText"/>
      </w:pPr>
    </w:p>
    <w:p w14:paraId="482DAE18" w14:textId="77777777" w:rsidR="00C54D4D" w:rsidRDefault="00C54D4D" w:rsidP="00C54D4D">
      <w:pPr>
        <w:pStyle w:val="BodyText"/>
      </w:pPr>
    </w:p>
    <w:p w14:paraId="7852E7B3" w14:textId="77777777" w:rsidR="00C54D4D" w:rsidRDefault="00C54D4D" w:rsidP="00C54D4D">
      <w:pPr>
        <w:pStyle w:val="BodyText"/>
      </w:pPr>
    </w:p>
    <w:p w14:paraId="7135AB74" w14:textId="77777777" w:rsidR="00C54D4D" w:rsidRDefault="00C54D4D" w:rsidP="00C54D4D">
      <w:pPr>
        <w:pStyle w:val="BodyText"/>
      </w:pPr>
    </w:p>
    <w:p w14:paraId="1980A1DC" w14:textId="77777777" w:rsidR="00C54D4D" w:rsidRDefault="00C54D4D" w:rsidP="00C54D4D">
      <w:pPr>
        <w:pStyle w:val="BodyText"/>
      </w:pPr>
    </w:p>
    <w:p w14:paraId="123060E0" w14:textId="77777777" w:rsidR="00C54D4D" w:rsidRDefault="00C54D4D" w:rsidP="00C54D4D">
      <w:pPr>
        <w:pStyle w:val="BodyText"/>
      </w:pPr>
    </w:p>
    <w:p w14:paraId="71A82539" w14:textId="77777777" w:rsidR="00C54D4D" w:rsidRPr="00C2363C" w:rsidRDefault="00C54D4D" w:rsidP="00C54D4D">
      <w:pPr>
        <w:pStyle w:val="BodyText"/>
      </w:pPr>
    </w:p>
    <w:p w14:paraId="08E38E61" w14:textId="77777777" w:rsidR="009504B4" w:rsidRDefault="009504B4" w:rsidP="00C54D4D">
      <w:pPr>
        <w:pStyle w:val="BodyText"/>
      </w:pPr>
    </w:p>
    <w:p w14:paraId="29EEAFBF" w14:textId="77777777" w:rsidR="009504B4" w:rsidRDefault="009504B4" w:rsidP="00C54D4D">
      <w:pPr>
        <w:pStyle w:val="BodyText"/>
      </w:pPr>
    </w:p>
    <w:p w14:paraId="408ACBFA" w14:textId="77777777" w:rsidR="009504B4" w:rsidRDefault="009504B4" w:rsidP="00C54D4D">
      <w:pPr>
        <w:pStyle w:val="BodyText"/>
      </w:pPr>
    </w:p>
    <w:p w14:paraId="269C573F" w14:textId="77777777" w:rsidR="009504B4" w:rsidRDefault="009504B4" w:rsidP="00C54D4D">
      <w:pPr>
        <w:pStyle w:val="BodyText"/>
      </w:pPr>
    </w:p>
    <w:p w14:paraId="4A842FD8" w14:textId="77777777" w:rsidR="009504B4" w:rsidRDefault="009504B4" w:rsidP="00C54D4D">
      <w:pPr>
        <w:pStyle w:val="BodyText"/>
      </w:pPr>
    </w:p>
    <w:p w14:paraId="4891270C" w14:textId="77777777" w:rsidR="009504B4" w:rsidRPr="00C2363C" w:rsidRDefault="009504B4" w:rsidP="00C54D4D">
      <w:pPr>
        <w:pStyle w:val="BodyText"/>
      </w:pPr>
    </w:p>
    <w:p w14:paraId="15D968F5" w14:textId="236EEBA2" w:rsidR="00D2308B" w:rsidRDefault="00CB32E9" w:rsidP="009E683B">
      <w:pPr>
        <w:pStyle w:val="Heading1"/>
      </w:pPr>
      <w:bookmarkStart w:id="123" w:name="_Appendix"/>
      <w:bookmarkStart w:id="124" w:name="_Toc51849708"/>
      <w:bookmarkStart w:id="125" w:name="_Toc52396031"/>
      <w:bookmarkStart w:id="126" w:name="_Toc59050099"/>
      <w:bookmarkEnd w:id="123"/>
      <w:r>
        <w:lastRenderedPageBreak/>
        <w:t>Appendix</w:t>
      </w:r>
      <w:bookmarkEnd w:id="124"/>
      <w:bookmarkEnd w:id="125"/>
      <w:bookmarkEnd w:id="126"/>
    </w:p>
    <w:p w14:paraId="1C11DF4A" w14:textId="5C2D4003" w:rsidR="00BF63FA" w:rsidRDefault="004204E6" w:rsidP="00E16E22">
      <w:pPr>
        <w:sectPr w:rsidR="00BF63FA" w:rsidSect="00230490">
          <w:headerReference w:type="default" r:id="rId67"/>
          <w:pgSz w:w="12240" w:h="15840" w:code="1"/>
          <w:pgMar w:top="1440" w:right="1440" w:bottom="1440" w:left="1440" w:header="720" w:footer="720" w:gutter="0"/>
          <w:cols w:space="720"/>
          <w:noEndnote/>
          <w:docGrid w:linePitch="326"/>
        </w:sectPr>
      </w:pPr>
      <w:r>
        <w:t xml:space="preserve">The </w:t>
      </w:r>
      <w:r w:rsidR="00CA5006">
        <w:t>A</w:t>
      </w:r>
      <w:r w:rsidR="0010046F">
        <w:t xml:space="preserve">ppendix includes </w:t>
      </w:r>
      <w:r w:rsidR="006C2356">
        <w:t>policy validation graphs</w:t>
      </w:r>
      <w:r w:rsidR="00B35648">
        <w:t xml:space="preserve"> (</w:t>
      </w:r>
      <w:hyperlink w:anchor="_Replication_of_Goodness-of-Fit" w:history="1">
        <w:r w:rsidR="00B35648" w:rsidRPr="00F80962">
          <w:rPr>
            <w:rStyle w:val="Hyperlink"/>
          </w:rPr>
          <w:t xml:space="preserve">Section </w:t>
        </w:r>
        <w:r w:rsidR="00D306D1">
          <w:rPr>
            <w:rStyle w:val="Hyperlink"/>
          </w:rPr>
          <w:t>11</w:t>
        </w:r>
        <w:r w:rsidR="00B35648" w:rsidRPr="00F80962">
          <w:rPr>
            <w:rStyle w:val="Hyperlink"/>
          </w:rPr>
          <w:t>.1</w:t>
        </w:r>
      </w:hyperlink>
      <w:r w:rsidR="00B35648">
        <w:t xml:space="preserve">), </w:t>
      </w:r>
      <w:r w:rsidR="006C2356">
        <w:t>model comparator graphs</w:t>
      </w:r>
      <w:r w:rsidR="00E6167C">
        <w:t xml:space="preserve"> </w:t>
      </w:r>
      <w:r w:rsidR="005A7B46">
        <w:t>(</w:t>
      </w:r>
      <w:hyperlink w:anchor="_Placeholder" w:history="1">
        <w:r w:rsidR="005A7B46" w:rsidRPr="00F80962">
          <w:rPr>
            <w:rStyle w:val="Hyperlink"/>
          </w:rPr>
          <w:t xml:space="preserve">Section </w:t>
        </w:r>
        <w:r w:rsidR="00D306D1">
          <w:rPr>
            <w:rStyle w:val="Hyperlink"/>
          </w:rPr>
          <w:t>11</w:t>
        </w:r>
        <w:r w:rsidR="005A7B46" w:rsidRPr="00F80962">
          <w:rPr>
            <w:rStyle w:val="Hyperlink"/>
          </w:rPr>
          <w:t>.2</w:t>
        </w:r>
      </w:hyperlink>
      <w:r w:rsidR="005A7B46">
        <w:t>)</w:t>
      </w:r>
      <w:r w:rsidR="0093011E">
        <w:t xml:space="preserve">, and a crosswalk </w:t>
      </w:r>
      <w:r w:rsidR="00F80962">
        <w:t>of t</w:t>
      </w:r>
      <w:r w:rsidR="0093011E">
        <w:t xml:space="preserve">he statement of work (SOW) with Part </w:t>
      </w:r>
      <w:r w:rsidR="00F230EF">
        <w:t>2</w:t>
      </w:r>
      <w:r w:rsidR="0093011E">
        <w:t xml:space="preserve"> of the Final Validation Report</w:t>
      </w:r>
      <w:r w:rsidR="00F80962">
        <w:t xml:space="preserve"> (</w:t>
      </w:r>
      <w:hyperlink w:anchor="_Statement_of_Work" w:history="1">
        <w:r w:rsidR="00F80962" w:rsidRPr="00F80962">
          <w:rPr>
            <w:rStyle w:val="Hyperlink"/>
          </w:rPr>
          <w:t xml:space="preserve">Section </w:t>
        </w:r>
        <w:r w:rsidR="00D306D1">
          <w:rPr>
            <w:rStyle w:val="Hyperlink"/>
          </w:rPr>
          <w:t>11.</w:t>
        </w:r>
        <w:r w:rsidR="00F80962" w:rsidRPr="00F80962">
          <w:rPr>
            <w:rStyle w:val="Hyperlink"/>
          </w:rPr>
          <w:t>3</w:t>
        </w:r>
      </w:hyperlink>
      <w:r w:rsidR="00F80962">
        <w:t xml:space="preserve">). </w:t>
      </w:r>
    </w:p>
    <w:p w14:paraId="71B07C2E" w14:textId="08D2DA6B" w:rsidR="00E16E22" w:rsidRPr="00E16E22" w:rsidRDefault="00E16E22" w:rsidP="00E16E22"/>
    <w:p w14:paraId="0369D8DF" w14:textId="361DAE75" w:rsidR="00EF2A38" w:rsidRPr="00BE7067" w:rsidRDefault="003412B5" w:rsidP="004E1A07">
      <w:pPr>
        <w:pStyle w:val="Heading2"/>
        <w:ind w:left="720" w:hanging="720"/>
      </w:pPr>
      <w:bookmarkStart w:id="127" w:name="_Replication_of_Goodness-of-Fit"/>
      <w:bookmarkEnd w:id="127"/>
      <w:r>
        <w:t xml:space="preserve"> </w:t>
      </w:r>
      <w:bookmarkStart w:id="128" w:name="_Toc59050100"/>
      <w:r w:rsidR="006C2356">
        <w:t>Policy Validation Graphs</w:t>
      </w:r>
      <w:r w:rsidR="0029258A">
        <w:t xml:space="preserve"> and </w:t>
      </w:r>
      <w:r w:rsidR="009B2235">
        <w:t>T</w:t>
      </w:r>
      <w:r w:rsidR="00BD05DB">
        <w:t>ables</w:t>
      </w:r>
      <w:bookmarkEnd w:id="128"/>
    </w:p>
    <w:p w14:paraId="671FEDDB" w14:textId="77777777" w:rsidR="00270EC9" w:rsidRDefault="00270EC9" w:rsidP="0076440B">
      <w:pPr>
        <w:jc w:val="center"/>
      </w:pPr>
      <w:bookmarkStart w:id="129" w:name="_Toc36233459"/>
      <w:bookmarkStart w:id="130" w:name="_Toc51849711"/>
      <w:r>
        <w:rPr>
          <w:noProof/>
        </w:rPr>
        <w:drawing>
          <wp:inline distT="0" distB="0" distL="0" distR="0" wp14:anchorId="4D81AEDE" wp14:editId="5C2400C1">
            <wp:extent cx="2651760" cy="2222500"/>
            <wp:effectExtent l="0" t="0" r="15240" b="6350"/>
            <wp:docPr id="18" name="Chart 18">
              <a:extLst xmlns:a="http://schemas.openxmlformats.org/drawingml/2006/main">
                <a:ext uri="{FF2B5EF4-FFF2-40B4-BE49-F238E27FC236}">
                  <a16:creationId xmlns:a16="http://schemas.microsoft.com/office/drawing/2014/main" id="{593C18CB-0820-41DA-B01C-2667E24C5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40313356" wp14:editId="21738E64">
            <wp:extent cx="2651760" cy="2221992"/>
            <wp:effectExtent l="0" t="0" r="15240" b="6985"/>
            <wp:docPr id="23" name="Chart 23">
              <a:extLst xmlns:a="http://schemas.openxmlformats.org/drawingml/2006/main">
                <a:ext uri="{FF2B5EF4-FFF2-40B4-BE49-F238E27FC236}">
                  <a16:creationId xmlns:a16="http://schemas.microsoft.com/office/drawing/2014/main" id="{1AEFCF56-AEC9-4AD2-922D-55001B10F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drawing>
          <wp:inline distT="0" distB="0" distL="0" distR="0" wp14:anchorId="0D5DAFAF" wp14:editId="71E11387">
            <wp:extent cx="2651760" cy="2221992"/>
            <wp:effectExtent l="0" t="0" r="15240" b="6985"/>
            <wp:docPr id="27" name="Chart 27">
              <a:extLst xmlns:a="http://schemas.openxmlformats.org/drawingml/2006/main">
                <a:ext uri="{FF2B5EF4-FFF2-40B4-BE49-F238E27FC236}">
                  <a16:creationId xmlns:a16="http://schemas.microsoft.com/office/drawing/2014/main" id="{86120860-7FE7-406C-81FF-832BA5830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318A8851" w14:textId="388DD771" w:rsidR="00BF1016" w:rsidRDefault="00270EC9" w:rsidP="00D05863">
      <w:pPr>
        <w:pStyle w:val="Caption"/>
      </w:pPr>
      <w:r>
        <w:rPr>
          <w:noProof/>
        </w:rPr>
        <w:drawing>
          <wp:inline distT="0" distB="0" distL="0" distR="0" wp14:anchorId="7AC311A4" wp14:editId="69F185BE">
            <wp:extent cx="2651760" cy="2398395"/>
            <wp:effectExtent l="0" t="0" r="15240" b="1905"/>
            <wp:docPr id="35" name="Chart 35">
              <a:extLst xmlns:a="http://schemas.openxmlformats.org/drawingml/2006/main">
                <a:ext uri="{FF2B5EF4-FFF2-40B4-BE49-F238E27FC236}">
                  <a16:creationId xmlns:a16="http://schemas.microsoft.com/office/drawing/2014/main" id="{4DFC95A1-F23F-4CC1-A2E0-10DE45B59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1DF75168" wp14:editId="1DA136C1">
            <wp:extent cx="2651760" cy="2397760"/>
            <wp:effectExtent l="0" t="0" r="15240" b="2540"/>
            <wp:docPr id="16" name="Chart 16">
              <a:extLst xmlns:a="http://schemas.openxmlformats.org/drawingml/2006/main">
                <a:ext uri="{FF2B5EF4-FFF2-40B4-BE49-F238E27FC236}">
                  <a16:creationId xmlns:a16="http://schemas.microsoft.com/office/drawing/2014/main" id="{45548D94-3ECE-44DB-98BE-B61D1F901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381FC641" wp14:editId="3A30C007">
            <wp:extent cx="2651760" cy="2391410"/>
            <wp:effectExtent l="0" t="0" r="15240" b="8890"/>
            <wp:docPr id="36" name="Chart 36">
              <a:extLst xmlns:a="http://schemas.openxmlformats.org/drawingml/2006/main">
                <a:ext uri="{FF2B5EF4-FFF2-40B4-BE49-F238E27FC236}">
                  <a16:creationId xmlns:a16="http://schemas.microsoft.com/office/drawing/2014/main" id="{9AF56E4F-3ADD-4DC4-915B-DF3876E10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sidR="00626532">
        <w:t xml:space="preserve"> </w:t>
      </w:r>
    </w:p>
    <w:p w14:paraId="43C8D9C2" w14:textId="77777777" w:rsidR="00BE0AEA" w:rsidRDefault="00A955A5" w:rsidP="00BE0AEA">
      <w:pPr>
        <w:pStyle w:val="Caption"/>
      </w:pPr>
      <w:bookmarkStart w:id="131" w:name="_Ref58950279"/>
      <w:bookmarkStart w:id="132" w:name="_Toc59050130"/>
      <w:r>
        <w:t xml:space="preserve">Figure </w:t>
      </w:r>
      <w:fldSimple w:instr=" STYLEREF 1 \s ">
        <w:r>
          <w:rPr>
            <w:noProof/>
          </w:rPr>
          <w:t>11</w:t>
        </w:r>
      </w:fldSimple>
      <w:r>
        <w:noBreakHyphen/>
      </w:r>
      <w:fldSimple w:instr=" SEQ Figure \* ARABIC \s 1 ">
        <w:r>
          <w:rPr>
            <w:noProof/>
          </w:rPr>
          <w:t>1</w:t>
        </w:r>
      </w:fldSimple>
      <w:bookmarkEnd w:id="131"/>
      <w:r>
        <w:t xml:space="preserve">: </w:t>
      </w:r>
      <w:r w:rsidRPr="0076440B">
        <w:t>Graph</w:t>
      </w:r>
      <w:r w:rsidR="00BC6629">
        <w:t>-O</w:t>
      </w:r>
      <w:r w:rsidRPr="0076440B">
        <w:t>ver</w:t>
      </w:r>
      <w:r w:rsidR="00BC6629">
        <w:t>-T</w:t>
      </w:r>
      <w:r w:rsidRPr="0076440B">
        <w:t xml:space="preserve">ime </w:t>
      </w:r>
      <w:r w:rsidR="00BC6629">
        <w:t>P</w:t>
      </w:r>
      <w:r w:rsidRPr="0076440B">
        <w:t xml:space="preserve">lots of Total overdose deaths Rx, Total nonfatal overdoses, and Total overdose deaths for </w:t>
      </w:r>
      <w:r w:rsidR="00BC6629">
        <w:t>D</w:t>
      </w:r>
      <w:r w:rsidRPr="0076440B">
        <w:t xml:space="preserve">ifferent </w:t>
      </w:r>
      <w:r w:rsidR="00BC6629">
        <w:t>I</w:t>
      </w:r>
      <w:r w:rsidRPr="0076440B">
        <w:t xml:space="preserve">nterventions and </w:t>
      </w:r>
      <w:r w:rsidR="00BC6629">
        <w:t>S</w:t>
      </w:r>
      <w:r w:rsidRPr="0076440B">
        <w:t xml:space="preserve">cenarios </w:t>
      </w:r>
      <w:r w:rsidR="00BC6629">
        <w:t>I</w:t>
      </w:r>
      <w:r w:rsidRPr="0076440B">
        <w:t xml:space="preserve">ndividually or </w:t>
      </w:r>
      <w:r w:rsidR="00B45D5F">
        <w:t>Combined</w:t>
      </w:r>
      <w:bookmarkEnd w:id="132"/>
    </w:p>
    <w:p w14:paraId="248E9023" w14:textId="3FB9DDA3" w:rsidR="00BE0AEA" w:rsidRPr="00BE0AEA" w:rsidRDefault="00BE0AEA" w:rsidP="005A3728">
      <w:pPr>
        <w:jc w:val="center"/>
        <w:rPr>
          <w:lang w:eastAsia="en-US"/>
        </w:rPr>
        <w:sectPr w:rsidR="00BE0AEA" w:rsidRPr="00BE0AEA" w:rsidSect="00A01840">
          <w:headerReference w:type="default" r:id="rId74"/>
          <w:pgSz w:w="15840" w:h="12240" w:orient="landscape"/>
          <w:pgMar w:top="1440" w:right="1440" w:bottom="1440" w:left="1440" w:header="720" w:footer="720" w:gutter="0"/>
          <w:cols w:space="720"/>
          <w:docGrid w:linePitch="360"/>
        </w:sectPr>
      </w:pPr>
      <w:r w:rsidRPr="00A505C8">
        <w:rPr>
          <w:i/>
          <w:iCs/>
          <w:szCs w:val="22"/>
        </w:rPr>
        <w:t xml:space="preserve">Note: </w:t>
      </w:r>
      <w:r w:rsidRPr="00A505C8">
        <w:rPr>
          <w:i/>
          <w:szCs w:val="22"/>
          <w:lang w:eastAsia="en-US"/>
        </w:rPr>
        <w:t>x-axes = year; y-axes = number of people.</w:t>
      </w:r>
      <w:r>
        <w:rPr>
          <w:lang w:eastAsia="en-US"/>
        </w:rPr>
        <w:tab/>
      </w:r>
    </w:p>
    <w:p w14:paraId="0C3C420B" w14:textId="5004E87E" w:rsidR="00270EC9" w:rsidRPr="00B83310" w:rsidRDefault="00B83310" w:rsidP="00D05863">
      <w:pPr>
        <w:pStyle w:val="Caption"/>
      </w:pPr>
      <w:bookmarkStart w:id="133" w:name="_Ref58946304"/>
      <w:bookmarkStart w:id="134" w:name="_Toc59050109"/>
      <w:r>
        <w:lastRenderedPageBreak/>
        <w:t xml:space="preserve">Table </w:t>
      </w:r>
      <w:fldSimple w:instr=" STYLEREF 1 \s ">
        <w:r w:rsidR="00564EC2">
          <w:rPr>
            <w:noProof/>
          </w:rPr>
          <w:t>11</w:t>
        </w:r>
      </w:fldSimple>
      <w:r w:rsidR="00564EC2">
        <w:noBreakHyphen/>
      </w:r>
      <w:fldSimple w:instr=" SEQ Table \* ARABIC \s 1 ">
        <w:r w:rsidR="00564EC2">
          <w:rPr>
            <w:noProof/>
          </w:rPr>
          <w:t>1</w:t>
        </w:r>
      </w:fldSimple>
      <w:bookmarkEnd w:id="133"/>
      <w:r>
        <w:t xml:space="preserve">: </w:t>
      </w:r>
      <w:r w:rsidR="00202D57">
        <w:t xml:space="preserve">Results of </w:t>
      </w:r>
      <w:r w:rsidR="00B45D5F">
        <w:t>I</w:t>
      </w:r>
      <w:r w:rsidR="008A0749">
        <w:t xml:space="preserve">ncreasing </w:t>
      </w:r>
      <w:r w:rsidR="00B45D5F">
        <w:t>Naloxone</w:t>
      </w:r>
      <w:r w:rsidR="008A0749">
        <w:t xml:space="preserve"> </w:t>
      </w:r>
      <w:r w:rsidR="00B45D5F">
        <w:t>K</w:t>
      </w:r>
      <w:r w:rsidR="008A0749">
        <w:t xml:space="preserve">its </w:t>
      </w:r>
      <w:r w:rsidR="00D75E99">
        <w:t>D</w:t>
      </w:r>
      <w:r w:rsidR="008A0749">
        <w:t>istributed for Rx and H</w:t>
      </w:r>
      <w:r w:rsidR="00B45D5F">
        <w:t>eroin U</w:t>
      </w:r>
      <w:r w:rsidR="008A0749">
        <w:t xml:space="preserve">sers on the </w:t>
      </w:r>
      <w:r w:rsidR="00B45D5F">
        <w:t>P</w:t>
      </w:r>
      <w:r w:rsidR="008A0749">
        <w:t xml:space="preserve">robability of OD </w:t>
      </w:r>
      <w:r w:rsidR="00B45D5F">
        <w:t>d</w:t>
      </w:r>
      <w:r w:rsidR="008A0749">
        <w:t xml:space="preserve">eath not averted </w:t>
      </w:r>
      <w:r w:rsidR="00CD04DA">
        <w:t xml:space="preserve">for </w:t>
      </w:r>
      <w:r w:rsidR="00B45D5F">
        <w:t>D</w:t>
      </w:r>
      <w:r w:rsidR="00CD04DA">
        <w:t xml:space="preserve">ifferent </w:t>
      </w:r>
      <w:r w:rsidR="00B45D5F">
        <w:t>S</w:t>
      </w:r>
      <w:r w:rsidR="00CD04DA">
        <w:t>cenarios</w:t>
      </w:r>
      <w:bookmarkEnd w:id="134"/>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827"/>
        <w:gridCol w:w="1583"/>
        <w:gridCol w:w="1551"/>
        <w:gridCol w:w="1663"/>
        <w:gridCol w:w="1663"/>
        <w:gridCol w:w="1663"/>
      </w:tblGrid>
      <w:tr w:rsidR="00796D40" w:rsidRPr="009A793C" w14:paraId="337EB10D" w14:textId="77777777" w:rsidTr="00643F93">
        <w:trPr>
          <w:trHeight w:val="288"/>
          <w:jc w:val="center"/>
        </w:trPr>
        <w:tc>
          <w:tcPr>
            <w:tcW w:w="1958" w:type="pct"/>
            <w:tcBorders>
              <w:bottom w:val="single" w:sz="4" w:space="0" w:color="BFBFBF" w:themeColor="background1" w:themeShade="BF"/>
            </w:tcBorders>
            <w:shd w:val="clear" w:color="auto" w:fill="5D7D95" w:themeFill="accent1"/>
            <w:noWrap/>
            <w:vAlign w:val="center"/>
            <w:hideMark/>
          </w:tcPr>
          <w:p w14:paraId="750475F4"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Input</w:t>
            </w:r>
          </w:p>
        </w:tc>
        <w:tc>
          <w:tcPr>
            <w:tcW w:w="705" w:type="pct"/>
            <w:tcBorders>
              <w:bottom w:val="single" w:sz="4" w:space="0" w:color="BFBFBF" w:themeColor="background1" w:themeShade="BF"/>
            </w:tcBorders>
            <w:shd w:val="clear" w:color="auto" w:fill="5D7D95" w:themeFill="accent1"/>
            <w:noWrap/>
            <w:vAlign w:val="bottom"/>
            <w:hideMark/>
          </w:tcPr>
          <w:p w14:paraId="472E1A16" w14:textId="715B22C3"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Years</w:t>
            </w:r>
          </w:p>
        </w:tc>
        <w:tc>
          <w:tcPr>
            <w:tcW w:w="691" w:type="pct"/>
            <w:tcBorders>
              <w:bottom w:val="single" w:sz="4" w:space="0" w:color="BFBFBF" w:themeColor="background1" w:themeShade="BF"/>
            </w:tcBorders>
            <w:shd w:val="clear" w:color="auto" w:fill="5D7D95" w:themeFill="accent1"/>
            <w:noWrap/>
            <w:vAlign w:val="center"/>
            <w:hideMark/>
          </w:tcPr>
          <w:p w14:paraId="4EAB8EFD"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1</w:t>
            </w:r>
          </w:p>
        </w:tc>
        <w:tc>
          <w:tcPr>
            <w:tcW w:w="548" w:type="pct"/>
            <w:tcBorders>
              <w:bottom w:val="single" w:sz="4" w:space="0" w:color="BFBFBF" w:themeColor="background1" w:themeShade="BF"/>
            </w:tcBorders>
            <w:shd w:val="clear" w:color="auto" w:fill="5D7D95" w:themeFill="accent1"/>
            <w:noWrap/>
            <w:vAlign w:val="center"/>
            <w:hideMark/>
          </w:tcPr>
          <w:p w14:paraId="26996750"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2</w:t>
            </w:r>
          </w:p>
        </w:tc>
        <w:tc>
          <w:tcPr>
            <w:tcW w:w="548" w:type="pct"/>
            <w:tcBorders>
              <w:bottom w:val="single" w:sz="4" w:space="0" w:color="BFBFBF" w:themeColor="background1" w:themeShade="BF"/>
            </w:tcBorders>
            <w:shd w:val="clear" w:color="auto" w:fill="5D7D95" w:themeFill="accent1"/>
            <w:noWrap/>
            <w:vAlign w:val="center"/>
            <w:hideMark/>
          </w:tcPr>
          <w:p w14:paraId="661D3503"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3</w:t>
            </w:r>
          </w:p>
        </w:tc>
        <w:tc>
          <w:tcPr>
            <w:tcW w:w="548" w:type="pct"/>
            <w:tcBorders>
              <w:bottom w:val="single" w:sz="4" w:space="0" w:color="BFBFBF" w:themeColor="background1" w:themeShade="BF"/>
            </w:tcBorders>
            <w:shd w:val="clear" w:color="auto" w:fill="5D7D95" w:themeFill="accent1"/>
            <w:noWrap/>
            <w:vAlign w:val="center"/>
            <w:hideMark/>
          </w:tcPr>
          <w:p w14:paraId="0987A2D6"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4</w:t>
            </w:r>
          </w:p>
        </w:tc>
      </w:tr>
      <w:tr w:rsidR="00796D40" w:rsidRPr="009A793C" w14:paraId="030848B4" w14:textId="77777777" w:rsidTr="00643F93">
        <w:trPr>
          <w:trHeight w:val="864"/>
          <w:jc w:val="center"/>
        </w:trPr>
        <w:tc>
          <w:tcPr>
            <w:tcW w:w="1958" w:type="pct"/>
            <w:tcBorders>
              <w:bottom w:val="single" w:sz="4" w:space="0" w:color="auto"/>
            </w:tcBorders>
            <w:shd w:val="clear" w:color="auto" w:fill="auto"/>
            <w:vAlign w:val="center"/>
            <w:hideMark/>
          </w:tcPr>
          <w:p w14:paraId="1E5B1A3D" w14:textId="77777777" w:rsidR="00796D40" w:rsidRPr="009A793C" w:rsidRDefault="00796D40" w:rsidP="00CC6853">
            <w:pPr>
              <w:spacing w:after="0"/>
              <w:jc w:val="center"/>
              <w:rPr>
                <w:rFonts w:eastAsia="Times New Roman" w:cs="Calibri"/>
                <w:b/>
                <w:szCs w:val="22"/>
              </w:rPr>
            </w:pPr>
            <w:r w:rsidRPr="009A793C">
              <w:rPr>
                <w:rFonts w:eastAsia="Times New Roman" w:cs="Calibri"/>
                <w:b/>
                <w:szCs w:val="22"/>
              </w:rPr>
              <w:t>Nx kits distributed Rx user net</w:t>
            </w:r>
            <w:r w:rsidRPr="009A793C">
              <w:rPr>
                <w:rFonts w:eastAsia="Times New Roman" w:cs="Calibri"/>
                <w:b/>
                <w:szCs w:val="22"/>
              </w:rPr>
              <w:br/>
              <w:t>&amp;</w:t>
            </w:r>
            <w:r w:rsidRPr="009A793C">
              <w:rPr>
                <w:rFonts w:eastAsia="Times New Roman" w:cs="Calibri"/>
                <w:b/>
                <w:szCs w:val="22"/>
              </w:rPr>
              <w:br/>
              <w:t>Nx kits distributed H user net</w:t>
            </w:r>
          </w:p>
        </w:tc>
        <w:tc>
          <w:tcPr>
            <w:tcW w:w="705" w:type="pct"/>
            <w:tcBorders>
              <w:bottom w:val="single" w:sz="4" w:space="0" w:color="auto"/>
            </w:tcBorders>
            <w:shd w:val="clear" w:color="auto" w:fill="auto"/>
            <w:noWrap/>
            <w:vAlign w:val="center"/>
            <w:hideMark/>
          </w:tcPr>
          <w:p w14:paraId="280A59D2" w14:textId="77777777" w:rsidR="00796D40" w:rsidRPr="009A793C" w:rsidRDefault="00796D40" w:rsidP="00CC6853">
            <w:pPr>
              <w:spacing w:after="0"/>
              <w:jc w:val="center"/>
              <w:rPr>
                <w:rFonts w:eastAsia="Times New Roman" w:cs="Calibri"/>
                <w:color w:val="000000"/>
                <w:szCs w:val="22"/>
              </w:rPr>
            </w:pPr>
            <w:r w:rsidRPr="009A793C">
              <w:rPr>
                <w:rFonts w:eastAsia="Times New Roman" w:cs="Calibri"/>
                <w:color w:val="000000"/>
                <w:szCs w:val="22"/>
              </w:rPr>
              <w:t>2020-2030</w:t>
            </w:r>
          </w:p>
        </w:tc>
        <w:tc>
          <w:tcPr>
            <w:tcW w:w="691" w:type="pct"/>
            <w:tcBorders>
              <w:bottom w:val="single" w:sz="4" w:space="0" w:color="auto"/>
            </w:tcBorders>
            <w:shd w:val="clear" w:color="auto" w:fill="auto"/>
            <w:noWrap/>
            <w:vAlign w:val="center"/>
            <w:hideMark/>
          </w:tcPr>
          <w:p w14:paraId="3024A7F4" w14:textId="7810EE19"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5%</w:t>
            </w:r>
          </w:p>
        </w:tc>
        <w:tc>
          <w:tcPr>
            <w:tcW w:w="548" w:type="pct"/>
            <w:tcBorders>
              <w:bottom w:val="single" w:sz="4" w:space="0" w:color="auto"/>
            </w:tcBorders>
            <w:shd w:val="clear" w:color="auto" w:fill="auto"/>
            <w:noWrap/>
            <w:vAlign w:val="center"/>
            <w:hideMark/>
          </w:tcPr>
          <w:p w14:paraId="094C0D3E" w14:textId="4DE0ACFA"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20%</w:t>
            </w:r>
          </w:p>
        </w:tc>
        <w:tc>
          <w:tcPr>
            <w:tcW w:w="548" w:type="pct"/>
            <w:tcBorders>
              <w:bottom w:val="single" w:sz="4" w:space="0" w:color="auto"/>
            </w:tcBorders>
            <w:shd w:val="clear" w:color="auto" w:fill="auto"/>
            <w:noWrap/>
            <w:vAlign w:val="center"/>
            <w:hideMark/>
          </w:tcPr>
          <w:p w14:paraId="45A4AF95" w14:textId="5A40262E"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25%</w:t>
            </w:r>
          </w:p>
        </w:tc>
        <w:tc>
          <w:tcPr>
            <w:tcW w:w="548" w:type="pct"/>
            <w:tcBorders>
              <w:bottom w:val="single" w:sz="4" w:space="0" w:color="auto"/>
            </w:tcBorders>
            <w:shd w:val="clear" w:color="auto" w:fill="auto"/>
            <w:noWrap/>
            <w:vAlign w:val="center"/>
            <w:hideMark/>
          </w:tcPr>
          <w:p w14:paraId="59F0B979" w14:textId="252531C6"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50%</w:t>
            </w:r>
          </w:p>
        </w:tc>
      </w:tr>
      <w:tr w:rsidR="00796D40" w:rsidRPr="009A793C" w14:paraId="45F0D2C6" w14:textId="77777777" w:rsidTr="001B169B">
        <w:trPr>
          <w:trHeight w:val="288"/>
          <w:jc w:val="center"/>
        </w:trPr>
        <w:tc>
          <w:tcPr>
            <w:tcW w:w="1958" w:type="pct"/>
            <w:vMerge w:val="restart"/>
            <w:tcBorders>
              <w:top w:val="single" w:sz="4" w:space="0" w:color="auto"/>
            </w:tcBorders>
            <w:shd w:val="clear" w:color="auto" w:fill="5D7D95" w:themeFill="accent1"/>
            <w:noWrap/>
            <w:vAlign w:val="center"/>
          </w:tcPr>
          <w:p w14:paraId="61146D69" w14:textId="6CE8E18B" w:rsidR="00796D40" w:rsidRPr="009A793C" w:rsidRDefault="00316A28" w:rsidP="00967095">
            <w:pPr>
              <w:spacing w:after="0"/>
              <w:jc w:val="center"/>
              <w:rPr>
                <w:rFonts w:eastAsia="Times New Roman" w:cs="Calibri"/>
                <w:b/>
                <w:bCs/>
                <w:color w:val="FFFFFF"/>
                <w:szCs w:val="22"/>
              </w:rPr>
            </w:pPr>
            <w:r w:rsidRPr="009A793C">
              <w:rPr>
                <w:rFonts w:eastAsia="Times New Roman" w:cs="Calibri"/>
                <w:b/>
                <w:bCs/>
                <w:color w:val="FFFFFF"/>
                <w:szCs w:val="22"/>
              </w:rPr>
              <w:t>Outputs</w:t>
            </w:r>
          </w:p>
        </w:tc>
        <w:tc>
          <w:tcPr>
            <w:tcW w:w="705" w:type="pct"/>
            <w:vMerge w:val="restart"/>
            <w:tcBorders>
              <w:top w:val="single" w:sz="4" w:space="0" w:color="auto"/>
            </w:tcBorders>
            <w:shd w:val="clear" w:color="auto" w:fill="5D7D95" w:themeFill="accent1"/>
            <w:noWrap/>
            <w:vAlign w:val="center"/>
          </w:tcPr>
          <w:p w14:paraId="67B64383" w14:textId="20B1CEA9" w:rsidR="00796D40" w:rsidRPr="009A793C" w:rsidRDefault="00316A28" w:rsidP="00967095">
            <w:pPr>
              <w:spacing w:after="0"/>
              <w:jc w:val="center"/>
              <w:rPr>
                <w:rFonts w:eastAsia="Times New Roman" w:cs="Calibri"/>
                <w:b/>
                <w:bCs/>
                <w:color w:val="FFFFFF"/>
                <w:szCs w:val="22"/>
              </w:rPr>
            </w:pPr>
            <w:r w:rsidRPr="009A793C">
              <w:rPr>
                <w:rFonts w:eastAsia="Times New Roman" w:cs="Calibri"/>
                <w:b/>
                <w:bCs/>
                <w:color w:val="FFFFFF"/>
                <w:szCs w:val="22"/>
              </w:rPr>
              <w:t>Year</w:t>
            </w:r>
          </w:p>
        </w:tc>
        <w:tc>
          <w:tcPr>
            <w:tcW w:w="2337" w:type="pct"/>
            <w:gridSpan w:val="4"/>
            <w:tcBorders>
              <w:top w:val="single" w:sz="4" w:space="0" w:color="auto"/>
            </w:tcBorders>
            <w:shd w:val="clear" w:color="auto" w:fill="9B2428" w:themeFill="accent5" w:themeFillShade="BF"/>
            <w:noWrap/>
            <w:vAlign w:val="center"/>
          </w:tcPr>
          <w:p w14:paraId="5648E7C8"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Percent Change Over Baseline</w:t>
            </w:r>
          </w:p>
        </w:tc>
      </w:tr>
      <w:tr w:rsidR="00796D40" w:rsidRPr="009A793C" w14:paraId="3D0DBFFC" w14:textId="77777777" w:rsidTr="001B169B">
        <w:trPr>
          <w:trHeight w:val="288"/>
          <w:jc w:val="center"/>
        </w:trPr>
        <w:tc>
          <w:tcPr>
            <w:tcW w:w="1958" w:type="pct"/>
            <w:vMerge/>
            <w:shd w:val="clear" w:color="auto" w:fill="5D7D95" w:themeFill="accent1"/>
            <w:noWrap/>
            <w:vAlign w:val="bottom"/>
            <w:hideMark/>
          </w:tcPr>
          <w:p w14:paraId="42D2DE15" w14:textId="34794C78" w:rsidR="00796D40" w:rsidRPr="009A793C" w:rsidRDefault="00796D40" w:rsidP="00967095">
            <w:pPr>
              <w:spacing w:after="0"/>
              <w:jc w:val="center"/>
              <w:rPr>
                <w:rFonts w:eastAsia="Times New Roman" w:cs="Calibri"/>
                <w:b/>
                <w:bCs/>
                <w:color w:val="FFFFFF"/>
                <w:szCs w:val="22"/>
              </w:rPr>
            </w:pPr>
          </w:p>
        </w:tc>
        <w:tc>
          <w:tcPr>
            <w:tcW w:w="705" w:type="pct"/>
            <w:vMerge/>
            <w:shd w:val="clear" w:color="auto" w:fill="5D7D95" w:themeFill="accent1"/>
            <w:noWrap/>
            <w:vAlign w:val="bottom"/>
            <w:hideMark/>
          </w:tcPr>
          <w:p w14:paraId="2E9E918A" w14:textId="5DFDD487" w:rsidR="00796D40" w:rsidRPr="009A793C" w:rsidRDefault="00796D40" w:rsidP="00967095">
            <w:pPr>
              <w:spacing w:after="0"/>
              <w:jc w:val="center"/>
              <w:rPr>
                <w:rFonts w:eastAsia="Times New Roman" w:cs="Calibri"/>
                <w:b/>
                <w:bCs/>
                <w:color w:val="FFFFFF"/>
                <w:szCs w:val="22"/>
              </w:rPr>
            </w:pPr>
          </w:p>
        </w:tc>
        <w:tc>
          <w:tcPr>
            <w:tcW w:w="691" w:type="pct"/>
            <w:shd w:val="clear" w:color="auto" w:fill="9B2428" w:themeFill="accent5" w:themeFillShade="BF"/>
            <w:noWrap/>
            <w:vAlign w:val="center"/>
            <w:hideMark/>
          </w:tcPr>
          <w:p w14:paraId="144220AB"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1</w:t>
            </w:r>
          </w:p>
        </w:tc>
        <w:tc>
          <w:tcPr>
            <w:tcW w:w="548" w:type="pct"/>
            <w:shd w:val="clear" w:color="auto" w:fill="9B2428" w:themeFill="accent5" w:themeFillShade="BF"/>
            <w:noWrap/>
            <w:vAlign w:val="center"/>
            <w:hideMark/>
          </w:tcPr>
          <w:p w14:paraId="47EC092D"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2</w:t>
            </w:r>
          </w:p>
        </w:tc>
        <w:tc>
          <w:tcPr>
            <w:tcW w:w="548" w:type="pct"/>
            <w:shd w:val="clear" w:color="auto" w:fill="9B2428" w:themeFill="accent5" w:themeFillShade="BF"/>
            <w:noWrap/>
            <w:vAlign w:val="center"/>
            <w:hideMark/>
          </w:tcPr>
          <w:p w14:paraId="4528E102"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3</w:t>
            </w:r>
          </w:p>
        </w:tc>
        <w:tc>
          <w:tcPr>
            <w:tcW w:w="548" w:type="pct"/>
            <w:shd w:val="clear" w:color="auto" w:fill="9B2428" w:themeFill="accent5" w:themeFillShade="BF"/>
            <w:noWrap/>
            <w:vAlign w:val="center"/>
            <w:hideMark/>
          </w:tcPr>
          <w:p w14:paraId="4C4CE583"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4</w:t>
            </w:r>
          </w:p>
        </w:tc>
      </w:tr>
      <w:tr w:rsidR="00796D40" w:rsidRPr="009A793C" w14:paraId="7040915B" w14:textId="77777777" w:rsidTr="001B169B">
        <w:trPr>
          <w:trHeight w:val="288"/>
          <w:jc w:val="center"/>
        </w:trPr>
        <w:tc>
          <w:tcPr>
            <w:tcW w:w="1958" w:type="pct"/>
            <w:shd w:val="clear" w:color="auto" w:fill="auto"/>
            <w:noWrap/>
            <w:vAlign w:val="bottom"/>
            <w:hideMark/>
          </w:tcPr>
          <w:p w14:paraId="538B07E1" w14:textId="77777777" w:rsidR="00796D40" w:rsidRPr="009A793C" w:rsidRDefault="00796D40" w:rsidP="0076440B">
            <w:pPr>
              <w:spacing w:after="0"/>
              <w:jc w:val="center"/>
              <w:rPr>
                <w:rFonts w:eastAsia="Times New Roman" w:cs="Calibri"/>
                <w:b/>
                <w:color w:val="000000"/>
                <w:szCs w:val="22"/>
              </w:rPr>
            </w:pPr>
            <w:r w:rsidRPr="009A793C">
              <w:rPr>
                <w:rFonts w:eastAsia="Times New Roman" w:cs="Calibri"/>
                <w:b/>
                <w:color w:val="000000"/>
                <w:szCs w:val="22"/>
              </w:rPr>
              <w:t>Probability OD death not averted heroin user</w:t>
            </w:r>
          </w:p>
        </w:tc>
        <w:tc>
          <w:tcPr>
            <w:tcW w:w="705" w:type="pct"/>
            <w:shd w:val="clear" w:color="auto" w:fill="auto"/>
            <w:noWrap/>
            <w:vAlign w:val="bottom"/>
            <w:hideMark/>
          </w:tcPr>
          <w:p w14:paraId="17BA1AB5" w14:textId="77777777" w:rsidR="00796D40" w:rsidRPr="009A793C" w:rsidRDefault="00796D40"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691" w:type="pct"/>
            <w:shd w:val="clear" w:color="auto" w:fill="FFC7CE"/>
            <w:noWrap/>
            <w:vAlign w:val="center"/>
            <w:hideMark/>
          </w:tcPr>
          <w:p w14:paraId="599F4EAB"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-0.99%</w:t>
            </w:r>
          </w:p>
        </w:tc>
        <w:tc>
          <w:tcPr>
            <w:tcW w:w="548" w:type="pct"/>
            <w:shd w:val="clear" w:color="000000" w:fill="FFC7CE"/>
            <w:noWrap/>
            <w:vAlign w:val="center"/>
            <w:hideMark/>
          </w:tcPr>
          <w:p w14:paraId="4F99E9CF"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-3.78%</w:t>
            </w:r>
          </w:p>
        </w:tc>
        <w:tc>
          <w:tcPr>
            <w:tcW w:w="548" w:type="pct"/>
            <w:shd w:val="clear" w:color="000000" w:fill="FFC7CE"/>
            <w:noWrap/>
            <w:vAlign w:val="center"/>
            <w:hideMark/>
          </w:tcPr>
          <w:p w14:paraId="5EAB956C"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-4.65%</w:t>
            </w:r>
          </w:p>
        </w:tc>
        <w:tc>
          <w:tcPr>
            <w:tcW w:w="548" w:type="pct"/>
            <w:shd w:val="clear" w:color="000000" w:fill="FFC7CE"/>
            <w:noWrap/>
            <w:vAlign w:val="center"/>
            <w:hideMark/>
          </w:tcPr>
          <w:p w14:paraId="7790274C"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-8.56%</w:t>
            </w:r>
          </w:p>
        </w:tc>
      </w:tr>
      <w:tr w:rsidR="00796D40" w:rsidRPr="009A793C" w14:paraId="757EE648" w14:textId="77777777" w:rsidTr="001B169B">
        <w:trPr>
          <w:trHeight w:val="288"/>
          <w:jc w:val="center"/>
        </w:trPr>
        <w:tc>
          <w:tcPr>
            <w:tcW w:w="1958" w:type="pct"/>
            <w:shd w:val="clear" w:color="auto" w:fill="auto"/>
            <w:noWrap/>
            <w:vAlign w:val="bottom"/>
            <w:hideMark/>
          </w:tcPr>
          <w:p w14:paraId="78154EE9" w14:textId="77777777" w:rsidR="00796D40" w:rsidRPr="009A793C" w:rsidRDefault="00796D40" w:rsidP="0076440B">
            <w:pPr>
              <w:spacing w:after="0"/>
              <w:jc w:val="center"/>
              <w:rPr>
                <w:rFonts w:eastAsia="Times New Roman" w:cs="Calibri"/>
                <w:b/>
                <w:color w:val="000000"/>
                <w:szCs w:val="22"/>
              </w:rPr>
            </w:pPr>
            <w:r w:rsidRPr="009A793C">
              <w:rPr>
                <w:rFonts w:eastAsia="Times New Roman" w:cs="Calibri"/>
                <w:b/>
                <w:color w:val="000000"/>
                <w:szCs w:val="22"/>
              </w:rPr>
              <w:t>Probability OD death not averted Rx user</w:t>
            </w:r>
          </w:p>
        </w:tc>
        <w:tc>
          <w:tcPr>
            <w:tcW w:w="705" w:type="pct"/>
            <w:shd w:val="clear" w:color="auto" w:fill="auto"/>
            <w:noWrap/>
            <w:vAlign w:val="bottom"/>
            <w:hideMark/>
          </w:tcPr>
          <w:p w14:paraId="64812E6A" w14:textId="77777777" w:rsidR="00796D40" w:rsidRPr="009A793C" w:rsidRDefault="00796D40"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691" w:type="pct"/>
            <w:shd w:val="clear" w:color="000000" w:fill="FFC7CE"/>
            <w:noWrap/>
            <w:vAlign w:val="center"/>
            <w:hideMark/>
          </w:tcPr>
          <w:p w14:paraId="4ADE7665"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-0.27%</w:t>
            </w:r>
          </w:p>
        </w:tc>
        <w:tc>
          <w:tcPr>
            <w:tcW w:w="548" w:type="pct"/>
            <w:shd w:val="clear" w:color="000000" w:fill="FFC7CE"/>
            <w:noWrap/>
            <w:vAlign w:val="center"/>
            <w:hideMark/>
          </w:tcPr>
          <w:p w14:paraId="5370CB05"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-1.09%</w:t>
            </w:r>
          </w:p>
        </w:tc>
        <w:tc>
          <w:tcPr>
            <w:tcW w:w="548" w:type="pct"/>
            <w:shd w:val="clear" w:color="000000" w:fill="FFC7CE"/>
            <w:noWrap/>
            <w:vAlign w:val="center"/>
            <w:hideMark/>
          </w:tcPr>
          <w:p w14:paraId="29295FDA"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-1.36%</w:t>
            </w:r>
          </w:p>
        </w:tc>
        <w:tc>
          <w:tcPr>
            <w:tcW w:w="548" w:type="pct"/>
            <w:shd w:val="clear" w:color="000000" w:fill="FFC7CE"/>
            <w:noWrap/>
            <w:vAlign w:val="center"/>
            <w:hideMark/>
          </w:tcPr>
          <w:p w14:paraId="334EEA4A"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-2.73%</w:t>
            </w:r>
          </w:p>
        </w:tc>
      </w:tr>
    </w:tbl>
    <w:p w14:paraId="7CB47E27" w14:textId="77777777" w:rsidR="00B13C7F" w:rsidRPr="00967095" w:rsidRDefault="00B13C7F" w:rsidP="005A3728">
      <w:pPr>
        <w:rPr>
          <w:b/>
        </w:rPr>
      </w:pPr>
    </w:p>
    <w:p w14:paraId="467EC03F" w14:textId="2B211F64" w:rsidR="00B13C7F" w:rsidRPr="00967095" w:rsidRDefault="00B83310" w:rsidP="00D05863">
      <w:pPr>
        <w:pStyle w:val="Caption"/>
      </w:pPr>
      <w:bookmarkStart w:id="135" w:name="_Ref58949497"/>
      <w:bookmarkStart w:id="136" w:name="_Toc59050110"/>
      <w:r>
        <w:t xml:space="preserve">Table </w:t>
      </w:r>
      <w:fldSimple w:instr=" STYLEREF 1 \s ">
        <w:r w:rsidR="00564EC2">
          <w:rPr>
            <w:noProof/>
          </w:rPr>
          <w:t>11</w:t>
        </w:r>
      </w:fldSimple>
      <w:r w:rsidR="00564EC2">
        <w:noBreakHyphen/>
      </w:r>
      <w:fldSimple w:instr=" SEQ Table \* ARABIC \s 1 ">
        <w:r w:rsidR="00564EC2">
          <w:rPr>
            <w:noProof/>
          </w:rPr>
          <w:t>2</w:t>
        </w:r>
      </w:fldSimple>
      <w:bookmarkEnd w:id="135"/>
      <w:r>
        <w:t>:</w:t>
      </w:r>
      <w:r w:rsidR="00CD04DA">
        <w:t xml:space="preserve"> Results of </w:t>
      </w:r>
      <w:r w:rsidR="00B45D5F">
        <w:t>I</w:t>
      </w:r>
      <w:r w:rsidR="00CD04DA">
        <w:t xml:space="preserve">ncreasing </w:t>
      </w:r>
      <w:r w:rsidR="00B45D5F">
        <w:t>Treatment</w:t>
      </w:r>
      <w:r w:rsidR="00CD04DA">
        <w:t xml:space="preserve"> </w:t>
      </w:r>
      <w:r w:rsidR="00B45D5F">
        <w:t>S</w:t>
      </w:r>
      <w:r w:rsidR="00CD04DA">
        <w:t xml:space="preserve">eeking </w:t>
      </w:r>
      <w:r w:rsidR="00B45D5F">
        <w:t>Ra</w:t>
      </w:r>
      <w:r w:rsidR="00CD04DA">
        <w:t xml:space="preserve">te on the </w:t>
      </w:r>
      <w:r w:rsidR="00B45D5F">
        <w:t>O</w:t>
      </w:r>
      <w:r w:rsidR="002F6CBC">
        <w:t xml:space="preserve">verdose </w:t>
      </w:r>
      <w:r w:rsidR="00B45D5F">
        <w:t>D</w:t>
      </w:r>
      <w:r w:rsidR="002F6CBC">
        <w:t xml:space="preserve">eaths </w:t>
      </w:r>
      <w:r w:rsidR="00B45D5F">
        <w:t>A</w:t>
      </w:r>
      <w:r w:rsidR="002F6CBC">
        <w:t>mong</w:t>
      </w:r>
      <w:r w:rsidR="00B45D5F">
        <w:t xml:space="preserve"> Individuals with</w:t>
      </w:r>
      <w:r w:rsidR="002F6CBC">
        <w:t xml:space="preserve"> HUD </w:t>
      </w:r>
      <w:r w:rsidR="00194984">
        <w:t xml:space="preserve">and </w:t>
      </w:r>
      <w:r w:rsidR="002F6CBC">
        <w:t>Rx OUD</w:t>
      </w:r>
      <w:r w:rsidR="00CD04DA">
        <w:t xml:space="preserve"> for </w:t>
      </w:r>
      <w:r w:rsidR="00194984">
        <w:t>D</w:t>
      </w:r>
      <w:r w:rsidR="00CD04DA">
        <w:t xml:space="preserve">ifferent </w:t>
      </w:r>
      <w:r w:rsidR="00194984">
        <w:t>S</w:t>
      </w:r>
      <w:r w:rsidR="00CD04DA">
        <w:t>cenarios</w:t>
      </w:r>
      <w:bookmarkEnd w:id="136"/>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49"/>
        <w:gridCol w:w="1619"/>
        <w:gridCol w:w="2429"/>
        <w:gridCol w:w="2429"/>
        <w:gridCol w:w="2424"/>
      </w:tblGrid>
      <w:tr w:rsidR="00D7717D" w:rsidRPr="009A793C" w14:paraId="1C3A2F7F" w14:textId="77777777" w:rsidTr="00643F93">
        <w:trPr>
          <w:trHeight w:val="288"/>
          <w:jc w:val="center"/>
        </w:trPr>
        <w:tc>
          <w:tcPr>
            <w:tcW w:w="1563" w:type="pct"/>
            <w:tcBorders>
              <w:bottom w:val="single" w:sz="4" w:space="0" w:color="BFBFBF" w:themeColor="background1" w:themeShade="BF"/>
            </w:tcBorders>
            <w:shd w:val="clear" w:color="auto" w:fill="5D7D95" w:themeFill="accent1"/>
            <w:noWrap/>
            <w:vAlign w:val="center"/>
            <w:hideMark/>
          </w:tcPr>
          <w:p w14:paraId="6DC84B55"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Input</w:t>
            </w:r>
          </w:p>
        </w:tc>
        <w:tc>
          <w:tcPr>
            <w:tcW w:w="625" w:type="pct"/>
            <w:tcBorders>
              <w:bottom w:val="single" w:sz="4" w:space="0" w:color="BFBFBF" w:themeColor="background1" w:themeShade="BF"/>
            </w:tcBorders>
            <w:shd w:val="clear" w:color="auto" w:fill="5D7D95" w:themeFill="accent1"/>
            <w:noWrap/>
            <w:vAlign w:val="center"/>
            <w:hideMark/>
          </w:tcPr>
          <w:p w14:paraId="37FF00CD" w14:textId="50517CDD" w:rsidR="00D7717D" w:rsidRPr="009A793C" w:rsidRDefault="00D7717D" w:rsidP="00AC0D70">
            <w:pPr>
              <w:spacing w:after="0"/>
              <w:jc w:val="center"/>
              <w:rPr>
                <w:rFonts w:eastAsia="Times New Roman" w:cs="Calibri"/>
                <w:b/>
                <w:bCs/>
                <w:color w:val="FFFFFF"/>
                <w:szCs w:val="22"/>
              </w:rPr>
            </w:pPr>
            <w:r w:rsidRPr="009A793C">
              <w:rPr>
                <w:rFonts w:eastAsia="Times New Roman" w:cs="Calibri"/>
                <w:b/>
                <w:bCs/>
                <w:color w:val="FFFFFF"/>
                <w:szCs w:val="22"/>
              </w:rPr>
              <w:t>Years</w:t>
            </w:r>
          </w:p>
        </w:tc>
        <w:tc>
          <w:tcPr>
            <w:tcW w:w="938" w:type="pct"/>
            <w:tcBorders>
              <w:bottom w:val="single" w:sz="4" w:space="0" w:color="BFBFBF" w:themeColor="background1" w:themeShade="BF"/>
            </w:tcBorders>
            <w:shd w:val="clear" w:color="auto" w:fill="5D7D95" w:themeFill="accent1"/>
            <w:noWrap/>
            <w:vAlign w:val="center"/>
            <w:hideMark/>
          </w:tcPr>
          <w:p w14:paraId="4CCE9B4D"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Scenario 1</w:t>
            </w:r>
          </w:p>
        </w:tc>
        <w:tc>
          <w:tcPr>
            <w:tcW w:w="938" w:type="pct"/>
            <w:tcBorders>
              <w:bottom w:val="single" w:sz="4" w:space="0" w:color="BFBFBF" w:themeColor="background1" w:themeShade="BF"/>
            </w:tcBorders>
            <w:shd w:val="clear" w:color="auto" w:fill="5D7D95" w:themeFill="accent1"/>
            <w:noWrap/>
            <w:vAlign w:val="center"/>
            <w:hideMark/>
          </w:tcPr>
          <w:p w14:paraId="2D28C937"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Scenario 2</w:t>
            </w:r>
          </w:p>
        </w:tc>
        <w:tc>
          <w:tcPr>
            <w:tcW w:w="938" w:type="pct"/>
            <w:tcBorders>
              <w:bottom w:val="single" w:sz="4" w:space="0" w:color="BFBFBF" w:themeColor="background1" w:themeShade="BF"/>
            </w:tcBorders>
            <w:shd w:val="clear" w:color="auto" w:fill="5D7D95" w:themeFill="accent1"/>
            <w:noWrap/>
            <w:vAlign w:val="center"/>
            <w:hideMark/>
          </w:tcPr>
          <w:p w14:paraId="10BC2092"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Scenario 3</w:t>
            </w:r>
          </w:p>
        </w:tc>
      </w:tr>
      <w:tr w:rsidR="00D7717D" w:rsidRPr="009A793C" w14:paraId="00F17EF0" w14:textId="77777777" w:rsidTr="00643F93">
        <w:trPr>
          <w:trHeight w:val="288"/>
          <w:jc w:val="center"/>
        </w:trPr>
        <w:tc>
          <w:tcPr>
            <w:tcW w:w="1563" w:type="pct"/>
            <w:tcBorders>
              <w:bottom w:val="single" w:sz="4" w:space="0" w:color="auto"/>
            </w:tcBorders>
            <w:shd w:val="clear" w:color="auto" w:fill="auto"/>
            <w:vAlign w:val="center"/>
            <w:hideMark/>
          </w:tcPr>
          <w:p w14:paraId="7F3CE649" w14:textId="77777777" w:rsidR="00D7717D" w:rsidRPr="009A793C" w:rsidRDefault="00D7717D" w:rsidP="00D7717D">
            <w:pPr>
              <w:spacing w:after="0"/>
              <w:jc w:val="center"/>
              <w:rPr>
                <w:rFonts w:eastAsia="Times New Roman" w:cs="Calibri"/>
                <w:b/>
                <w:szCs w:val="22"/>
              </w:rPr>
            </w:pPr>
            <w:r w:rsidRPr="009A793C">
              <w:rPr>
                <w:rFonts w:eastAsia="Times New Roman" w:cs="Calibri"/>
                <w:b/>
                <w:szCs w:val="22"/>
              </w:rPr>
              <w:t>Tx seeking rate Rx OUD no H total net</w:t>
            </w:r>
          </w:p>
        </w:tc>
        <w:tc>
          <w:tcPr>
            <w:tcW w:w="625" w:type="pct"/>
            <w:tcBorders>
              <w:bottom w:val="single" w:sz="4" w:space="0" w:color="auto"/>
            </w:tcBorders>
            <w:shd w:val="clear" w:color="auto" w:fill="auto"/>
            <w:noWrap/>
            <w:vAlign w:val="center"/>
            <w:hideMark/>
          </w:tcPr>
          <w:p w14:paraId="5E5B85D7" w14:textId="77777777" w:rsidR="00D7717D" w:rsidRPr="009A793C" w:rsidRDefault="00D7717D" w:rsidP="00D7717D">
            <w:pPr>
              <w:spacing w:after="0"/>
              <w:jc w:val="center"/>
              <w:rPr>
                <w:rFonts w:eastAsia="Times New Roman" w:cs="Calibri"/>
                <w:color w:val="000000"/>
                <w:szCs w:val="22"/>
              </w:rPr>
            </w:pPr>
            <w:r w:rsidRPr="009A793C">
              <w:rPr>
                <w:rFonts w:eastAsia="Times New Roman" w:cs="Calibri"/>
                <w:color w:val="000000"/>
                <w:szCs w:val="22"/>
              </w:rPr>
              <w:t>2020-2030</w:t>
            </w:r>
          </w:p>
        </w:tc>
        <w:tc>
          <w:tcPr>
            <w:tcW w:w="938" w:type="pct"/>
            <w:tcBorders>
              <w:bottom w:val="single" w:sz="4" w:space="0" w:color="auto"/>
            </w:tcBorders>
            <w:shd w:val="clear" w:color="auto" w:fill="auto"/>
            <w:vAlign w:val="center"/>
            <w:hideMark/>
          </w:tcPr>
          <w:p w14:paraId="782A64BD" w14:textId="71B57E68" w:rsidR="00D7717D" w:rsidRPr="009A793C" w:rsidRDefault="007D683A" w:rsidP="00D7717D">
            <w:pPr>
              <w:spacing w:after="0"/>
              <w:jc w:val="center"/>
              <w:rPr>
                <w:rFonts w:eastAsia="Times New Roman" w:cs="Calibri"/>
                <w:color w:val="000000"/>
                <w:szCs w:val="22"/>
              </w:rPr>
            </w:pPr>
            <w:r w:rsidRPr="009A793C">
              <w:rPr>
                <w:rFonts w:eastAsia="Times New Roman" w:cs="Calibri"/>
                <w:color w:val="000000"/>
                <w:szCs w:val="22"/>
              </w:rPr>
              <w:t>Set at 0.55</w:t>
            </w:r>
          </w:p>
        </w:tc>
        <w:tc>
          <w:tcPr>
            <w:tcW w:w="938" w:type="pct"/>
            <w:tcBorders>
              <w:bottom w:val="single" w:sz="4" w:space="0" w:color="auto"/>
            </w:tcBorders>
            <w:shd w:val="clear" w:color="auto" w:fill="auto"/>
            <w:vAlign w:val="center"/>
            <w:hideMark/>
          </w:tcPr>
          <w:p w14:paraId="0D67AC7C" w14:textId="3BE5D9D9" w:rsidR="00D7717D" w:rsidRPr="009A793C" w:rsidRDefault="007D683A" w:rsidP="00D7717D">
            <w:pPr>
              <w:spacing w:after="0"/>
              <w:jc w:val="center"/>
              <w:rPr>
                <w:rFonts w:eastAsia="Times New Roman" w:cs="Calibri"/>
                <w:color w:val="000000"/>
                <w:szCs w:val="22"/>
              </w:rPr>
            </w:pPr>
            <w:r w:rsidRPr="009A793C">
              <w:rPr>
                <w:rFonts w:eastAsia="Times New Roman" w:cs="Calibri"/>
                <w:color w:val="000000"/>
                <w:szCs w:val="22"/>
              </w:rPr>
              <w:t>Set at 0.65</w:t>
            </w:r>
          </w:p>
        </w:tc>
        <w:tc>
          <w:tcPr>
            <w:tcW w:w="938" w:type="pct"/>
            <w:tcBorders>
              <w:bottom w:val="single" w:sz="4" w:space="0" w:color="auto"/>
            </w:tcBorders>
            <w:shd w:val="clear" w:color="auto" w:fill="auto"/>
            <w:vAlign w:val="center"/>
            <w:hideMark/>
          </w:tcPr>
          <w:p w14:paraId="5D50D468" w14:textId="7361C369" w:rsidR="00D7717D" w:rsidRPr="009A793C" w:rsidRDefault="00F956C9" w:rsidP="00D7717D">
            <w:pPr>
              <w:spacing w:after="0"/>
              <w:jc w:val="center"/>
              <w:rPr>
                <w:rFonts w:eastAsia="Times New Roman" w:cs="Calibri"/>
                <w:color w:val="000000"/>
                <w:szCs w:val="22"/>
              </w:rPr>
            </w:pPr>
            <w:r w:rsidRPr="009A793C">
              <w:rPr>
                <w:rFonts w:eastAsia="Times New Roman" w:cs="Calibri"/>
                <w:color w:val="000000"/>
                <w:szCs w:val="22"/>
              </w:rPr>
              <w:t>Set at 0.75</w:t>
            </w:r>
          </w:p>
        </w:tc>
      </w:tr>
      <w:tr w:rsidR="00967095" w:rsidRPr="009A793C" w14:paraId="161676F8" w14:textId="77777777" w:rsidTr="001B169B">
        <w:trPr>
          <w:trHeight w:val="288"/>
          <w:jc w:val="center"/>
        </w:trPr>
        <w:tc>
          <w:tcPr>
            <w:tcW w:w="1563" w:type="pct"/>
            <w:vMerge w:val="restart"/>
            <w:tcBorders>
              <w:top w:val="single" w:sz="4" w:space="0" w:color="auto"/>
            </w:tcBorders>
            <w:shd w:val="clear" w:color="auto" w:fill="5D7D95" w:themeFill="accent1"/>
            <w:noWrap/>
            <w:vAlign w:val="center"/>
          </w:tcPr>
          <w:p w14:paraId="4C6B7F62" w14:textId="59CEAAEC" w:rsidR="00967095" w:rsidRPr="009A793C" w:rsidRDefault="00316A28" w:rsidP="00316A28">
            <w:pPr>
              <w:spacing w:after="0"/>
              <w:jc w:val="center"/>
              <w:rPr>
                <w:rFonts w:eastAsia="Times New Roman" w:cs="Calibri"/>
                <w:b/>
                <w:bCs/>
                <w:color w:val="FFFFFF"/>
                <w:szCs w:val="22"/>
              </w:rPr>
            </w:pPr>
            <w:r w:rsidRPr="009A793C">
              <w:rPr>
                <w:rFonts w:eastAsia="Times New Roman" w:cs="Calibri"/>
                <w:b/>
                <w:bCs/>
                <w:color w:val="FFFFFF"/>
                <w:szCs w:val="22"/>
              </w:rPr>
              <w:t>Outputs</w:t>
            </w:r>
          </w:p>
        </w:tc>
        <w:tc>
          <w:tcPr>
            <w:tcW w:w="625" w:type="pct"/>
            <w:vMerge w:val="restart"/>
            <w:tcBorders>
              <w:top w:val="single" w:sz="4" w:space="0" w:color="auto"/>
            </w:tcBorders>
            <w:shd w:val="clear" w:color="auto" w:fill="5D7D95" w:themeFill="accent1"/>
            <w:noWrap/>
            <w:vAlign w:val="center"/>
          </w:tcPr>
          <w:p w14:paraId="5302C0BF" w14:textId="44D19CCB" w:rsidR="00967095" w:rsidRPr="009A793C" w:rsidRDefault="00316A28" w:rsidP="00316A28">
            <w:pPr>
              <w:spacing w:after="0"/>
              <w:jc w:val="center"/>
              <w:rPr>
                <w:rFonts w:eastAsia="Times New Roman" w:cs="Calibri"/>
                <w:b/>
                <w:bCs/>
                <w:color w:val="FFFFFF"/>
                <w:szCs w:val="22"/>
              </w:rPr>
            </w:pPr>
            <w:r w:rsidRPr="009A793C">
              <w:rPr>
                <w:rFonts w:eastAsia="Times New Roman" w:cs="Calibri"/>
                <w:b/>
                <w:bCs/>
                <w:color w:val="FFFFFF"/>
                <w:szCs w:val="22"/>
              </w:rPr>
              <w:t>Year</w:t>
            </w:r>
          </w:p>
        </w:tc>
        <w:tc>
          <w:tcPr>
            <w:tcW w:w="2813" w:type="pct"/>
            <w:gridSpan w:val="3"/>
            <w:tcBorders>
              <w:top w:val="single" w:sz="4" w:space="0" w:color="auto"/>
            </w:tcBorders>
            <w:shd w:val="clear" w:color="auto" w:fill="9B2428" w:themeFill="accent5" w:themeFillShade="BF"/>
            <w:noWrap/>
            <w:vAlign w:val="center"/>
          </w:tcPr>
          <w:p w14:paraId="2BA939AD" w14:textId="3E5855E4"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Percent Change Over Baseline</w:t>
            </w:r>
          </w:p>
        </w:tc>
      </w:tr>
      <w:tr w:rsidR="00967095" w:rsidRPr="009A793C" w14:paraId="5771731B" w14:textId="77777777" w:rsidTr="001B169B">
        <w:trPr>
          <w:trHeight w:val="288"/>
          <w:jc w:val="center"/>
        </w:trPr>
        <w:tc>
          <w:tcPr>
            <w:tcW w:w="1563" w:type="pct"/>
            <w:vMerge/>
            <w:shd w:val="clear" w:color="auto" w:fill="5D7D95" w:themeFill="accent1"/>
            <w:noWrap/>
            <w:vAlign w:val="bottom"/>
            <w:hideMark/>
          </w:tcPr>
          <w:p w14:paraId="76DEC8C1" w14:textId="362133D0" w:rsidR="00967095" w:rsidRPr="009A793C" w:rsidRDefault="00967095" w:rsidP="0076440B">
            <w:pPr>
              <w:spacing w:after="0"/>
              <w:jc w:val="center"/>
              <w:rPr>
                <w:rFonts w:eastAsia="Times New Roman" w:cs="Calibri"/>
                <w:b/>
                <w:bCs/>
                <w:color w:val="FFFFFF"/>
                <w:szCs w:val="22"/>
              </w:rPr>
            </w:pPr>
          </w:p>
        </w:tc>
        <w:tc>
          <w:tcPr>
            <w:tcW w:w="625" w:type="pct"/>
            <w:vMerge/>
            <w:shd w:val="clear" w:color="auto" w:fill="5D7D95" w:themeFill="accent1"/>
            <w:noWrap/>
            <w:vAlign w:val="bottom"/>
            <w:hideMark/>
          </w:tcPr>
          <w:p w14:paraId="5BC88AF3" w14:textId="298B5B86" w:rsidR="00967095" w:rsidRPr="009A793C" w:rsidRDefault="00967095" w:rsidP="00967095">
            <w:pPr>
              <w:spacing w:after="0"/>
              <w:jc w:val="center"/>
              <w:rPr>
                <w:rFonts w:eastAsia="Times New Roman" w:cs="Calibri"/>
                <w:b/>
                <w:bCs/>
                <w:color w:val="FFFFFF"/>
                <w:szCs w:val="22"/>
              </w:rPr>
            </w:pPr>
          </w:p>
        </w:tc>
        <w:tc>
          <w:tcPr>
            <w:tcW w:w="938" w:type="pct"/>
            <w:shd w:val="clear" w:color="auto" w:fill="9B2428" w:themeFill="accent5" w:themeFillShade="BF"/>
            <w:noWrap/>
            <w:vAlign w:val="center"/>
            <w:hideMark/>
          </w:tcPr>
          <w:p w14:paraId="3787696A" w14:textId="58A5C7B6"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Scenario 1</w:t>
            </w:r>
          </w:p>
        </w:tc>
        <w:tc>
          <w:tcPr>
            <w:tcW w:w="938" w:type="pct"/>
            <w:shd w:val="clear" w:color="auto" w:fill="9B2428" w:themeFill="accent5" w:themeFillShade="BF"/>
            <w:noWrap/>
            <w:vAlign w:val="center"/>
            <w:hideMark/>
          </w:tcPr>
          <w:p w14:paraId="60E3D8E1" w14:textId="637EB5AB"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Scenario 2</w:t>
            </w:r>
          </w:p>
        </w:tc>
        <w:tc>
          <w:tcPr>
            <w:tcW w:w="938" w:type="pct"/>
            <w:shd w:val="clear" w:color="auto" w:fill="9B2428" w:themeFill="accent5" w:themeFillShade="BF"/>
            <w:noWrap/>
            <w:vAlign w:val="center"/>
            <w:hideMark/>
          </w:tcPr>
          <w:p w14:paraId="2004139F" w14:textId="63F0F905"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Scenario 3</w:t>
            </w:r>
          </w:p>
        </w:tc>
      </w:tr>
      <w:tr w:rsidR="00D7717D" w:rsidRPr="009A793C" w14:paraId="016E2652" w14:textId="77777777" w:rsidTr="001B169B">
        <w:trPr>
          <w:trHeight w:val="288"/>
          <w:jc w:val="center"/>
        </w:trPr>
        <w:tc>
          <w:tcPr>
            <w:tcW w:w="1563" w:type="pct"/>
            <w:shd w:val="clear" w:color="auto" w:fill="auto"/>
            <w:noWrap/>
            <w:vAlign w:val="bottom"/>
            <w:hideMark/>
          </w:tcPr>
          <w:p w14:paraId="3659C36D" w14:textId="77777777" w:rsidR="00D7717D" w:rsidRPr="009A793C" w:rsidRDefault="00D7717D" w:rsidP="0076440B">
            <w:pPr>
              <w:spacing w:after="0"/>
              <w:jc w:val="center"/>
              <w:rPr>
                <w:rFonts w:eastAsia="Times New Roman" w:cs="Calibri"/>
                <w:b/>
                <w:color w:val="000000"/>
                <w:szCs w:val="22"/>
              </w:rPr>
            </w:pPr>
            <w:r w:rsidRPr="009A793C">
              <w:rPr>
                <w:rFonts w:eastAsia="Times New Roman" w:cs="Calibri"/>
                <w:b/>
                <w:color w:val="000000"/>
                <w:szCs w:val="22"/>
              </w:rPr>
              <w:t>Overdose death HUD</w:t>
            </w:r>
          </w:p>
        </w:tc>
        <w:tc>
          <w:tcPr>
            <w:tcW w:w="625" w:type="pct"/>
            <w:shd w:val="clear" w:color="auto" w:fill="auto"/>
            <w:noWrap/>
            <w:vAlign w:val="bottom"/>
            <w:hideMark/>
          </w:tcPr>
          <w:p w14:paraId="2CAB06AA" w14:textId="77777777" w:rsidR="00D7717D" w:rsidRPr="009A793C" w:rsidRDefault="00D7717D"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938" w:type="pct"/>
            <w:shd w:val="clear" w:color="auto" w:fill="F5D5D6" w:themeFill="accent5" w:themeFillTint="33"/>
            <w:noWrap/>
            <w:vAlign w:val="center"/>
            <w:hideMark/>
          </w:tcPr>
          <w:p w14:paraId="382B67F9"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-3.60%</w:t>
            </w:r>
          </w:p>
        </w:tc>
        <w:tc>
          <w:tcPr>
            <w:tcW w:w="938" w:type="pct"/>
            <w:shd w:val="clear" w:color="auto" w:fill="F5D5D6" w:themeFill="accent5" w:themeFillTint="33"/>
            <w:noWrap/>
            <w:vAlign w:val="center"/>
            <w:hideMark/>
          </w:tcPr>
          <w:p w14:paraId="7440887B"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-10.18%</w:t>
            </w:r>
          </w:p>
        </w:tc>
        <w:tc>
          <w:tcPr>
            <w:tcW w:w="938" w:type="pct"/>
            <w:shd w:val="clear" w:color="auto" w:fill="F5D5D6" w:themeFill="accent5" w:themeFillTint="33"/>
            <w:noWrap/>
            <w:vAlign w:val="center"/>
            <w:hideMark/>
          </w:tcPr>
          <w:p w14:paraId="6AC0CC65"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-15.60%</w:t>
            </w:r>
          </w:p>
        </w:tc>
      </w:tr>
      <w:tr w:rsidR="00D7717D" w:rsidRPr="009A793C" w14:paraId="468F036B" w14:textId="77777777" w:rsidTr="001B169B">
        <w:trPr>
          <w:trHeight w:val="288"/>
          <w:jc w:val="center"/>
        </w:trPr>
        <w:tc>
          <w:tcPr>
            <w:tcW w:w="1563" w:type="pct"/>
            <w:shd w:val="clear" w:color="auto" w:fill="auto"/>
            <w:noWrap/>
            <w:vAlign w:val="bottom"/>
            <w:hideMark/>
          </w:tcPr>
          <w:p w14:paraId="79C0D347" w14:textId="77777777" w:rsidR="00D7717D" w:rsidRPr="009A793C" w:rsidRDefault="00D7717D" w:rsidP="0076440B">
            <w:pPr>
              <w:spacing w:after="0"/>
              <w:jc w:val="center"/>
              <w:rPr>
                <w:rFonts w:eastAsia="Times New Roman" w:cs="Calibri"/>
                <w:b/>
                <w:color w:val="000000"/>
                <w:szCs w:val="22"/>
              </w:rPr>
            </w:pPr>
            <w:r w:rsidRPr="009A793C">
              <w:rPr>
                <w:rFonts w:eastAsia="Times New Roman" w:cs="Calibri"/>
                <w:b/>
                <w:color w:val="000000"/>
                <w:szCs w:val="22"/>
              </w:rPr>
              <w:t>Overdose death Rx OUD no H</w:t>
            </w:r>
          </w:p>
        </w:tc>
        <w:tc>
          <w:tcPr>
            <w:tcW w:w="625" w:type="pct"/>
            <w:shd w:val="clear" w:color="auto" w:fill="auto"/>
            <w:noWrap/>
            <w:vAlign w:val="bottom"/>
            <w:hideMark/>
          </w:tcPr>
          <w:p w14:paraId="75765389" w14:textId="77777777" w:rsidR="00D7717D" w:rsidRPr="009A793C" w:rsidRDefault="00D7717D"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938" w:type="pct"/>
            <w:shd w:val="clear" w:color="auto" w:fill="F5D5D6" w:themeFill="accent5" w:themeFillTint="33"/>
            <w:noWrap/>
            <w:vAlign w:val="center"/>
            <w:hideMark/>
          </w:tcPr>
          <w:p w14:paraId="576FA72E"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-0.53%</w:t>
            </w:r>
          </w:p>
        </w:tc>
        <w:tc>
          <w:tcPr>
            <w:tcW w:w="938" w:type="pct"/>
            <w:shd w:val="clear" w:color="auto" w:fill="F5D5D6" w:themeFill="accent5" w:themeFillTint="33"/>
            <w:noWrap/>
            <w:vAlign w:val="center"/>
            <w:hideMark/>
          </w:tcPr>
          <w:p w14:paraId="716D65A7"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-1.50%</w:t>
            </w:r>
          </w:p>
        </w:tc>
        <w:tc>
          <w:tcPr>
            <w:tcW w:w="938" w:type="pct"/>
            <w:shd w:val="clear" w:color="auto" w:fill="F5D5D6" w:themeFill="accent5" w:themeFillTint="33"/>
            <w:noWrap/>
            <w:vAlign w:val="center"/>
            <w:hideMark/>
          </w:tcPr>
          <w:p w14:paraId="0CE19E9F"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-2.24%</w:t>
            </w:r>
          </w:p>
        </w:tc>
      </w:tr>
    </w:tbl>
    <w:p w14:paraId="0C2B221C" w14:textId="408AFEEE" w:rsidR="00D7717D" w:rsidRDefault="00D7717D" w:rsidP="0076440B">
      <w:pPr>
        <w:jc w:val="center"/>
      </w:pPr>
    </w:p>
    <w:p w14:paraId="2F62B433" w14:textId="78A7C3CB" w:rsidR="00967095" w:rsidRDefault="00967095" w:rsidP="0076440B">
      <w:pPr>
        <w:jc w:val="center"/>
      </w:pPr>
    </w:p>
    <w:p w14:paraId="570F3696" w14:textId="7DADEB6F" w:rsidR="00967095" w:rsidRDefault="00967095" w:rsidP="0076440B">
      <w:pPr>
        <w:jc w:val="center"/>
      </w:pPr>
    </w:p>
    <w:p w14:paraId="142E0474" w14:textId="446D84D2" w:rsidR="00967095" w:rsidRDefault="00967095" w:rsidP="0076440B">
      <w:pPr>
        <w:jc w:val="center"/>
      </w:pPr>
    </w:p>
    <w:p w14:paraId="388D4C59" w14:textId="1FB6C6EE" w:rsidR="00967095" w:rsidRDefault="00967095" w:rsidP="00270EC9"/>
    <w:p w14:paraId="41FA4EB6" w14:textId="3AAA6313" w:rsidR="00967095" w:rsidRDefault="00967095" w:rsidP="00270EC9"/>
    <w:p w14:paraId="14414BE8" w14:textId="77777777" w:rsidR="00967095" w:rsidRDefault="00967095" w:rsidP="00270EC9">
      <w:pPr>
        <w:rPr>
          <w:b/>
          <w:bCs/>
        </w:rPr>
      </w:pPr>
    </w:p>
    <w:p w14:paraId="30AEAB9A" w14:textId="7A6C4950" w:rsidR="00B2097B" w:rsidRDefault="00B2097B" w:rsidP="00D05863">
      <w:pPr>
        <w:pStyle w:val="Caption"/>
      </w:pPr>
      <w:bookmarkStart w:id="137" w:name="_Ref58946314"/>
      <w:bookmarkStart w:id="138" w:name="_Toc59050111"/>
      <w:r>
        <w:lastRenderedPageBreak/>
        <w:t xml:space="preserve">Table </w:t>
      </w:r>
      <w:fldSimple w:instr=" STYLEREF 1 \s ">
        <w:r w:rsidR="00564EC2">
          <w:rPr>
            <w:noProof/>
          </w:rPr>
          <w:t>11</w:t>
        </w:r>
      </w:fldSimple>
      <w:r w:rsidR="00564EC2">
        <w:noBreakHyphen/>
      </w:r>
      <w:fldSimple w:instr=" SEQ Table \* ARABIC \s 1 ">
        <w:r w:rsidR="00564EC2">
          <w:rPr>
            <w:noProof/>
          </w:rPr>
          <w:t>3</w:t>
        </w:r>
      </w:fldSimple>
      <w:bookmarkEnd w:id="137"/>
      <w:r>
        <w:t xml:space="preserve">: </w:t>
      </w:r>
      <w:r w:rsidRPr="00A6112E">
        <w:t xml:space="preserve">Simulation </w:t>
      </w:r>
      <w:r w:rsidR="00194984">
        <w:t>R</w:t>
      </w:r>
      <w:r w:rsidRPr="00A6112E">
        <w:t xml:space="preserve">esults and </w:t>
      </w:r>
      <w:r w:rsidR="00194984">
        <w:t>P</w:t>
      </w:r>
      <w:r w:rsidRPr="00A6112E">
        <w:t xml:space="preserve">ercentage </w:t>
      </w:r>
      <w:r w:rsidR="00194984">
        <w:t>C</w:t>
      </w:r>
      <w:r w:rsidRPr="00A6112E">
        <w:t xml:space="preserve">hanges </w:t>
      </w:r>
      <w:r w:rsidR="00194984">
        <w:t>O</w:t>
      </w:r>
      <w:r w:rsidRPr="00A6112E">
        <w:t xml:space="preserve">ver </w:t>
      </w:r>
      <w:r w:rsidR="00194984">
        <w:t>B</w:t>
      </w:r>
      <w:r w:rsidRPr="00A6112E">
        <w:t xml:space="preserve">aseline at 2030 for </w:t>
      </w:r>
      <w:r w:rsidR="00194984">
        <w:t>D</w:t>
      </w:r>
      <w:r w:rsidRPr="00A6112E">
        <w:t xml:space="preserve">ifferent </w:t>
      </w:r>
      <w:r w:rsidR="00194984">
        <w:t>I</w:t>
      </w:r>
      <w:r w:rsidRPr="00A6112E">
        <w:t xml:space="preserve">nterventions </w:t>
      </w:r>
      <w:r w:rsidR="00194984">
        <w:t>I</w:t>
      </w:r>
      <w:r w:rsidRPr="00A6112E">
        <w:t xml:space="preserve">ndividually or </w:t>
      </w:r>
      <w:r w:rsidR="00194984">
        <w:t>Combined</w:t>
      </w:r>
      <w:bookmarkEnd w:id="138"/>
    </w:p>
    <w:tbl>
      <w:tblPr>
        <w:tblStyle w:val="PlainTable11"/>
        <w:tblpPr w:leftFromText="180" w:rightFromText="180" w:vertAnchor="text" w:horzAnchor="margin" w:tblpXSpec="center" w:tblpY="-29"/>
        <w:tblW w:w="13950" w:type="dxa"/>
        <w:tblLook w:val="04A0" w:firstRow="1" w:lastRow="0" w:firstColumn="1" w:lastColumn="0" w:noHBand="0" w:noVBand="1"/>
      </w:tblPr>
      <w:tblGrid>
        <w:gridCol w:w="2520"/>
        <w:gridCol w:w="864"/>
        <w:gridCol w:w="864"/>
        <w:gridCol w:w="821"/>
        <w:gridCol w:w="896"/>
        <w:gridCol w:w="832"/>
        <w:gridCol w:w="864"/>
        <w:gridCol w:w="936"/>
        <w:gridCol w:w="720"/>
        <w:gridCol w:w="630"/>
        <w:gridCol w:w="821"/>
        <w:gridCol w:w="896"/>
        <w:gridCol w:w="832"/>
        <w:gridCol w:w="821"/>
        <w:gridCol w:w="739"/>
      </w:tblGrid>
      <w:tr w:rsidR="00B2097B" w:rsidRPr="00571A38" w14:paraId="13CEAE71" w14:textId="77777777" w:rsidTr="001E73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FFFFFF"/>
              <w:left w:val="single" w:sz="4" w:space="0" w:color="FFFFFF"/>
            </w:tcBorders>
            <w:noWrap/>
            <w:hideMark/>
          </w:tcPr>
          <w:p w14:paraId="14B3DE03" w14:textId="77777777" w:rsidR="00B2097B" w:rsidRPr="00571A38" w:rsidRDefault="00B2097B" w:rsidP="00B2097B">
            <w:pPr>
              <w:spacing w:after="0"/>
              <w:rPr>
                <w:rFonts w:ascii="Times New Roman" w:eastAsia="Times New Roman" w:hAnsi="Times New Roman" w:cs="Times New Roman"/>
                <w:sz w:val="16"/>
                <w:szCs w:val="16"/>
              </w:rPr>
            </w:pPr>
          </w:p>
        </w:tc>
        <w:tc>
          <w:tcPr>
            <w:tcW w:w="6030" w:type="dxa"/>
            <w:gridSpan w:val="7"/>
            <w:shd w:val="clear" w:color="auto" w:fill="243646" w:themeFill="accent2"/>
            <w:noWrap/>
            <w:hideMark/>
          </w:tcPr>
          <w:p w14:paraId="5358C539" w14:textId="77777777" w:rsidR="00B2097B" w:rsidRPr="001E737F" w:rsidRDefault="00B2097B" w:rsidP="00B2097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 w:val="16"/>
                <w:szCs w:val="16"/>
              </w:rPr>
            </w:pPr>
            <w:r w:rsidRPr="001E737F">
              <w:rPr>
                <w:rFonts w:eastAsia="Times New Roman" w:cs="Calibri"/>
                <w:color w:val="FFFFFF" w:themeColor="background1"/>
                <w:sz w:val="16"/>
                <w:szCs w:val="16"/>
              </w:rPr>
              <w:t>Simulated results at 2030</w:t>
            </w:r>
          </w:p>
        </w:tc>
        <w:tc>
          <w:tcPr>
            <w:tcW w:w="5400" w:type="dxa"/>
            <w:gridSpan w:val="7"/>
            <w:shd w:val="clear" w:color="auto" w:fill="87AF99" w:themeFill="accent3"/>
            <w:noWrap/>
            <w:hideMark/>
          </w:tcPr>
          <w:p w14:paraId="0F92F506" w14:textId="77777777" w:rsidR="00B2097B" w:rsidRPr="001E737F" w:rsidRDefault="00B2097B" w:rsidP="00B2097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themeColor="background1"/>
                <w:sz w:val="16"/>
                <w:szCs w:val="16"/>
              </w:rPr>
            </w:pPr>
            <w:r w:rsidRPr="001E737F">
              <w:rPr>
                <w:rFonts w:eastAsia="Times New Roman" w:cs="Calibri"/>
                <w:bCs w:val="0"/>
                <w:color w:val="FFFFFF" w:themeColor="background1"/>
                <w:sz w:val="16"/>
                <w:szCs w:val="16"/>
              </w:rPr>
              <w:t>Percent change over baseline</w:t>
            </w:r>
          </w:p>
        </w:tc>
      </w:tr>
      <w:tr w:rsidR="001E737F" w:rsidRPr="00571A38" w14:paraId="04ABEC2C" w14:textId="77777777" w:rsidTr="00643F9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20" w:type="dxa"/>
            <w:shd w:val="clear" w:color="auto" w:fill="5D7D95" w:themeFill="accent1"/>
            <w:noWrap/>
            <w:hideMark/>
          </w:tcPr>
          <w:p w14:paraId="7B06CE8F" w14:textId="77777777" w:rsidR="00B2097B" w:rsidRPr="001E737F" w:rsidRDefault="00B2097B" w:rsidP="00B2097B">
            <w:pPr>
              <w:spacing w:after="0"/>
              <w:jc w:val="center"/>
              <w:rPr>
                <w:rFonts w:eastAsia="Times New Roman" w:cs="Calibri"/>
                <w:bCs w:val="0"/>
                <w:color w:val="FFFFFF"/>
                <w:sz w:val="16"/>
                <w:szCs w:val="16"/>
              </w:rPr>
            </w:pPr>
            <w:r w:rsidRPr="001E737F">
              <w:rPr>
                <w:rFonts w:eastAsia="Times New Roman" w:cs="Calibri"/>
                <w:bCs w:val="0"/>
                <w:color w:val="FFFFFF"/>
                <w:sz w:val="16"/>
                <w:szCs w:val="16"/>
              </w:rPr>
              <w:t>Simulation</w:t>
            </w:r>
          </w:p>
        </w:tc>
        <w:tc>
          <w:tcPr>
            <w:tcW w:w="864" w:type="dxa"/>
            <w:shd w:val="clear" w:color="auto" w:fill="243646" w:themeFill="accent2"/>
            <w:hideMark/>
          </w:tcPr>
          <w:p w14:paraId="4F2F35EA"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HUD total</w:t>
            </w:r>
          </w:p>
        </w:tc>
        <w:tc>
          <w:tcPr>
            <w:tcW w:w="864" w:type="dxa"/>
            <w:shd w:val="clear" w:color="auto" w:fill="243646" w:themeFill="accent2"/>
            <w:hideMark/>
          </w:tcPr>
          <w:p w14:paraId="6134367C"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Rx OUD all total</w:t>
            </w:r>
          </w:p>
        </w:tc>
        <w:tc>
          <w:tcPr>
            <w:tcW w:w="800" w:type="dxa"/>
            <w:shd w:val="clear" w:color="auto" w:fill="243646" w:themeFill="accent2"/>
            <w:hideMark/>
          </w:tcPr>
          <w:p w14:paraId="2B1B2324"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heroin initiation</w:t>
            </w:r>
          </w:p>
        </w:tc>
        <w:tc>
          <w:tcPr>
            <w:tcW w:w="882" w:type="dxa"/>
            <w:shd w:val="clear" w:color="auto" w:fill="243646" w:themeFill="accent2"/>
            <w:hideMark/>
          </w:tcPr>
          <w:p w14:paraId="4B1FEBBA"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nonfatal overdoses</w:t>
            </w:r>
          </w:p>
        </w:tc>
        <w:tc>
          <w:tcPr>
            <w:tcW w:w="820" w:type="dxa"/>
            <w:shd w:val="clear" w:color="auto" w:fill="243646" w:themeFill="accent2"/>
            <w:hideMark/>
          </w:tcPr>
          <w:p w14:paraId="22A31BA2"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overdose deaths</w:t>
            </w:r>
          </w:p>
        </w:tc>
        <w:tc>
          <w:tcPr>
            <w:tcW w:w="864" w:type="dxa"/>
            <w:shd w:val="clear" w:color="auto" w:fill="243646" w:themeFill="accent2"/>
            <w:hideMark/>
          </w:tcPr>
          <w:p w14:paraId="6667E041"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Rx misuse initiation</w:t>
            </w:r>
          </w:p>
        </w:tc>
        <w:tc>
          <w:tcPr>
            <w:tcW w:w="936" w:type="dxa"/>
            <w:shd w:val="clear" w:color="auto" w:fill="243646" w:themeFill="accent2"/>
            <w:hideMark/>
          </w:tcPr>
          <w:p w14:paraId="3A13059D"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with UD</w:t>
            </w:r>
          </w:p>
        </w:tc>
        <w:tc>
          <w:tcPr>
            <w:tcW w:w="720" w:type="dxa"/>
            <w:shd w:val="clear" w:color="auto" w:fill="87AF99" w:themeFill="accent3"/>
            <w:hideMark/>
          </w:tcPr>
          <w:p w14:paraId="06CB3660"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HUD total</w:t>
            </w:r>
          </w:p>
        </w:tc>
        <w:tc>
          <w:tcPr>
            <w:tcW w:w="630" w:type="dxa"/>
            <w:shd w:val="clear" w:color="auto" w:fill="87AF99" w:themeFill="accent3"/>
            <w:hideMark/>
          </w:tcPr>
          <w:p w14:paraId="3CF1A84A"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Rx OUD all total</w:t>
            </w:r>
          </w:p>
        </w:tc>
        <w:tc>
          <w:tcPr>
            <w:tcW w:w="810" w:type="dxa"/>
            <w:shd w:val="clear" w:color="auto" w:fill="87AF99" w:themeFill="accent3"/>
            <w:hideMark/>
          </w:tcPr>
          <w:p w14:paraId="1DD1E731"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heroin initiation</w:t>
            </w:r>
          </w:p>
        </w:tc>
        <w:tc>
          <w:tcPr>
            <w:tcW w:w="882" w:type="dxa"/>
            <w:shd w:val="clear" w:color="auto" w:fill="87AF99" w:themeFill="accent3"/>
            <w:hideMark/>
          </w:tcPr>
          <w:p w14:paraId="189F0125"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nonfatal overdoses</w:t>
            </w:r>
          </w:p>
        </w:tc>
        <w:tc>
          <w:tcPr>
            <w:tcW w:w="819" w:type="dxa"/>
            <w:shd w:val="clear" w:color="auto" w:fill="87AF99" w:themeFill="accent3"/>
            <w:hideMark/>
          </w:tcPr>
          <w:p w14:paraId="26FBA0B7"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overdose deaths</w:t>
            </w:r>
          </w:p>
        </w:tc>
        <w:tc>
          <w:tcPr>
            <w:tcW w:w="800" w:type="dxa"/>
            <w:shd w:val="clear" w:color="auto" w:fill="87AF99" w:themeFill="accent3"/>
            <w:hideMark/>
          </w:tcPr>
          <w:p w14:paraId="1E514FC5"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Rx misuse initiation</w:t>
            </w:r>
          </w:p>
        </w:tc>
        <w:tc>
          <w:tcPr>
            <w:tcW w:w="739" w:type="dxa"/>
            <w:shd w:val="clear" w:color="auto" w:fill="87AF99" w:themeFill="accent3"/>
            <w:hideMark/>
          </w:tcPr>
          <w:p w14:paraId="306DF064"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with UD</w:t>
            </w:r>
          </w:p>
        </w:tc>
      </w:tr>
      <w:tr w:rsidR="00B2097B" w:rsidRPr="00571A38" w14:paraId="378A9EB6"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528FFE2B"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Baseline</w:t>
            </w:r>
          </w:p>
        </w:tc>
        <w:tc>
          <w:tcPr>
            <w:tcW w:w="864" w:type="dxa"/>
            <w:noWrap/>
            <w:hideMark/>
          </w:tcPr>
          <w:p w14:paraId="79169B93"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2,585,310</w:t>
            </w:r>
          </w:p>
        </w:tc>
        <w:tc>
          <w:tcPr>
            <w:tcW w:w="864" w:type="dxa"/>
            <w:noWrap/>
            <w:hideMark/>
          </w:tcPr>
          <w:p w14:paraId="735B3C1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1,494,380</w:t>
            </w:r>
          </w:p>
        </w:tc>
        <w:tc>
          <w:tcPr>
            <w:tcW w:w="800" w:type="dxa"/>
            <w:noWrap/>
            <w:hideMark/>
          </w:tcPr>
          <w:p w14:paraId="0E1CB7D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129,973</w:t>
            </w:r>
          </w:p>
        </w:tc>
        <w:tc>
          <w:tcPr>
            <w:tcW w:w="882" w:type="dxa"/>
            <w:noWrap/>
            <w:hideMark/>
          </w:tcPr>
          <w:p w14:paraId="7EC56E3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795,915</w:t>
            </w:r>
          </w:p>
        </w:tc>
        <w:tc>
          <w:tcPr>
            <w:tcW w:w="820" w:type="dxa"/>
            <w:noWrap/>
            <w:hideMark/>
          </w:tcPr>
          <w:p w14:paraId="7722669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48,591</w:t>
            </w:r>
          </w:p>
        </w:tc>
        <w:tc>
          <w:tcPr>
            <w:tcW w:w="864" w:type="dxa"/>
            <w:noWrap/>
            <w:hideMark/>
          </w:tcPr>
          <w:p w14:paraId="7DC749B5"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1,207,270</w:t>
            </w:r>
          </w:p>
        </w:tc>
        <w:tc>
          <w:tcPr>
            <w:tcW w:w="936" w:type="dxa"/>
            <w:noWrap/>
            <w:hideMark/>
          </w:tcPr>
          <w:p w14:paraId="6163994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4,079,680</w:t>
            </w:r>
          </w:p>
        </w:tc>
        <w:tc>
          <w:tcPr>
            <w:tcW w:w="720" w:type="dxa"/>
            <w:noWrap/>
            <w:hideMark/>
          </w:tcPr>
          <w:p w14:paraId="44FBB0E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630" w:type="dxa"/>
            <w:noWrap/>
            <w:hideMark/>
          </w:tcPr>
          <w:p w14:paraId="06BF4B2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10" w:type="dxa"/>
            <w:noWrap/>
            <w:hideMark/>
          </w:tcPr>
          <w:p w14:paraId="73B366A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82" w:type="dxa"/>
            <w:noWrap/>
            <w:hideMark/>
          </w:tcPr>
          <w:p w14:paraId="4475A05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19" w:type="dxa"/>
            <w:noWrap/>
            <w:hideMark/>
          </w:tcPr>
          <w:p w14:paraId="6F95A9C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00" w:type="dxa"/>
            <w:noWrap/>
            <w:hideMark/>
          </w:tcPr>
          <w:p w14:paraId="5B9F5EF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739" w:type="dxa"/>
            <w:noWrap/>
            <w:hideMark/>
          </w:tcPr>
          <w:p w14:paraId="0C0BB0CF"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r>
      <w:tr w:rsidR="00B2097B" w:rsidRPr="00571A38" w14:paraId="49D9EAF8"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5BF777B8"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20%</w:t>
            </w:r>
          </w:p>
        </w:tc>
        <w:tc>
          <w:tcPr>
            <w:tcW w:w="864" w:type="dxa"/>
            <w:noWrap/>
            <w:hideMark/>
          </w:tcPr>
          <w:p w14:paraId="3FB8B23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2,586,900</w:t>
            </w:r>
          </w:p>
        </w:tc>
        <w:tc>
          <w:tcPr>
            <w:tcW w:w="864" w:type="dxa"/>
            <w:noWrap/>
            <w:hideMark/>
          </w:tcPr>
          <w:p w14:paraId="2B9B040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1,501,200</w:t>
            </w:r>
          </w:p>
        </w:tc>
        <w:tc>
          <w:tcPr>
            <w:tcW w:w="800" w:type="dxa"/>
            <w:noWrap/>
            <w:hideMark/>
          </w:tcPr>
          <w:p w14:paraId="74F5BAD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130,608</w:t>
            </w:r>
          </w:p>
        </w:tc>
        <w:tc>
          <w:tcPr>
            <w:tcW w:w="882" w:type="dxa"/>
            <w:noWrap/>
            <w:hideMark/>
          </w:tcPr>
          <w:p w14:paraId="120E669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799,086</w:t>
            </w:r>
          </w:p>
        </w:tc>
        <w:tc>
          <w:tcPr>
            <w:tcW w:w="820" w:type="dxa"/>
            <w:noWrap/>
            <w:hideMark/>
          </w:tcPr>
          <w:p w14:paraId="4D833CA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47,442</w:t>
            </w:r>
          </w:p>
        </w:tc>
        <w:tc>
          <w:tcPr>
            <w:tcW w:w="864" w:type="dxa"/>
            <w:noWrap/>
            <w:hideMark/>
          </w:tcPr>
          <w:p w14:paraId="3EBB6FB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1,216,710</w:t>
            </w:r>
          </w:p>
        </w:tc>
        <w:tc>
          <w:tcPr>
            <w:tcW w:w="936" w:type="dxa"/>
            <w:noWrap/>
            <w:hideMark/>
          </w:tcPr>
          <w:p w14:paraId="37B8D80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4,088,100</w:t>
            </w:r>
          </w:p>
        </w:tc>
        <w:tc>
          <w:tcPr>
            <w:tcW w:w="720" w:type="dxa"/>
            <w:noWrap/>
            <w:hideMark/>
          </w:tcPr>
          <w:p w14:paraId="49437E1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0.06%</w:t>
            </w:r>
          </w:p>
        </w:tc>
        <w:tc>
          <w:tcPr>
            <w:tcW w:w="630" w:type="dxa"/>
            <w:noWrap/>
            <w:hideMark/>
          </w:tcPr>
          <w:p w14:paraId="3D4A4A59"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0.46%</w:t>
            </w:r>
          </w:p>
        </w:tc>
        <w:tc>
          <w:tcPr>
            <w:tcW w:w="810" w:type="dxa"/>
            <w:noWrap/>
            <w:hideMark/>
          </w:tcPr>
          <w:p w14:paraId="6612FF10"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0.49%</w:t>
            </w:r>
          </w:p>
        </w:tc>
        <w:tc>
          <w:tcPr>
            <w:tcW w:w="882" w:type="dxa"/>
            <w:noWrap/>
            <w:hideMark/>
          </w:tcPr>
          <w:p w14:paraId="01CFF4A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0.40%</w:t>
            </w:r>
          </w:p>
        </w:tc>
        <w:tc>
          <w:tcPr>
            <w:tcW w:w="819" w:type="dxa"/>
            <w:noWrap/>
            <w:hideMark/>
          </w:tcPr>
          <w:p w14:paraId="21E8D34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-2.37%</w:t>
            </w:r>
          </w:p>
        </w:tc>
        <w:tc>
          <w:tcPr>
            <w:tcW w:w="800" w:type="dxa"/>
            <w:noWrap/>
            <w:hideMark/>
          </w:tcPr>
          <w:p w14:paraId="7BFF12C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0.78%</w:t>
            </w:r>
          </w:p>
        </w:tc>
        <w:tc>
          <w:tcPr>
            <w:tcW w:w="739" w:type="dxa"/>
            <w:noWrap/>
            <w:hideMark/>
          </w:tcPr>
          <w:p w14:paraId="037F688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0.21%</w:t>
            </w:r>
          </w:p>
        </w:tc>
      </w:tr>
      <w:tr w:rsidR="00B2097B" w:rsidRPr="00571A38" w14:paraId="6340A3DD"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48180376"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seeking rate 65%</w:t>
            </w:r>
          </w:p>
        </w:tc>
        <w:tc>
          <w:tcPr>
            <w:tcW w:w="864" w:type="dxa"/>
            <w:noWrap/>
            <w:hideMark/>
          </w:tcPr>
          <w:p w14:paraId="5C4997C3"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2,544,230</w:t>
            </w:r>
          </w:p>
        </w:tc>
        <w:tc>
          <w:tcPr>
            <w:tcW w:w="864" w:type="dxa"/>
            <w:noWrap/>
            <w:hideMark/>
          </w:tcPr>
          <w:p w14:paraId="0E500223"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1,501,970</w:t>
            </w:r>
          </w:p>
        </w:tc>
        <w:tc>
          <w:tcPr>
            <w:tcW w:w="800" w:type="dxa"/>
            <w:noWrap/>
            <w:hideMark/>
          </w:tcPr>
          <w:p w14:paraId="2E6EBA9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130,275</w:t>
            </w:r>
          </w:p>
        </w:tc>
        <w:tc>
          <w:tcPr>
            <w:tcW w:w="882" w:type="dxa"/>
            <w:noWrap/>
            <w:hideMark/>
          </w:tcPr>
          <w:p w14:paraId="68F88CA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764,487</w:t>
            </w:r>
          </w:p>
        </w:tc>
        <w:tc>
          <w:tcPr>
            <w:tcW w:w="820" w:type="dxa"/>
            <w:noWrap/>
            <w:hideMark/>
          </w:tcPr>
          <w:p w14:paraId="2238575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45,530</w:t>
            </w:r>
          </w:p>
        </w:tc>
        <w:tc>
          <w:tcPr>
            <w:tcW w:w="864" w:type="dxa"/>
            <w:noWrap/>
            <w:hideMark/>
          </w:tcPr>
          <w:p w14:paraId="667C077C"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1,223,600</w:t>
            </w:r>
          </w:p>
        </w:tc>
        <w:tc>
          <w:tcPr>
            <w:tcW w:w="936" w:type="dxa"/>
            <w:noWrap/>
            <w:hideMark/>
          </w:tcPr>
          <w:p w14:paraId="3F38208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4,046,190</w:t>
            </w:r>
          </w:p>
        </w:tc>
        <w:tc>
          <w:tcPr>
            <w:tcW w:w="720" w:type="dxa"/>
            <w:noWrap/>
            <w:hideMark/>
          </w:tcPr>
          <w:p w14:paraId="6745886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-1.59%</w:t>
            </w:r>
          </w:p>
        </w:tc>
        <w:tc>
          <w:tcPr>
            <w:tcW w:w="630" w:type="dxa"/>
            <w:noWrap/>
            <w:hideMark/>
          </w:tcPr>
          <w:p w14:paraId="718EC6AF"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0.51%</w:t>
            </w:r>
          </w:p>
        </w:tc>
        <w:tc>
          <w:tcPr>
            <w:tcW w:w="810" w:type="dxa"/>
            <w:noWrap/>
            <w:hideMark/>
          </w:tcPr>
          <w:p w14:paraId="0D691DAA"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0.23%</w:t>
            </w:r>
          </w:p>
        </w:tc>
        <w:tc>
          <w:tcPr>
            <w:tcW w:w="882" w:type="dxa"/>
            <w:noWrap/>
            <w:hideMark/>
          </w:tcPr>
          <w:p w14:paraId="14A3C06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-3.95%</w:t>
            </w:r>
          </w:p>
        </w:tc>
        <w:tc>
          <w:tcPr>
            <w:tcW w:w="819" w:type="dxa"/>
            <w:noWrap/>
            <w:hideMark/>
          </w:tcPr>
          <w:p w14:paraId="6919DBE1"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-6.30%</w:t>
            </w:r>
          </w:p>
        </w:tc>
        <w:tc>
          <w:tcPr>
            <w:tcW w:w="800" w:type="dxa"/>
            <w:noWrap/>
            <w:hideMark/>
          </w:tcPr>
          <w:p w14:paraId="20152F1E"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1.35%</w:t>
            </w:r>
          </w:p>
        </w:tc>
        <w:tc>
          <w:tcPr>
            <w:tcW w:w="739" w:type="dxa"/>
            <w:noWrap/>
            <w:hideMark/>
          </w:tcPr>
          <w:p w14:paraId="67BD4659"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-0.82%</w:t>
            </w:r>
          </w:p>
        </w:tc>
      </w:tr>
      <w:tr w:rsidR="00B2097B" w:rsidRPr="00571A38" w14:paraId="3FC9AAF7"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41DB45D4"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20%</w:t>
            </w:r>
          </w:p>
          <w:p w14:paraId="1412A91D"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 xml:space="preserve">&amp; </w:t>
            </w:r>
          </w:p>
          <w:p w14:paraId="2AEE81DF"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seeking rate 65% combined</w:t>
            </w:r>
          </w:p>
        </w:tc>
        <w:tc>
          <w:tcPr>
            <w:tcW w:w="864" w:type="dxa"/>
            <w:noWrap/>
            <w:hideMark/>
          </w:tcPr>
          <w:p w14:paraId="1AF914A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2,545,800</w:t>
            </w:r>
          </w:p>
        </w:tc>
        <w:tc>
          <w:tcPr>
            <w:tcW w:w="864" w:type="dxa"/>
            <w:noWrap/>
            <w:hideMark/>
          </w:tcPr>
          <w:p w14:paraId="609A90A0"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1,508,730</w:t>
            </w:r>
          </w:p>
        </w:tc>
        <w:tc>
          <w:tcPr>
            <w:tcW w:w="800" w:type="dxa"/>
            <w:noWrap/>
            <w:hideMark/>
          </w:tcPr>
          <w:p w14:paraId="24AB464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130,932</w:t>
            </w:r>
          </w:p>
        </w:tc>
        <w:tc>
          <w:tcPr>
            <w:tcW w:w="882" w:type="dxa"/>
            <w:noWrap/>
            <w:hideMark/>
          </w:tcPr>
          <w:p w14:paraId="59B4112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767,614</w:t>
            </w:r>
          </w:p>
        </w:tc>
        <w:tc>
          <w:tcPr>
            <w:tcW w:w="820" w:type="dxa"/>
            <w:noWrap/>
            <w:hideMark/>
          </w:tcPr>
          <w:p w14:paraId="6C0396B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44,380</w:t>
            </w:r>
          </w:p>
        </w:tc>
        <w:tc>
          <w:tcPr>
            <w:tcW w:w="864" w:type="dxa"/>
            <w:noWrap/>
            <w:hideMark/>
          </w:tcPr>
          <w:p w14:paraId="60BA644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1,233,160</w:t>
            </w:r>
          </w:p>
        </w:tc>
        <w:tc>
          <w:tcPr>
            <w:tcW w:w="936" w:type="dxa"/>
            <w:noWrap/>
            <w:hideMark/>
          </w:tcPr>
          <w:p w14:paraId="69A65B7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4,054,530</w:t>
            </w:r>
          </w:p>
        </w:tc>
        <w:tc>
          <w:tcPr>
            <w:tcW w:w="720" w:type="dxa"/>
            <w:noWrap/>
            <w:hideMark/>
          </w:tcPr>
          <w:p w14:paraId="2E11179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-1.53%</w:t>
            </w:r>
          </w:p>
        </w:tc>
        <w:tc>
          <w:tcPr>
            <w:tcW w:w="630" w:type="dxa"/>
            <w:noWrap/>
            <w:hideMark/>
          </w:tcPr>
          <w:p w14:paraId="60C1D5E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0.96%</w:t>
            </w:r>
          </w:p>
        </w:tc>
        <w:tc>
          <w:tcPr>
            <w:tcW w:w="810" w:type="dxa"/>
            <w:noWrap/>
            <w:hideMark/>
          </w:tcPr>
          <w:p w14:paraId="073758D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0.74%</w:t>
            </w:r>
          </w:p>
        </w:tc>
        <w:tc>
          <w:tcPr>
            <w:tcW w:w="882" w:type="dxa"/>
            <w:noWrap/>
            <w:hideMark/>
          </w:tcPr>
          <w:p w14:paraId="715898E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-3.56%</w:t>
            </w:r>
          </w:p>
        </w:tc>
        <w:tc>
          <w:tcPr>
            <w:tcW w:w="819" w:type="dxa"/>
            <w:noWrap/>
            <w:hideMark/>
          </w:tcPr>
          <w:p w14:paraId="6EEEE3D4"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-8.67%</w:t>
            </w:r>
          </w:p>
        </w:tc>
        <w:tc>
          <w:tcPr>
            <w:tcW w:w="800" w:type="dxa"/>
            <w:noWrap/>
            <w:hideMark/>
          </w:tcPr>
          <w:p w14:paraId="5DA73D6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2.14%</w:t>
            </w:r>
          </w:p>
        </w:tc>
        <w:tc>
          <w:tcPr>
            <w:tcW w:w="739" w:type="dxa"/>
            <w:noWrap/>
            <w:hideMark/>
          </w:tcPr>
          <w:p w14:paraId="73EC0005"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-0.62%</w:t>
            </w:r>
          </w:p>
        </w:tc>
      </w:tr>
      <w:tr w:rsidR="00B2097B" w:rsidRPr="00571A38" w14:paraId="6189E135"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36B095FB"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and H 25%</w:t>
            </w:r>
          </w:p>
        </w:tc>
        <w:tc>
          <w:tcPr>
            <w:tcW w:w="864" w:type="dxa"/>
            <w:noWrap/>
            <w:hideMark/>
          </w:tcPr>
          <w:p w14:paraId="2F76864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2,598,460</w:t>
            </w:r>
          </w:p>
        </w:tc>
        <w:tc>
          <w:tcPr>
            <w:tcW w:w="864" w:type="dxa"/>
            <w:noWrap/>
            <w:hideMark/>
          </w:tcPr>
          <w:p w14:paraId="7109AE80"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1,499,890</w:t>
            </w:r>
          </w:p>
        </w:tc>
        <w:tc>
          <w:tcPr>
            <w:tcW w:w="800" w:type="dxa"/>
            <w:noWrap/>
            <w:hideMark/>
          </w:tcPr>
          <w:p w14:paraId="1B784F80"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131,865</w:t>
            </w:r>
          </w:p>
        </w:tc>
        <w:tc>
          <w:tcPr>
            <w:tcW w:w="882" w:type="dxa"/>
            <w:noWrap/>
            <w:hideMark/>
          </w:tcPr>
          <w:p w14:paraId="718EA3A9"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802,839</w:t>
            </w:r>
          </w:p>
        </w:tc>
        <w:tc>
          <w:tcPr>
            <w:tcW w:w="820" w:type="dxa"/>
            <w:noWrap/>
            <w:hideMark/>
          </w:tcPr>
          <w:p w14:paraId="08297326"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46,098</w:t>
            </w:r>
          </w:p>
        </w:tc>
        <w:tc>
          <w:tcPr>
            <w:tcW w:w="864" w:type="dxa"/>
            <w:noWrap/>
            <w:hideMark/>
          </w:tcPr>
          <w:p w14:paraId="393329E2"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1,218,010</w:t>
            </w:r>
          </w:p>
        </w:tc>
        <w:tc>
          <w:tcPr>
            <w:tcW w:w="936" w:type="dxa"/>
            <w:noWrap/>
            <w:hideMark/>
          </w:tcPr>
          <w:p w14:paraId="7ADA9BF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4,098,350</w:t>
            </w:r>
          </w:p>
        </w:tc>
        <w:tc>
          <w:tcPr>
            <w:tcW w:w="720" w:type="dxa"/>
            <w:noWrap/>
            <w:hideMark/>
          </w:tcPr>
          <w:p w14:paraId="2F9E3CE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0.51%</w:t>
            </w:r>
          </w:p>
        </w:tc>
        <w:tc>
          <w:tcPr>
            <w:tcW w:w="630" w:type="dxa"/>
            <w:noWrap/>
            <w:hideMark/>
          </w:tcPr>
          <w:p w14:paraId="6493529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0.37%</w:t>
            </w:r>
          </w:p>
        </w:tc>
        <w:tc>
          <w:tcPr>
            <w:tcW w:w="810" w:type="dxa"/>
            <w:noWrap/>
            <w:hideMark/>
          </w:tcPr>
          <w:p w14:paraId="02D4618C"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1.46%</w:t>
            </w:r>
          </w:p>
        </w:tc>
        <w:tc>
          <w:tcPr>
            <w:tcW w:w="882" w:type="dxa"/>
            <w:noWrap/>
            <w:hideMark/>
          </w:tcPr>
          <w:p w14:paraId="28AEE08C"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0.87%</w:t>
            </w:r>
          </w:p>
        </w:tc>
        <w:tc>
          <w:tcPr>
            <w:tcW w:w="819" w:type="dxa"/>
            <w:noWrap/>
            <w:hideMark/>
          </w:tcPr>
          <w:p w14:paraId="57E9268A"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-5.13%</w:t>
            </w:r>
          </w:p>
        </w:tc>
        <w:tc>
          <w:tcPr>
            <w:tcW w:w="800" w:type="dxa"/>
            <w:noWrap/>
            <w:hideMark/>
          </w:tcPr>
          <w:p w14:paraId="26785826"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0.89%</w:t>
            </w:r>
          </w:p>
        </w:tc>
        <w:tc>
          <w:tcPr>
            <w:tcW w:w="739" w:type="dxa"/>
            <w:noWrap/>
            <w:hideMark/>
          </w:tcPr>
          <w:p w14:paraId="71DA5F60"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0.46%</w:t>
            </w:r>
          </w:p>
        </w:tc>
      </w:tr>
      <w:tr w:rsidR="00B2097B" w:rsidRPr="00571A38" w14:paraId="12E301BA"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0191877F"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 xml:space="preserve">Naloxone availability Rx and H 25% </w:t>
            </w:r>
          </w:p>
          <w:p w14:paraId="4707D36D"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&amp;</w:t>
            </w:r>
          </w:p>
          <w:p w14:paraId="1246D099"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seeking rate 65% combined</w:t>
            </w:r>
          </w:p>
        </w:tc>
        <w:tc>
          <w:tcPr>
            <w:tcW w:w="864" w:type="dxa"/>
            <w:noWrap/>
            <w:hideMark/>
          </w:tcPr>
          <w:p w14:paraId="41BD2DE9"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2,556,090</w:t>
            </w:r>
          </w:p>
        </w:tc>
        <w:tc>
          <w:tcPr>
            <w:tcW w:w="864" w:type="dxa"/>
            <w:noWrap/>
            <w:hideMark/>
          </w:tcPr>
          <w:p w14:paraId="1197238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1,508,020</w:t>
            </w:r>
          </w:p>
        </w:tc>
        <w:tc>
          <w:tcPr>
            <w:tcW w:w="800" w:type="dxa"/>
            <w:noWrap/>
            <w:hideMark/>
          </w:tcPr>
          <w:p w14:paraId="6E3BC53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132,047</w:t>
            </w:r>
          </w:p>
        </w:tc>
        <w:tc>
          <w:tcPr>
            <w:tcW w:w="882" w:type="dxa"/>
            <w:noWrap/>
            <w:hideMark/>
          </w:tcPr>
          <w:p w14:paraId="060AC06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771,064</w:t>
            </w:r>
          </w:p>
        </w:tc>
        <w:tc>
          <w:tcPr>
            <w:tcW w:w="820" w:type="dxa"/>
            <w:noWrap/>
            <w:hideMark/>
          </w:tcPr>
          <w:p w14:paraId="65830F9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43,057</w:t>
            </w:r>
          </w:p>
        </w:tc>
        <w:tc>
          <w:tcPr>
            <w:tcW w:w="864" w:type="dxa"/>
            <w:noWrap/>
            <w:hideMark/>
          </w:tcPr>
          <w:p w14:paraId="6FFA298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1,234,570</w:t>
            </w:r>
          </w:p>
        </w:tc>
        <w:tc>
          <w:tcPr>
            <w:tcW w:w="936" w:type="dxa"/>
            <w:noWrap/>
            <w:hideMark/>
          </w:tcPr>
          <w:p w14:paraId="6B19500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4,064,110</w:t>
            </w:r>
          </w:p>
        </w:tc>
        <w:tc>
          <w:tcPr>
            <w:tcW w:w="720" w:type="dxa"/>
            <w:noWrap/>
            <w:hideMark/>
          </w:tcPr>
          <w:p w14:paraId="451F1659"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-1.13%</w:t>
            </w:r>
          </w:p>
        </w:tc>
        <w:tc>
          <w:tcPr>
            <w:tcW w:w="630" w:type="dxa"/>
            <w:noWrap/>
            <w:hideMark/>
          </w:tcPr>
          <w:p w14:paraId="54A9220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0.91%</w:t>
            </w:r>
          </w:p>
        </w:tc>
        <w:tc>
          <w:tcPr>
            <w:tcW w:w="810" w:type="dxa"/>
            <w:noWrap/>
            <w:hideMark/>
          </w:tcPr>
          <w:p w14:paraId="778B749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1.60%</w:t>
            </w:r>
          </w:p>
        </w:tc>
        <w:tc>
          <w:tcPr>
            <w:tcW w:w="882" w:type="dxa"/>
            <w:noWrap/>
            <w:hideMark/>
          </w:tcPr>
          <w:p w14:paraId="3C05472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-3.12%</w:t>
            </w:r>
          </w:p>
        </w:tc>
        <w:tc>
          <w:tcPr>
            <w:tcW w:w="819" w:type="dxa"/>
            <w:noWrap/>
            <w:hideMark/>
          </w:tcPr>
          <w:p w14:paraId="3186C1B0"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-11.39%</w:t>
            </w:r>
          </w:p>
        </w:tc>
        <w:tc>
          <w:tcPr>
            <w:tcW w:w="800" w:type="dxa"/>
            <w:noWrap/>
            <w:hideMark/>
          </w:tcPr>
          <w:p w14:paraId="19C14AB7"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2.26%</w:t>
            </w:r>
          </w:p>
        </w:tc>
        <w:tc>
          <w:tcPr>
            <w:tcW w:w="739" w:type="dxa"/>
            <w:noWrap/>
            <w:hideMark/>
          </w:tcPr>
          <w:p w14:paraId="275C16C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-0.38%</w:t>
            </w:r>
          </w:p>
        </w:tc>
      </w:tr>
      <w:tr w:rsidR="00B2097B" w:rsidRPr="00571A38" w14:paraId="15D65BE7"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29C5F4D8"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capacity 20%</w:t>
            </w:r>
          </w:p>
        </w:tc>
        <w:tc>
          <w:tcPr>
            <w:tcW w:w="864" w:type="dxa"/>
            <w:noWrap/>
            <w:hideMark/>
          </w:tcPr>
          <w:p w14:paraId="2A4EC5C2"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2,562,880</w:t>
            </w:r>
          </w:p>
        </w:tc>
        <w:tc>
          <w:tcPr>
            <w:tcW w:w="864" w:type="dxa"/>
            <w:noWrap/>
            <w:hideMark/>
          </w:tcPr>
          <w:p w14:paraId="2B055B4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1,499,050</w:t>
            </w:r>
          </w:p>
        </w:tc>
        <w:tc>
          <w:tcPr>
            <w:tcW w:w="800" w:type="dxa"/>
            <w:noWrap/>
            <w:hideMark/>
          </w:tcPr>
          <w:p w14:paraId="078C58D1"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130,457</w:t>
            </w:r>
          </w:p>
        </w:tc>
        <w:tc>
          <w:tcPr>
            <w:tcW w:w="882" w:type="dxa"/>
            <w:noWrap/>
            <w:hideMark/>
          </w:tcPr>
          <w:p w14:paraId="2E37F41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782,626</w:t>
            </w:r>
          </w:p>
        </w:tc>
        <w:tc>
          <w:tcPr>
            <w:tcW w:w="820" w:type="dxa"/>
            <w:noWrap/>
            <w:hideMark/>
          </w:tcPr>
          <w:p w14:paraId="339CBA21"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47,182</w:t>
            </w:r>
          </w:p>
        </w:tc>
        <w:tc>
          <w:tcPr>
            <w:tcW w:w="864" w:type="dxa"/>
            <w:noWrap/>
            <w:hideMark/>
          </w:tcPr>
          <w:p w14:paraId="1E9D434E"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1,214,200</w:t>
            </w:r>
          </w:p>
        </w:tc>
        <w:tc>
          <w:tcPr>
            <w:tcW w:w="936" w:type="dxa"/>
            <w:noWrap/>
            <w:hideMark/>
          </w:tcPr>
          <w:p w14:paraId="122BCD79"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4,061,930</w:t>
            </w:r>
          </w:p>
        </w:tc>
        <w:tc>
          <w:tcPr>
            <w:tcW w:w="720" w:type="dxa"/>
            <w:noWrap/>
            <w:hideMark/>
          </w:tcPr>
          <w:p w14:paraId="35764F0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-0.87%</w:t>
            </w:r>
          </w:p>
        </w:tc>
        <w:tc>
          <w:tcPr>
            <w:tcW w:w="630" w:type="dxa"/>
            <w:noWrap/>
            <w:hideMark/>
          </w:tcPr>
          <w:p w14:paraId="16C2C8F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0.31%</w:t>
            </w:r>
          </w:p>
        </w:tc>
        <w:tc>
          <w:tcPr>
            <w:tcW w:w="810" w:type="dxa"/>
            <w:noWrap/>
            <w:hideMark/>
          </w:tcPr>
          <w:p w14:paraId="49A4642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0.37%</w:t>
            </w:r>
          </w:p>
        </w:tc>
        <w:tc>
          <w:tcPr>
            <w:tcW w:w="882" w:type="dxa"/>
            <w:noWrap/>
            <w:hideMark/>
          </w:tcPr>
          <w:p w14:paraId="42A2FD6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-1.67%</w:t>
            </w:r>
          </w:p>
        </w:tc>
        <w:tc>
          <w:tcPr>
            <w:tcW w:w="819" w:type="dxa"/>
            <w:noWrap/>
            <w:hideMark/>
          </w:tcPr>
          <w:p w14:paraId="01DFBB46"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-2.90%</w:t>
            </w:r>
          </w:p>
        </w:tc>
        <w:tc>
          <w:tcPr>
            <w:tcW w:w="800" w:type="dxa"/>
            <w:noWrap/>
            <w:hideMark/>
          </w:tcPr>
          <w:p w14:paraId="7F202D0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0.57%</w:t>
            </w:r>
          </w:p>
        </w:tc>
        <w:tc>
          <w:tcPr>
            <w:tcW w:w="739" w:type="dxa"/>
            <w:noWrap/>
            <w:hideMark/>
          </w:tcPr>
          <w:p w14:paraId="106BE25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-0.44%</w:t>
            </w:r>
          </w:p>
        </w:tc>
      </w:tr>
      <w:tr w:rsidR="00B2097B" w:rsidRPr="00571A38" w14:paraId="33F50403"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5B9066E9"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20%</w:t>
            </w:r>
          </w:p>
          <w:p w14:paraId="4DC8E91D" w14:textId="77777777" w:rsidR="00B2097B" w:rsidRDefault="00B2097B" w:rsidP="00B2097B">
            <w:pPr>
              <w:spacing w:after="0"/>
              <w:rPr>
                <w:rFonts w:eastAsia="Times New Roman" w:cs="Calibri"/>
                <w:color w:val="000000"/>
                <w:sz w:val="16"/>
                <w:szCs w:val="16"/>
              </w:rPr>
            </w:pPr>
            <w:r>
              <w:rPr>
                <w:rFonts w:eastAsia="Times New Roman" w:cs="Calibri"/>
                <w:color w:val="000000"/>
                <w:sz w:val="16"/>
                <w:szCs w:val="16"/>
              </w:rPr>
              <w:t>&amp;</w:t>
            </w:r>
          </w:p>
          <w:p w14:paraId="2FA3C9AA"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capacity 20%</w:t>
            </w:r>
          </w:p>
          <w:p w14:paraId="397C4737" w14:textId="77777777" w:rsidR="00B2097B" w:rsidRPr="00571A38" w:rsidRDefault="00B2097B" w:rsidP="00B2097B">
            <w:pPr>
              <w:spacing w:after="0"/>
              <w:rPr>
                <w:rFonts w:eastAsia="Times New Roman" w:cs="Calibri"/>
                <w:color w:val="000000"/>
                <w:sz w:val="16"/>
                <w:szCs w:val="16"/>
              </w:rPr>
            </w:pPr>
          </w:p>
        </w:tc>
        <w:tc>
          <w:tcPr>
            <w:tcW w:w="864" w:type="dxa"/>
            <w:noWrap/>
            <w:hideMark/>
          </w:tcPr>
          <w:p w14:paraId="6FC4D54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2,564,490</w:t>
            </w:r>
          </w:p>
        </w:tc>
        <w:tc>
          <w:tcPr>
            <w:tcW w:w="864" w:type="dxa"/>
            <w:noWrap/>
            <w:hideMark/>
          </w:tcPr>
          <w:p w14:paraId="6D361B5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1,505,850</w:t>
            </w:r>
          </w:p>
        </w:tc>
        <w:tc>
          <w:tcPr>
            <w:tcW w:w="800" w:type="dxa"/>
            <w:noWrap/>
            <w:hideMark/>
          </w:tcPr>
          <w:p w14:paraId="4FC4CF9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131,107</w:t>
            </w:r>
          </w:p>
        </w:tc>
        <w:tc>
          <w:tcPr>
            <w:tcW w:w="882" w:type="dxa"/>
            <w:noWrap/>
            <w:hideMark/>
          </w:tcPr>
          <w:p w14:paraId="4C5DE4F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785,797</w:t>
            </w:r>
          </w:p>
        </w:tc>
        <w:tc>
          <w:tcPr>
            <w:tcW w:w="820" w:type="dxa"/>
            <w:noWrap/>
            <w:hideMark/>
          </w:tcPr>
          <w:p w14:paraId="4924FE1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46,032</w:t>
            </w:r>
          </w:p>
        </w:tc>
        <w:tc>
          <w:tcPr>
            <w:tcW w:w="864" w:type="dxa"/>
            <w:noWrap/>
            <w:hideMark/>
          </w:tcPr>
          <w:p w14:paraId="2B35957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1,223,670</w:t>
            </w:r>
          </w:p>
        </w:tc>
        <w:tc>
          <w:tcPr>
            <w:tcW w:w="936" w:type="dxa"/>
            <w:noWrap/>
            <w:hideMark/>
          </w:tcPr>
          <w:p w14:paraId="41B31A5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4,070,340</w:t>
            </w:r>
          </w:p>
        </w:tc>
        <w:tc>
          <w:tcPr>
            <w:tcW w:w="720" w:type="dxa"/>
            <w:noWrap/>
            <w:hideMark/>
          </w:tcPr>
          <w:p w14:paraId="0F076DD4"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-0.81%</w:t>
            </w:r>
          </w:p>
        </w:tc>
        <w:tc>
          <w:tcPr>
            <w:tcW w:w="630" w:type="dxa"/>
            <w:noWrap/>
            <w:hideMark/>
          </w:tcPr>
          <w:p w14:paraId="2B0D2426"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0.77%</w:t>
            </w:r>
          </w:p>
        </w:tc>
        <w:tc>
          <w:tcPr>
            <w:tcW w:w="810" w:type="dxa"/>
            <w:noWrap/>
            <w:hideMark/>
          </w:tcPr>
          <w:p w14:paraId="3230A03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0.87%</w:t>
            </w:r>
          </w:p>
        </w:tc>
        <w:tc>
          <w:tcPr>
            <w:tcW w:w="882" w:type="dxa"/>
            <w:noWrap/>
            <w:hideMark/>
          </w:tcPr>
          <w:p w14:paraId="0E804D95"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-1.27%</w:t>
            </w:r>
          </w:p>
        </w:tc>
        <w:tc>
          <w:tcPr>
            <w:tcW w:w="819" w:type="dxa"/>
            <w:noWrap/>
            <w:hideMark/>
          </w:tcPr>
          <w:p w14:paraId="6B2D058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-5.27%</w:t>
            </w:r>
          </w:p>
        </w:tc>
        <w:tc>
          <w:tcPr>
            <w:tcW w:w="800" w:type="dxa"/>
            <w:noWrap/>
            <w:hideMark/>
          </w:tcPr>
          <w:p w14:paraId="393AC37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1.36%</w:t>
            </w:r>
          </w:p>
        </w:tc>
        <w:tc>
          <w:tcPr>
            <w:tcW w:w="739" w:type="dxa"/>
            <w:noWrap/>
            <w:hideMark/>
          </w:tcPr>
          <w:p w14:paraId="1E68C25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-0.23%</w:t>
            </w:r>
          </w:p>
        </w:tc>
      </w:tr>
    </w:tbl>
    <w:p w14:paraId="35A7AA44" w14:textId="2265764E" w:rsidR="00967095" w:rsidRPr="00967095" w:rsidRDefault="00967095" w:rsidP="00D05863">
      <w:pPr>
        <w:pStyle w:val="Caption"/>
      </w:pPr>
    </w:p>
    <w:p w14:paraId="18FE41BB" w14:textId="0C80581B" w:rsidR="00270EC9" w:rsidRDefault="00270EC9" w:rsidP="00C363CE">
      <w:pPr>
        <w:pStyle w:val="BodyText"/>
        <w:rPr>
          <w:highlight w:val="yellow"/>
        </w:rPr>
        <w:sectPr w:rsidR="00270EC9" w:rsidSect="00463B37">
          <w:headerReference w:type="default" r:id="rId75"/>
          <w:pgSz w:w="15840" w:h="12240" w:orient="landscape" w:code="1"/>
          <w:pgMar w:top="1440" w:right="1440" w:bottom="1440" w:left="1440" w:header="720" w:footer="720" w:gutter="0"/>
          <w:cols w:space="720"/>
          <w:noEndnote/>
          <w:docGrid w:linePitch="326"/>
        </w:sectPr>
      </w:pPr>
    </w:p>
    <w:p w14:paraId="079F8D4B" w14:textId="74AFD7FF" w:rsidR="00C61E2D" w:rsidRPr="00BE7067" w:rsidRDefault="00C61E2D" w:rsidP="00C363CE">
      <w:pPr>
        <w:pStyle w:val="BodyText"/>
      </w:pPr>
    </w:p>
    <w:p w14:paraId="118125CC" w14:textId="194ED36F" w:rsidR="00DA7CB2" w:rsidRDefault="005D77BA" w:rsidP="00902655">
      <w:pPr>
        <w:pStyle w:val="Heading2"/>
        <w:ind w:left="720" w:hanging="720"/>
      </w:pPr>
      <w:bookmarkStart w:id="139" w:name="_Toc52396034"/>
      <w:bookmarkStart w:id="140" w:name="_Toc59050101"/>
      <w:r>
        <w:t>Statement of Work</w:t>
      </w:r>
      <w:r w:rsidR="00DA7CB2">
        <w:t xml:space="preserve"> </w:t>
      </w:r>
      <w:bookmarkEnd w:id="129"/>
      <w:r w:rsidR="00DA7CB2">
        <w:t>Checklist</w:t>
      </w:r>
      <w:bookmarkEnd w:id="130"/>
      <w:bookmarkEnd w:id="139"/>
      <w:bookmarkEnd w:id="140"/>
    </w:p>
    <w:bookmarkStart w:id="141" w:name="_Placeholder"/>
    <w:bookmarkStart w:id="142" w:name="_SOW_Checklist"/>
    <w:bookmarkStart w:id="143" w:name="_Statement_of_Work"/>
    <w:bookmarkEnd w:id="141"/>
    <w:bookmarkEnd w:id="142"/>
    <w:bookmarkEnd w:id="143"/>
    <w:p w14:paraId="3068F36C" w14:textId="186ED0CF" w:rsidR="00341D40" w:rsidRDefault="00B2097B" w:rsidP="00FB7C48">
      <w:pPr>
        <w:pStyle w:val="BodyText"/>
      </w:pPr>
      <w:r>
        <w:fldChar w:fldCharType="begin"/>
      </w:r>
      <w:r>
        <w:instrText xml:space="preserve"> REF _Ref57190433 \h </w:instrText>
      </w:r>
      <w:r>
        <w:fldChar w:fldCharType="separate"/>
      </w:r>
      <w:r>
        <w:t xml:space="preserve">Table </w:t>
      </w:r>
      <w:r>
        <w:rPr>
          <w:noProof/>
        </w:rPr>
        <w:t>11</w:t>
      </w:r>
      <w:r>
        <w:noBreakHyphen/>
      </w:r>
      <w:r>
        <w:rPr>
          <w:noProof/>
        </w:rPr>
        <w:t>4</w:t>
      </w:r>
      <w:r>
        <w:fldChar w:fldCharType="end"/>
      </w:r>
      <w:r w:rsidR="00DA7CB2">
        <w:t xml:space="preserve"> crosswalks the </w:t>
      </w:r>
      <w:r w:rsidR="0093011E">
        <w:t>SOW</w:t>
      </w:r>
      <w:r w:rsidR="00DA7CB2">
        <w:t xml:space="preserve"> with </w:t>
      </w:r>
      <w:r w:rsidR="00D15990">
        <w:t xml:space="preserve">Part </w:t>
      </w:r>
      <w:r w:rsidR="00162717">
        <w:t>2</w:t>
      </w:r>
      <w:r w:rsidR="00D15990">
        <w:t xml:space="preserve"> of the Final</w:t>
      </w:r>
      <w:r w:rsidR="00DA7CB2">
        <w:t xml:space="preserve"> Validation Report. </w:t>
      </w:r>
    </w:p>
    <w:p w14:paraId="123561EE" w14:textId="209322D7" w:rsidR="00FB7C48" w:rsidRDefault="00FB7C48" w:rsidP="00D05863">
      <w:pPr>
        <w:pStyle w:val="Caption"/>
      </w:pPr>
      <w:bookmarkStart w:id="144" w:name="_Ref57190433"/>
      <w:bookmarkStart w:id="145" w:name="_Toc59050112"/>
      <w:r>
        <w:t xml:space="preserve">Table </w:t>
      </w:r>
      <w:fldSimple w:instr=" STYLEREF 1 \s ">
        <w:r w:rsidR="00564EC2">
          <w:rPr>
            <w:noProof/>
          </w:rPr>
          <w:t>11</w:t>
        </w:r>
      </w:fldSimple>
      <w:r w:rsidR="00564EC2">
        <w:noBreakHyphen/>
      </w:r>
      <w:fldSimple w:instr=" SEQ Table \* ARABIC \s 1 ">
        <w:r w:rsidR="00564EC2">
          <w:rPr>
            <w:noProof/>
          </w:rPr>
          <w:t>4</w:t>
        </w:r>
      </w:fldSimple>
      <w:bookmarkEnd w:id="144"/>
      <w:r>
        <w:t>: SOW Checklist</w:t>
      </w:r>
      <w:bookmarkEnd w:id="145"/>
    </w:p>
    <w:tbl>
      <w:tblPr>
        <w:tblStyle w:val="PlainTable15"/>
        <w:tblW w:w="9648" w:type="dxa"/>
        <w:tblLook w:val="04A0" w:firstRow="1" w:lastRow="0" w:firstColumn="1" w:lastColumn="0" w:noHBand="0" w:noVBand="1"/>
      </w:tblPr>
      <w:tblGrid>
        <w:gridCol w:w="5305"/>
        <w:gridCol w:w="4343"/>
      </w:tblGrid>
      <w:tr w:rsidR="00DA7CB2" w:rsidRPr="006C4D7D" w14:paraId="6C85CED4" w14:textId="77777777" w:rsidTr="00045D09">
        <w:trPr>
          <w:cnfStyle w:val="100000000000" w:firstRow="1" w:lastRow="0" w:firstColumn="0" w:lastColumn="0" w:oddVBand="0" w:evenVBand="0" w:oddHBand="0" w:evenHBand="0" w:firstRowFirstColumn="0" w:firstRowLastColumn="0" w:lastRowFirstColumn="0" w:lastRowLastColumn="0"/>
          <w:cantSplit/>
          <w:trHeight w:val="410"/>
          <w:tblHeader/>
        </w:trPr>
        <w:tc>
          <w:tcPr>
            <w:cnfStyle w:val="001000000000" w:firstRow="0" w:lastRow="0" w:firstColumn="1" w:lastColumn="0" w:oddVBand="0" w:evenVBand="0" w:oddHBand="0" w:evenHBand="0" w:firstRowFirstColumn="0" w:firstRowLastColumn="0" w:lastRowFirstColumn="0" w:lastRowLastColumn="0"/>
            <w:tcW w:w="5305" w:type="dxa"/>
            <w:shd w:val="clear" w:color="auto" w:fill="5D7D95"/>
            <w:vAlign w:val="center"/>
            <w:hideMark/>
          </w:tcPr>
          <w:p w14:paraId="3CB0C4D1" w14:textId="77777777" w:rsidR="00DA7CB2" w:rsidRPr="00D07385" w:rsidRDefault="00DA7CB2" w:rsidP="002B0AF2">
            <w:pPr>
              <w:spacing w:after="0"/>
              <w:jc w:val="center"/>
              <w:rPr>
                <w:rFonts w:eastAsia="Times New Roman" w:cs="Calibri"/>
                <w:color w:val="FFFFFF"/>
                <w:szCs w:val="22"/>
              </w:rPr>
            </w:pPr>
            <w:r w:rsidRPr="00D07385">
              <w:rPr>
                <w:rFonts w:eastAsia="Times New Roman" w:cs="Calibri"/>
                <w:color w:val="FFFFFF"/>
                <w:szCs w:val="22"/>
              </w:rPr>
              <w:t>SOW</w:t>
            </w:r>
          </w:p>
        </w:tc>
        <w:tc>
          <w:tcPr>
            <w:tcW w:w="4343" w:type="dxa"/>
            <w:shd w:val="clear" w:color="auto" w:fill="5D7D95"/>
            <w:vAlign w:val="center"/>
            <w:hideMark/>
          </w:tcPr>
          <w:p w14:paraId="647B62AF" w14:textId="268BCDBB" w:rsidR="00DA7CB2" w:rsidRPr="00D07385" w:rsidRDefault="00DA7CB2" w:rsidP="002B0AF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Cs w:val="22"/>
              </w:rPr>
            </w:pPr>
            <w:r w:rsidRPr="00D07385">
              <w:rPr>
                <w:rFonts w:eastAsia="Times New Roman" w:cs="Calibri"/>
                <w:color w:val="FFFFFF"/>
                <w:szCs w:val="22"/>
              </w:rPr>
              <w:t>Location</w:t>
            </w:r>
          </w:p>
        </w:tc>
      </w:tr>
      <w:tr w:rsidR="00DA7CB2" w:rsidRPr="006C4D7D" w14:paraId="60B3BECF" w14:textId="77777777" w:rsidTr="00045D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305" w:type="dxa"/>
            <w:hideMark/>
          </w:tcPr>
          <w:p w14:paraId="645C9380" w14:textId="241226D9" w:rsidR="00DA7CB2" w:rsidRPr="00D07385" w:rsidRDefault="00DA7CB2" w:rsidP="002B0AF2">
            <w:pPr>
              <w:spacing w:after="0"/>
              <w:rPr>
                <w:rFonts w:eastAsia="Times New Roman" w:cs="Calibri"/>
                <w:b w:val="0"/>
                <w:szCs w:val="22"/>
              </w:rPr>
            </w:pPr>
            <w:proofErr w:type="spellStart"/>
            <w:r w:rsidRPr="00D07385">
              <w:rPr>
                <w:rFonts w:eastAsia="Times New Roman" w:cs="Calibri"/>
                <w:b w:val="0"/>
                <w:szCs w:val="22"/>
              </w:rPr>
              <w:t>i</w:t>
            </w:r>
            <w:proofErr w:type="spellEnd"/>
            <w:r w:rsidRPr="00D07385">
              <w:rPr>
                <w:rFonts w:eastAsia="Times New Roman" w:cs="Calibri"/>
                <w:b w:val="0"/>
                <w:szCs w:val="22"/>
              </w:rPr>
              <w:t>. Ensuring the structure of the model aligns and is consistent with documented assumptions and dynamic system modeling principles</w:t>
            </w:r>
          </w:p>
        </w:tc>
        <w:tc>
          <w:tcPr>
            <w:tcW w:w="4343" w:type="dxa"/>
          </w:tcPr>
          <w:p w14:paraId="17E879C4" w14:textId="6BB2BB93" w:rsidR="000E4C26" w:rsidRDefault="004C016F" w:rsidP="00045D09">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r:id="rId76" w:history="1">
              <w:r w:rsidR="00CA4BFA" w:rsidRPr="00875C68">
                <w:rPr>
                  <w:rStyle w:val="Hyperlink"/>
                  <w:rFonts w:eastAsia="Times New Roman" w:cs="Calibri"/>
                  <w:szCs w:val="22"/>
                </w:rPr>
                <w:t>Final Validation Part 1</w:t>
              </w:r>
            </w:hyperlink>
            <w:r w:rsidR="00CA4BFA">
              <w:rPr>
                <w:rFonts w:eastAsia="Times New Roman" w:cs="Calibri"/>
                <w:szCs w:val="22"/>
              </w:rPr>
              <w:t>;</w:t>
            </w:r>
            <w:r w:rsidR="00045D09">
              <w:rPr>
                <w:rFonts w:eastAsia="Times New Roman" w:cs="Calibri"/>
                <w:szCs w:val="22"/>
              </w:rPr>
              <w:t xml:space="preserve"> </w:t>
            </w:r>
          </w:p>
          <w:p w14:paraId="2A954B36" w14:textId="77777777" w:rsidR="00D2097F" w:rsidRDefault="004C016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 w:history="1">
              <w:r w:rsidR="00A9642A" w:rsidRPr="00D2097F">
                <w:rPr>
                  <w:rStyle w:val="Hyperlink"/>
                  <w:rFonts w:eastAsia="Times New Roman" w:cs="Calibri"/>
                  <w:szCs w:val="22"/>
                </w:rPr>
                <w:t>Section 5</w:t>
              </w:r>
              <w:r w:rsidR="00D2097F" w:rsidRPr="00D2097F">
                <w:rPr>
                  <w:rStyle w:val="Hyperlink"/>
                  <w:rFonts w:eastAsia="Times New Roman" w:cs="Calibri"/>
                  <w:szCs w:val="22"/>
                </w:rPr>
                <w:t>: Review of Harvard Team’s Responses to Model Verification #2</w:t>
              </w:r>
            </w:hyperlink>
            <w:r w:rsidR="00A9642A">
              <w:rPr>
                <w:rFonts w:eastAsia="Times New Roman" w:cs="Calibri"/>
                <w:szCs w:val="22"/>
              </w:rPr>
              <w:t xml:space="preserve">; </w:t>
            </w:r>
          </w:p>
          <w:p w14:paraId="0996291C" w14:textId="2C18BA3B" w:rsidR="00CA4BFA" w:rsidRPr="00ED02C8" w:rsidRDefault="004C016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A9642A" w:rsidRPr="00D2097F">
                <w:rPr>
                  <w:rStyle w:val="Hyperlink"/>
                  <w:rFonts w:eastAsia="Times New Roman" w:cs="Calibri"/>
                  <w:szCs w:val="22"/>
                </w:rPr>
                <w:t>Section 6</w:t>
              </w:r>
              <w:r w:rsidR="00D2097F" w:rsidRPr="00D2097F">
                <w:rPr>
                  <w:rStyle w:val="Hyperlink"/>
                  <w:rFonts w:eastAsia="Times New Roman" w:cs="Calibri"/>
                  <w:szCs w:val="22"/>
                </w:rPr>
                <w:t xml:space="preserve"> Review of Harvard Team’s Responses to Final Validation Part 1</w:t>
              </w:r>
            </w:hyperlink>
          </w:p>
        </w:tc>
      </w:tr>
      <w:tr w:rsidR="00DA7CB2" w:rsidRPr="006C4D7D" w14:paraId="0A209DEC" w14:textId="77777777" w:rsidTr="00045D09">
        <w:trPr>
          <w:trHeight w:val="431"/>
        </w:trPr>
        <w:tc>
          <w:tcPr>
            <w:cnfStyle w:val="001000000000" w:firstRow="0" w:lastRow="0" w:firstColumn="1" w:lastColumn="0" w:oddVBand="0" w:evenVBand="0" w:oddHBand="0" w:evenHBand="0" w:firstRowFirstColumn="0" w:firstRowLastColumn="0" w:lastRowFirstColumn="0" w:lastRowLastColumn="0"/>
            <w:tcW w:w="5305" w:type="dxa"/>
            <w:hideMark/>
          </w:tcPr>
          <w:p w14:paraId="6AABE868"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ii. Ensuring that all documented assumptions have been correctly incorporated into the model</w:t>
            </w:r>
          </w:p>
        </w:tc>
        <w:tc>
          <w:tcPr>
            <w:tcW w:w="4343" w:type="dxa"/>
          </w:tcPr>
          <w:p w14:paraId="5FFD8E93" w14:textId="4F7FB3C5" w:rsidR="00875C68" w:rsidRDefault="004C016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r:id="rId77" w:history="1">
              <w:r w:rsidR="00875C68" w:rsidRPr="00875C68">
                <w:rPr>
                  <w:rStyle w:val="Hyperlink"/>
                  <w:rFonts w:eastAsia="Times New Roman" w:cs="Calibri"/>
                  <w:szCs w:val="22"/>
                </w:rPr>
                <w:t>Final Validation Part 1</w:t>
              </w:r>
            </w:hyperlink>
            <w:r w:rsidR="00875C68">
              <w:rPr>
                <w:rFonts w:eastAsia="Times New Roman" w:cs="Calibri"/>
                <w:szCs w:val="22"/>
              </w:rPr>
              <w:t>;</w:t>
            </w:r>
          </w:p>
          <w:p w14:paraId="71206A00" w14:textId="30AB976F" w:rsidR="007E4CAA" w:rsidRDefault="004C016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Materials_Validation_1" w:history="1">
              <w:r w:rsidR="007E4CAA" w:rsidRPr="004F7CDE">
                <w:rPr>
                  <w:rStyle w:val="Hyperlink"/>
                  <w:rFonts w:eastAsia="Times New Roman" w:cs="Calibri"/>
                  <w:szCs w:val="22"/>
                </w:rPr>
                <w:t>Section 4: Materials Validation</w:t>
              </w:r>
            </w:hyperlink>
            <w:r w:rsidR="007E4CAA">
              <w:rPr>
                <w:rStyle w:val="Hyperlink"/>
                <w:rFonts w:eastAsia="Times New Roman" w:cs="Calibri"/>
                <w:szCs w:val="22"/>
              </w:rPr>
              <w:t>;</w:t>
            </w:r>
          </w:p>
          <w:p w14:paraId="165FA031" w14:textId="77777777" w:rsidR="00D2097F" w:rsidRDefault="004C016F" w:rsidP="00D2097F">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 w:history="1">
              <w:r w:rsidR="00D2097F" w:rsidRPr="00D2097F">
                <w:rPr>
                  <w:rStyle w:val="Hyperlink"/>
                  <w:rFonts w:eastAsia="Times New Roman" w:cs="Calibri"/>
                  <w:szCs w:val="22"/>
                </w:rPr>
                <w:t>Section 5: Review of Harvard Team’s Responses to Model Verification #2</w:t>
              </w:r>
            </w:hyperlink>
            <w:r w:rsidR="00D2097F">
              <w:rPr>
                <w:rFonts w:eastAsia="Times New Roman" w:cs="Calibri"/>
                <w:szCs w:val="22"/>
              </w:rPr>
              <w:t xml:space="preserve">; </w:t>
            </w:r>
          </w:p>
          <w:p w14:paraId="75BA60CD" w14:textId="6D913A42" w:rsidR="00DA7CB2" w:rsidRPr="00ED02C8" w:rsidRDefault="004C016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_1" w:history="1">
              <w:r w:rsidR="00D2097F" w:rsidRPr="00D2097F">
                <w:rPr>
                  <w:rStyle w:val="Hyperlink"/>
                  <w:rFonts w:eastAsia="Times New Roman" w:cs="Calibri"/>
                  <w:szCs w:val="22"/>
                </w:rPr>
                <w:t>Section 6 Review of Harvard Team’s Responses to Final Validation Part 1</w:t>
              </w:r>
            </w:hyperlink>
          </w:p>
        </w:tc>
      </w:tr>
      <w:tr w:rsidR="00DA7CB2" w:rsidRPr="006C4D7D" w14:paraId="47D2B710" w14:textId="77777777" w:rsidTr="00045D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5305" w:type="dxa"/>
            <w:hideMark/>
          </w:tcPr>
          <w:p w14:paraId="20572D8B"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iii. Validating and assessing the appropriateness of the methodology by which the model data was obtained, generated and/or manipulated </w:t>
            </w:r>
          </w:p>
        </w:tc>
        <w:tc>
          <w:tcPr>
            <w:tcW w:w="4343" w:type="dxa"/>
          </w:tcPr>
          <w:p w14:paraId="27B8E430" w14:textId="77777777" w:rsidR="00875C68" w:rsidRDefault="004C016F" w:rsidP="00875C68">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r:id="rId78" w:history="1">
              <w:r w:rsidR="00875C68" w:rsidRPr="00875C68">
                <w:rPr>
                  <w:rStyle w:val="Hyperlink"/>
                  <w:rFonts w:eastAsia="Times New Roman" w:cs="Calibri"/>
                  <w:szCs w:val="22"/>
                </w:rPr>
                <w:t>Final Validation Part 1</w:t>
              </w:r>
            </w:hyperlink>
            <w:r w:rsidR="00875C68">
              <w:rPr>
                <w:rFonts w:eastAsia="Times New Roman" w:cs="Calibri"/>
                <w:szCs w:val="22"/>
              </w:rPr>
              <w:t>;</w:t>
            </w:r>
          </w:p>
          <w:p w14:paraId="5DBEACE7" w14:textId="77777777" w:rsidR="00D2097F" w:rsidRDefault="004C016F" w:rsidP="00D2097F">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 w:history="1">
              <w:r w:rsidR="00D2097F" w:rsidRPr="00D2097F">
                <w:rPr>
                  <w:rStyle w:val="Hyperlink"/>
                  <w:rFonts w:eastAsia="Times New Roman" w:cs="Calibri"/>
                  <w:szCs w:val="22"/>
                </w:rPr>
                <w:t>Section 5: Review of Harvard Team’s Responses to Model Verification #2</w:t>
              </w:r>
            </w:hyperlink>
            <w:r w:rsidR="00D2097F">
              <w:rPr>
                <w:rFonts w:eastAsia="Times New Roman" w:cs="Calibri"/>
                <w:szCs w:val="22"/>
              </w:rPr>
              <w:t xml:space="preserve">; </w:t>
            </w:r>
          </w:p>
          <w:p w14:paraId="4B7AF9EC" w14:textId="76FBF45A" w:rsidR="00DA7CB2" w:rsidRPr="00ED02C8" w:rsidRDefault="004C016F" w:rsidP="00875C68">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D2097F" w:rsidRPr="00D2097F">
                <w:rPr>
                  <w:rStyle w:val="Hyperlink"/>
                  <w:rFonts w:eastAsia="Times New Roman" w:cs="Calibri"/>
                  <w:szCs w:val="22"/>
                </w:rPr>
                <w:t>Section 6 Review of Harvard Team’s Responses to Final Validation Part 1</w:t>
              </w:r>
            </w:hyperlink>
          </w:p>
        </w:tc>
      </w:tr>
      <w:tr w:rsidR="00DA7CB2" w:rsidRPr="006C4D7D" w14:paraId="4A9AFF3D" w14:textId="77777777" w:rsidTr="00045D09">
        <w:trPr>
          <w:trHeight w:val="692"/>
        </w:trPr>
        <w:tc>
          <w:tcPr>
            <w:cnfStyle w:val="001000000000" w:firstRow="0" w:lastRow="0" w:firstColumn="1" w:lastColumn="0" w:oddVBand="0" w:evenVBand="0" w:oddHBand="0" w:evenHBand="0" w:firstRowFirstColumn="0" w:firstRowLastColumn="0" w:lastRowFirstColumn="0" w:lastRowLastColumn="0"/>
            <w:tcW w:w="5305" w:type="dxa"/>
            <w:hideMark/>
          </w:tcPr>
          <w:p w14:paraId="79C5C2F7"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iv. Ensuring alignment between the stated definitions of the variable used in the model and the definitions of the variables in the source documentation</w:t>
            </w:r>
          </w:p>
        </w:tc>
        <w:tc>
          <w:tcPr>
            <w:tcW w:w="4343" w:type="dxa"/>
          </w:tcPr>
          <w:p w14:paraId="32E30D9E" w14:textId="41DD451B" w:rsidR="00875C68" w:rsidRDefault="004C016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r:id="rId79" w:history="1">
              <w:r w:rsidR="00875C68" w:rsidRPr="00875C68">
                <w:rPr>
                  <w:rStyle w:val="Hyperlink"/>
                  <w:rFonts w:eastAsia="Times New Roman" w:cs="Calibri"/>
                  <w:szCs w:val="22"/>
                </w:rPr>
                <w:t>Final Validation Part 1</w:t>
              </w:r>
            </w:hyperlink>
            <w:r w:rsidR="00875C68">
              <w:rPr>
                <w:rFonts w:eastAsia="Times New Roman" w:cs="Calibri"/>
                <w:szCs w:val="22"/>
              </w:rPr>
              <w:t>;</w:t>
            </w:r>
          </w:p>
          <w:p w14:paraId="60B0F718" w14:textId="405F3E8E" w:rsidR="007E4CAA" w:rsidRDefault="004C016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Materials_Validation_1" w:history="1">
              <w:r w:rsidR="007E4CAA" w:rsidRPr="004F7CDE">
                <w:rPr>
                  <w:rStyle w:val="Hyperlink"/>
                  <w:rFonts w:eastAsia="Times New Roman" w:cs="Calibri"/>
                  <w:szCs w:val="22"/>
                </w:rPr>
                <w:t>Section 4: Materials Validation</w:t>
              </w:r>
            </w:hyperlink>
            <w:r w:rsidR="007E4CAA">
              <w:rPr>
                <w:rStyle w:val="Hyperlink"/>
                <w:rFonts w:eastAsia="Times New Roman" w:cs="Calibri"/>
                <w:szCs w:val="22"/>
              </w:rPr>
              <w:t>;</w:t>
            </w:r>
          </w:p>
          <w:p w14:paraId="5E8E7978" w14:textId="77777777" w:rsidR="00D2097F" w:rsidRDefault="004C016F" w:rsidP="00D2097F">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 w:history="1">
              <w:r w:rsidR="00D2097F" w:rsidRPr="00D2097F">
                <w:rPr>
                  <w:rStyle w:val="Hyperlink"/>
                  <w:rFonts w:eastAsia="Times New Roman" w:cs="Calibri"/>
                  <w:szCs w:val="22"/>
                </w:rPr>
                <w:t>Section 5: Review of Harvard Team’s Responses to Model Verification #2</w:t>
              </w:r>
            </w:hyperlink>
            <w:r w:rsidR="00D2097F">
              <w:rPr>
                <w:rFonts w:eastAsia="Times New Roman" w:cs="Calibri"/>
                <w:szCs w:val="22"/>
              </w:rPr>
              <w:t xml:space="preserve">; </w:t>
            </w:r>
          </w:p>
          <w:p w14:paraId="43024EEF" w14:textId="1AD6CFC1" w:rsidR="00DA7CB2" w:rsidRPr="00ED02C8" w:rsidRDefault="004C016F" w:rsidP="00875C68">
            <w:pPr>
              <w:spacing w:after="0"/>
              <w:cnfStyle w:val="000000000000" w:firstRow="0" w:lastRow="0" w:firstColumn="0" w:lastColumn="0" w:oddVBand="0" w:evenVBand="0" w:oddHBand="0" w:evenHBand="0" w:firstRowFirstColumn="0" w:firstRowLastColumn="0" w:lastRowFirstColumn="0" w:lastRowLastColumn="0"/>
              <w:rPr>
                <w:rFonts w:eastAsia="Yu Mincho"/>
                <w:szCs w:val="22"/>
                <w:u w:val="single"/>
              </w:rPr>
            </w:pPr>
            <w:hyperlink w:anchor="_Validation_by_Section_1" w:history="1">
              <w:r w:rsidR="00D2097F" w:rsidRPr="00D2097F">
                <w:rPr>
                  <w:rStyle w:val="Hyperlink"/>
                  <w:rFonts w:eastAsia="Times New Roman" w:cs="Calibri"/>
                  <w:szCs w:val="22"/>
                </w:rPr>
                <w:t>Section 6 Review of Harvard Team’s Responses to Final Validation Part 1</w:t>
              </w:r>
            </w:hyperlink>
          </w:p>
        </w:tc>
      </w:tr>
      <w:tr w:rsidR="00DA7CB2" w:rsidRPr="006C4D7D" w14:paraId="292D1B12" w14:textId="77777777" w:rsidTr="00045D0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305" w:type="dxa"/>
            <w:hideMark/>
          </w:tcPr>
          <w:p w14:paraId="373EADE3"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 Conducting an extensive review of all technical documentation provided by FDA</w:t>
            </w:r>
          </w:p>
        </w:tc>
        <w:tc>
          <w:tcPr>
            <w:tcW w:w="4343" w:type="dxa"/>
          </w:tcPr>
          <w:p w14:paraId="651F0527" w14:textId="7920B946" w:rsidR="007E4CAA" w:rsidRPr="007E4CAA" w:rsidRDefault="004C016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r:id="rId80" w:history="1">
              <w:r w:rsidR="007E4CAA" w:rsidRPr="00875C68">
                <w:rPr>
                  <w:rStyle w:val="Hyperlink"/>
                  <w:rFonts w:eastAsia="Times New Roman" w:cs="Calibri"/>
                  <w:szCs w:val="22"/>
                </w:rPr>
                <w:t>Final Validation Part 1</w:t>
              </w:r>
            </w:hyperlink>
            <w:r w:rsidR="007E4CAA">
              <w:rPr>
                <w:rFonts w:eastAsia="Times New Roman" w:cs="Calibri"/>
                <w:szCs w:val="22"/>
              </w:rPr>
              <w:t>;</w:t>
            </w:r>
          </w:p>
          <w:p w14:paraId="38601467" w14:textId="77777777" w:rsidR="00A045C3" w:rsidRDefault="004C016F" w:rsidP="00045D09">
            <w:pPr>
              <w:spacing w:after="0"/>
              <w:cnfStyle w:val="000000100000" w:firstRow="0" w:lastRow="0" w:firstColumn="0" w:lastColumn="0" w:oddVBand="0" w:evenVBand="0" w:oddHBand="1" w:evenHBand="0" w:firstRowFirstColumn="0" w:firstRowLastColumn="0" w:lastRowFirstColumn="0" w:lastRowLastColumn="0"/>
              <w:rPr>
                <w:rStyle w:val="Hyperlink"/>
                <w:rFonts w:eastAsia="Times New Roman" w:cs="Calibri"/>
                <w:szCs w:val="22"/>
              </w:rPr>
            </w:pPr>
            <w:hyperlink w:anchor="_Materials_Validation_1" w:history="1">
              <w:r w:rsidR="004F7CDE" w:rsidRPr="004F7CDE">
                <w:rPr>
                  <w:rStyle w:val="Hyperlink"/>
                  <w:rFonts w:eastAsia="Times New Roman" w:cs="Calibri"/>
                  <w:szCs w:val="22"/>
                </w:rPr>
                <w:t>Section 4: Materials Validation</w:t>
              </w:r>
            </w:hyperlink>
            <w:r w:rsidR="00045D09">
              <w:rPr>
                <w:rStyle w:val="Hyperlink"/>
                <w:rFonts w:eastAsia="Times New Roman" w:cs="Calibri"/>
                <w:szCs w:val="22"/>
              </w:rPr>
              <w:t xml:space="preserve">; </w:t>
            </w:r>
          </w:p>
          <w:p w14:paraId="7AA1B86D" w14:textId="32FB9AEF" w:rsidR="00045D09" w:rsidRPr="00A045C3" w:rsidRDefault="00A045C3" w:rsidP="00045D09">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A045C3">
              <w:rPr>
                <w:rStyle w:val="Hyperlink"/>
                <w:u w:val="none"/>
              </w:rPr>
              <w:t>Note: We will provide additional review of technical documentation as part of model maintenance</w:t>
            </w:r>
          </w:p>
        </w:tc>
      </w:tr>
      <w:tr w:rsidR="00DA7CB2" w:rsidRPr="006C4D7D" w14:paraId="018E5FCF" w14:textId="77777777" w:rsidTr="00045D09">
        <w:trPr>
          <w:trHeight w:val="20"/>
        </w:trPr>
        <w:tc>
          <w:tcPr>
            <w:cnfStyle w:val="001000000000" w:firstRow="0" w:lastRow="0" w:firstColumn="1" w:lastColumn="0" w:oddVBand="0" w:evenVBand="0" w:oddHBand="0" w:evenHBand="0" w:firstRowFirstColumn="0" w:firstRowLastColumn="0" w:lastRowFirstColumn="0" w:lastRowLastColumn="0"/>
            <w:tcW w:w="5305" w:type="dxa"/>
            <w:hideMark/>
          </w:tcPr>
          <w:p w14:paraId="4274438D"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vi. Replicating at least two policy scenario analyses conducted by FDA and assessing any discrepancies</w:t>
            </w:r>
          </w:p>
        </w:tc>
        <w:tc>
          <w:tcPr>
            <w:tcW w:w="4343" w:type="dxa"/>
          </w:tcPr>
          <w:p w14:paraId="0150530A" w14:textId="743C8CDA" w:rsidR="00741524" w:rsidRPr="00C951A7" w:rsidRDefault="004C016F" w:rsidP="002B0AF2">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Policy_Validation" w:history="1">
              <w:r w:rsidR="00741524" w:rsidRPr="004F7CDE">
                <w:rPr>
                  <w:rStyle w:val="Hyperlink"/>
                  <w:rFonts w:eastAsia="Times New Roman" w:cs="Calibri"/>
                  <w:szCs w:val="22"/>
                </w:rPr>
                <w:t xml:space="preserve">Section </w:t>
              </w:r>
              <w:r w:rsidR="004F7CDE" w:rsidRPr="004F7CDE">
                <w:rPr>
                  <w:rStyle w:val="Hyperlink"/>
                  <w:rFonts w:eastAsia="Times New Roman" w:cs="Calibri"/>
                  <w:szCs w:val="22"/>
                </w:rPr>
                <w:t>7: Policy Validation</w:t>
              </w:r>
            </w:hyperlink>
          </w:p>
        </w:tc>
      </w:tr>
      <w:tr w:rsidR="00DA7CB2" w:rsidRPr="006C4D7D" w14:paraId="25CFD2BE" w14:textId="77777777" w:rsidTr="00045D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305" w:type="dxa"/>
            <w:hideMark/>
          </w:tcPr>
          <w:p w14:paraId="4DFE2C04"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vii. Comparing at least 2 policy scenario analyses conducted by FDA’s model with similar analyses in least one comparable published opioids policy analysis model. FDA will work with the contractor to confirm the comparator model and analyses. </w:t>
            </w:r>
          </w:p>
        </w:tc>
        <w:tc>
          <w:tcPr>
            <w:tcW w:w="4343" w:type="dxa"/>
          </w:tcPr>
          <w:p w14:paraId="2AEB740D" w14:textId="1AD70313" w:rsidR="00DA7CB2" w:rsidRPr="00C951A7" w:rsidRDefault="004C016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Model_Comparator_1" w:history="1">
              <w:r w:rsidR="00E65B6A" w:rsidRPr="0082166C">
                <w:rPr>
                  <w:rStyle w:val="Hyperlink"/>
                  <w:rFonts w:eastAsia="Times New Roman" w:cs="Calibri"/>
                  <w:szCs w:val="22"/>
                </w:rPr>
                <w:t xml:space="preserve">Section </w:t>
              </w:r>
              <w:r w:rsidR="0082166C" w:rsidRPr="0082166C">
                <w:rPr>
                  <w:rStyle w:val="Hyperlink"/>
                  <w:rFonts w:eastAsia="Times New Roman" w:cs="Calibri"/>
                  <w:szCs w:val="22"/>
                </w:rPr>
                <w:t>8: Model Comparator</w:t>
              </w:r>
            </w:hyperlink>
          </w:p>
        </w:tc>
      </w:tr>
    </w:tbl>
    <w:p w14:paraId="579C3386" w14:textId="77777777" w:rsidR="006D1640" w:rsidRPr="006D1640" w:rsidRDefault="006D1640" w:rsidP="004B7282">
      <w:pPr>
        <w:spacing w:after="0"/>
      </w:pPr>
    </w:p>
    <w:sectPr w:rsidR="006D1640" w:rsidRPr="006D1640" w:rsidSect="00230490">
      <w:headerReference w:type="default" r:id="rId81"/>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D271" w14:textId="77777777" w:rsidR="00652870" w:rsidRDefault="00652870" w:rsidP="0013646A">
      <w:r>
        <w:separator/>
      </w:r>
    </w:p>
    <w:p w14:paraId="6001EF72" w14:textId="77777777" w:rsidR="00652870" w:rsidRDefault="00652870" w:rsidP="0013646A"/>
    <w:p w14:paraId="454BE3AC" w14:textId="77777777" w:rsidR="00652870" w:rsidRDefault="00652870" w:rsidP="0013646A"/>
  </w:endnote>
  <w:endnote w:type="continuationSeparator" w:id="0">
    <w:p w14:paraId="7EE58A24" w14:textId="77777777" w:rsidR="00652870" w:rsidRDefault="00652870" w:rsidP="0013646A">
      <w:r>
        <w:continuationSeparator/>
      </w:r>
    </w:p>
    <w:p w14:paraId="46F1894E" w14:textId="77777777" w:rsidR="00652870" w:rsidRDefault="00652870" w:rsidP="0013646A"/>
    <w:p w14:paraId="3B2D437D" w14:textId="77777777" w:rsidR="00652870" w:rsidRDefault="00652870" w:rsidP="0013646A"/>
  </w:endnote>
  <w:endnote w:type="continuationNotice" w:id="1">
    <w:p w14:paraId="00866944" w14:textId="77777777" w:rsidR="00652870" w:rsidRDefault="006528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calaSansOT">
    <w:altName w:val="Calibri"/>
    <w:charset w:val="00"/>
    <w:family w:val="auto"/>
    <w:pitch w:val="variable"/>
    <w:sig w:usb0="800000EF" w:usb1="5000E05B" w:usb2="00000000" w:usb3="00000000" w:csb0="00000001" w:csb1="00000000"/>
  </w:font>
  <w:font w:name="Oswald">
    <w:charset w:val="00"/>
    <w:family w:val="auto"/>
    <w:pitch w:val="variable"/>
    <w:sig w:usb0="2000020F" w:usb1="00000000" w:usb2="00000000" w:usb3="00000000" w:csb0="00000197" w:csb1="00000000"/>
  </w:font>
  <w:font w:name="Knockout-HTF28-JuniorFeatherwt">
    <w:altName w:val="Calibri"/>
    <w:charset w:val="00"/>
    <w:family w:val="auto"/>
    <w:pitch w:val="variable"/>
    <w:sig w:usb0="00000003" w:usb1="00000000" w:usb2="00000000" w:usb3="00000000" w:csb0="0000000B" w:csb1="00000000"/>
  </w:font>
  <w:font w:name="Calibri Light">
    <w:panose1 w:val="020F0302020204030204"/>
    <w:charset w:val="00"/>
    <w:family w:val="swiss"/>
    <w:pitch w:val="variable"/>
    <w:sig w:usb0="E4002EFF" w:usb1="C000247B" w:usb2="00000009" w:usb3="00000000" w:csb0="000001FF" w:csb1="00000000"/>
  </w:font>
  <w:font w:name="Knockout-HTF48-Featherweight">
    <w:altName w:val="Calibri"/>
    <w:charset w:val="00"/>
    <w:family w:val="auto"/>
    <w:pitch w:val="variable"/>
    <w:sig w:usb0="00000003" w:usb1="00000000" w:usb2="00000000" w:usb3="00000000" w:csb0="0000000B" w:csb1="00000000"/>
  </w:font>
  <w:font w:name="Knockout-HTF50-Welterweight">
    <w:altName w:val="Calibri"/>
    <w:charset w:val="00"/>
    <w:family w:val="auto"/>
    <w:pitch w:val="variable"/>
    <w:sig w:usb0="00000003" w:usb1="00000000" w:usb2="00000000" w:usb3="00000000" w:csb0="0000000B" w:csb1="00000000"/>
  </w:font>
  <w:font w:name="Georgia">
    <w:panose1 w:val="02040502050405020303"/>
    <w:charset w:val="00"/>
    <w:family w:val="roman"/>
    <w:pitch w:val="variable"/>
    <w:sig w:usb0="00000287" w:usb1="00000000" w:usb2="00000000" w:usb3="00000000" w:csb0="0000009F" w:csb1="00000000"/>
  </w:font>
  <w:font w:name="Scala-Caps">
    <w:altName w:val="Calibri"/>
    <w:charset w:val="00"/>
    <w:family w:val="auto"/>
    <w:pitch w:val="variable"/>
    <w:sig w:usb0="00000003" w:usb1="00000000" w:usb2="00000000" w:usb3="00000000" w:csb0="00000001" w:csb1="00000000"/>
  </w:font>
  <w:font w:name="Knockout-HTF29-JuniorLiteweight">
    <w:charset w:val="00"/>
    <w:family w:val="auto"/>
    <w:pitch w:val="variable"/>
    <w:sig w:usb0="00000003" w:usb1="00000000" w:usb2="00000000" w:usb3="00000000" w:csb0="0000000B" w:csb1="00000000"/>
  </w:font>
  <w:font w:name="DengXian Light">
    <w:charset w:val="86"/>
    <w:family w:val="auto"/>
    <w:pitch w:val="variable"/>
    <w:sig w:usb0="A00002BF" w:usb1="38CF7CFA" w:usb2="00000016" w:usb3="00000000" w:csb0="0004000F" w:csb1="00000000"/>
  </w:font>
  <w:font w:name="Scala-Italic">
    <w:altName w:val="Calibr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BE5E" w14:textId="77777777" w:rsidR="00652870" w:rsidRDefault="00652870" w:rsidP="001044D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8EA0053" w14:textId="77777777" w:rsidR="00652870" w:rsidRDefault="00652870" w:rsidP="001044D6">
    <w:pPr>
      <w:pStyle w:val="Footer"/>
    </w:pPr>
  </w:p>
  <w:p w14:paraId="741B6ACF" w14:textId="77777777" w:rsidR="00652870" w:rsidRDefault="00652870" w:rsidP="0043135E">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5769" w14:textId="77777777" w:rsidR="00652870" w:rsidRDefault="00652870" w:rsidP="0043135E">
    <w:pPr>
      <w:pStyle w:val="BodyText"/>
    </w:pPr>
    <w:r>
      <w:rPr>
        <w:noProof/>
        <w:lang w:eastAsia="en-US"/>
      </w:rPr>
      <w:drawing>
        <wp:anchor distT="0" distB="0" distL="114300" distR="114300" simplePos="0" relativeHeight="251658240" behindDoc="0" locked="0" layoutInCell="1" allowOverlap="1" wp14:anchorId="27682C7D" wp14:editId="627F7E4A">
          <wp:simplePos x="0" y="0"/>
          <wp:positionH relativeFrom="margin">
            <wp:align>right</wp:align>
          </wp:positionH>
          <wp:positionV relativeFrom="bottomMargin">
            <wp:posOffset>118745</wp:posOffset>
          </wp:positionV>
          <wp:extent cx="3584448" cy="91440"/>
          <wp:effectExtent l="0" t="0" r="0" b="10160"/>
          <wp:wrapSquare wrapText="bothSides"/>
          <wp:docPr id="10"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84448" cy="914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90E7" w14:textId="3C62C8DA" w:rsidR="00652870" w:rsidRPr="003D7D2B" w:rsidRDefault="00652870" w:rsidP="001044D6">
    <w:pPr>
      <w:pStyle w:val="Footer"/>
    </w:pPr>
    <w:r>
      <w:t xml:space="preserve">Prepared by </w:t>
    </w:r>
    <w:fldSimple w:instr="DOCPROPERTY  BAH_Classification  \* MERGEFORMAT">
      <w:r>
        <w:t>Booz Allen Hamilton</w:t>
      </w:r>
    </w:fldSimple>
    <w:r>
      <w:t xml:space="preserve"> exclusively for </w:t>
    </w:r>
    <w:bookmarkStart w:id="7" w:name="_Hlk22588638"/>
    <w:r>
      <w:t>the Food and Drug Administration</w:t>
    </w:r>
    <w:bookmarkEnd w:id="7"/>
    <w:r>
      <w:tab/>
    </w:r>
    <w:r>
      <w:tab/>
    </w:r>
    <w:r w:rsidRPr="001044D6">
      <w:rPr>
        <w:rStyle w:val="PageNumber"/>
      </w:rPr>
      <w:fldChar w:fldCharType="begin"/>
    </w:r>
    <w:r w:rsidRPr="001044D6">
      <w:rPr>
        <w:rStyle w:val="PageNumber"/>
      </w:rPr>
      <w:instrText xml:space="preserve"> PAGE  \* MERGEFORMAT </w:instrText>
    </w:r>
    <w:r w:rsidRPr="001044D6">
      <w:rPr>
        <w:rStyle w:val="PageNumber"/>
      </w:rPr>
      <w:fldChar w:fldCharType="separate"/>
    </w:r>
    <w:r>
      <w:rPr>
        <w:rStyle w:val="PageNumber"/>
        <w:noProof/>
      </w:rPr>
      <w:t>i</w:t>
    </w:r>
    <w:r w:rsidRPr="001044D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4EE1" w14:textId="77777777" w:rsidR="00652870" w:rsidRDefault="00652870" w:rsidP="0013646A">
      <w:r>
        <w:separator/>
      </w:r>
    </w:p>
  </w:footnote>
  <w:footnote w:type="continuationSeparator" w:id="0">
    <w:p w14:paraId="31D8A714" w14:textId="77777777" w:rsidR="00652870" w:rsidRDefault="00652870" w:rsidP="0013646A">
      <w:r>
        <w:continuationSeparator/>
      </w:r>
    </w:p>
    <w:p w14:paraId="5F8E653C" w14:textId="77777777" w:rsidR="00652870" w:rsidRDefault="00652870" w:rsidP="0013646A"/>
    <w:p w14:paraId="74CE86C3" w14:textId="77777777" w:rsidR="00652870" w:rsidRDefault="00652870" w:rsidP="0013646A"/>
  </w:footnote>
  <w:footnote w:type="continuationNotice" w:id="1">
    <w:p w14:paraId="629AD4A9" w14:textId="77777777" w:rsidR="00652870" w:rsidRPr="00E84C89" w:rsidRDefault="00652870" w:rsidP="00E84C89">
      <w:pPr>
        <w:pStyle w:val="Footer"/>
      </w:pPr>
    </w:p>
  </w:footnote>
  <w:footnote w:id="2">
    <w:p w14:paraId="5F2DDCE8" w14:textId="6BEDE7A2" w:rsidR="00652870" w:rsidRDefault="00652870">
      <w:pPr>
        <w:pStyle w:val="FootnoteText"/>
      </w:pPr>
      <w:r>
        <w:rPr>
          <w:rStyle w:val="FootnoteReference"/>
        </w:rPr>
        <w:footnoteRef/>
      </w:r>
      <w:r>
        <w:t xml:space="preserve"> Note: for clarity, names of equations and parameters in the model are </w:t>
      </w:r>
      <w:r w:rsidRPr="00A279DD">
        <w:rPr>
          <w:b/>
        </w:rPr>
        <w:t>bolded</w:t>
      </w:r>
      <w:r>
        <w:t>.</w:t>
      </w:r>
    </w:p>
  </w:footnote>
  <w:footnote w:id="3">
    <w:p w14:paraId="22CBD166" w14:textId="5F370A9C" w:rsidR="00652870" w:rsidRDefault="00652870">
      <w:pPr>
        <w:pStyle w:val="FootnoteText"/>
      </w:pPr>
      <w:r>
        <w:rPr>
          <w:rStyle w:val="FootnoteReference"/>
        </w:rPr>
        <w:footnoteRef/>
      </w:r>
      <w:r>
        <w:t xml:space="preserve"> See the HWM for variable name definitions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652870" w14:paraId="214F1571" w14:textId="77777777" w:rsidTr="0EC5947C">
      <w:tc>
        <w:tcPr>
          <w:tcW w:w="3120" w:type="dxa"/>
        </w:tcPr>
        <w:p w14:paraId="40E778A2" w14:textId="6C60B71B" w:rsidR="00652870" w:rsidRDefault="00652870" w:rsidP="0EC5947C">
          <w:pPr>
            <w:pStyle w:val="Header"/>
            <w:ind w:left="-115"/>
          </w:pPr>
        </w:p>
      </w:tc>
      <w:tc>
        <w:tcPr>
          <w:tcW w:w="3120" w:type="dxa"/>
        </w:tcPr>
        <w:p w14:paraId="5BF87916" w14:textId="2E194E93" w:rsidR="00652870" w:rsidRDefault="00652870" w:rsidP="0EC5947C">
          <w:pPr>
            <w:pStyle w:val="Header"/>
            <w:jc w:val="center"/>
          </w:pPr>
        </w:p>
      </w:tc>
      <w:tc>
        <w:tcPr>
          <w:tcW w:w="3120" w:type="dxa"/>
        </w:tcPr>
        <w:p w14:paraId="7A639E4E" w14:textId="6FACFECE" w:rsidR="00652870" w:rsidRDefault="00652870" w:rsidP="0EC5947C">
          <w:pPr>
            <w:pStyle w:val="Header"/>
            <w:ind w:right="-115"/>
            <w:jc w:val="right"/>
          </w:pPr>
        </w:p>
      </w:tc>
    </w:tr>
  </w:tbl>
  <w:p w14:paraId="130937D9" w14:textId="1BA7EE31" w:rsidR="00652870" w:rsidRDefault="00652870" w:rsidP="0EC5947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37B0" w14:textId="77777777" w:rsidR="00652870" w:rsidRDefault="0065287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8E54" w14:textId="77777777" w:rsidR="00652870" w:rsidRDefault="006528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5210" w14:textId="17614250" w:rsidR="00652870" w:rsidRDefault="0065287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93D8" w14:textId="77777777" w:rsidR="00652870" w:rsidRDefault="006528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B8C0" w14:textId="77777777" w:rsidR="00652870" w:rsidRDefault="00652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F110" w14:textId="366C6DB7" w:rsidR="00652870" w:rsidRDefault="00652870" w:rsidP="00352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1FA6" w14:textId="77777777" w:rsidR="00652870" w:rsidRDefault="006528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27B3" w14:textId="77777777" w:rsidR="00652870" w:rsidRDefault="006528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6F9E" w14:textId="77777777" w:rsidR="00652870" w:rsidRDefault="006528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4A7D" w14:textId="77777777" w:rsidR="00652870" w:rsidRDefault="006528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908B" w14:textId="77777777" w:rsidR="00652870" w:rsidRDefault="006528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CD7B" w14:textId="77777777" w:rsidR="00652870" w:rsidRDefault="0065287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3619" w14:textId="77777777" w:rsidR="00652870" w:rsidRDefault="00652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0A0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843B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1AEE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6E85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A4E2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EE87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C8BC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227F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D269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FAF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E00C6"/>
    <w:multiLevelType w:val="hybridMultilevel"/>
    <w:tmpl w:val="C47AF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4E03AC9"/>
    <w:multiLevelType w:val="multilevel"/>
    <w:tmpl w:val="458A4B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77836FE"/>
    <w:multiLevelType w:val="hybridMultilevel"/>
    <w:tmpl w:val="487E6502"/>
    <w:lvl w:ilvl="0" w:tplc="81D8CE44">
      <w:start w:val="1"/>
      <w:numFmt w:val="bullet"/>
      <w:pStyle w:val="TableBullet1dot"/>
      <w:lvlText w:val=""/>
      <w:lvlJc w:val="left"/>
      <w:pPr>
        <w:ind w:left="720" w:hanging="360"/>
      </w:pPr>
      <w:rPr>
        <w:rFonts w:ascii="Symbol" w:hAnsi="Symbol" w:hint="default"/>
      </w:rPr>
    </w:lvl>
    <w:lvl w:ilvl="1" w:tplc="8F34400C">
      <w:start w:val="1"/>
      <w:numFmt w:val="bullet"/>
      <w:pStyle w:val="TableBullet2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180E38"/>
    <w:multiLevelType w:val="hybridMultilevel"/>
    <w:tmpl w:val="4292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211E02"/>
    <w:multiLevelType w:val="multilevel"/>
    <w:tmpl w:val="0B7A81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42872F5"/>
    <w:multiLevelType w:val="hybridMultilevel"/>
    <w:tmpl w:val="1720990A"/>
    <w:lvl w:ilvl="0" w:tplc="95649EEA">
      <w:start w:val="1"/>
      <w:numFmt w:val="upperRoman"/>
      <w:pStyle w:val="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751E72"/>
    <w:multiLevelType w:val="multilevel"/>
    <w:tmpl w:val="4F40A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4766AA"/>
    <w:multiLevelType w:val="hybridMultilevel"/>
    <w:tmpl w:val="859E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A11BB"/>
    <w:multiLevelType w:val="hybridMultilevel"/>
    <w:tmpl w:val="A8DE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336B2"/>
    <w:multiLevelType w:val="hybridMultilevel"/>
    <w:tmpl w:val="339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7F580E"/>
    <w:multiLevelType w:val="multilevel"/>
    <w:tmpl w:val="CF58F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414E86"/>
    <w:multiLevelType w:val="hybridMultilevel"/>
    <w:tmpl w:val="E94C91F4"/>
    <w:lvl w:ilvl="0" w:tplc="A0A08390">
      <w:start w:val="1"/>
      <w:numFmt w:val="decimal"/>
      <w:pStyle w:val="BulletAltLevel1"/>
      <w:lvlText w:val="%1."/>
      <w:lvlJc w:val="left"/>
      <w:pPr>
        <w:ind w:left="360" w:hanging="360"/>
      </w:pPr>
      <w:rPr>
        <w:rFonts w:hint="default"/>
      </w:rPr>
    </w:lvl>
    <w:lvl w:ilvl="1" w:tplc="D46CDD34">
      <w:start w:val="1"/>
      <w:numFmt w:val="lowerLetter"/>
      <w:pStyle w:val="BulletAltLevel2"/>
      <w:lvlText w:val="%2."/>
      <w:lvlJc w:val="left"/>
      <w:pPr>
        <w:ind w:left="1080" w:hanging="360"/>
      </w:pPr>
      <w:rPr>
        <w:rFonts w:hint="default"/>
      </w:rPr>
    </w:lvl>
    <w:lvl w:ilvl="2" w:tplc="AA365980">
      <w:start w:val="1"/>
      <w:numFmt w:val="lowerRoman"/>
      <w:lvlText w:val="%3."/>
      <w:lvlJc w:val="right"/>
      <w:pPr>
        <w:ind w:left="1800" w:hanging="180"/>
      </w:pPr>
      <w:rPr>
        <w:rFonts w:hint="default"/>
      </w:rPr>
    </w:lvl>
    <w:lvl w:ilvl="3" w:tplc="0400B4CC">
      <w:start w:val="1"/>
      <w:numFmt w:val="decimal"/>
      <w:lvlText w:val="%4."/>
      <w:lvlJc w:val="left"/>
      <w:pPr>
        <w:ind w:left="2520" w:hanging="360"/>
      </w:pPr>
      <w:rPr>
        <w:rFonts w:hint="default"/>
      </w:rPr>
    </w:lvl>
    <w:lvl w:ilvl="4" w:tplc="6CF2DDD4">
      <w:start w:val="1"/>
      <w:numFmt w:val="lowerLetter"/>
      <w:lvlText w:val="%5."/>
      <w:lvlJc w:val="left"/>
      <w:pPr>
        <w:ind w:left="3240" w:hanging="360"/>
      </w:pPr>
      <w:rPr>
        <w:rFonts w:hint="default"/>
      </w:rPr>
    </w:lvl>
    <w:lvl w:ilvl="5" w:tplc="97587644">
      <w:start w:val="1"/>
      <w:numFmt w:val="lowerRoman"/>
      <w:lvlText w:val="%6."/>
      <w:lvlJc w:val="right"/>
      <w:pPr>
        <w:ind w:left="3960" w:hanging="180"/>
      </w:pPr>
      <w:rPr>
        <w:rFonts w:hint="default"/>
      </w:rPr>
    </w:lvl>
    <w:lvl w:ilvl="6" w:tplc="9C202832">
      <w:start w:val="1"/>
      <w:numFmt w:val="decimal"/>
      <w:lvlText w:val="%7."/>
      <w:lvlJc w:val="left"/>
      <w:pPr>
        <w:ind w:left="4680" w:hanging="360"/>
      </w:pPr>
      <w:rPr>
        <w:rFonts w:hint="default"/>
      </w:rPr>
    </w:lvl>
    <w:lvl w:ilvl="7" w:tplc="51FED3B4">
      <w:start w:val="1"/>
      <w:numFmt w:val="lowerLetter"/>
      <w:lvlText w:val="%8."/>
      <w:lvlJc w:val="left"/>
      <w:pPr>
        <w:ind w:left="5400" w:hanging="360"/>
      </w:pPr>
      <w:rPr>
        <w:rFonts w:hint="default"/>
      </w:rPr>
    </w:lvl>
    <w:lvl w:ilvl="8" w:tplc="4AEA553C">
      <w:start w:val="1"/>
      <w:numFmt w:val="lowerRoman"/>
      <w:lvlText w:val="%9."/>
      <w:lvlJc w:val="right"/>
      <w:pPr>
        <w:ind w:left="6120" w:hanging="180"/>
      </w:pPr>
      <w:rPr>
        <w:rFonts w:hint="default"/>
      </w:rPr>
    </w:lvl>
  </w:abstractNum>
  <w:abstractNum w:abstractNumId="22" w15:restartNumberingAfterBreak="0">
    <w:nsid w:val="2AA824E6"/>
    <w:multiLevelType w:val="multilevel"/>
    <w:tmpl w:val="83F6E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D5359"/>
    <w:multiLevelType w:val="hybridMultilevel"/>
    <w:tmpl w:val="B13836B2"/>
    <w:lvl w:ilvl="0" w:tplc="D6065AA8">
      <w:start w:val="1"/>
      <w:numFmt w:val="bullet"/>
      <w:pStyle w:val="BulletLevel1"/>
      <w:lvlText w:val=""/>
      <w:lvlJc w:val="left"/>
      <w:pPr>
        <w:ind w:left="360" w:hanging="360"/>
      </w:pPr>
      <w:rPr>
        <w:rFonts w:ascii="Symbol" w:hAnsi="Symbol" w:hint="default"/>
      </w:rPr>
    </w:lvl>
    <w:lvl w:ilvl="1" w:tplc="3F2E5CBE">
      <w:start w:val="1"/>
      <w:numFmt w:val="bullet"/>
      <w:pStyle w:val="BulletLevel2"/>
      <w:lvlText w:val=""/>
      <w:lvlJc w:val="left"/>
      <w:pPr>
        <w:ind w:left="1080" w:hanging="360"/>
      </w:pPr>
      <w:rPr>
        <w:rFonts w:ascii="Wingdings" w:hAnsi="Wingdings" w:hint="default"/>
      </w:rPr>
    </w:lvl>
    <w:lvl w:ilvl="2" w:tplc="74ECE998">
      <w:start w:val="1"/>
      <w:numFmt w:val="bullet"/>
      <w:lvlText w:val=""/>
      <w:lvlJc w:val="left"/>
      <w:pPr>
        <w:ind w:left="1800" w:hanging="360"/>
      </w:pPr>
      <w:rPr>
        <w:rFonts w:ascii="Wingdings" w:hAnsi="Wingdings" w:hint="default"/>
      </w:rPr>
    </w:lvl>
    <w:lvl w:ilvl="3" w:tplc="21284660">
      <w:start w:val="1"/>
      <w:numFmt w:val="bullet"/>
      <w:lvlText w:val=""/>
      <w:lvlJc w:val="left"/>
      <w:pPr>
        <w:ind w:left="2520" w:hanging="360"/>
      </w:pPr>
      <w:rPr>
        <w:rFonts w:ascii="Symbol" w:hAnsi="Symbol" w:hint="default"/>
      </w:rPr>
    </w:lvl>
    <w:lvl w:ilvl="4" w:tplc="5C524610">
      <w:start w:val="1"/>
      <w:numFmt w:val="bullet"/>
      <w:lvlText w:val="o"/>
      <w:lvlJc w:val="left"/>
      <w:pPr>
        <w:ind w:left="3240" w:hanging="360"/>
      </w:pPr>
      <w:rPr>
        <w:rFonts w:ascii="Courier New" w:hAnsi="Courier New" w:cs="Courier New" w:hint="default"/>
      </w:rPr>
    </w:lvl>
    <w:lvl w:ilvl="5" w:tplc="2B687808">
      <w:start w:val="1"/>
      <w:numFmt w:val="bullet"/>
      <w:lvlText w:val=""/>
      <w:lvlJc w:val="left"/>
      <w:pPr>
        <w:ind w:left="3960" w:hanging="360"/>
      </w:pPr>
      <w:rPr>
        <w:rFonts w:ascii="Wingdings" w:hAnsi="Wingdings" w:hint="default"/>
      </w:rPr>
    </w:lvl>
    <w:lvl w:ilvl="6" w:tplc="6894736E">
      <w:start w:val="1"/>
      <w:numFmt w:val="bullet"/>
      <w:lvlText w:val=""/>
      <w:lvlJc w:val="left"/>
      <w:pPr>
        <w:ind w:left="4680" w:hanging="360"/>
      </w:pPr>
      <w:rPr>
        <w:rFonts w:ascii="Symbol" w:hAnsi="Symbol" w:hint="default"/>
      </w:rPr>
    </w:lvl>
    <w:lvl w:ilvl="7" w:tplc="A7B65CA4">
      <w:start w:val="1"/>
      <w:numFmt w:val="bullet"/>
      <w:lvlText w:val="o"/>
      <w:lvlJc w:val="left"/>
      <w:pPr>
        <w:ind w:left="5400" w:hanging="360"/>
      </w:pPr>
      <w:rPr>
        <w:rFonts w:ascii="Courier New" w:hAnsi="Courier New" w:cs="Courier New" w:hint="default"/>
      </w:rPr>
    </w:lvl>
    <w:lvl w:ilvl="8" w:tplc="51EAE3CC">
      <w:start w:val="1"/>
      <w:numFmt w:val="bullet"/>
      <w:lvlText w:val=""/>
      <w:lvlJc w:val="left"/>
      <w:pPr>
        <w:ind w:left="6120" w:hanging="360"/>
      </w:pPr>
      <w:rPr>
        <w:rFonts w:ascii="Wingdings" w:hAnsi="Wingdings" w:hint="default"/>
      </w:rPr>
    </w:lvl>
  </w:abstractNum>
  <w:abstractNum w:abstractNumId="24" w15:restartNumberingAfterBreak="0">
    <w:nsid w:val="355D022B"/>
    <w:multiLevelType w:val="hybridMultilevel"/>
    <w:tmpl w:val="AE92B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A76316"/>
    <w:multiLevelType w:val="hybridMultilevel"/>
    <w:tmpl w:val="2146ED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B7691"/>
    <w:multiLevelType w:val="multilevel"/>
    <w:tmpl w:val="B9543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8E16EA"/>
    <w:multiLevelType w:val="hybridMultilevel"/>
    <w:tmpl w:val="983E04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4BF4279E"/>
    <w:multiLevelType w:val="hybridMultilevel"/>
    <w:tmpl w:val="341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4A5E6E"/>
    <w:multiLevelType w:val="hybridMultilevel"/>
    <w:tmpl w:val="F98E4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2FB3FBD"/>
    <w:multiLevelType w:val="hybridMultilevel"/>
    <w:tmpl w:val="EF62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4C0E47"/>
    <w:multiLevelType w:val="hybridMultilevel"/>
    <w:tmpl w:val="412E0644"/>
    <w:lvl w:ilvl="0" w:tplc="6030971A">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01282"/>
    <w:multiLevelType w:val="hybridMultilevel"/>
    <w:tmpl w:val="6750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65BA5"/>
    <w:multiLevelType w:val="hybridMultilevel"/>
    <w:tmpl w:val="13C4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53259"/>
    <w:multiLevelType w:val="hybridMultilevel"/>
    <w:tmpl w:val="85904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961EF8"/>
    <w:multiLevelType w:val="hybridMultilevel"/>
    <w:tmpl w:val="700053DE"/>
    <w:lvl w:ilvl="0" w:tplc="EACAD2AE">
      <w:start w:val="1"/>
      <w:numFmt w:val="bullet"/>
      <w:pStyle w:val="CalloutBullet1"/>
      <w:lvlText w:val=""/>
      <w:lvlJc w:val="left"/>
      <w:pPr>
        <w:ind w:left="72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A4468"/>
    <w:multiLevelType w:val="multilevel"/>
    <w:tmpl w:val="06A6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020DD"/>
    <w:multiLevelType w:val="hybridMultilevel"/>
    <w:tmpl w:val="7B04D104"/>
    <w:lvl w:ilvl="0" w:tplc="6D8AA892">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D606C"/>
    <w:multiLevelType w:val="hybridMultilevel"/>
    <w:tmpl w:val="250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480956"/>
    <w:multiLevelType w:val="hybridMultilevel"/>
    <w:tmpl w:val="4C26A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050F6"/>
    <w:multiLevelType w:val="hybridMultilevel"/>
    <w:tmpl w:val="43684A48"/>
    <w:lvl w:ilvl="0" w:tplc="39FA8922">
      <w:start w:val="1"/>
      <w:numFmt w:val="upperRoman"/>
      <w:pStyle w:val="SectionIntroductio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12"/>
  </w:num>
  <w:num w:numId="4">
    <w:abstractNumId w:val="14"/>
  </w:num>
  <w:num w:numId="5">
    <w:abstractNumId w:val="35"/>
  </w:num>
  <w:num w:numId="6">
    <w:abstractNumId w:val="40"/>
  </w:num>
  <w:num w:numId="7">
    <w:abstractNumId w:val="15"/>
  </w:num>
  <w:num w:numId="8">
    <w:abstractNumId w:val="39"/>
  </w:num>
  <w:num w:numId="9">
    <w:abstractNumId w:val="25"/>
  </w:num>
  <w:num w:numId="10">
    <w:abstractNumId w:val="11"/>
  </w:num>
  <w:num w:numId="11">
    <w:abstractNumId w:val="36"/>
  </w:num>
  <w:num w:numId="12">
    <w:abstractNumId w:val="16"/>
  </w:num>
  <w:num w:numId="13">
    <w:abstractNumId w:val="22"/>
  </w:num>
  <w:num w:numId="14">
    <w:abstractNumId w:val="20"/>
  </w:num>
  <w:num w:numId="15">
    <w:abstractNumId w:val="26"/>
  </w:num>
  <w:num w:numId="16">
    <w:abstractNumId w:val="17"/>
  </w:num>
  <w:num w:numId="17">
    <w:abstractNumId w:val="19"/>
  </w:num>
  <w:num w:numId="18">
    <w:abstractNumId w:val="28"/>
  </w:num>
  <w:num w:numId="19">
    <w:abstractNumId w:val="13"/>
  </w:num>
  <w:num w:numId="20">
    <w:abstractNumId w:val="24"/>
  </w:num>
  <w:num w:numId="21">
    <w:abstractNumId w:val="29"/>
  </w:num>
  <w:num w:numId="22">
    <w:abstractNumId w:val="10"/>
  </w:num>
  <w:num w:numId="23">
    <w:abstractNumId w:val="14"/>
    <w:lvlOverride w:ilvl="0">
      <w:startOverride w:val="7"/>
    </w:lvlOverride>
    <w:lvlOverride w:ilvl="1">
      <w:startOverride w:val="5"/>
    </w:lvlOverride>
    <w:lvlOverride w:ilvl="2">
      <w:startOverride w:val="2"/>
    </w:lvlOverride>
  </w:num>
  <w:num w:numId="24">
    <w:abstractNumId w:val="18"/>
  </w:num>
  <w:num w:numId="25">
    <w:abstractNumId w:val="14"/>
    <w:lvlOverride w:ilvl="0">
      <w:startOverride w:val="7"/>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7"/>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7"/>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33"/>
  </w:num>
  <w:num w:numId="30">
    <w:abstractNumId w:val="27"/>
  </w:num>
  <w:num w:numId="31">
    <w:abstractNumId w:val="31"/>
  </w:num>
  <w:num w:numId="32">
    <w:abstractNumId w:val="37"/>
  </w:num>
  <w:num w:numId="33">
    <w:abstractNumId w:val="34"/>
  </w:num>
  <w:num w:numId="34">
    <w:abstractNumId w:val="30"/>
  </w:num>
  <w:num w:numId="35">
    <w:abstractNumId w:val="38"/>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14"/>
  </w:num>
  <w:num w:numId="4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64" w:dllVersion="0" w:nlCheck="1" w:checkStyle="0"/>
  <w:activeWritingStyle w:appName="MSWord" w:lang="fr-FR" w:vendorID="64" w:dllVersion="0" w:nlCheck="1" w:checkStyle="1"/>
  <w:activeWritingStyle w:appName="MSWord" w:lang="pt-BR" w:vendorID="64" w:dllVersion="0" w:nlCheck="1" w:checkStyle="0"/>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163"/>
  <w:displayHorizontalDrawingGridEvery w:val="2"/>
  <w:displayVertic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53"/>
    <w:rsid w:val="00000003"/>
    <w:rsid w:val="0000001E"/>
    <w:rsid w:val="00000082"/>
    <w:rsid w:val="0000026A"/>
    <w:rsid w:val="00000373"/>
    <w:rsid w:val="000003C8"/>
    <w:rsid w:val="000003E5"/>
    <w:rsid w:val="00000676"/>
    <w:rsid w:val="0000087A"/>
    <w:rsid w:val="00000982"/>
    <w:rsid w:val="00000AC1"/>
    <w:rsid w:val="00000BF0"/>
    <w:rsid w:val="00000FB1"/>
    <w:rsid w:val="00000FC1"/>
    <w:rsid w:val="000011B6"/>
    <w:rsid w:val="000013BD"/>
    <w:rsid w:val="0000151B"/>
    <w:rsid w:val="000015F8"/>
    <w:rsid w:val="000017F0"/>
    <w:rsid w:val="00001954"/>
    <w:rsid w:val="00001B41"/>
    <w:rsid w:val="00001C8B"/>
    <w:rsid w:val="00001CAF"/>
    <w:rsid w:val="00001D10"/>
    <w:rsid w:val="00001EFA"/>
    <w:rsid w:val="000020EC"/>
    <w:rsid w:val="0000226A"/>
    <w:rsid w:val="000025A5"/>
    <w:rsid w:val="0000267B"/>
    <w:rsid w:val="00002705"/>
    <w:rsid w:val="00002B65"/>
    <w:rsid w:val="00002BEB"/>
    <w:rsid w:val="00002E58"/>
    <w:rsid w:val="00003036"/>
    <w:rsid w:val="0000343D"/>
    <w:rsid w:val="00003593"/>
    <w:rsid w:val="00003797"/>
    <w:rsid w:val="000037B6"/>
    <w:rsid w:val="00003909"/>
    <w:rsid w:val="0000394C"/>
    <w:rsid w:val="00003B93"/>
    <w:rsid w:val="00003C43"/>
    <w:rsid w:val="00003E39"/>
    <w:rsid w:val="0000401F"/>
    <w:rsid w:val="0000415A"/>
    <w:rsid w:val="000041FD"/>
    <w:rsid w:val="00004277"/>
    <w:rsid w:val="00004759"/>
    <w:rsid w:val="000047BE"/>
    <w:rsid w:val="000047D8"/>
    <w:rsid w:val="000047FA"/>
    <w:rsid w:val="00004BD7"/>
    <w:rsid w:val="00004C09"/>
    <w:rsid w:val="00004CBC"/>
    <w:rsid w:val="00004F9C"/>
    <w:rsid w:val="00005457"/>
    <w:rsid w:val="000057A8"/>
    <w:rsid w:val="000058C1"/>
    <w:rsid w:val="00005AF5"/>
    <w:rsid w:val="00005B1B"/>
    <w:rsid w:val="00005C0C"/>
    <w:rsid w:val="00005D33"/>
    <w:rsid w:val="00005EE7"/>
    <w:rsid w:val="00005F61"/>
    <w:rsid w:val="00006045"/>
    <w:rsid w:val="000062D7"/>
    <w:rsid w:val="00006621"/>
    <w:rsid w:val="0000678B"/>
    <w:rsid w:val="000067D7"/>
    <w:rsid w:val="00006B7C"/>
    <w:rsid w:val="00006C70"/>
    <w:rsid w:val="00006D47"/>
    <w:rsid w:val="00006D93"/>
    <w:rsid w:val="00006E58"/>
    <w:rsid w:val="00007406"/>
    <w:rsid w:val="00007565"/>
    <w:rsid w:val="00007590"/>
    <w:rsid w:val="000078B4"/>
    <w:rsid w:val="00007B78"/>
    <w:rsid w:val="00007DCF"/>
    <w:rsid w:val="00007E85"/>
    <w:rsid w:val="00010175"/>
    <w:rsid w:val="000104E0"/>
    <w:rsid w:val="000105C2"/>
    <w:rsid w:val="00010A4F"/>
    <w:rsid w:val="00010C60"/>
    <w:rsid w:val="00010C77"/>
    <w:rsid w:val="00010CB9"/>
    <w:rsid w:val="00010D18"/>
    <w:rsid w:val="00010D87"/>
    <w:rsid w:val="00010E11"/>
    <w:rsid w:val="00011169"/>
    <w:rsid w:val="00011417"/>
    <w:rsid w:val="000114F6"/>
    <w:rsid w:val="00011546"/>
    <w:rsid w:val="00011AAC"/>
    <w:rsid w:val="00011B35"/>
    <w:rsid w:val="00011B58"/>
    <w:rsid w:val="000120DB"/>
    <w:rsid w:val="00012297"/>
    <w:rsid w:val="0001230F"/>
    <w:rsid w:val="00012839"/>
    <w:rsid w:val="000128C4"/>
    <w:rsid w:val="0001297C"/>
    <w:rsid w:val="00012E36"/>
    <w:rsid w:val="0001333E"/>
    <w:rsid w:val="00013417"/>
    <w:rsid w:val="000134FB"/>
    <w:rsid w:val="00013502"/>
    <w:rsid w:val="0001359F"/>
    <w:rsid w:val="000136FF"/>
    <w:rsid w:val="00013878"/>
    <w:rsid w:val="00013BE0"/>
    <w:rsid w:val="00013C27"/>
    <w:rsid w:val="00013D67"/>
    <w:rsid w:val="00014135"/>
    <w:rsid w:val="000141C3"/>
    <w:rsid w:val="0001436A"/>
    <w:rsid w:val="00014B7B"/>
    <w:rsid w:val="0001516F"/>
    <w:rsid w:val="00015683"/>
    <w:rsid w:val="0001576E"/>
    <w:rsid w:val="0001598A"/>
    <w:rsid w:val="00015C15"/>
    <w:rsid w:val="00015C48"/>
    <w:rsid w:val="00015F88"/>
    <w:rsid w:val="000161AD"/>
    <w:rsid w:val="00016251"/>
    <w:rsid w:val="000163AF"/>
    <w:rsid w:val="000166DD"/>
    <w:rsid w:val="00016A14"/>
    <w:rsid w:val="00016E80"/>
    <w:rsid w:val="00016ED3"/>
    <w:rsid w:val="00016FD7"/>
    <w:rsid w:val="00017024"/>
    <w:rsid w:val="0001738E"/>
    <w:rsid w:val="000173F5"/>
    <w:rsid w:val="00017471"/>
    <w:rsid w:val="00017602"/>
    <w:rsid w:val="00017897"/>
    <w:rsid w:val="00017E51"/>
    <w:rsid w:val="00020223"/>
    <w:rsid w:val="000202B9"/>
    <w:rsid w:val="00020449"/>
    <w:rsid w:val="0002045C"/>
    <w:rsid w:val="0002066E"/>
    <w:rsid w:val="000208D2"/>
    <w:rsid w:val="00020BC3"/>
    <w:rsid w:val="00020E91"/>
    <w:rsid w:val="000214DD"/>
    <w:rsid w:val="0002184D"/>
    <w:rsid w:val="00021934"/>
    <w:rsid w:val="0002194D"/>
    <w:rsid w:val="00021B6A"/>
    <w:rsid w:val="00021EC1"/>
    <w:rsid w:val="00022376"/>
    <w:rsid w:val="00022463"/>
    <w:rsid w:val="000226C2"/>
    <w:rsid w:val="0002280D"/>
    <w:rsid w:val="00022CA9"/>
    <w:rsid w:val="00022D89"/>
    <w:rsid w:val="00022E15"/>
    <w:rsid w:val="0002308D"/>
    <w:rsid w:val="00023493"/>
    <w:rsid w:val="0002350A"/>
    <w:rsid w:val="00023748"/>
    <w:rsid w:val="0002379E"/>
    <w:rsid w:val="0002384B"/>
    <w:rsid w:val="00023BFF"/>
    <w:rsid w:val="00023C76"/>
    <w:rsid w:val="00023EF6"/>
    <w:rsid w:val="00023F0D"/>
    <w:rsid w:val="00023F37"/>
    <w:rsid w:val="00023FE5"/>
    <w:rsid w:val="00024002"/>
    <w:rsid w:val="0002407F"/>
    <w:rsid w:val="000241D9"/>
    <w:rsid w:val="00024256"/>
    <w:rsid w:val="00024548"/>
    <w:rsid w:val="00024653"/>
    <w:rsid w:val="0002470B"/>
    <w:rsid w:val="0002485B"/>
    <w:rsid w:val="00024E42"/>
    <w:rsid w:val="00025050"/>
    <w:rsid w:val="00025137"/>
    <w:rsid w:val="00025384"/>
    <w:rsid w:val="0002542F"/>
    <w:rsid w:val="00025480"/>
    <w:rsid w:val="0002596B"/>
    <w:rsid w:val="00025F11"/>
    <w:rsid w:val="0002654B"/>
    <w:rsid w:val="000268EF"/>
    <w:rsid w:val="000268FC"/>
    <w:rsid w:val="00026985"/>
    <w:rsid w:val="00026B95"/>
    <w:rsid w:val="00026C85"/>
    <w:rsid w:val="00026FA8"/>
    <w:rsid w:val="00026FB7"/>
    <w:rsid w:val="00027010"/>
    <w:rsid w:val="0002727D"/>
    <w:rsid w:val="00027312"/>
    <w:rsid w:val="000275FF"/>
    <w:rsid w:val="0002767F"/>
    <w:rsid w:val="00027B53"/>
    <w:rsid w:val="00027C70"/>
    <w:rsid w:val="00027CD1"/>
    <w:rsid w:val="00027F1F"/>
    <w:rsid w:val="00030015"/>
    <w:rsid w:val="000301CF"/>
    <w:rsid w:val="000304D1"/>
    <w:rsid w:val="0003099C"/>
    <w:rsid w:val="00030B17"/>
    <w:rsid w:val="00030B1D"/>
    <w:rsid w:val="00030B2E"/>
    <w:rsid w:val="00030D61"/>
    <w:rsid w:val="0003137C"/>
    <w:rsid w:val="00031439"/>
    <w:rsid w:val="00031D3A"/>
    <w:rsid w:val="00032188"/>
    <w:rsid w:val="0003236F"/>
    <w:rsid w:val="0003239B"/>
    <w:rsid w:val="0003274A"/>
    <w:rsid w:val="000327A7"/>
    <w:rsid w:val="00032804"/>
    <w:rsid w:val="000328F9"/>
    <w:rsid w:val="00032951"/>
    <w:rsid w:val="00032BA2"/>
    <w:rsid w:val="00032C1D"/>
    <w:rsid w:val="00032DBC"/>
    <w:rsid w:val="00032EE7"/>
    <w:rsid w:val="000332D0"/>
    <w:rsid w:val="00033456"/>
    <w:rsid w:val="000336C7"/>
    <w:rsid w:val="000338AB"/>
    <w:rsid w:val="00033950"/>
    <w:rsid w:val="00033BA8"/>
    <w:rsid w:val="00033EC9"/>
    <w:rsid w:val="0003409F"/>
    <w:rsid w:val="000346EC"/>
    <w:rsid w:val="000349F1"/>
    <w:rsid w:val="00034AD3"/>
    <w:rsid w:val="00034C36"/>
    <w:rsid w:val="00034C70"/>
    <w:rsid w:val="00034E25"/>
    <w:rsid w:val="00035259"/>
    <w:rsid w:val="00035684"/>
    <w:rsid w:val="000357B4"/>
    <w:rsid w:val="000357E2"/>
    <w:rsid w:val="00035E33"/>
    <w:rsid w:val="00036009"/>
    <w:rsid w:val="0003609B"/>
    <w:rsid w:val="00036421"/>
    <w:rsid w:val="0003669B"/>
    <w:rsid w:val="00036754"/>
    <w:rsid w:val="00036916"/>
    <w:rsid w:val="00036BE8"/>
    <w:rsid w:val="00036CAC"/>
    <w:rsid w:val="00036D7D"/>
    <w:rsid w:val="00037151"/>
    <w:rsid w:val="00037322"/>
    <w:rsid w:val="00037694"/>
    <w:rsid w:val="00037711"/>
    <w:rsid w:val="000377FE"/>
    <w:rsid w:val="00037AEE"/>
    <w:rsid w:val="00037B1D"/>
    <w:rsid w:val="00037B48"/>
    <w:rsid w:val="00037CD8"/>
    <w:rsid w:val="00037E74"/>
    <w:rsid w:val="00037F1F"/>
    <w:rsid w:val="00040044"/>
    <w:rsid w:val="00040248"/>
    <w:rsid w:val="000402EA"/>
    <w:rsid w:val="0004048E"/>
    <w:rsid w:val="00040528"/>
    <w:rsid w:val="000405F6"/>
    <w:rsid w:val="00040AE0"/>
    <w:rsid w:val="00040BE7"/>
    <w:rsid w:val="00040C61"/>
    <w:rsid w:val="00040CB2"/>
    <w:rsid w:val="0004120A"/>
    <w:rsid w:val="0004123E"/>
    <w:rsid w:val="0004128F"/>
    <w:rsid w:val="000412FF"/>
    <w:rsid w:val="00041336"/>
    <w:rsid w:val="00041350"/>
    <w:rsid w:val="00041355"/>
    <w:rsid w:val="00041381"/>
    <w:rsid w:val="000413B4"/>
    <w:rsid w:val="00041463"/>
    <w:rsid w:val="00041481"/>
    <w:rsid w:val="000415DF"/>
    <w:rsid w:val="000416D3"/>
    <w:rsid w:val="000417A8"/>
    <w:rsid w:val="000417C3"/>
    <w:rsid w:val="00041B3F"/>
    <w:rsid w:val="00041BBD"/>
    <w:rsid w:val="00041C3D"/>
    <w:rsid w:val="00041CF8"/>
    <w:rsid w:val="00042032"/>
    <w:rsid w:val="000420C8"/>
    <w:rsid w:val="0004223E"/>
    <w:rsid w:val="0004228C"/>
    <w:rsid w:val="00042429"/>
    <w:rsid w:val="000426C7"/>
    <w:rsid w:val="00042792"/>
    <w:rsid w:val="00042807"/>
    <w:rsid w:val="00042A1F"/>
    <w:rsid w:val="00042A48"/>
    <w:rsid w:val="00042AF5"/>
    <w:rsid w:val="00042B91"/>
    <w:rsid w:val="00042D67"/>
    <w:rsid w:val="00042D89"/>
    <w:rsid w:val="00042F8F"/>
    <w:rsid w:val="00043481"/>
    <w:rsid w:val="000434FF"/>
    <w:rsid w:val="0004372A"/>
    <w:rsid w:val="00043C70"/>
    <w:rsid w:val="00043CD8"/>
    <w:rsid w:val="00043DAB"/>
    <w:rsid w:val="00043DB7"/>
    <w:rsid w:val="00043E3C"/>
    <w:rsid w:val="0004401C"/>
    <w:rsid w:val="00044084"/>
    <w:rsid w:val="0004454A"/>
    <w:rsid w:val="00044826"/>
    <w:rsid w:val="00044A62"/>
    <w:rsid w:val="000457C9"/>
    <w:rsid w:val="00045A10"/>
    <w:rsid w:val="00045D00"/>
    <w:rsid w:val="00045D09"/>
    <w:rsid w:val="00045F6E"/>
    <w:rsid w:val="00046313"/>
    <w:rsid w:val="00046444"/>
    <w:rsid w:val="000467FD"/>
    <w:rsid w:val="000468F5"/>
    <w:rsid w:val="00046A77"/>
    <w:rsid w:val="00047323"/>
    <w:rsid w:val="0004739B"/>
    <w:rsid w:val="000475B9"/>
    <w:rsid w:val="00047A43"/>
    <w:rsid w:val="00047E2C"/>
    <w:rsid w:val="00050135"/>
    <w:rsid w:val="000502C4"/>
    <w:rsid w:val="0005032D"/>
    <w:rsid w:val="000505A0"/>
    <w:rsid w:val="00050A90"/>
    <w:rsid w:val="00050D0E"/>
    <w:rsid w:val="00050EA5"/>
    <w:rsid w:val="00050F0B"/>
    <w:rsid w:val="0005133C"/>
    <w:rsid w:val="00051421"/>
    <w:rsid w:val="0005142E"/>
    <w:rsid w:val="0005158F"/>
    <w:rsid w:val="00051B0B"/>
    <w:rsid w:val="00051BA3"/>
    <w:rsid w:val="00051D86"/>
    <w:rsid w:val="00051EF3"/>
    <w:rsid w:val="00051F05"/>
    <w:rsid w:val="00051FD8"/>
    <w:rsid w:val="0005214A"/>
    <w:rsid w:val="000521DA"/>
    <w:rsid w:val="00052329"/>
    <w:rsid w:val="00052443"/>
    <w:rsid w:val="00052A45"/>
    <w:rsid w:val="00052A4E"/>
    <w:rsid w:val="00052A7E"/>
    <w:rsid w:val="00052AED"/>
    <w:rsid w:val="00052BC6"/>
    <w:rsid w:val="00052D7A"/>
    <w:rsid w:val="00052E95"/>
    <w:rsid w:val="00052F2D"/>
    <w:rsid w:val="000531DC"/>
    <w:rsid w:val="000534AD"/>
    <w:rsid w:val="0005396A"/>
    <w:rsid w:val="00053B37"/>
    <w:rsid w:val="0005481F"/>
    <w:rsid w:val="00054899"/>
    <w:rsid w:val="00054D13"/>
    <w:rsid w:val="00054F36"/>
    <w:rsid w:val="000550FD"/>
    <w:rsid w:val="0005557F"/>
    <w:rsid w:val="0005582E"/>
    <w:rsid w:val="00055855"/>
    <w:rsid w:val="00055B97"/>
    <w:rsid w:val="00055FA9"/>
    <w:rsid w:val="00056221"/>
    <w:rsid w:val="000562E7"/>
    <w:rsid w:val="000567D0"/>
    <w:rsid w:val="00056997"/>
    <w:rsid w:val="00056A86"/>
    <w:rsid w:val="00056B16"/>
    <w:rsid w:val="00056DE6"/>
    <w:rsid w:val="00056E48"/>
    <w:rsid w:val="00056F2A"/>
    <w:rsid w:val="00056FC9"/>
    <w:rsid w:val="0005707B"/>
    <w:rsid w:val="0005708C"/>
    <w:rsid w:val="000570E8"/>
    <w:rsid w:val="000571B1"/>
    <w:rsid w:val="000572AC"/>
    <w:rsid w:val="000576AA"/>
    <w:rsid w:val="0005798A"/>
    <w:rsid w:val="00057B60"/>
    <w:rsid w:val="00057D3A"/>
    <w:rsid w:val="00057EB7"/>
    <w:rsid w:val="00057F16"/>
    <w:rsid w:val="00057F5F"/>
    <w:rsid w:val="00057FBB"/>
    <w:rsid w:val="0006016C"/>
    <w:rsid w:val="00060440"/>
    <w:rsid w:val="000606C7"/>
    <w:rsid w:val="000608B3"/>
    <w:rsid w:val="00060905"/>
    <w:rsid w:val="000609BB"/>
    <w:rsid w:val="000609BE"/>
    <w:rsid w:val="00060A4A"/>
    <w:rsid w:val="00060E21"/>
    <w:rsid w:val="00060E28"/>
    <w:rsid w:val="00061012"/>
    <w:rsid w:val="00061045"/>
    <w:rsid w:val="000611B9"/>
    <w:rsid w:val="000612DF"/>
    <w:rsid w:val="0006142F"/>
    <w:rsid w:val="0006161D"/>
    <w:rsid w:val="000617AD"/>
    <w:rsid w:val="00061C43"/>
    <w:rsid w:val="00061F98"/>
    <w:rsid w:val="000621A6"/>
    <w:rsid w:val="0006222B"/>
    <w:rsid w:val="0006222C"/>
    <w:rsid w:val="00062389"/>
    <w:rsid w:val="000623B6"/>
    <w:rsid w:val="000624D9"/>
    <w:rsid w:val="0006254F"/>
    <w:rsid w:val="000627A8"/>
    <w:rsid w:val="0006290C"/>
    <w:rsid w:val="00062A4E"/>
    <w:rsid w:val="00062B57"/>
    <w:rsid w:val="00062CDC"/>
    <w:rsid w:val="0006305E"/>
    <w:rsid w:val="000630FF"/>
    <w:rsid w:val="00063675"/>
    <w:rsid w:val="00063676"/>
    <w:rsid w:val="00063684"/>
    <w:rsid w:val="00063787"/>
    <w:rsid w:val="00063925"/>
    <w:rsid w:val="00063962"/>
    <w:rsid w:val="00063A6B"/>
    <w:rsid w:val="00063DFB"/>
    <w:rsid w:val="00063FAC"/>
    <w:rsid w:val="00063FEB"/>
    <w:rsid w:val="0006419A"/>
    <w:rsid w:val="000643B3"/>
    <w:rsid w:val="000643BC"/>
    <w:rsid w:val="0006441A"/>
    <w:rsid w:val="000644E5"/>
    <w:rsid w:val="0006451A"/>
    <w:rsid w:val="000645D5"/>
    <w:rsid w:val="0006463E"/>
    <w:rsid w:val="00064816"/>
    <w:rsid w:val="00064825"/>
    <w:rsid w:val="0006496B"/>
    <w:rsid w:val="00064A50"/>
    <w:rsid w:val="00064D85"/>
    <w:rsid w:val="00064DD2"/>
    <w:rsid w:val="000650E7"/>
    <w:rsid w:val="000651A0"/>
    <w:rsid w:val="00065519"/>
    <w:rsid w:val="00065722"/>
    <w:rsid w:val="0006577B"/>
    <w:rsid w:val="0006580B"/>
    <w:rsid w:val="0006586F"/>
    <w:rsid w:val="0006587F"/>
    <w:rsid w:val="00065B77"/>
    <w:rsid w:val="00065C6F"/>
    <w:rsid w:val="00065CCB"/>
    <w:rsid w:val="00065D56"/>
    <w:rsid w:val="00065E87"/>
    <w:rsid w:val="00065F29"/>
    <w:rsid w:val="00066552"/>
    <w:rsid w:val="000665C6"/>
    <w:rsid w:val="00066646"/>
    <w:rsid w:val="0006679E"/>
    <w:rsid w:val="00066B06"/>
    <w:rsid w:val="00066B32"/>
    <w:rsid w:val="00066BDB"/>
    <w:rsid w:val="00066C67"/>
    <w:rsid w:val="0006714F"/>
    <w:rsid w:val="000672A3"/>
    <w:rsid w:val="0006736A"/>
    <w:rsid w:val="0006736B"/>
    <w:rsid w:val="00067763"/>
    <w:rsid w:val="00067791"/>
    <w:rsid w:val="00067A79"/>
    <w:rsid w:val="00067B36"/>
    <w:rsid w:val="00067B5C"/>
    <w:rsid w:val="00067DA4"/>
    <w:rsid w:val="00067FE8"/>
    <w:rsid w:val="00070066"/>
    <w:rsid w:val="0007057B"/>
    <w:rsid w:val="000707AE"/>
    <w:rsid w:val="000707F2"/>
    <w:rsid w:val="00070BCE"/>
    <w:rsid w:val="00070C37"/>
    <w:rsid w:val="00070C38"/>
    <w:rsid w:val="00070CF9"/>
    <w:rsid w:val="000710D6"/>
    <w:rsid w:val="000712CF"/>
    <w:rsid w:val="0007138B"/>
    <w:rsid w:val="0007147E"/>
    <w:rsid w:val="000715C2"/>
    <w:rsid w:val="00071631"/>
    <w:rsid w:val="0007189A"/>
    <w:rsid w:val="0007193F"/>
    <w:rsid w:val="00071C0D"/>
    <w:rsid w:val="00071C57"/>
    <w:rsid w:val="00071F5E"/>
    <w:rsid w:val="00071FFF"/>
    <w:rsid w:val="000720A6"/>
    <w:rsid w:val="00072355"/>
    <w:rsid w:val="00072448"/>
    <w:rsid w:val="000724FB"/>
    <w:rsid w:val="00072592"/>
    <w:rsid w:val="000727C1"/>
    <w:rsid w:val="00072833"/>
    <w:rsid w:val="000729BA"/>
    <w:rsid w:val="000729DD"/>
    <w:rsid w:val="00072B3A"/>
    <w:rsid w:val="00072C97"/>
    <w:rsid w:val="00072CB3"/>
    <w:rsid w:val="00072D1F"/>
    <w:rsid w:val="00072D22"/>
    <w:rsid w:val="00072E56"/>
    <w:rsid w:val="00072F2A"/>
    <w:rsid w:val="00072FAB"/>
    <w:rsid w:val="0007318C"/>
    <w:rsid w:val="000734E0"/>
    <w:rsid w:val="00073B78"/>
    <w:rsid w:val="00073C95"/>
    <w:rsid w:val="00073D4F"/>
    <w:rsid w:val="00073F6C"/>
    <w:rsid w:val="00074223"/>
    <w:rsid w:val="0007456D"/>
    <w:rsid w:val="000745AB"/>
    <w:rsid w:val="00074701"/>
    <w:rsid w:val="0007495C"/>
    <w:rsid w:val="00075165"/>
    <w:rsid w:val="000751EE"/>
    <w:rsid w:val="0007538F"/>
    <w:rsid w:val="00075526"/>
    <w:rsid w:val="000758E6"/>
    <w:rsid w:val="000759AB"/>
    <w:rsid w:val="00075A0F"/>
    <w:rsid w:val="00075B1A"/>
    <w:rsid w:val="00075C9F"/>
    <w:rsid w:val="00075D23"/>
    <w:rsid w:val="00075F39"/>
    <w:rsid w:val="00075F4A"/>
    <w:rsid w:val="00076189"/>
    <w:rsid w:val="00076333"/>
    <w:rsid w:val="000763C2"/>
    <w:rsid w:val="00076649"/>
    <w:rsid w:val="00076677"/>
    <w:rsid w:val="00076A67"/>
    <w:rsid w:val="00076CB7"/>
    <w:rsid w:val="00076FD2"/>
    <w:rsid w:val="00077018"/>
    <w:rsid w:val="000770DA"/>
    <w:rsid w:val="0007710C"/>
    <w:rsid w:val="0007729D"/>
    <w:rsid w:val="000773C7"/>
    <w:rsid w:val="000773F0"/>
    <w:rsid w:val="000774DE"/>
    <w:rsid w:val="000777CB"/>
    <w:rsid w:val="00077810"/>
    <w:rsid w:val="00077862"/>
    <w:rsid w:val="00077927"/>
    <w:rsid w:val="00077A3F"/>
    <w:rsid w:val="00077A81"/>
    <w:rsid w:val="00077B4F"/>
    <w:rsid w:val="00077FFE"/>
    <w:rsid w:val="00080229"/>
    <w:rsid w:val="000803C6"/>
    <w:rsid w:val="000803CC"/>
    <w:rsid w:val="000806B2"/>
    <w:rsid w:val="00080BD4"/>
    <w:rsid w:val="00080CAB"/>
    <w:rsid w:val="00080DC4"/>
    <w:rsid w:val="0008109C"/>
    <w:rsid w:val="0008133F"/>
    <w:rsid w:val="00081543"/>
    <w:rsid w:val="00081901"/>
    <w:rsid w:val="000819E8"/>
    <w:rsid w:val="00081A7D"/>
    <w:rsid w:val="00081CBE"/>
    <w:rsid w:val="00082091"/>
    <w:rsid w:val="00082214"/>
    <w:rsid w:val="000822A7"/>
    <w:rsid w:val="00082384"/>
    <w:rsid w:val="000824D8"/>
    <w:rsid w:val="000824DA"/>
    <w:rsid w:val="00082573"/>
    <w:rsid w:val="0008277C"/>
    <w:rsid w:val="00082A67"/>
    <w:rsid w:val="00082BA4"/>
    <w:rsid w:val="00082C38"/>
    <w:rsid w:val="00082DE6"/>
    <w:rsid w:val="00082F10"/>
    <w:rsid w:val="00082F89"/>
    <w:rsid w:val="000831CC"/>
    <w:rsid w:val="00083342"/>
    <w:rsid w:val="000833F0"/>
    <w:rsid w:val="00083429"/>
    <w:rsid w:val="0008376E"/>
    <w:rsid w:val="000837F2"/>
    <w:rsid w:val="0008389D"/>
    <w:rsid w:val="00083915"/>
    <w:rsid w:val="00083A08"/>
    <w:rsid w:val="00083ABB"/>
    <w:rsid w:val="00083AF3"/>
    <w:rsid w:val="00083D1E"/>
    <w:rsid w:val="000841D0"/>
    <w:rsid w:val="000843ED"/>
    <w:rsid w:val="00084483"/>
    <w:rsid w:val="000844C5"/>
    <w:rsid w:val="0008455D"/>
    <w:rsid w:val="00084C40"/>
    <w:rsid w:val="00084D80"/>
    <w:rsid w:val="00084E1D"/>
    <w:rsid w:val="00084FC9"/>
    <w:rsid w:val="00085009"/>
    <w:rsid w:val="00085024"/>
    <w:rsid w:val="000850B2"/>
    <w:rsid w:val="000850BD"/>
    <w:rsid w:val="00085196"/>
    <w:rsid w:val="00085273"/>
    <w:rsid w:val="00085569"/>
    <w:rsid w:val="0008558C"/>
    <w:rsid w:val="0008579F"/>
    <w:rsid w:val="00085807"/>
    <w:rsid w:val="00085894"/>
    <w:rsid w:val="00085A5A"/>
    <w:rsid w:val="00085C41"/>
    <w:rsid w:val="00085CE3"/>
    <w:rsid w:val="00086162"/>
    <w:rsid w:val="000861E6"/>
    <w:rsid w:val="00086678"/>
    <w:rsid w:val="00086D0E"/>
    <w:rsid w:val="00086F45"/>
    <w:rsid w:val="000870D6"/>
    <w:rsid w:val="000871DC"/>
    <w:rsid w:val="000872B3"/>
    <w:rsid w:val="00087308"/>
    <w:rsid w:val="00087359"/>
    <w:rsid w:val="000874E0"/>
    <w:rsid w:val="0008789A"/>
    <w:rsid w:val="00087A46"/>
    <w:rsid w:val="00087D26"/>
    <w:rsid w:val="00087E3E"/>
    <w:rsid w:val="0009031C"/>
    <w:rsid w:val="00090EFF"/>
    <w:rsid w:val="00091413"/>
    <w:rsid w:val="0009154D"/>
    <w:rsid w:val="00091608"/>
    <w:rsid w:val="00091620"/>
    <w:rsid w:val="0009169F"/>
    <w:rsid w:val="000916DA"/>
    <w:rsid w:val="000916FA"/>
    <w:rsid w:val="00091732"/>
    <w:rsid w:val="00091877"/>
    <w:rsid w:val="000918E5"/>
    <w:rsid w:val="00091924"/>
    <w:rsid w:val="000919CC"/>
    <w:rsid w:val="000919D0"/>
    <w:rsid w:val="00091A12"/>
    <w:rsid w:val="00091C8E"/>
    <w:rsid w:val="00091D57"/>
    <w:rsid w:val="00091D6D"/>
    <w:rsid w:val="00091ECB"/>
    <w:rsid w:val="00091F48"/>
    <w:rsid w:val="00092008"/>
    <w:rsid w:val="00092082"/>
    <w:rsid w:val="00092185"/>
    <w:rsid w:val="000921A4"/>
    <w:rsid w:val="0009226F"/>
    <w:rsid w:val="00092285"/>
    <w:rsid w:val="0009256D"/>
    <w:rsid w:val="00092642"/>
    <w:rsid w:val="000929CE"/>
    <w:rsid w:val="00092CD9"/>
    <w:rsid w:val="00092DAD"/>
    <w:rsid w:val="00092E9C"/>
    <w:rsid w:val="0009305E"/>
    <w:rsid w:val="00093213"/>
    <w:rsid w:val="00093320"/>
    <w:rsid w:val="0009338A"/>
    <w:rsid w:val="0009385A"/>
    <w:rsid w:val="00093E3F"/>
    <w:rsid w:val="00093EB5"/>
    <w:rsid w:val="0009411B"/>
    <w:rsid w:val="0009453E"/>
    <w:rsid w:val="00094554"/>
    <w:rsid w:val="0009458A"/>
    <w:rsid w:val="00094608"/>
    <w:rsid w:val="0009466C"/>
    <w:rsid w:val="00094903"/>
    <w:rsid w:val="00094F7E"/>
    <w:rsid w:val="00095192"/>
    <w:rsid w:val="0009553C"/>
    <w:rsid w:val="000959FF"/>
    <w:rsid w:val="00095A2B"/>
    <w:rsid w:val="00095A85"/>
    <w:rsid w:val="00095B9A"/>
    <w:rsid w:val="00095F80"/>
    <w:rsid w:val="00095FAF"/>
    <w:rsid w:val="0009606C"/>
    <w:rsid w:val="000962C0"/>
    <w:rsid w:val="00096742"/>
    <w:rsid w:val="00096762"/>
    <w:rsid w:val="0009691E"/>
    <w:rsid w:val="000969CB"/>
    <w:rsid w:val="00096B69"/>
    <w:rsid w:val="000970D0"/>
    <w:rsid w:val="00097292"/>
    <w:rsid w:val="00097A44"/>
    <w:rsid w:val="00097E7F"/>
    <w:rsid w:val="00097EF1"/>
    <w:rsid w:val="00097F62"/>
    <w:rsid w:val="000A010D"/>
    <w:rsid w:val="000A0223"/>
    <w:rsid w:val="000A02BE"/>
    <w:rsid w:val="000A02C1"/>
    <w:rsid w:val="000A0539"/>
    <w:rsid w:val="000A07CA"/>
    <w:rsid w:val="000A093A"/>
    <w:rsid w:val="000A09C5"/>
    <w:rsid w:val="000A0B04"/>
    <w:rsid w:val="000A0BF5"/>
    <w:rsid w:val="000A0E35"/>
    <w:rsid w:val="000A0EA0"/>
    <w:rsid w:val="000A0FA0"/>
    <w:rsid w:val="000A1493"/>
    <w:rsid w:val="000A1553"/>
    <w:rsid w:val="000A17F3"/>
    <w:rsid w:val="000A17FD"/>
    <w:rsid w:val="000A181A"/>
    <w:rsid w:val="000A19D5"/>
    <w:rsid w:val="000A1A38"/>
    <w:rsid w:val="000A1C38"/>
    <w:rsid w:val="000A1EB4"/>
    <w:rsid w:val="000A1EB5"/>
    <w:rsid w:val="000A1F09"/>
    <w:rsid w:val="000A2088"/>
    <w:rsid w:val="000A2339"/>
    <w:rsid w:val="000A25C4"/>
    <w:rsid w:val="000A29B1"/>
    <w:rsid w:val="000A2A88"/>
    <w:rsid w:val="000A2B48"/>
    <w:rsid w:val="000A2E24"/>
    <w:rsid w:val="000A2F72"/>
    <w:rsid w:val="000A2F8F"/>
    <w:rsid w:val="000A3181"/>
    <w:rsid w:val="000A33F6"/>
    <w:rsid w:val="000A3674"/>
    <w:rsid w:val="000A3759"/>
    <w:rsid w:val="000A3B65"/>
    <w:rsid w:val="000A3D14"/>
    <w:rsid w:val="000A3E35"/>
    <w:rsid w:val="000A3E55"/>
    <w:rsid w:val="000A3FD7"/>
    <w:rsid w:val="000A43AB"/>
    <w:rsid w:val="000A457F"/>
    <w:rsid w:val="000A4710"/>
    <w:rsid w:val="000A47D7"/>
    <w:rsid w:val="000A4890"/>
    <w:rsid w:val="000A49ED"/>
    <w:rsid w:val="000A4C27"/>
    <w:rsid w:val="000A4C47"/>
    <w:rsid w:val="000A4C5D"/>
    <w:rsid w:val="000A4F54"/>
    <w:rsid w:val="000A53E8"/>
    <w:rsid w:val="000A5739"/>
    <w:rsid w:val="000A5751"/>
    <w:rsid w:val="000A579F"/>
    <w:rsid w:val="000A58A1"/>
    <w:rsid w:val="000A5901"/>
    <w:rsid w:val="000A59A5"/>
    <w:rsid w:val="000A61E3"/>
    <w:rsid w:val="000A6242"/>
    <w:rsid w:val="000A6529"/>
    <w:rsid w:val="000A6639"/>
    <w:rsid w:val="000A6771"/>
    <w:rsid w:val="000A6CDE"/>
    <w:rsid w:val="000A71B8"/>
    <w:rsid w:val="000A7345"/>
    <w:rsid w:val="000A73A6"/>
    <w:rsid w:val="000A7434"/>
    <w:rsid w:val="000A75D0"/>
    <w:rsid w:val="000A75FB"/>
    <w:rsid w:val="000A7BBF"/>
    <w:rsid w:val="000A7C17"/>
    <w:rsid w:val="000A7FB3"/>
    <w:rsid w:val="000B000E"/>
    <w:rsid w:val="000B0052"/>
    <w:rsid w:val="000B00BC"/>
    <w:rsid w:val="000B044E"/>
    <w:rsid w:val="000B0570"/>
    <w:rsid w:val="000B098C"/>
    <w:rsid w:val="000B0A14"/>
    <w:rsid w:val="000B0AC5"/>
    <w:rsid w:val="000B0C39"/>
    <w:rsid w:val="000B0CDD"/>
    <w:rsid w:val="000B0FD7"/>
    <w:rsid w:val="000B115D"/>
    <w:rsid w:val="000B116E"/>
    <w:rsid w:val="000B1401"/>
    <w:rsid w:val="000B1467"/>
    <w:rsid w:val="000B1554"/>
    <w:rsid w:val="000B1711"/>
    <w:rsid w:val="000B17BD"/>
    <w:rsid w:val="000B18CD"/>
    <w:rsid w:val="000B19F2"/>
    <w:rsid w:val="000B1AAD"/>
    <w:rsid w:val="000B1BEF"/>
    <w:rsid w:val="000B1C78"/>
    <w:rsid w:val="000B20F5"/>
    <w:rsid w:val="000B2153"/>
    <w:rsid w:val="000B21A1"/>
    <w:rsid w:val="000B232D"/>
    <w:rsid w:val="000B2CEB"/>
    <w:rsid w:val="000B2D97"/>
    <w:rsid w:val="000B2F85"/>
    <w:rsid w:val="000B301E"/>
    <w:rsid w:val="000B3024"/>
    <w:rsid w:val="000B3064"/>
    <w:rsid w:val="000B30F6"/>
    <w:rsid w:val="000B333C"/>
    <w:rsid w:val="000B3494"/>
    <w:rsid w:val="000B35E9"/>
    <w:rsid w:val="000B369A"/>
    <w:rsid w:val="000B37D3"/>
    <w:rsid w:val="000B3826"/>
    <w:rsid w:val="000B3AEC"/>
    <w:rsid w:val="000B3B51"/>
    <w:rsid w:val="000B3B8F"/>
    <w:rsid w:val="000B3BA5"/>
    <w:rsid w:val="000B3CD1"/>
    <w:rsid w:val="000B3EC0"/>
    <w:rsid w:val="000B400B"/>
    <w:rsid w:val="000B4216"/>
    <w:rsid w:val="000B4259"/>
    <w:rsid w:val="000B4487"/>
    <w:rsid w:val="000B4770"/>
    <w:rsid w:val="000B47A6"/>
    <w:rsid w:val="000B4AA7"/>
    <w:rsid w:val="000B4B96"/>
    <w:rsid w:val="000B4C93"/>
    <w:rsid w:val="000B4D0C"/>
    <w:rsid w:val="000B4DAC"/>
    <w:rsid w:val="000B501C"/>
    <w:rsid w:val="000B50C6"/>
    <w:rsid w:val="000B57E9"/>
    <w:rsid w:val="000B5AB4"/>
    <w:rsid w:val="000B5CBF"/>
    <w:rsid w:val="000B5DB3"/>
    <w:rsid w:val="000B61E2"/>
    <w:rsid w:val="000B624B"/>
    <w:rsid w:val="000B628B"/>
    <w:rsid w:val="000B63C3"/>
    <w:rsid w:val="000B64BD"/>
    <w:rsid w:val="000B651E"/>
    <w:rsid w:val="000B6548"/>
    <w:rsid w:val="000B65C1"/>
    <w:rsid w:val="000B6723"/>
    <w:rsid w:val="000B68F2"/>
    <w:rsid w:val="000B6A63"/>
    <w:rsid w:val="000B6ABF"/>
    <w:rsid w:val="000B6AE3"/>
    <w:rsid w:val="000B6B63"/>
    <w:rsid w:val="000B6BAF"/>
    <w:rsid w:val="000B6F07"/>
    <w:rsid w:val="000B7046"/>
    <w:rsid w:val="000B7104"/>
    <w:rsid w:val="000B7532"/>
    <w:rsid w:val="000B777E"/>
    <w:rsid w:val="000B7841"/>
    <w:rsid w:val="000B7B7F"/>
    <w:rsid w:val="000B7FD6"/>
    <w:rsid w:val="000C009D"/>
    <w:rsid w:val="000C0123"/>
    <w:rsid w:val="000C017D"/>
    <w:rsid w:val="000C0ADB"/>
    <w:rsid w:val="000C0CBF"/>
    <w:rsid w:val="000C0D5A"/>
    <w:rsid w:val="000C0D70"/>
    <w:rsid w:val="000C1152"/>
    <w:rsid w:val="000C11F2"/>
    <w:rsid w:val="000C1429"/>
    <w:rsid w:val="000C1455"/>
    <w:rsid w:val="000C1530"/>
    <w:rsid w:val="000C15C0"/>
    <w:rsid w:val="000C15EF"/>
    <w:rsid w:val="000C182B"/>
    <w:rsid w:val="000C1935"/>
    <w:rsid w:val="000C1DC0"/>
    <w:rsid w:val="000C2058"/>
    <w:rsid w:val="000C21AA"/>
    <w:rsid w:val="000C2273"/>
    <w:rsid w:val="000C22C1"/>
    <w:rsid w:val="000C28A6"/>
    <w:rsid w:val="000C2A69"/>
    <w:rsid w:val="000C2B7F"/>
    <w:rsid w:val="000C30A1"/>
    <w:rsid w:val="000C3129"/>
    <w:rsid w:val="000C3142"/>
    <w:rsid w:val="000C33C0"/>
    <w:rsid w:val="000C3404"/>
    <w:rsid w:val="000C3499"/>
    <w:rsid w:val="000C35A1"/>
    <w:rsid w:val="000C370D"/>
    <w:rsid w:val="000C392A"/>
    <w:rsid w:val="000C39F8"/>
    <w:rsid w:val="000C3AD6"/>
    <w:rsid w:val="000C3AE7"/>
    <w:rsid w:val="000C3C14"/>
    <w:rsid w:val="000C3C83"/>
    <w:rsid w:val="000C3E2D"/>
    <w:rsid w:val="000C3ED6"/>
    <w:rsid w:val="000C3FC9"/>
    <w:rsid w:val="000C43A5"/>
    <w:rsid w:val="000C49A4"/>
    <w:rsid w:val="000C4A13"/>
    <w:rsid w:val="000C4A1B"/>
    <w:rsid w:val="000C4F32"/>
    <w:rsid w:val="000C5047"/>
    <w:rsid w:val="000C50C3"/>
    <w:rsid w:val="000C52C6"/>
    <w:rsid w:val="000C52F7"/>
    <w:rsid w:val="000C53CC"/>
    <w:rsid w:val="000C551E"/>
    <w:rsid w:val="000C598E"/>
    <w:rsid w:val="000C599F"/>
    <w:rsid w:val="000C5D09"/>
    <w:rsid w:val="000C5DDC"/>
    <w:rsid w:val="000C62E4"/>
    <w:rsid w:val="000C6400"/>
    <w:rsid w:val="000C66DF"/>
    <w:rsid w:val="000C6766"/>
    <w:rsid w:val="000C693F"/>
    <w:rsid w:val="000C6C3D"/>
    <w:rsid w:val="000C72B9"/>
    <w:rsid w:val="000C73E2"/>
    <w:rsid w:val="000C74B8"/>
    <w:rsid w:val="000C74C1"/>
    <w:rsid w:val="000C7605"/>
    <w:rsid w:val="000C761C"/>
    <w:rsid w:val="000C7628"/>
    <w:rsid w:val="000C77C6"/>
    <w:rsid w:val="000C77D7"/>
    <w:rsid w:val="000C77EB"/>
    <w:rsid w:val="000C7C3C"/>
    <w:rsid w:val="000C7C60"/>
    <w:rsid w:val="000C7E1C"/>
    <w:rsid w:val="000C7E5D"/>
    <w:rsid w:val="000C7EC5"/>
    <w:rsid w:val="000D0035"/>
    <w:rsid w:val="000D00E0"/>
    <w:rsid w:val="000D0492"/>
    <w:rsid w:val="000D0703"/>
    <w:rsid w:val="000D0720"/>
    <w:rsid w:val="000D0E90"/>
    <w:rsid w:val="000D0F8F"/>
    <w:rsid w:val="000D119B"/>
    <w:rsid w:val="000D1305"/>
    <w:rsid w:val="000D1447"/>
    <w:rsid w:val="000D1488"/>
    <w:rsid w:val="000D1542"/>
    <w:rsid w:val="000D171B"/>
    <w:rsid w:val="000D17DA"/>
    <w:rsid w:val="000D17FD"/>
    <w:rsid w:val="000D1BFB"/>
    <w:rsid w:val="000D1C5A"/>
    <w:rsid w:val="000D1D0E"/>
    <w:rsid w:val="000D1E35"/>
    <w:rsid w:val="000D1ECA"/>
    <w:rsid w:val="000D229A"/>
    <w:rsid w:val="000D2732"/>
    <w:rsid w:val="000D289C"/>
    <w:rsid w:val="000D2DBD"/>
    <w:rsid w:val="000D2DD6"/>
    <w:rsid w:val="000D2E07"/>
    <w:rsid w:val="000D2E5A"/>
    <w:rsid w:val="000D2EFC"/>
    <w:rsid w:val="000D2F7C"/>
    <w:rsid w:val="000D30E7"/>
    <w:rsid w:val="000D325C"/>
    <w:rsid w:val="000D329D"/>
    <w:rsid w:val="000D3428"/>
    <w:rsid w:val="000D404E"/>
    <w:rsid w:val="000D40C9"/>
    <w:rsid w:val="000D4433"/>
    <w:rsid w:val="000D4435"/>
    <w:rsid w:val="000D4744"/>
    <w:rsid w:val="000D4779"/>
    <w:rsid w:val="000D49F0"/>
    <w:rsid w:val="000D4DA6"/>
    <w:rsid w:val="000D4E17"/>
    <w:rsid w:val="000D52D6"/>
    <w:rsid w:val="000D574B"/>
    <w:rsid w:val="000D5A41"/>
    <w:rsid w:val="000D5B57"/>
    <w:rsid w:val="000D5D46"/>
    <w:rsid w:val="000D5DC1"/>
    <w:rsid w:val="000D5DF9"/>
    <w:rsid w:val="000D5EAA"/>
    <w:rsid w:val="000D5FB6"/>
    <w:rsid w:val="000D60DC"/>
    <w:rsid w:val="000D6158"/>
    <w:rsid w:val="000D61AD"/>
    <w:rsid w:val="000D6212"/>
    <w:rsid w:val="000D628D"/>
    <w:rsid w:val="000D637F"/>
    <w:rsid w:val="000D6410"/>
    <w:rsid w:val="000D64B4"/>
    <w:rsid w:val="000D6605"/>
    <w:rsid w:val="000D663C"/>
    <w:rsid w:val="000D6870"/>
    <w:rsid w:val="000D6AEE"/>
    <w:rsid w:val="000D6B59"/>
    <w:rsid w:val="000D6BDD"/>
    <w:rsid w:val="000D6CB1"/>
    <w:rsid w:val="000D6EF5"/>
    <w:rsid w:val="000D6F9B"/>
    <w:rsid w:val="000D722A"/>
    <w:rsid w:val="000D750A"/>
    <w:rsid w:val="000D7554"/>
    <w:rsid w:val="000D7CBE"/>
    <w:rsid w:val="000D7CF6"/>
    <w:rsid w:val="000D7D4F"/>
    <w:rsid w:val="000D7E59"/>
    <w:rsid w:val="000D7E73"/>
    <w:rsid w:val="000D7ED3"/>
    <w:rsid w:val="000E0007"/>
    <w:rsid w:val="000E00A9"/>
    <w:rsid w:val="000E0247"/>
    <w:rsid w:val="000E03C7"/>
    <w:rsid w:val="000E08B8"/>
    <w:rsid w:val="000E0937"/>
    <w:rsid w:val="000E0BCF"/>
    <w:rsid w:val="000E0C18"/>
    <w:rsid w:val="000E0D4D"/>
    <w:rsid w:val="000E0E69"/>
    <w:rsid w:val="000E120E"/>
    <w:rsid w:val="000E135C"/>
    <w:rsid w:val="000E1494"/>
    <w:rsid w:val="000E14CE"/>
    <w:rsid w:val="000E16FD"/>
    <w:rsid w:val="000E1B4F"/>
    <w:rsid w:val="000E1C71"/>
    <w:rsid w:val="000E1DA0"/>
    <w:rsid w:val="000E1EC3"/>
    <w:rsid w:val="000E2132"/>
    <w:rsid w:val="000E2424"/>
    <w:rsid w:val="000E2459"/>
    <w:rsid w:val="000E24D7"/>
    <w:rsid w:val="000E24E5"/>
    <w:rsid w:val="000E27DF"/>
    <w:rsid w:val="000E289F"/>
    <w:rsid w:val="000E2943"/>
    <w:rsid w:val="000E2B83"/>
    <w:rsid w:val="000E2F4F"/>
    <w:rsid w:val="000E308D"/>
    <w:rsid w:val="000E338F"/>
    <w:rsid w:val="000E3644"/>
    <w:rsid w:val="000E3887"/>
    <w:rsid w:val="000E3EA3"/>
    <w:rsid w:val="000E4097"/>
    <w:rsid w:val="000E4170"/>
    <w:rsid w:val="000E4275"/>
    <w:rsid w:val="000E42A4"/>
    <w:rsid w:val="000E4585"/>
    <w:rsid w:val="000E45AB"/>
    <w:rsid w:val="000E45CE"/>
    <w:rsid w:val="000E45ED"/>
    <w:rsid w:val="000E480A"/>
    <w:rsid w:val="000E487B"/>
    <w:rsid w:val="000E4A56"/>
    <w:rsid w:val="000E4B3B"/>
    <w:rsid w:val="000E4C26"/>
    <w:rsid w:val="000E4CBD"/>
    <w:rsid w:val="000E4CCE"/>
    <w:rsid w:val="000E4CE8"/>
    <w:rsid w:val="000E4E21"/>
    <w:rsid w:val="000E4F55"/>
    <w:rsid w:val="000E5246"/>
    <w:rsid w:val="000E53F4"/>
    <w:rsid w:val="000E56A9"/>
    <w:rsid w:val="000E575A"/>
    <w:rsid w:val="000E58C9"/>
    <w:rsid w:val="000E5CA0"/>
    <w:rsid w:val="000E5CA3"/>
    <w:rsid w:val="000E5D3B"/>
    <w:rsid w:val="000E5DE1"/>
    <w:rsid w:val="000E5F38"/>
    <w:rsid w:val="000E602E"/>
    <w:rsid w:val="000E625C"/>
    <w:rsid w:val="000E625F"/>
    <w:rsid w:val="000E6281"/>
    <w:rsid w:val="000E6566"/>
    <w:rsid w:val="000E6721"/>
    <w:rsid w:val="000E6C89"/>
    <w:rsid w:val="000E6E80"/>
    <w:rsid w:val="000E7058"/>
    <w:rsid w:val="000E7080"/>
    <w:rsid w:val="000E7122"/>
    <w:rsid w:val="000E7362"/>
    <w:rsid w:val="000E75EE"/>
    <w:rsid w:val="000E75FB"/>
    <w:rsid w:val="000E7699"/>
    <w:rsid w:val="000E7C81"/>
    <w:rsid w:val="000E7EA2"/>
    <w:rsid w:val="000E7F7C"/>
    <w:rsid w:val="000F0232"/>
    <w:rsid w:val="000F03DD"/>
    <w:rsid w:val="000F04F5"/>
    <w:rsid w:val="000F0666"/>
    <w:rsid w:val="000F08F0"/>
    <w:rsid w:val="000F091C"/>
    <w:rsid w:val="000F0B13"/>
    <w:rsid w:val="000F0BA4"/>
    <w:rsid w:val="000F0D0C"/>
    <w:rsid w:val="000F0D3F"/>
    <w:rsid w:val="000F1061"/>
    <w:rsid w:val="000F1389"/>
    <w:rsid w:val="000F13F0"/>
    <w:rsid w:val="000F153B"/>
    <w:rsid w:val="000F15C8"/>
    <w:rsid w:val="000F1628"/>
    <w:rsid w:val="000F1AA6"/>
    <w:rsid w:val="000F1BB2"/>
    <w:rsid w:val="000F1BD4"/>
    <w:rsid w:val="000F1D07"/>
    <w:rsid w:val="000F1F51"/>
    <w:rsid w:val="000F2512"/>
    <w:rsid w:val="000F2656"/>
    <w:rsid w:val="000F29F2"/>
    <w:rsid w:val="000F2A23"/>
    <w:rsid w:val="000F2A9F"/>
    <w:rsid w:val="000F2AED"/>
    <w:rsid w:val="000F2BE8"/>
    <w:rsid w:val="000F2C70"/>
    <w:rsid w:val="000F2E0F"/>
    <w:rsid w:val="000F2FA0"/>
    <w:rsid w:val="000F308B"/>
    <w:rsid w:val="000F3554"/>
    <w:rsid w:val="000F35D5"/>
    <w:rsid w:val="000F3742"/>
    <w:rsid w:val="000F3816"/>
    <w:rsid w:val="000F386C"/>
    <w:rsid w:val="000F3904"/>
    <w:rsid w:val="000F3BB5"/>
    <w:rsid w:val="000F3D68"/>
    <w:rsid w:val="000F3DAC"/>
    <w:rsid w:val="000F3EAB"/>
    <w:rsid w:val="000F402A"/>
    <w:rsid w:val="000F404C"/>
    <w:rsid w:val="000F496E"/>
    <w:rsid w:val="000F4B85"/>
    <w:rsid w:val="000F4BDA"/>
    <w:rsid w:val="000F4EF6"/>
    <w:rsid w:val="000F4F03"/>
    <w:rsid w:val="000F4F75"/>
    <w:rsid w:val="000F5852"/>
    <w:rsid w:val="000F5891"/>
    <w:rsid w:val="000F58C4"/>
    <w:rsid w:val="000F5CEE"/>
    <w:rsid w:val="000F5DFE"/>
    <w:rsid w:val="000F5E28"/>
    <w:rsid w:val="000F5F15"/>
    <w:rsid w:val="000F5F48"/>
    <w:rsid w:val="000F5FE6"/>
    <w:rsid w:val="000F605D"/>
    <w:rsid w:val="000F64E6"/>
    <w:rsid w:val="000F6529"/>
    <w:rsid w:val="000F6674"/>
    <w:rsid w:val="000F6823"/>
    <w:rsid w:val="000F69B4"/>
    <w:rsid w:val="000F6A50"/>
    <w:rsid w:val="000F6D20"/>
    <w:rsid w:val="000F6E1C"/>
    <w:rsid w:val="000F70F4"/>
    <w:rsid w:val="000F7415"/>
    <w:rsid w:val="000F743D"/>
    <w:rsid w:val="000F7460"/>
    <w:rsid w:val="000F74B5"/>
    <w:rsid w:val="000F7573"/>
    <w:rsid w:val="000F7671"/>
    <w:rsid w:val="000F76C1"/>
    <w:rsid w:val="000F7790"/>
    <w:rsid w:val="000F78AB"/>
    <w:rsid w:val="000F7C7E"/>
    <w:rsid w:val="000F7E11"/>
    <w:rsid w:val="00100030"/>
    <w:rsid w:val="00100070"/>
    <w:rsid w:val="0010009B"/>
    <w:rsid w:val="001000C5"/>
    <w:rsid w:val="001000CE"/>
    <w:rsid w:val="001002BD"/>
    <w:rsid w:val="0010030F"/>
    <w:rsid w:val="0010046F"/>
    <w:rsid w:val="0010062E"/>
    <w:rsid w:val="0010082D"/>
    <w:rsid w:val="00100ADE"/>
    <w:rsid w:val="0010102E"/>
    <w:rsid w:val="0010176C"/>
    <w:rsid w:val="00101956"/>
    <w:rsid w:val="00101A90"/>
    <w:rsid w:val="00101A9A"/>
    <w:rsid w:val="00101F85"/>
    <w:rsid w:val="001025FB"/>
    <w:rsid w:val="001027B7"/>
    <w:rsid w:val="00102934"/>
    <w:rsid w:val="0010295C"/>
    <w:rsid w:val="0010297C"/>
    <w:rsid w:val="00102D75"/>
    <w:rsid w:val="00103227"/>
    <w:rsid w:val="001034E3"/>
    <w:rsid w:val="001038B5"/>
    <w:rsid w:val="001038FC"/>
    <w:rsid w:val="001039A5"/>
    <w:rsid w:val="00103BFF"/>
    <w:rsid w:val="00103C0B"/>
    <w:rsid w:val="00103CDD"/>
    <w:rsid w:val="00103D4B"/>
    <w:rsid w:val="00103F93"/>
    <w:rsid w:val="00104122"/>
    <w:rsid w:val="0010434F"/>
    <w:rsid w:val="001044D6"/>
    <w:rsid w:val="001044E2"/>
    <w:rsid w:val="00104602"/>
    <w:rsid w:val="0010490F"/>
    <w:rsid w:val="001049A9"/>
    <w:rsid w:val="00104A1E"/>
    <w:rsid w:val="00104AFD"/>
    <w:rsid w:val="00104F1A"/>
    <w:rsid w:val="00104F5E"/>
    <w:rsid w:val="00105349"/>
    <w:rsid w:val="00105754"/>
    <w:rsid w:val="00105A67"/>
    <w:rsid w:val="00105CB5"/>
    <w:rsid w:val="00105D7C"/>
    <w:rsid w:val="00105DC6"/>
    <w:rsid w:val="0010632F"/>
    <w:rsid w:val="001064B0"/>
    <w:rsid w:val="001066D9"/>
    <w:rsid w:val="001068DD"/>
    <w:rsid w:val="00106C06"/>
    <w:rsid w:val="00106D10"/>
    <w:rsid w:val="00106E02"/>
    <w:rsid w:val="00106F42"/>
    <w:rsid w:val="001072D0"/>
    <w:rsid w:val="0010743C"/>
    <w:rsid w:val="0010777F"/>
    <w:rsid w:val="001077B4"/>
    <w:rsid w:val="001077FD"/>
    <w:rsid w:val="00107C0D"/>
    <w:rsid w:val="001100E0"/>
    <w:rsid w:val="00110100"/>
    <w:rsid w:val="00110119"/>
    <w:rsid w:val="00110344"/>
    <w:rsid w:val="001104FB"/>
    <w:rsid w:val="001104FF"/>
    <w:rsid w:val="00110815"/>
    <w:rsid w:val="00110887"/>
    <w:rsid w:val="001108CC"/>
    <w:rsid w:val="00110AC3"/>
    <w:rsid w:val="00110CCC"/>
    <w:rsid w:val="00110D00"/>
    <w:rsid w:val="00111076"/>
    <w:rsid w:val="00111084"/>
    <w:rsid w:val="001112B2"/>
    <w:rsid w:val="001112D6"/>
    <w:rsid w:val="001118A9"/>
    <w:rsid w:val="00111A88"/>
    <w:rsid w:val="00111AC8"/>
    <w:rsid w:val="00111C01"/>
    <w:rsid w:val="00111D05"/>
    <w:rsid w:val="00111D94"/>
    <w:rsid w:val="00112087"/>
    <w:rsid w:val="001120A2"/>
    <w:rsid w:val="001122F5"/>
    <w:rsid w:val="001124E7"/>
    <w:rsid w:val="001124E8"/>
    <w:rsid w:val="00112524"/>
    <w:rsid w:val="0011277A"/>
    <w:rsid w:val="0011292A"/>
    <w:rsid w:val="00112BE7"/>
    <w:rsid w:val="00112C80"/>
    <w:rsid w:val="00112C86"/>
    <w:rsid w:val="00113084"/>
    <w:rsid w:val="00113167"/>
    <w:rsid w:val="001131C8"/>
    <w:rsid w:val="00113316"/>
    <w:rsid w:val="001134EC"/>
    <w:rsid w:val="00113518"/>
    <w:rsid w:val="00113771"/>
    <w:rsid w:val="0011378A"/>
    <w:rsid w:val="001139FC"/>
    <w:rsid w:val="00113BEC"/>
    <w:rsid w:val="0011402F"/>
    <w:rsid w:val="00114A09"/>
    <w:rsid w:val="00114A18"/>
    <w:rsid w:val="00114D4D"/>
    <w:rsid w:val="00114E72"/>
    <w:rsid w:val="00114F66"/>
    <w:rsid w:val="00115178"/>
    <w:rsid w:val="001151D8"/>
    <w:rsid w:val="001152E9"/>
    <w:rsid w:val="00115A44"/>
    <w:rsid w:val="00115E1F"/>
    <w:rsid w:val="00115E28"/>
    <w:rsid w:val="001166BD"/>
    <w:rsid w:val="00116A36"/>
    <w:rsid w:val="00116A38"/>
    <w:rsid w:val="00116AE0"/>
    <w:rsid w:val="00116C60"/>
    <w:rsid w:val="00116D38"/>
    <w:rsid w:val="00116DAE"/>
    <w:rsid w:val="00116EAD"/>
    <w:rsid w:val="00116EFD"/>
    <w:rsid w:val="001171B6"/>
    <w:rsid w:val="0011727F"/>
    <w:rsid w:val="001174C0"/>
    <w:rsid w:val="001178B2"/>
    <w:rsid w:val="00117B2A"/>
    <w:rsid w:val="00117C04"/>
    <w:rsid w:val="00117D8F"/>
    <w:rsid w:val="00117DBF"/>
    <w:rsid w:val="00117DF7"/>
    <w:rsid w:val="00120288"/>
    <w:rsid w:val="00120678"/>
    <w:rsid w:val="001207D9"/>
    <w:rsid w:val="00120C17"/>
    <w:rsid w:val="00120F4D"/>
    <w:rsid w:val="0012147C"/>
    <w:rsid w:val="001215F0"/>
    <w:rsid w:val="001217AE"/>
    <w:rsid w:val="001217C0"/>
    <w:rsid w:val="00121B5F"/>
    <w:rsid w:val="00121B86"/>
    <w:rsid w:val="00121D82"/>
    <w:rsid w:val="00121DAE"/>
    <w:rsid w:val="00122335"/>
    <w:rsid w:val="0012238D"/>
    <w:rsid w:val="00122510"/>
    <w:rsid w:val="00122732"/>
    <w:rsid w:val="00122ACF"/>
    <w:rsid w:val="00122BD9"/>
    <w:rsid w:val="00122C9F"/>
    <w:rsid w:val="00122E7B"/>
    <w:rsid w:val="00123147"/>
    <w:rsid w:val="0012318A"/>
    <w:rsid w:val="001231A9"/>
    <w:rsid w:val="00123463"/>
    <w:rsid w:val="001234ED"/>
    <w:rsid w:val="0012368A"/>
    <w:rsid w:val="001238D7"/>
    <w:rsid w:val="001239CE"/>
    <w:rsid w:val="001239F9"/>
    <w:rsid w:val="00123C2E"/>
    <w:rsid w:val="00123D62"/>
    <w:rsid w:val="00123D91"/>
    <w:rsid w:val="00123FAB"/>
    <w:rsid w:val="00124036"/>
    <w:rsid w:val="00124255"/>
    <w:rsid w:val="001242B0"/>
    <w:rsid w:val="0012447B"/>
    <w:rsid w:val="00124524"/>
    <w:rsid w:val="0012455C"/>
    <w:rsid w:val="001245A9"/>
    <w:rsid w:val="00124D2A"/>
    <w:rsid w:val="00124D2F"/>
    <w:rsid w:val="00124D99"/>
    <w:rsid w:val="00124E17"/>
    <w:rsid w:val="00124F6A"/>
    <w:rsid w:val="0012501B"/>
    <w:rsid w:val="00125245"/>
    <w:rsid w:val="001257C4"/>
    <w:rsid w:val="00125C66"/>
    <w:rsid w:val="00125DAC"/>
    <w:rsid w:val="001262F6"/>
    <w:rsid w:val="001264C7"/>
    <w:rsid w:val="0012652B"/>
    <w:rsid w:val="00126584"/>
    <w:rsid w:val="001268C5"/>
    <w:rsid w:val="00126A78"/>
    <w:rsid w:val="00126C8D"/>
    <w:rsid w:val="00126E22"/>
    <w:rsid w:val="00126E56"/>
    <w:rsid w:val="001270D7"/>
    <w:rsid w:val="0012734B"/>
    <w:rsid w:val="001274E9"/>
    <w:rsid w:val="00127618"/>
    <w:rsid w:val="00127735"/>
    <w:rsid w:val="001277D3"/>
    <w:rsid w:val="001277E6"/>
    <w:rsid w:val="0012784E"/>
    <w:rsid w:val="00127A04"/>
    <w:rsid w:val="00127ABE"/>
    <w:rsid w:val="00127C6E"/>
    <w:rsid w:val="00127DA6"/>
    <w:rsid w:val="00127DCA"/>
    <w:rsid w:val="0013006F"/>
    <w:rsid w:val="001303F4"/>
    <w:rsid w:val="001304CA"/>
    <w:rsid w:val="001304F9"/>
    <w:rsid w:val="001308ED"/>
    <w:rsid w:val="00130958"/>
    <w:rsid w:val="00130A20"/>
    <w:rsid w:val="00130A5D"/>
    <w:rsid w:val="00130CA0"/>
    <w:rsid w:val="00130CCB"/>
    <w:rsid w:val="00130F71"/>
    <w:rsid w:val="0013130D"/>
    <w:rsid w:val="001316F2"/>
    <w:rsid w:val="001317B4"/>
    <w:rsid w:val="00131CC8"/>
    <w:rsid w:val="00131DC7"/>
    <w:rsid w:val="00131E5A"/>
    <w:rsid w:val="001325B4"/>
    <w:rsid w:val="001329E6"/>
    <w:rsid w:val="00132EA6"/>
    <w:rsid w:val="00133435"/>
    <w:rsid w:val="00133CC1"/>
    <w:rsid w:val="00133F68"/>
    <w:rsid w:val="00133F70"/>
    <w:rsid w:val="0013408D"/>
    <w:rsid w:val="0013415E"/>
    <w:rsid w:val="001341FE"/>
    <w:rsid w:val="0013425C"/>
    <w:rsid w:val="0013461F"/>
    <w:rsid w:val="001348B8"/>
    <w:rsid w:val="0013490F"/>
    <w:rsid w:val="001350C3"/>
    <w:rsid w:val="0013524E"/>
    <w:rsid w:val="001354DC"/>
    <w:rsid w:val="00135804"/>
    <w:rsid w:val="001359C5"/>
    <w:rsid w:val="00135C15"/>
    <w:rsid w:val="00135F54"/>
    <w:rsid w:val="0013635F"/>
    <w:rsid w:val="0013646A"/>
    <w:rsid w:val="001364CC"/>
    <w:rsid w:val="0013663A"/>
    <w:rsid w:val="00136662"/>
    <w:rsid w:val="0013697D"/>
    <w:rsid w:val="00136A1C"/>
    <w:rsid w:val="00136B14"/>
    <w:rsid w:val="00136B7D"/>
    <w:rsid w:val="00136C72"/>
    <w:rsid w:val="00136C92"/>
    <w:rsid w:val="00136D26"/>
    <w:rsid w:val="00137253"/>
    <w:rsid w:val="00137384"/>
    <w:rsid w:val="00137394"/>
    <w:rsid w:val="0013746B"/>
    <w:rsid w:val="001376D0"/>
    <w:rsid w:val="00137E9F"/>
    <w:rsid w:val="00137FBE"/>
    <w:rsid w:val="0014006B"/>
    <w:rsid w:val="0014007B"/>
    <w:rsid w:val="001400C3"/>
    <w:rsid w:val="00140184"/>
    <w:rsid w:val="001401FB"/>
    <w:rsid w:val="0014034D"/>
    <w:rsid w:val="0014065C"/>
    <w:rsid w:val="00140C8E"/>
    <w:rsid w:val="00140EEC"/>
    <w:rsid w:val="00140EFA"/>
    <w:rsid w:val="0014102F"/>
    <w:rsid w:val="001411F1"/>
    <w:rsid w:val="00141281"/>
    <w:rsid w:val="0014129C"/>
    <w:rsid w:val="00141369"/>
    <w:rsid w:val="0014161B"/>
    <w:rsid w:val="00141676"/>
    <w:rsid w:val="001418B4"/>
    <w:rsid w:val="00141AE7"/>
    <w:rsid w:val="00141AEC"/>
    <w:rsid w:val="00141BF2"/>
    <w:rsid w:val="00141C68"/>
    <w:rsid w:val="00141CAA"/>
    <w:rsid w:val="00141EC3"/>
    <w:rsid w:val="00141F74"/>
    <w:rsid w:val="00142189"/>
    <w:rsid w:val="00142197"/>
    <w:rsid w:val="00142383"/>
    <w:rsid w:val="001425DC"/>
    <w:rsid w:val="0014275A"/>
    <w:rsid w:val="001428B6"/>
    <w:rsid w:val="00142C2F"/>
    <w:rsid w:val="00142E65"/>
    <w:rsid w:val="00142F54"/>
    <w:rsid w:val="00143085"/>
    <w:rsid w:val="001434E7"/>
    <w:rsid w:val="001435BC"/>
    <w:rsid w:val="0014364D"/>
    <w:rsid w:val="001439FC"/>
    <w:rsid w:val="00143B94"/>
    <w:rsid w:val="00143C30"/>
    <w:rsid w:val="00144090"/>
    <w:rsid w:val="0014433C"/>
    <w:rsid w:val="00144658"/>
    <w:rsid w:val="0014478F"/>
    <w:rsid w:val="00144B2C"/>
    <w:rsid w:val="00144B64"/>
    <w:rsid w:val="00144C6B"/>
    <w:rsid w:val="00144D60"/>
    <w:rsid w:val="001452E9"/>
    <w:rsid w:val="001452EB"/>
    <w:rsid w:val="0014549B"/>
    <w:rsid w:val="0014568C"/>
    <w:rsid w:val="001459CD"/>
    <w:rsid w:val="00145B5E"/>
    <w:rsid w:val="00145C10"/>
    <w:rsid w:val="00145C62"/>
    <w:rsid w:val="00145C84"/>
    <w:rsid w:val="0014635B"/>
    <w:rsid w:val="0014642E"/>
    <w:rsid w:val="0014663E"/>
    <w:rsid w:val="00146B0D"/>
    <w:rsid w:val="00146D33"/>
    <w:rsid w:val="001471F9"/>
    <w:rsid w:val="001472AB"/>
    <w:rsid w:val="0014734B"/>
    <w:rsid w:val="0014741F"/>
    <w:rsid w:val="00147541"/>
    <w:rsid w:val="001476BE"/>
    <w:rsid w:val="0014788B"/>
    <w:rsid w:val="00147AE7"/>
    <w:rsid w:val="00147CFD"/>
    <w:rsid w:val="00147D7C"/>
    <w:rsid w:val="00147E0B"/>
    <w:rsid w:val="0015032D"/>
    <w:rsid w:val="00150699"/>
    <w:rsid w:val="001507F2"/>
    <w:rsid w:val="00150886"/>
    <w:rsid w:val="001509BC"/>
    <w:rsid w:val="00150C05"/>
    <w:rsid w:val="00150D0E"/>
    <w:rsid w:val="00150DEB"/>
    <w:rsid w:val="00150E93"/>
    <w:rsid w:val="00150ED3"/>
    <w:rsid w:val="001510B7"/>
    <w:rsid w:val="0015136D"/>
    <w:rsid w:val="0015144D"/>
    <w:rsid w:val="00151588"/>
    <w:rsid w:val="001515F6"/>
    <w:rsid w:val="001519E7"/>
    <w:rsid w:val="001519E9"/>
    <w:rsid w:val="00151A15"/>
    <w:rsid w:val="00151A9E"/>
    <w:rsid w:val="00151EB8"/>
    <w:rsid w:val="00152346"/>
    <w:rsid w:val="001526E5"/>
    <w:rsid w:val="001527D1"/>
    <w:rsid w:val="001527FC"/>
    <w:rsid w:val="00152D8A"/>
    <w:rsid w:val="00152EE8"/>
    <w:rsid w:val="00152F4B"/>
    <w:rsid w:val="0015313A"/>
    <w:rsid w:val="00153301"/>
    <w:rsid w:val="00153310"/>
    <w:rsid w:val="0015340C"/>
    <w:rsid w:val="00153959"/>
    <w:rsid w:val="00153C84"/>
    <w:rsid w:val="00153D46"/>
    <w:rsid w:val="00153D98"/>
    <w:rsid w:val="00153E9D"/>
    <w:rsid w:val="00154008"/>
    <w:rsid w:val="0015431B"/>
    <w:rsid w:val="001543CF"/>
    <w:rsid w:val="0015451E"/>
    <w:rsid w:val="0015456A"/>
    <w:rsid w:val="0015477C"/>
    <w:rsid w:val="001547C6"/>
    <w:rsid w:val="00154907"/>
    <w:rsid w:val="00154B7C"/>
    <w:rsid w:val="00154DEA"/>
    <w:rsid w:val="00154E5D"/>
    <w:rsid w:val="00155188"/>
    <w:rsid w:val="001551B9"/>
    <w:rsid w:val="00155261"/>
    <w:rsid w:val="00155281"/>
    <w:rsid w:val="00155398"/>
    <w:rsid w:val="00155512"/>
    <w:rsid w:val="00155553"/>
    <w:rsid w:val="001555E3"/>
    <w:rsid w:val="00155628"/>
    <w:rsid w:val="0015565F"/>
    <w:rsid w:val="001558F8"/>
    <w:rsid w:val="00155933"/>
    <w:rsid w:val="00155A62"/>
    <w:rsid w:val="00155CFF"/>
    <w:rsid w:val="00155EAE"/>
    <w:rsid w:val="00155EF2"/>
    <w:rsid w:val="00155FBB"/>
    <w:rsid w:val="001560C2"/>
    <w:rsid w:val="0015610B"/>
    <w:rsid w:val="001562D9"/>
    <w:rsid w:val="001562DF"/>
    <w:rsid w:val="00156396"/>
    <w:rsid w:val="00156810"/>
    <w:rsid w:val="0015685F"/>
    <w:rsid w:val="00156877"/>
    <w:rsid w:val="00156DB1"/>
    <w:rsid w:val="00156E94"/>
    <w:rsid w:val="00156F68"/>
    <w:rsid w:val="001576B5"/>
    <w:rsid w:val="00157929"/>
    <w:rsid w:val="00157949"/>
    <w:rsid w:val="001579C6"/>
    <w:rsid w:val="00157CA7"/>
    <w:rsid w:val="00157DD4"/>
    <w:rsid w:val="001600B8"/>
    <w:rsid w:val="00160209"/>
    <w:rsid w:val="00160469"/>
    <w:rsid w:val="001608FA"/>
    <w:rsid w:val="00160C6B"/>
    <w:rsid w:val="0016104F"/>
    <w:rsid w:val="001610ED"/>
    <w:rsid w:val="00161577"/>
    <w:rsid w:val="00161C33"/>
    <w:rsid w:val="00161D30"/>
    <w:rsid w:val="00161DDF"/>
    <w:rsid w:val="00162275"/>
    <w:rsid w:val="00162324"/>
    <w:rsid w:val="0016235D"/>
    <w:rsid w:val="0016259D"/>
    <w:rsid w:val="00162717"/>
    <w:rsid w:val="0016293E"/>
    <w:rsid w:val="00162EAA"/>
    <w:rsid w:val="0016326B"/>
    <w:rsid w:val="001632CB"/>
    <w:rsid w:val="001632CF"/>
    <w:rsid w:val="001635C6"/>
    <w:rsid w:val="00163652"/>
    <w:rsid w:val="00163860"/>
    <w:rsid w:val="001638E0"/>
    <w:rsid w:val="00163981"/>
    <w:rsid w:val="00163BFD"/>
    <w:rsid w:val="00163C2C"/>
    <w:rsid w:val="00163C5C"/>
    <w:rsid w:val="00163C85"/>
    <w:rsid w:val="00163CCA"/>
    <w:rsid w:val="00163EE2"/>
    <w:rsid w:val="00163F44"/>
    <w:rsid w:val="00164006"/>
    <w:rsid w:val="00164063"/>
    <w:rsid w:val="001640B5"/>
    <w:rsid w:val="0016414D"/>
    <w:rsid w:val="00164372"/>
    <w:rsid w:val="00164563"/>
    <w:rsid w:val="00164569"/>
    <w:rsid w:val="00164CCA"/>
    <w:rsid w:val="00164E92"/>
    <w:rsid w:val="00165209"/>
    <w:rsid w:val="0016527A"/>
    <w:rsid w:val="001652AA"/>
    <w:rsid w:val="0016541C"/>
    <w:rsid w:val="00165664"/>
    <w:rsid w:val="00165678"/>
    <w:rsid w:val="00165B44"/>
    <w:rsid w:val="00165C0C"/>
    <w:rsid w:val="00165CEE"/>
    <w:rsid w:val="00165FE2"/>
    <w:rsid w:val="00166168"/>
    <w:rsid w:val="0016632C"/>
    <w:rsid w:val="00166363"/>
    <w:rsid w:val="0016640B"/>
    <w:rsid w:val="001665A6"/>
    <w:rsid w:val="001667BE"/>
    <w:rsid w:val="0016686A"/>
    <w:rsid w:val="00166A23"/>
    <w:rsid w:val="00166A50"/>
    <w:rsid w:val="00166D3C"/>
    <w:rsid w:val="00166D59"/>
    <w:rsid w:val="00166F71"/>
    <w:rsid w:val="001670E4"/>
    <w:rsid w:val="001673A9"/>
    <w:rsid w:val="001676CC"/>
    <w:rsid w:val="00167ABA"/>
    <w:rsid w:val="001704D4"/>
    <w:rsid w:val="00170638"/>
    <w:rsid w:val="00170799"/>
    <w:rsid w:val="001707FB"/>
    <w:rsid w:val="00170B18"/>
    <w:rsid w:val="00170CE7"/>
    <w:rsid w:val="00170F9C"/>
    <w:rsid w:val="00171342"/>
    <w:rsid w:val="001713CB"/>
    <w:rsid w:val="001715F8"/>
    <w:rsid w:val="00171964"/>
    <w:rsid w:val="00171B94"/>
    <w:rsid w:val="00171BDC"/>
    <w:rsid w:val="00171C33"/>
    <w:rsid w:val="00171DEA"/>
    <w:rsid w:val="00171E6F"/>
    <w:rsid w:val="00172199"/>
    <w:rsid w:val="00172219"/>
    <w:rsid w:val="00172491"/>
    <w:rsid w:val="001729A4"/>
    <w:rsid w:val="00172A3A"/>
    <w:rsid w:val="00172C82"/>
    <w:rsid w:val="00172CF2"/>
    <w:rsid w:val="00173089"/>
    <w:rsid w:val="00173145"/>
    <w:rsid w:val="0017321A"/>
    <w:rsid w:val="00173616"/>
    <w:rsid w:val="0017363B"/>
    <w:rsid w:val="00173889"/>
    <w:rsid w:val="001739FE"/>
    <w:rsid w:val="00173A64"/>
    <w:rsid w:val="00173C56"/>
    <w:rsid w:val="00173E0A"/>
    <w:rsid w:val="00173F98"/>
    <w:rsid w:val="001741EC"/>
    <w:rsid w:val="001742E8"/>
    <w:rsid w:val="00174486"/>
    <w:rsid w:val="001744EE"/>
    <w:rsid w:val="0017462D"/>
    <w:rsid w:val="0017482A"/>
    <w:rsid w:val="00174831"/>
    <w:rsid w:val="001748B9"/>
    <w:rsid w:val="00174AF3"/>
    <w:rsid w:val="001750ED"/>
    <w:rsid w:val="00175122"/>
    <w:rsid w:val="001751F2"/>
    <w:rsid w:val="00175501"/>
    <w:rsid w:val="001756F8"/>
    <w:rsid w:val="001758B7"/>
    <w:rsid w:val="00175ACC"/>
    <w:rsid w:val="00175CE1"/>
    <w:rsid w:val="00175F30"/>
    <w:rsid w:val="00175F9B"/>
    <w:rsid w:val="00175FB7"/>
    <w:rsid w:val="00175FBD"/>
    <w:rsid w:val="001760F6"/>
    <w:rsid w:val="00176231"/>
    <w:rsid w:val="00176368"/>
    <w:rsid w:val="00176539"/>
    <w:rsid w:val="00176686"/>
    <w:rsid w:val="00176ACB"/>
    <w:rsid w:val="00177500"/>
    <w:rsid w:val="00177867"/>
    <w:rsid w:val="00177903"/>
    <w:rsid w:val="001779EC"/>
    <w:rsid w:val="00177B68"/>
    <w:rsid w:val="00177CB0"/>
    <w:rsid w:val="00177EF0"/>
    <w:rsid w:val="00177FCE"/>
    <w:rsid w:val="001800CC"/>
    <w:rsid w:val="0018043D"/>
    <w:rsid w:val="001804CD"/>
    <w:rsid w:val="00180600"/>
    <w:rsid w:val="00180666"/>
    <w:rsid w:val="0018070E"/>
    <w:rsid w:val="00180C65"/>
    <w:rsid w:val="00180F89"/>
    <w:rsid w:val="0018116C"/>
    <w:rsid w:val="00181238"/>
    <w:rsid w:val="001812B8"/>
    <w:rsid w:val="0018130D"/>
    <w:rsid w:val="00181448"/>
    <w:rsid w:val="0018152A"/>
    <w:rsid w:val="0018170A"/>
    <w:rsid w:val="0018178E"/>
    <w:rsid w:val="00181C79"/>
    <w:rsid w:val="001822B6"/>
    <w:rsid w:val="001822D0"/>
    <w:rsid w:val="001823F5"/>
    <w:rsid w:val="001825CB"/>
    <w:rsid w:val="001828DC"/>
    <w:rsid w:val="00182A86"/>
    <w:rsid w:val="00182B1C"/>
    <w:rsid w:val="00182D0B"/>
    <w:rsid w:val="00182DA2"/>
    <w:rsid w:val="00182E22"/>
    <w:rsid w:val="00182EBA"/>
    <w:rsid w:val="00182FB2"/>
    <w:rsid w:val="00183185"/>
    <w:rsid w:val="001831DC"/>
    <w:rsid w:val="001834E8"/>
    <w:rsid w:val="0018352B"/>
    <w:rsid w:val="001835E5"/>
    <w:rsid w:val="00183BB1"/>
    <w:rsid w:val="00183FBE"/>
    <w:rsid w:val="0018419D"/>
    <w:rsid w:val="001842B5"/>
    <w:rsid w:val="0018434C"/>
    <w:rsid w:val="001843A5"/>
    <w:rsid w:val="001843C4"/>
    <w:rsid w:val="00184512"/>
    <w:rsid w:val="0018468D"/>
    <w:rsid w:val="00184737"/>
    <w:rsid w:val="001849B7"/>
    <w:rsid w:val="001849D4"/>
    <w:rsid w:val="00184D50"/>
    <w:rsid w:val="00185284"/>
    <w:rsid w:val="00185466"/>
    <w:rsid w:val="0018555B"/>
    <w:rsid w:val="00185560"/>
    <w:rsid w:val="001856B1"/>
    <w:rsid w:val="0018575A"/>
    <w:rsid w:val="0018582B"/>
    <w:rsid w:val="00185C00"/>
    <w:rsid w:val="00185D5B"/>
    <w:rsid w:val="001862F1"/>
    <w:rsid w:val="001862F6"/>
    <w:rsid w:val="00186324"/>
    <w:rsid w:val="00186329"/>
    <w:rsid w:val="001863C6"/>
    <w:rsid w:val="001865EB"/>
    <w:rsid w:val="00186692"/>
    <w:rsid w:val="001866FD"/>
    <w:rsid w:val="00186966"/>
    <w:rsid w:val="00186AF5"/>
    <w:rsid w:val="00186E26"/>
    <w:rsid w:val="00186E43"/>
    <w:rsid w:val="00186F92"/>
    <w:rsid w:val="001873A2"/>
    <w:rsid w:val="0018745C"/>
    <w:rsid w:val="0018745F"/>
    <w:rsid w:val="0018771A"/>
    <w:rsid w:val="00187918"/>
    <w:rsid w:val="00187950"/>
    <w:rsid w:val="00187A96"/>
    <w:rsid w:val="00187AE4"/>
    <w:rsid w:val="00187C57"/>
    <w:rsid w:val="00187CE6"/>
    <w:rsid w:val="00187E11"/>
    <w:rsid w:val="00190106"/>
    <w:rsid w:val="0019012A"/>
    <w:rsid w:val="00190A18"/>
    <w:rsid w:val="00190A43"/>
    <w:rsid w:val="00190B4B"/>
    <w:rsid w:val="00190D47"/>
    <w:rsid w:val="00190D83"/>
    <w:rsid w:val="00190E13"/>
    <w:rsid w:val="00191185"/>
    <w:rsid w:val="00191244"/>
    <w:rsid w:val="001914C2"/>
    <w:rsid w:val="00191569"/>
    <w:rsid w:val="001920DF"/>
    <w:rsid w:val="001922F2"/>
    <w:rsid w:val="00192366"/>
    <w:rsid w:val="0019253C"/>
    <w:rsid w:val="001925CA"/>
    <w:rsid w:val="00192736"/>
    <w:rsid w:val="001928C5"/>
    <w:rsid w:val="0019297A"/>
    <w:rsid w:val="00192E3A"/>
    <w:rsid w:val="00192F9C"/>
    <w:rsid w:val="00193061"/>
    <w:rsid w:val="00193093"/>
    <w:rsid w:val="00193939"/>
    <w:rsid w:val="00193A03"/>
    <w:rsid w:val="00193A7B"/>
    <w:rsid w:val="001940AD"/>
    <w:rsid w:val="00194273"/>
    <w:rsid w:val="00194295"/>
    <w:rsid w:val="00194306"/>
    <w:rsid w:val="00194552"/>
    <w:rsid w:val="00194876"/>
    <w:rsid w:val="00194984"/>
    <w:rsid w:val="00194DCD"/>
    <w:rsid w:val="00194ED1"/>
    <w:rsid w:val="001950CE"/>
    <w:rsid w:val="00195267"/>
    <w:rsid w:val="00195375"/>
    <w:rsid w:val="0019572E"/>
    <w:rsid w:val="00195763"/>
    <w:rsid w:val="00195801"/>
    <w:rsid w:val="00195869"/>
    <w:rsid w:val="001958FD"/>
    <w:rsid w:val="00195F1B"/>
    <w:rsid w:val="00196259"/>
    <w:rsid w:val="00196436"/>
    <w:rsid w:val="00196529"/>
    <w:rsid w:val="001965C8"/>
    <w:rsid w:val="001967F6"/>
    <w:rsid w:val="00196A9F"/>
    <w:rsid w:val="00196DB9"/>
    <w:rsid w:val="00196EA5"/>
    <w:rsid w:val="00196EF8"/>
    <w:rsid w:val="00197272"/>
    <w:rsid w:val="001972E2"/>
    <w:rsid w:val="0019734B"/>
    <w:rsid w:val="001973C5"/>
    <w:rsid w:val="001975B3"/>
    <w:rsid w:val="00197794"/>
    <w:rsid w:val="001978E2"/>
    <w:rsid w:val="001978FF"/>
    <w:rsid w:val="00197C54"/>
    <w:rsid w:val="00197F22"/>
    <w:rsid w:val="00197F31"/>
    <w:rsid w:val="001A0011"/>
    <w:rsid w:val="001A0582"/>
    <w:rsid w:val="001A068B"/>
    <w:rsid w:val="001A0970"/>
    <w:rsid w:val="001A0A46"/>
    <w:rsid w:val="001A10D2"/>
    <w:rsid w:val="001A12E2"/>
    <w:rsid w:val="001A1352"/>
    <w:rsid w:val="001A1361"/>
    <w:rsid w:val="001A13DF"/>
    <w:rsid w:val="001A14A7"/>
    <w:rsid w:val="001A154F"/>
    <w:rsid w:val="001A15E9"/>
    <w:rsid w:val="001A183A"/>
    <w:rsid w:val="001A19F2"/>
    <w:rsid w:val="001A1A31"/>
    <w:rsid w:val="001A1C3D"/>
    <w:rsid w:val="001A1D1D"/>
    <w:rsid w:val="001A1D66"/>
    <w:rsid w:val="001A22E7"/>
    <w:rsid w:val="001A23D3"/>
    <w:rsid w:val="001A246D"/>
    <w:rsid w:val="001A2530"/>
    <w:rsid w:val="001A2550"/>
    <w:rsid w:val="001A25B9"/>
    <w:rsid w:val="001A2715"/>
    <w:rsid w:val="001A2A5E"/>
    <w:rsid w:val="001A2A7C"/>
    <w:rsid w:val="001A2AF3"/>
    <w:rsid w:val="001A2B24"/>
    <w:rsid w:val="001A2E84"/>
    <w:rsid w:val="001A30D0"/>
    <w:rsid w:val="001A33B4"/>
    <w:rsid w:val="001A3467"/>
    <w:rsid w:val="001A3603"/>
    <w:rsid w:val="001A3BF6"/>
    <w:rsid w:val="001A3E1A"/>
    <w:rsid w:val="001A4034"/>
    <w:rsid w:val="001A4290"/>
    <w:rsid w:val="001A4385"/>
    <w:rsid w:val="001A455D"/>
    <w:rsid w:val="001A466A"/>
    <w:rsid w:val="001A492C"/>
    <w:rsid w:val="001A495E"/>
    <w:rsid w:val="001A49A6"/>
    <w:rsid w:val="001A4B87"/>
    <w:rsid w:val="001A4D10"/>
    <w:rsid w:val="001A4E3A"/>
    <w:rsid w:val="001A4E8C"/>
    <w:rsid w:val="001A4F85"/>
    <w:rsid w:val="001A4F99"/>
    <w:rsid w:val="001A503F"/>
    <w:rsid w:val="001A522E"/>
    <w:rsid w:val="001A54DE"/>
    <w:rsid w:val="001A555A"/>
    <w:rsid w:val="001A5690"/>
    <w:rsid w:val="001A5722"/>
    <w:rsid w:val="001A59F7"/>
    <w:rsid w:val="001A5C82"/>
    <w:rsid w:val="001A5D81"/>
    <w:rsid w:val="001A603B"/>
    <w:rsid w:val="001A622C"/>
    <w:rsid w:val="001A6473"/>
    <w:rsid w:val="001A6646"/>
    <w:rsid w:val="001A674F"/>
    <w:rsid w:val="001A6AA0"/>
    <w:rsid w:val="001A6E18"/>
    <w:rsid w:val="001A6F38"/>
    <w:rsid w:val="001A7016"/>
    <w:rsid w:val="001A710D"/>
    <w:rsid w:val="001A7231"/>
    <w:rsid w:val="001A74A3"/>
    <w:rsid w:val="001A7568"/>
    <w:rsid w:val="001A77F9"/>
    <w:rsid w:val="001A7809"/>
    <w:rsid w:val="001A79A8"/>
    <w:rsid w:val="001A7D54"/>
    <w:rsid w:val="001A7FD0"/>
    <w:rsid w:val="001B0330"/>
    <w:rsid w:val="001B05C5"/>
    <w:rsid w:val="001B0657"/>
    <w:rsid w:val="001B0739"/>
    <w:rsid w:val="001B0770"/>
    <w:rsid w:val="001B0890"/>
    <w:rsid w:val="001B09B5"/>
    <w:rsid w:val="001B09EC"/>
    <w:rsid w:val="001B0B37"/>
    <w:rsid w:val="001B0C6E"/>
    <w:rsid w:val="001B0DDC"/>
    <w:rsid w:val="001B0FCF"/>
    <w:rsid w:val="001B11AA"/>
    <w:rsid w:val="001B122F"/>
    <w:rsid w:val="001B1480"/>
    <w:rsid w:val="001B169B"/>
    <w:rsid w:val="001B178A"/>
    <w:rsid w:val="001B242B"/>
    <w:rsid w:val="001B288D"/>
    <w:rsid w:val="001B2A09"/>
    <w:rsid w:val="001B2A75"/>
    <w:rsid w:val="001B2B0F"/>
    <w:rsid w:val="001B2B13"/>
    <w:rsid w:val="001B2BB3"/>
    <w:rsid w:val="001B2DA8"/>
    <w:rsid w:val="001B2DF3"/>
    <w:rsid w:val="001B2ED1"/>
    <w:rsid w:val="001B2FF5"/>
    <w:rsid w:val="001B310D"/>
    <w:rsid w:val="001B345A"/>
    <w:rsid w:val="001B348B"/>
    <w:rsid w:val="001B3A52"/>
    <w:rsid w:val="001B3A7F"/>
    <w:rsid w:val="001B3D4D"/>
    <w:rsid w:val="001B40F7"/>
    <w:rsid w:val="001B4155"/>
    <w:rsid w:val="001B4431"/>
    <w:rsid w:val="001B446F"/>
    <w:rsid w:val="001B45A2"/>
    <w:rsid w:val="001B4656"/>
    <w:rsid w:val="001B491D"/>
    <w:rsid w:val="001B49BA"/>
    <w:rsid w:val="001B4A74"/>
    <w:rsid w:val="001B4CAE"/>
    <w:rsid w:val="001B4ED5"/>
    <w:rsid w:val="001B50AA"/>
    <w:rsid w:val="001B510A"/>
    <w:rsid w:val="001B5249"/>
    <w:rsid w:val="001B55AE"/>
    <w:rsid w:val="001B55E9"/>
    <w:rsid w:val="001B56B9"/>
    <w:rsid w:val="001B5BEF"/>
    <w:rsid w:val="001B5D06"/>
    <w:rsid w:val="001B5F7A"/>
    <w:rsid w:val="001B630E"/>
    <w:rsid w:val="001B659D"/>
    <w:rsid w:val="001B665F"/>
    <w:rsid w:val="001B66B1"/>
    <w:rsid w:val="001B67D7"/>
    <w:rsid w:val="001B681E"/>
    <w:rsid w:val="001B6AA5"/>
    <w:rsid w:val="001B6C03"/>
    <w:rsid w:val="001B6D0C"/>
    <w:rsid w:val="001B6E14"/>
    <w:rsid w:val="001B7139"/>
    <w:rsid w:val="001B71D4"/>
    <w:rsid w:val="001B7206"/>
    <w:rsid w:val="001B744F"/>
    <w:rsid w:val="001B7630"/>
    <w:rsid w:val="001B779C"/>
    <w:rsid w:val="001B7B4D"/>
    <w:rsid w:val="001B7B6F"/>
    <w:rsid w:val="001B7C9C"/>
    <w:rsid w:val="001B7CA2"/>
    <w:rsid w:val="001B7D3E"/>
    <w:rsid w:val="001B7EF9"/>
    <w:rsid w:val="001B7F9B"/>
    <w:rsid w:val="001C0038"/>
    <w:rsid w:val="001C0158"/>
    <w:rsid w:val="001C03D4"/>
    <w:rsid w:val="001C05D1"/>
    <w:rsid w:val="001C0644"/>
    <w:rsid w:val="001C0680"/>
    <w:rsid w:val="001C07C9"/>
    <w:rsid w:val="001C0942"/>
    <w:rsid w:val="001C09F9"/>
    <w:rsid w:val="001C0B41"/>
    <w:rsid w:val="001C0B73"/>
    <w:rsid w:val="001C0D30"/>
    <w:rsid w:val="001C0D8C"/>
    <w:rsid w:val="001C0E60"/>
    <w:rsid w:val="001C0E74"/>
    <w:rsid w:val="001C1010"/>
    <w:rsid w:val="001C10F6"/>
    <w:rsid w:val="001C12B3"/>
    <w:rsid w:val="001C13CF"/>
    <w:rsid w:val="001C14F1"/>
    <w:rsid w:val="001C167D"/>
    <w:rsid w:val="001C1801"/>
    <w:rsid w:val="001C1C0D"/>
    <w:rsid w:val="001C1C49"/>
    <w:rsid w:val="001C1E7D"/>
    <w:rsid w:val="001C1F44"/>
    <w:rsid w:val="001C210E"/>
    <w:rsid w:val="001C2232"/>
    <w:rsid w:val="001C22F2"/>
    <w:rsid w:val="001C240A"/>
    <w:rsid w:val="001C29A8"/>
    <w:rsid w:val="001C2ED0"/>
    <w:rsid w:val="001C2FB3"/>
    <w:rsid w:val="001C308A"/>
    <w:rsid w:val="001C31E5"/>
    <w:rsid w:val="001C345E"/>
    <w:rsid w:val="001C3A27"/>
    <w:rsid w:val="001C3A6F"/>
    <w:rsid w:val="001C3B1A"/>
    <w:rsid w:val="001C3B5B"/>
    <w:rsid w:val="001C3F4E"/>
    <w:rsid w:val="001C40D5"/>
    <w:rsid w:val="001C423F"/>
    <w:rsid w:val="001C42E8"/>
    <w:rsid w:val="001C4507"/>
    <w:rsid w:val="001C48CB"/>
    <w:rsid w:val="001C48D5"/>
    <w:rsid w:val="001C4A0C"/>
    <w:rsid w:val="001C4D0F"/>
    <w:rsid w:val="001C4D5A"/>
    <w:rsid w:val="001C4E24"/>
    <w:rsid w:val="001C4E55"/>
    <w:rsid w:val="001C5134"/>
    <w:rsid w:val="001C5415"/>
    <w:rsid w:val="001C566A"/>
    <w:rsid w:val="001C566F"/>
    <w:rsid w:val="001C5692"/>
    <w:rsid w:val="001C56F1"/>
    <w:rsid w:val="001C57B5"/>
    <w:rsid w:val="001C5E35"/>
    <w:rsid w:val="001C5F18"/>
    <w:rsid w:val="001C6266"/>
    <w:rsid w:val="001C62EB"/>
    <w:rsid w:val="001C6379"/>
    <w:rsid w:val="001C6438"/>
    <w:rsid w:val="001C664B"/>
    <w:rsid w:val="001C6680"/>
    <w:rsid w:val="001C669D"/>
    <w:rsid w:val="001C6D9F"/>
    <w:rsid w:val="001C6FC1"/>
    <w:rsid w:val="001C741E"/>
    <w:rsid w:val="001C747F"/>
    <w:rsid w:val="001C7489"/>
    <w:rsid w:val="001C7678"/>
    <w:rsid w:val="001C783F"/>
    <w:rsid w:val="001C78B2"/>
    <w:rsid w:val="001C7AC9"/>
    <w:rsid w:val="001C7C8D"/>
    <w:rsid w:val="001C7CE3"/>
    <w:rsid w:val="001D00EE"/>
    <w:rsid w:val="001D015B"/>
    <w:rsid w:val="001D088C"/>
    <w:rsid w:val="001D08B5"/>
    <w:rsid w:val="001D08E9"/>
    <w:rsid w:val="001D0922"/>
    <w:rsid w:val="001D0A39"/>
    <w:rsid w:val="001D0A62"/>
    <w:rsid w:val="001D0EE2"/>
    <w:rsid w:val="001D0EE3"/>
    <w:rsid w:val="001D144B"/>
    <w:rsid w:val="001D16E1"/>
    <w:rsid w:val="001D1781"/>
    <w:rsid w:val="001D1B47"/>
    <w:rsid w:val="001D22D2"/>
    <w:rsid w:val="001D234D"/>
    <w:rsid w:val="001D245E"/>
    <w:rsid w:val="001D254B"/>
    <w:rsid w:val="001D2623"/>
    <w:rsid w:val="001D28F6"/>
    <w:rsid w:val="001D2BFF"/>
    <w:rsid w:val="001D2DFB"/>
    <w:rsid w:val="001D2EC4"/>
    <w:rsid w:val="001D341F"/>
    <w:rsid w:val="001D34E1"/>
    <w:rsid w:val="001D375C"/>
    <w:rsid w:val="001D380C"/>
    <w:rsid w:val="001D3A20"/>
    <w:rsid w:val="001D4912"/>
    <w:rsid w:val="001D498B"/>
    <w:rsid w:val="001D4CCF"/>
    <w:rsid w:val="001D4DA3"/>
    <w:rsid w:val="001D4E5E"/>
    <w:rsid w:val="001D4F57"/>
    <w:rsid w:val="001D57B8"/>
    <w:rsid w:val="001D5A10"/>
    <w:rsid w:val="001D5B2D"/>
    <w:rsid w:val="001D5C89"/>
    <w:rsid w:val="001D5D67"/>
    <w:rsid w:val="001D5EAE"/>
    <w:rsid w:val="001D5EAF"/>
    <w:rsid w:val="001D624F"/>
    <w:rsid w:val="001D630D"/>
    <w:rsid w:val="001D638F"/>
    <w:rsid w:val="001D63DE"/>
    <w:rsid w:val="001D63F3"/>
    <w:rsid w:val="001D673C"/>
    <w:rsid w:val="001D68EA"/>
    <w:rsid w:val="001D69F3"/>
    <w:rsid w:val="001D6AAF"/>
    <w:rsid w:val="001D6B13"/>
    <w:rsid w:val="001D6D69"/>
    <w:rsid w:val="001D6DC6"/>
    <w:rsid w:val="001D73C5"/>
    <w:rsid w:val="001D75DE"/>
    <w:rsid w:val="001D7656"/>
    <w:rsid w:val="001D781B"/>
    <w:rsid w:val="001D7889"/>
    <w:rsid w:val="001D7984"/>
    <w:rsid w:val="001D7F3E"/>
    <w:rsid w:val="001D7F93"/>
    <w:rsid w:val="001E0069"/>
    <w:rsid w:val="001E00A9"/>
    <w:rsid w:val="001E0174"/>
    <w:rsid w:val="001E0588"/>
    <w:rsid w:val="001E05C3"/>
    <w:rsid w:val="001E065B"/>
    <w:rsid w:val="001E0802"/>
    <w:rsid w:val="001E0A73"/>
    <w:rsid w:val="001E0B77"/>
    <w:rsid w:val="001E0DDC"/>
    <w:rsid w:val="001E1017"/>
    <w:rsid w:val="001E1043"/>
    <w:rsid w:val="001E10DA"/>
    <w:rsid w:val="001E128C"/>
    <w:rsid w:val="001E1383"/>
    <w:rsid w:val="001E147E"/>
    <w:rsid w:val="001E178C"/>
    <w:rsid w:val="001E184A"/>
    <w:rsid w:val="001E18EA"/>
    <w:rsid w:val="001E1B51"/>
    <w:rsid w:val="001E1BC7"/>
    <w:rsid w:val="001E1CAD"/>
    <w:rsid w:val="001E1E75"/>
    <w:rsid w:val="001E1FF2"/>
    <w:rsid w:val="001E2067"/>
    <w:rsid w:val="001E2213"/>
    <w:rsid w:val="001E2478"/>
    <w:rsid w:val="001E2742"/>
    <w:rsid w:val="001E2AD1"/>
    <w:rsid w:val="001E2B47"/>
    <w:rsid w:val="001E2B7C"/>
    <w:rsid w:val="001E2C88"/>
    <w:rsid w:val="001E2F21"/>
    <w:rsid w:val="001E2FA8"/>
    <w:rsid w:val="001E3182"/>
    <w:rsid w:val="001E32F0"/>
    <w:rsid w:val="001E3556"/>
    <w:rsid w:val="001E3861"/>
    <w:rsid w:val="001E3896"/>
    <w:rsid w:val="001E3B0C"/>
    <w:rsid w:val="001E3EF3"/>
    <w:rsid w:val="001E3FA3"/>
    <w:rsid w:val="001E4092"/>
    <w:rsid w:val="001E4118"/>
    <w:rsid w:val="001E4158"/>
    <w:rsid w:val="001E41A6"/>
    <w:rsid w:val="001E4306"/>
    <w:rsid w:val="001E43E9"/>
    <w:rsid w:val="001E43FD"/>
    <w:rsid w:val="001E451B"/>
    <w:rsid w:val="001E46AA"/>
    <w:rsid w:val="001E46F7"/>
    <w:rsid w:val="001E48E0"/>
    <w:rsid w:val="001E4932"/>
    <w:rsid w:val="001E4A39"/>
    <w:rsid w:val="001E4C27"/>
    <w:rsid w:val="001E4C83"/>
    <w:rsid w:val="001E4DB9"/>
    <w:rsid w:val="001E548F"/>
    <w:rsid w:val="001E5669"/>
    <w:rsid w:val="001E5692"/>
    <w:rsid w:val="001E584B"/>
    <w:rsid w:val="001E5934"/>
    <w:rsid w:val="001E5948"/>
    <w:rsid w:val="001E596F"/>
    <w:rsid w:val="001E5A98"/>
    <w:rsid w:val="001E6010"/>
    <w:rsid w:val="001E61FC"/>
    <w:rsid w:val="001E62A1"/>
    <w:rsid w:val="001E62B2"/>
    <w:rsid w:val="001E6324"/>
    <w:rsid w:val="001E6545"/>
    <w:rsid w:val="001E6666"/>
    <w:rsid w:val="001E68D1"/>
    <w:rsid w:val="001E6B7E"/>
    <w:rsid w:val="001E6E87"/>
    <w:rsid w:val="001E70DA"/>
    <w:rsid w:val="001E7194"/>
    <w:rsid w:val="001E721C"/>
    <w:rsid w:val="001E737F"/>
    <w:rsid w:val="001E7462"/>
    <w:rsid w:val="001E74D1"/>
    <w:rsid w:val="001E7524"/>
    <w:rsid w:val="001E75A3"/>
    <w:rsid w:val="001E77A1"/>
    <w:rsid w:val="001E77AB"/>
    <w:rsid w:val="001E7816"/>
    <w:rsid w:val="001E79C8"/>
    <w:rsid w:val="001E7A3C"/>
    <w:rsid w:val="001F01A0"/>
    <w:rsid w:val="001F027B"/>
    <w:rsid w:val="001F0524"/>
    <w:rsid w:val="001F060F"/>
    <w:rsid w:val="001F09F1"/>
    <w:rsid w:val="001F0CD1"/>
    <w:rsid w:val="001F0E5C"/>
    <w:rsid w:val="001F14C4"/>
    <w:rsid w:val="001F1783"/>
    <w:rsid w:val="001F1823"/>
    <w:rsid w:val="001F1B66"/>
    <w:rsid w:val="001F1CAB"/>
    <w:rsid w:val="001F1D5C"/>
    <w:rsid w:val="001F2440"/>
    <w:rsid w:val="001F2BC8"/>
    <w:rsid w:val="001F2D0B"/>
    <w:rsid w:val="001F2E9A"/>
    <w:rsid w:val="001F33EA"/>
    <w:rsid w:val="001F3481"/>
    <w:rsid w:val="001F3570"/>
    <w:rsid w:val="001F358A"/>
    <w:rsid w:val="001F38FB"/>
    <w:rsid w:val="001F3A47"/>
    <w:rsid w:val="001F3A98"/>
    <w:rsid w:val="001F3AB1"/>
    <w:rsid w:val="001F3CB1"/>
    <w:rsid w:val="001F3DF6"/>
    <w:rsid w:val="001F3EF2"/>
    <w:rsid w:val="001F4209"/>
    <w:rsid w:val="001F4421"/>
    <w:rsid w:val="001F465B"/>
    <w:rsid w:val="001F4A24"/>
    <w:rsid w:val="001F4A62"/>
    <w:rsid w:val="001F4AAB"/>
    <w:rsid w:val="001F4B4A"/>
    <w:rsid w:val="001F4D35"/>
    <w:rsid w:val="001F4EFE"/>
    <w:rsid w:val="001F4F14"/>
    <w:rsid w:val="001F4FB4"/>
    <w:rsid w:val="001F512E"/>
    <w:rsid w:val="001F52F0"/>
    <w:rsid w:val="001F53F3"/>
    <w:rsid w:val="001F56D9"/>
    <w:rsid w:val="001F584F"/>
    <w:rsid w:val="001F5975"/>
    <w:rsid w:val="001F59C0"/>
    <w:rsid w:val="001F5B75"/>
    <w:rsid w:val="001F5BC2"/>
    <w:rsid w:val="001F5C1B"/>
    <w:rsid w:val="001F60E2"/>
    <w:rsid w:val="001F6305"/>
    <w:rsid w:val="001F64E2"/>
    <w:rsid w:val="001F659F"/>
    <w:rsid w:val="001F6D39"/>
    <w:rsid w:val="001F740A"/>
    <w:rsid w:val="001F744F"/>
    <w:rsid w:val="001F7678"/>
    <w:rsid w:val="001F797D"/>
    <w:rsid w:val="001F7A7F"/>
    <w:rsid w:val="001F7C29"/>
    <w:rsid w:val="001F7C86"/>
    <w:rsid w:val="001F7E83"/>
    <w:rsid w:val="001F7F0C"/>
    <w:rsid w:val="0020016C"/>
    <w:rsid w:val="0020028A"/>
    <w:rsid w:val="0020034D"/>
    <w:rsid w:val="002005BD"/>
    <w:rsid w:val="0020067B"/>
    <w:rsid w:val="002006F2"/>
    <w:rsid w:val="00200815"/>
    <w:rsid w:val="0020082D"/>
    <w:rsid w:val="002008B6"/>
    <w:rsid w:val="002009A2"/>
    <w:rsid w:val="00200AB9"/>
    <w:rsid w:val="00200DDE"/>
    <w:rsid w:val="00200F0B"/>
    <w:rsid w:val="00201102"/>
    <w:rsid w:val="00201217"/>
    <w:rsid w:val="0020151F"/>
    <w:rsid w:val="002018FD"/>
    <w:rsid w:val="00201B54"/>
    <w:rsid w:val="00201B9D"/>
    <w:rsid w:val="00201BFF"/>
    <w:rsid w:val="00201C66"/>
    <w:rsid w:val="00201EE8"/>
    <w:rsid w:val="002021DD"/>
    <w:rsid w:val="002022C2"/>
    <w:rsid w:val="0020250D"/>
    <w:rsid w:val="002025E7"/>
    <w:rsid w:val="002025F9"/>
    <w:rsid w:val="0020264B"/>
    <w:rsid w:val="002026D3"/>
    <w:rsid w:val="002026FB"/>
    <w:rsid w:val="002028A7"/>
    <w:rsid w:val="002028C4"/>
    <w:rsid w:val="0020293B"/>
    <w:rsid w:val="0020297E"/>
    <w:rsid w:val="00202ABD"/>
    <w:rsid w:val="00202B88"/>
    <w:rsid w:val="00202CCF"/>
    <w:rsid w:val="00202D57"/>
    <w:rsid w:val="002031FD"/>
    <w:rsid w:val="00203212"/>
    <w:rsid w:val="00203248"/>
    <w:rsid w:val="00203444"/>
    <w:rsid w:val="0020346D"/>
    <w:rsid w:val="0020371B"/>
    <w:rsid w:val="00203969"/>
    <w:rsid w:val="00203C76"/>
    <w:rsid w:val="00203D1F"/>
    <w:rsid w:val="00204001"/>
    <w:rsid w:val="00204126"/>
    <w:rsid w:val="00204429"/>
    <w:rsid w:val="00204918"/>
    <w:rsid w:val="00204A19"/>
    <w:rsid w:val="00204A3A"/>
    <w:rsid w:val="00204BAC"/>
    <w:rsid w:val="00204EB1"/>
    <w:rsid w:val="00204FC4"/>
    <w:rsid w:val="002051DE"/>
    <w:rsid w:val="00205381"/>
    <w:rsid w:val="00205417"/>
    <w:rsid w:val="002058B4"/>
    <w:rsid w:val="00205A37"/>
    <w:rsid w:val="00205ACE"/>
    <w:rsid w:val="00205BDB"/>
    <w:rsid w:val="00205C36"/>
    <w:rsid w:val="0020649E"/>
    <w:rsid w:val="0020655E"/>
    <w:rsid w:val="00206758"/>
    <w:rsid w:val="00206BAC"/>
    <w:rsid w:val="00206CD8"/>
    <w:rsid w:val="00206E00"/>
    <w:rsid w:val="00207107"/>
    <w:rsid w:val="00207395"/>
    <w:rsid w:val="0020745B"/>
    <w:rsid w:val="00207680"/>
    <w:rsid w:val="002076EA"/>
    <w:rsid w:val="002078BA"/>
    <w:rsid w:val="00207C10"/>
    <w:rsid w:val="00207F18"/>
    <w:rsid w:val="0021075B"/>
    <w:rsid w:val="002107B5"/>
    <w:rsid w:val="00210B9E"/>
    <w:rsid w:val="00210E68"/>
    <w:rsid w:val="00210E7A"/>
    <w:rsid w:val="002110E7"/>
    <w:rsid w:val="0021137B"/>
    <w:rsid w:val="00211467"/>
    <w:rsid w:val="0021150D"/>
    <w:rsid w:val="0021165D"/>
    <w:rsid w:val="002117C8"/>
    <w:rsid w:val="00211806"/>
    <w:rsid w:val="002118C5"/>
    <w:rsid w:val="00211DE9"/>
    <w:rsid w:val="00211E1B"/>
    <w:rsid w:val="002123EA"/>
    <w:rsid w:val="00212A33"/>
    <w:rsid w:val="00212C86"/>
    <w:rsid w:val="00212DEC"/>
    <w:rsid w:val="00212FA7"/>
    <w:rsid w:val="00213121"/>
    <w:rsid w:val="0021317A"/>
    <w:rsid w:val="0021318C"/>
    <w:rsid w:val="002131C8"/>
    <w:rsid w:val="002133D5"/>
    <w:rsid w:val="0021343C"/>
    <w:rsid w:val="002134EA"/>
    <w:rsid w:val="00213655"/>
    <w:rsid w:val="002138DF"/>
    <w:rsid w:val="0021390C"/>
    <w:rsid w:val="002139A4"/>
    <w:rsid w:val="002139F5"/>
    <w:rsid w:val="00213B73"/>
    <w:rsid w:val="00213D25"/>
    <w:rsid w:val="00213EDA"/>
    <w:rsid w:val="002142FC"/>
    <w:rsid w:val="002143EB"/>
    <w:rsid w:val="002144EF"/>
    <w:rsid w:val="002146D9"/>
    <w:rsid w:val="00214749"/>
    <w:rsid w:val="00214D3D"/>
    <w:rsid w:val="00214DE3"/>
    <w:rsid w:val="00215161"/>
    <w:rsid w:val="0021534E"/>
    <w:rsid w:val="0021555D"/>
    <w:rsid w:val="00215677"/>
    <w:rsid w:val="002158A0"/>
    <w:rsid w:val="00215E80"/>
    <w:rsid w:val="0021602B"/>
    <w:rsid w:val="00216282"/>
    <w:rsid w:val="00216315"/>
    <w:rsid w:val="002168A3"/>
    <w:rsid w:val="00216BF0"/>
    <w:rsid w:val="00216CAC"/>
    <w:rsid w:val="00216CCF"/>
    <w:rsid w:val="00216E20"/>
    <w:rsid w:val="00216E24"/>
    <w:rsid w:val="00216E45"/>
    <w:rsid w:val="002171B9"/>
    <w:rsid w:val="0021730D"/>
    <w:rsid w:val="002175CA"/>
    <w:rsid w:val="002177B1"/>
    <w:rsid w:val="002177DB"/>
    <w:rsid w:val="00217836"/>
    <w:rsid w:val="00217C3B"/>
    <w:rsid w:val="00217C59"/>
    <w:rsid w:val="00217C68"/>
    <w:rsid w:val="00217D82"/>
    <w:rsid w:val="00217FF4"/>
    <w:rsid w:val="002200CA"/>
    <w:rsid w:val="002202FB"/>
    <w:rsid w:val="002204EF"/>
    <w:rsid w:val="00220532"/>
    <w:rsid w:val="002209B2"/>
    <w:rsid w:val="00220F1B"/>
    <w:rsid w:val="00220FEE"/>
    <w:rsid w:val="002210A4"/>
    <w:rsid w:val="00221275"/>
    <w:rsid w:val="002214F2"/>
    <w:rsid w:val="0022192F"/>
    <w:rsid w:val="00221961"/>
    <w:rsid w:val="002219AF"/>
    <w:rsid w:val="00221EC7"/>
    <w:rsid w:val="0022200F"/>
    <w:rsid w:val="002224CD"/>
    <w:rsid w:val="002226F9"/>
    <w:rsid w:val="002227F3"/>
    <w:rsid w:val="00222C6C"/>
    <w:rsid w:val="00222D22"/>
    <w:rsid w:val="00222D47"/>
    <w:rsid w:val="002232F4"/>
    <w:rsid w:val="0022332D"/>
    <w:rsid w:val="0022337B"/>
    <w:rsid w:val="0022340A"/>
    <w:rsid w:val="00223641"/>
    <w:rsid w:val="00223657"/>
    <w:rsid w:val="002236C1"/>
    <w:rsid w:val="002237F8"/>
    <w:rsid w:val="00223861"/>
    <w:rsid w:val="0022390D"/>
    <w:rsid w:val="002239EE"/>
    <w:rsid w:val="00223E1C"/>
    <w:rsid w:val="00223EFA"/>
    <w:rsid w:val="0022411F"/>
    <w:rsid w:val="0022428E"/>
    <w:rsid w:val="00224832"/>
    <w:rsid w:val="00224992"/>
    <w:rsid w:val="00224B2E"/>
    <w:rsid w:val="00224C9B"/>
    <w:rsid w:val="00224E57"/>
    <w:rsid w:val="00225078"/>
    <w:rsid w:val="002250B8"/>
    <w:rsid w:val="00225241"/>
    <w:rsid w:val="002252EA"/>
    <w:rsid w:val="00225327"/>
    <w:rsid w:val="00225376"/>
    <w:rsid w:val="0022539C"/>
    <w:rsid w:val="0022573C"/>
    <w:rsid w:val="00225838"/>
    <w:rsid w:val="0022594D"/>
    <w:rsid w:val="00225D7A"/>
    <w:rsid w:val="00225F8B"/>
    <w:rsid w:val="002260C8"/>
    <w:rsid w:val="00226274"/>
    <w:rsid w:val="002264D0"/>
    <w:rsid w:val="002265B2"/>
    <w:rsid w:val="002265C8"/>
    <w:rsid w:val="00226720"/>
    <w:rsid w:val="00226968"/>
    <w:rsid w:val="00226B30"/>
    <w:rsid w:val="00226B67"/>
    <w:rsid w:val="00226C89"/>
    <w:rsid w:val="00226D75"/>
    <w:rsid w:val="00226E40"/>
    <w:rsid w:val="00226FCF"/>
    <w:rsid w:val="00226FF7"/>
    <w:rsid w:val="00227014"/>
    <w:rsid w:val="002270DA"/>
    <w:rsid w:val="00227138"/>
    <w:rsid w:val="00227201"/>
    <w:rsid w:val="00227603"/>
    <w:rsid w:val="002276DF"/>
    <w:rsid w:val="0022784E"/>
    <w:rsid w:val="002278B2"/>
    <w:rsid w:val="002279F0"/>
    <w:rsid w:val="00227CD4"/>
    <w:rsid w:val="00230089"/>
    <w:rsid w:val="00230126"/>
    <w:rsid w:val="002303A6"/>
    <w:rsid w:val="0023048A"/>
    <w:rsid w:val="00230490"/>
    <w:rsid w:val="0023057E"/>
    <w:rsid w:val="0023075E"/>
    <w:rsid w:val="00230A2D"/>
    <w:rsid w:val="00231111"/>
    <w:rsid w:val="0023120F"/>
    <w:rsid w:val="002312DD"/>
    <w:rsid w:val="0023136D"/>
    <w:rsid w:val="002314C9"/>
    <w:rsid w:val="00231505"/>
    <w:rsid w:val="00231565"/>
    <w:rsid w:val="0023166E"/>
    <w:rsid w:val="002317F2"/>
    <w:rsid w:val="002319FF"/>
    <w:rsid w:val="00231B61"/>
    <w:rsid w:val="00231C9C"/>
    <w:rsid w:val="00231D42"/>
    <w:rsid w:val="00231F15"/>
    <w:rsid w:val="00232047"/>
    <w:rsid w:val="00232087"/>
    <w:rsid w:val="00232176"/>
    <w:rsid w:val="002321ED"/>
    <w:rsid w:val="00232555"/>
    <w:rsid w:val="00232623"/>
    <w:rsid w:val="002328CA"/>
    <w:rsid w:val="00232965"/>
    <w:rsid w:val="00232F3E"/>
    <w:rsid w:val="00233117"/>
    <w:rsid w:val="002332B6"/>
    <w:rsid w:val="00233525"/>
    <w:rsid w:val="00233679"/>
    <w:rsid w:val="002337B2"/>
    <w:rsid w:val="002337D3"/>
    <w:rsid w:val="00233B11"/>
    <w:rsid w:val="00233BCF"/>
    <w:rsid w:val="00233E3B"/>
    <w:rsid w:val="00233ED9"/>
    <w:rsid w:val="00234455"/>
    <w:rsid w:val="0023454C"/>
    <w:rsid w:val="00234671"/>
    <w:rsid w:val="0023483B"/>
    <w:rsid w:val="00234CB0"/>
    <w:rsid w:val="00234DE9"/>
    <w:rsid w:val="00235081"/>
    <w:rsid w:val="0023514C"/>
    <w:rsid w:val="002351EC"/>
    <w:rsid w:val="0023535A"/>
    <w:rsid w:val="00235378"/>
    <w:rsid w:val="00235632"/>
    <w:rsid w:val="0023568B"/>
    <w:rsid w:val="0023582E"/>
    <w:rsid w:val="002358AE"/>
    <w:rsid w:val="00235904"/>
    <w:rsid w:val="00235AA6"/>
    <w:rsid w:val="00235D4A"/>
    <w:rsid w:val="002360A0"/>
    <w:rsid w:val="0023620C"/>
    <w:rsid w:val="0023630B"/>
    <w:rsid w:val="00236362"/>
    <w:rsid w:val="00236726"/>
    <w:rsid w:val="0023684F"/>
    <w:rsid w:val="0023685E"/>
    <w:rsid w:val="00236FE5"/>
    <w:rsid w:val="00237041"/>
    <w:rsid w:val="002372AF"/>
    <w:rsid w:val="002374EC"/>
    <w:rsid w:val="002377CC"/>
    <w:rsid w:val="00237990"/>
    <w:rsid w:val="00237A78"/>
    <w:rsid w:val="00237BC4"/>
    <w:rsid w:val="00237CC0"/>
    <w:rsid w:val="00237E73"/>
    <w:rsid w:val="00237F4F"/>
    <w:rsid w:val="00237F5D"/>
    <w:rsid w:val="00237F96"/>
    <w:rsid w:val="002400E4"/>
    <w:rsid w:val="0024013F"/>
    <w:rsid w:val="00240178"/>
    <w:rsid w:val="002401A4"/>
    <w:rsid w:val="002403DE"/>
    <w:rsid w:val="0024048E"/>
    <w:rsid w:val="00240A45"/>
    <w:rsid w:val="00240AF1"/>
    <w:rsid w:val="00240B2B"/>
    <w:rsid w:val="00240BEF"/>
    <w:rsid w:val="00240D5C"/>
    <w:rsid w:val="00240ED8"/>
    <w:rsid w:val="00240F70"/>
    <w:rsid w:val="002410D0"/>
    <w:rsid w:val="002411FC"/>
    <w:rsid w:val="002413A7"/>
    <w:rsid w:val="002413BC"/>
    <w:rsid w:val="0024140F"/>
    <w:rsid w:val="00241504"/>
    <w:rsid w:val="00241BCC"/>
    <w:rsid w:val="00241E68"/>
    <w:rsid w:val="00242073"/>
    <w:rsid w:val="00242292"/>
    <w:rsid w:val="00242525"/>
    <w:rsid w:val="002426DC"/>
    <w:rsid w:val="002427DC"/>
    <w:rsid w:val="00242831"/>
    <w:rsid w:val="002429E4"/>
    <w:rsid w:val="00242C50"/>
    <w:rsid w:val="00242C7B"/>
    <w:rsid w:val="00242E14"/>
    <w:rsid w:val="00242FDF"/>
    <w:rsid w:val="00243120"/>
    <w:rsid w:val="002431FA"/>
    <w:rsid w:val="002432FE"/>
    <w:rsid w:val="00243418"/>
    <w:rsid w:val="00243515"/>
    <w:rsid w:val="0024351E"/>
    <w:rsid w:val="00243594"/>
    <w:rsid w:val="002437C3"/>
    <w:rsid w:val="0024380E"/>
    <w:rsid w:val="00243852"/>
    <w:rsid w:val="00243957"/>
    <w:rsid w:val="00243972"/>
    <w:rsid w:val="00243A38"/>
    <w:rsid w:val="00243E6A"/>
    <w:rsid w:val="00243F20"/>
    <w:rsid w:val="00243FEC"/>
    <w:rsid w:val="00244125"/>
    <w:rsid w:val="0024435B"/>
    <w:rsid w:val="002447D8"/>
    <w:rsid w:val="00244956"/>
    <w:rsid w:val="00244E4A"/>
    <w:rsid w:val="00244F82"/>
    <w:rsid w:val="00245068"/>
    <w:rsid w:val="002451C5"/>
    <w:rsid w:val="002451DA"/>
    <w:rsid w:val="002451EE"/>
    <w:rsid w:val="002452F7"/>
    <w:rsid w:val="00245370"/>
    <w:rsid w:val="00245542"/>
    <w:rsid w:val="002455E2"/>
    <w:rsid w:val="00245A6C"/>
    <w:rsid w:val="00245AEC"/>
    <w:rsid w:val="00245D38"/>
    <w:rsid w:val="00245D7E"/>
    <w:rsid w:val="00246025"/>
    <w:rsid w:val="0024610A"/>
    <w:rsid w:val="0024660E"/>
    <w:rsid w:val="0024666C"/>
    <w:rsid w:val="00246B56"/>
    <w:rsid w:val="00246EB5"/>
    <w:rsid w:val="00246FA1"/>
    <w:rsid w:val="002470E4"/>
    <w:rsid w:val="002474AB"/>
    <w:rsid w:val="002474BC"/>
    <w:rsid w:val="002475D9"/>
    <w:rsid w:val="002476AB"/>
    <w:rsid w:val="00247802"/>
    <w:rsid w:val="00247A6E"/>
    <w:rsid w:val="00247CD3"/>
    <w:rsid w:val="00247DDC"/>
    <w:rsid w:val="00250632"/>
    <w:rsid w:val="0025065E"/>
    <w:rsid w:val="00250694"/>
    <w:rsid w:val="0025089F"/>
    <w:rsid w:val="002509CD"/>
    <w:rsid w:val="00250C86"/>
    <w:rsid w:val="00251204"/>
    <w:rsid w:val="0025148A"/>
    <w:rsid w:val="00251794"/>
    <w:rsid w:val="00251871"/>
    <w:rsid w:val="002519B2"/>
    <w:rsid w:val="00251F9F"/>
    <w:rsid w:val="002520E3"/>
    <w:rsid w:val="002521D3"/>
    <w:rsid w:val="00252695"/>
    <w:rsid w:val="0025282D"/>
    <w:rsid w:val="00252B43"/>
    <w:rsid w:val="00252D07"/>
    <w:rsid w:val="00252F3D"/>
    <w:rsid w:val="00252F44"/>
    <w:rsid w:val="00253009"/>
    <w:rsid w:val="002530C5"/>
    <w:rsid w:val="002534A0"/>
    <w:rsid w:val="00253589"/>
    <w:rsid w:val="002535E9"/>
    <w:rsid w:val="00253FD3"/>
    <w:rsid w:val="0025444B"/>
    <w:rsid w:val="0025451E"/>
    <w:rsid w:val="002547B4"/>
    <w:rsid w:val="00254865"/>
    <w:rsid w:val="00254A03"/>
    <w:rsid w:val="00254B5A"/>
    <w:rsid w:val="00254D4F"/>
    <w:rsid w:val="00254DF9"/>
    <w:rsid w:val="00254EE1"/>
    <w:rsid w:val="00254EF7"/>
    <w:rsid w:val="002550FF"/>
    <w:rsid w:val="002552A1"/>
    <w:rsid w:val="0025546E"/>
    <w:rsid w:val="00255512"/>
    <w:rsid w:val="0025558E"/>
    <w:rsid w:val="00255595"/>
    <w:rsid w:val="002555FA"/>
    <w:rsid w:val="00255EBB"/>
    <w:rsid w:val="00255F05"/>
    <w:rsid w:val="00256088"/>
    <w:rsid w:val="0025616E"/>
    <w:rsid w:val="0025636F"/>
    <w:rsid w:val="0025637E"/>
    <w:rsid w:val="00256559"/>
    <w:rsid w:val="002569EF"/>
    <w:rsid w:val="00256E1D"/>
    <w:rsid w:val="00257050"/>
    <w:rsid w:val="00257057"/>
    <w:rsid w:val="0025723D"/>
    <w:rsid w:val="0025762F"/>
    <w:rsid w:val="0025767C"/>
    <w:rsid w:val="00257B38"/>
    <w:rsid w:val="00257C2A"/>
    <w:rsid w:val="00257D8B"/>
    <w:rsid w:val="00257E50"/>
    <w:rsid w:val="00257EDD"/>
    <w:rsid w:val="00257F7F"/>
    <w:rsid w:val="00257FEB"/>
    <w:rsid w:val="002600F5"/>
    <w:rsid w:val="0026011B"/>
    <w:rsid w:val="002602D8"/>
    <w:rsid w:val="002604C4"/>
    <w:rsid w:val="00260677"/>
    <w:rsid w:val="00260A21"/>
    <w:rsid w:val="00260D05"/>
    <w:rsid w:val="00260D7D"/>
    <w:rsid w:val="00261151"/>
    <w:rsid w:val="002614F8"/>
    <w:rsid w:val="0026163B"/>
    <w:rsid w:val="00261C58"/>
    <w:rsid w:val="00261F69"/>
    <w:rsid w:val="0026206F"/>
    <w:rsid w:val="00262158"/>
    <w:rsid w:val="002624B0"/>
    <w:rsid w:val="002626F8"/>
    <w:rsid w:val="00262789"/>
    <w:rsid w:val="002627DD"/>
    <w:rsid w:val="0026290B"/>
    <w:rsid w:val="00262A8B"/>
    <w:rsid w:val="00262E7A"/>
    <w:rsid w:val="002630DE"/>
    <w:rsid w:val="0026329A"/>
    <w:rsid w:val="002635E9"/>
    <w:rsid w:val="00263673"/>
    <w:rsid w:val="002637E7"/>
    <w:rsid w:val="0026386A"/>
    <w:rsid w:val="00263E90"/>
    <w:rsid w:val="00263FF9"/>
    <w:rsid w:val="0026403E"/>
    <w:rsid w:val="00264133"/>
    <w:rsid w:val="00264140"/>
    <w:rsid w:val="0026429D"/>
    <w:rsid w:val="00264ABA"/>
    <w:rsid w:val="00264B52"/>
    <w:rsid w:val="00264BD5"/>
    <w:rsid w:val="00264FD7"/>
    <w:rsid w:val="00265027"/>
    <w:rsid w:val="0026535E"/>
    <w:rsid w:val="0026556F"/>
    <w:rsid w:val="00265B38"/>
    <w:rsid w:val="002661B0"/>
    <w:rsid w:val="00266605"/>
    <w:rsid w:val="00266847"/>
    <w:rsid w:val="0026693E"/>
    <w:rsid w:val="0026697A"/>
    <w:rsid w:val="002669B8"/>
    <w:rsid w:val="00266A1A"/>
    <w:rsid w:val="002671DC"/>
    <w:rsid w:val="002671F5"/>
    <w:rsid w:val="00267487"/>
    <w:rsid w:val="00267B22"/>
    <w:rsid w:val="00267B99"/>
    <w:rsid w:val="00267C84"/>
    <w:rsid w:val="00270024"/>
    <w:rsid w:val="00270172"/>
    <w:rsid w:val="00270231"/>
    <w:rsid w:val="00270267"/>
    <w:rsid w:val="00270315"/>
    <w:rsid w:val="0027036C"/>
    <w:rsid w:val="002708FB"/>
    <w:rsid w:val="00270924"/>
    <w:rsid w:val="002709C2"/>
    <w:rsid w:val="00270B18"/>
    <w:rsid w:val="00270E65"/>
    <w:rsid w:val="00270EC9"/>
    <w:rsid w:val="00271136"/>
    <w:rsid w:val="0027123A"/>
    <w:rsid w:val="00271480"/>
    <w:rsid w:val="0027159F"/>
    <w:rsid w:val="00271720"/>
    <w:rsid w:val="00271757"/>
    <w:rsid w:val="002717B7"/>
    <w:rsid w:val="00271861"/>
    <w:rsid w:val="00271953"/>
    <w:rsid w:val="00271A43"/>
    <w:rsid w:val="00271E80"/>
    <w:rsid w:val="00272116"/>
    <w:rsid w:val="002723D0"/>
    <w:rsid w:val="002729A6"/>
    <w:rsid w:val="00272A66"/>
    <w:rsid w:val="002731D3"/>
    <w:rsid w:val="002733A7"/>
    <w:rsid w:val="0027357C"/>
    <w:rsid w:val="002735BF"/>
    <w:rsid w:val="00273948"/>
    <w:rsid w:val="00273AFE"/>
    <w:rsid w:val="00273B17"/>
    <w:rsid w:val="00273C58"/>
    <w:rsid w:val="00273E32"/>
    <w:rsid w:val="0027405F"/>
    <w:rsid w:val="0027412B"/>
    <w:rsid w:val="0027413A"/>
    <w:rsid w:val="0027426B"/>
    <w:rsid w:val="002743E1"/>
    <w:rsid w:val="00274620"/>
    <w:rsid w:val="00274657"/>
    <w:rsid w:val="00274A28"/>
    <w:rsid w:val="00274B61"/>
    <w:rsid w:val="00274CB8"/>
    <w:rsid w:val="00274D98"/>
    <w:rsid w:val="002750DF"/>
    <w:rsid w:val="00275452"/>
    <w:rsid w:val="00275605"/>
    <w:rsid w:val="00275C35"/>
    <w:rsid w:val="00275D22"/>
    <w:rsid w:val="00275DB5"/>
    <w:rsid w:val="00276012"/>
    <w:rsid w:val="0027612E"/>
    <w:rsid w:val="0027620E"/>
    <w:rsid w:val="002762A1"/>
    <w:rsid w:val="00276730"/>
    <w:rsid w:val="002768F5"/>
    <w:rsid w:val="00276AD8"/>
    <w:rsid w:val="00276C67"/>
    <w:rsid w:val="00276D5A"/>
    <w:rsid w:val="00277015"/>
    <w:rsid w:val="00277046"/>
    <w:rsid w:val="002770C2"/>
    <w:rsid w:val="002772E7"/>
    <w:rsid w:val="0027777A"/>
    <w:rsid w:val="00277901"/>
    <w:rsid w:val="00277914"/>
    <w:rsid w:val="00277B7D"/>
    <w:rsid w:val="00277CC2"/>
    <w:rsid w:val="00277D92"/>
    <w:rsid w:val="002800C5"/>
    <w:rsid w:val="00280196"/>
    <w:rsid w:val="002801BC"/>
    <w:rsid w:val="00280318"/>
    <w:rsid w:val="002803A5"/>
    <w:rsid w:val="00280577"/>
    <w:rsid w:val="00280705"/>
    <w:rsid w:val="0028075A"/>
    <w:rsid w:val="002807BF"/>
    <w:rsid w:val="00280BD1"/>
    <w:rsid w:val="00280D4E"/>
    <w:rsid w:val="00281080"/>
    <w:rsid w:val="00281263"/>
    <w:rsid w:val="0028172D"/>
    <w:rsid w:val="002819A2"/>
    <w:rsid w:val="002819AB"/>
    <w:rsid w:val="00281BB6"/>
    <w:rsid w:val="00281DF7"/>
    <w:rsid w:val="00281FFF"/>
    <w:rsid w:val="002820F0"/>
    <w:rsid w:val="002822FC"/>
    <w:rsid w:val="002825BF"/>
    <w:rsid w:val="002826FD"/>
    <w:rsid w:val="0028273A"/>
    <w:rsid w:val="00282748"/>
    <w:rsid w:val="0028275F"/>
    <w:rsid w:val="0028286C"/>
    <w:rsid w:val="00282899"/>
    <w:rsid w:val="00282A05"/>
    <w:rsid w:val="00282A69"/>
    <w:rsid w:val="00282E5E"/>
    <w:rsid w:val="00283805"/>
    <w:rsid w:val="00283944"/>
    <w:rsid w:val="00283D1C"/>
    <w:rsid w:val="00283D7A"/>
    <w:rsid w:val="00283D7B"/>
    <w:rsid w:val="00283DF4"/>
    <w:rsid w:val="0028441D"/>
    <w:rsid w:val="002844AE"/>
    <w:rsid w:val="00284692"/>
    <w:rsid w:val="00284705"/>
    <w:rsid w:val="00284728"/>
    <w:rsid w:val="00284941"/>
    <w:rsid w:val="0028496D"/>
    <w:rsid w:val="00284B54"/>
    <w:rsid w:val="00285034"/>
    <w:rsid w:val="0028518E"/>
    <w:rsid w:val="002851BD"/>
    <w:rsid w:val="00285274"/>
    <w:rsid w:val="002854C5"/>
    <w:rsid w:val="00285A6D"/>
    <w:rsid w:val="00285E63"/>
    <w:rsid w:val="00286050"/>
    <w:rsid w:val="00286158"/>
    <w:rsid w:val="002866E3"/>
    <w:rsid w:val="002868E5"/>
    <w:rsid w:val="00286953"/>
    <w:rsid w:val="00286A5C"/>
    <w:rsid w:val="00286E0E"/>
    <w:rsid w:val="0028707B"/>
    <w:rsid w:val="00287231"/>
    <w:rsid w:val="00287699"/>
    <w:rsid w:val="00287809"/>
    <w:rsid w:val="00287C26"/>
    <w:rsid w:val="00287D32"/>
    <w:rsid w:val="00287F3B"/>
    <w:rsid w:val="00290015"/>
    <w:rsid w:val="002902F5"/>
    <w:rsid w:val="00290817"/>
    <w:rsid w:val="00290A5B"/>
    <w:rsid w:val="00290AEF"/>
    <w:rsid w:val="00290B78"/>
    <w:rsid w:val="002914E8"/>
    <w:rsid w:val="00291660"/>
    <w:rsid w:val="002918D5"/>
    <w:rsid w:val="0029192D"/>
    <w:rsid w:val="0029194B"/>
    <w:rsid w:val="00291A57"/>
    <w:rsid w:val="00291A95"/>
    <w:rsid w:val="00291BDF"/>
    <w:rsid w:val="00291C59"/>
    <w:rsid w:val="00292000"/>
    <w:rsid w:val="002921F6"/>
    <w:rsid w:val="002923A7"/>
    <w:rsid w:val="00292491"/>
    <w:rsid w:val="0029258A"/>
    <w:rsid w:val="00292804"/>
    <w:rsid w:val="00292A29"/>
    <w:rsid w:val="00292D8A"/>
    <w:rsid w:val="002930C8"/>
    <w:rsid w:val="002931C4"/>
    <w:rsid w:val="002934B6"/>
    <w:rsid w:val="002934FB"/>
    <w:rsid w:val="00293675"/>
    <w:rsid w:val="002936FE"/>
    <w:rsid w:val="00293831"/>
    <w:rsid w:val="002939CD"/>
    <w:rsid w:val="002939FC"/>
    <w:rsid w:val="00293CBC"/>
    <w:rsid w:val="00293DC3"/>
    <w:rsid w:val="00293DD8"/>
    <w:rsid w:val="00293E23"/>
    <w:rsid w:val="00293F12"/>
    <w:rsid w:val="0029400E"/>
    <w:rsid w:val="002948CE"/>
    <w:rsid w:val="002948DE"/>
    <w:rsid w:val="00294B54"/>
    <w:rsid w:val="00294C56"/>
    <w:rsid w:val="00294C73"/>
    <w:rsid w:val="00294C92"/>
    <w:rsid w:val="00294DA8"/>
    <w:rsid w:val="00294E04"/>
    <w:rsid w:val="00294E9C"/>
    <w:rsid w:val="00294ED7"/>
    <w:rsid w:val="00295111"/>
    <w:rsid w:val="00295205"/>
    <w:rsid w:val="00295273"/>
    <w:rsid w:val="002954E3"/>
    <w:rsid w:val="00295650"/>
    <w:rsid w:val="002956C2"/>
    <w:rsid w:val="00295735"/>
    <w:rsid w:val="00295831"/>
    <w:rsid w:val="00295B60"/>
    <w:rsid w:val="00295D1E"/>
    <w:rsid w:val="00295E63"/>
    <w:rsid w:val="002963F7"/>
    <w:rsid w:val="00296500"/>
    <w:rsid w:val="00296726"/>
    <w:rsid w:val="00296A20"/>
    <w:rsid w:val="00296A5C"/>
    <w:rsid w:val="00297924"/>
    <w:rsid w:val="00297BB4"/>
    <w:rsid w:val="00297C8B"/>
    <w:rsid w:val="002A0234"/>
    <w:rsid w:val="002A02C9"/>
    <w:rsid w:val="002A0427"/>
    <w:rsid w:val="002A05A9"/>
    <w:rsid w:val="002A068A"/>
    <w:rsid w:val="002A06A2"/>
    <w:rsid w:val="002A0A4D"/>
    <w:rsid w:val="002A0B0C"/>
    <w:rsid w:val="002A0CE8"/>
    <w:rsid w:val="002A1092"/>
    <w:rsid w:val="002A1225"/>
    <w:rsid w:val="002A1261"/>
    <w:rsid w:val="002A12B2"/>
    <w:rsid w:val="002A132A"/>
    <w:rsid w:val="002A1ABA"/>
    <w:rsid w:val="002A1CA5"/>
    <w:rsid w:val="002A21CE"/>
    <w:rsid w:val="002A232F"/>
    <w:rsid w:val="002A2695"/>
    <w:rsid w:val="002A2A62"/>
    <w:rsid w:val="002A2B21"/>
    <w:rsid w:val="002A2E08"/>
    <w:rsid w:val="002A3085"/>
    <w:rsid w:val="002A32B2"/>
    <w:rsid w:val="002A36B9"/>
    <w:rsid w:val="002A3B24"/>
    <w:rsid w:val="002A3D2B"/>
    <w:rsid w:val="002A3E17"/>
    <w:rsid w:val="002A3FE3"/>
    <w:rsid w:val="002A4267"/>
    <w:rsid w:val="002A43E1"/>
    <w:rsid w:val="002A44AE"/>
    <w:rsid w:val="002A47B8"/>
    <w:rsid w:val="002A4A00"/>
    <w:rsid w:val="002A4DC0"/>
    <w:rsid w:val="002A5066"/>
    <w:rsid w:val="002A530C"/>
    <w:rsid w:val="002A53A6"/>
    <w:rsid w:val="002A53C7"/>
    <w:rsid w:val="002A5590"/>
    <w:rsid w:val="002A55B4"/>
    <w:rsid w:val="002A55E7"/>
    <w:rsid w:val="002A5ABA"/>
    <w:rsid w:val="002A5AD0"/>
    <w:rsid w:val="002A5B55"/>
    <w:rsid w:val="002A5CEB"/>
    <w:rsid w:val="002A5D0E"/>
    <w:rsid w:val="002A5F8A"/>
    <w:rsid w:val="002A613F"/>
    <w:rsid w:val="002A69E7"/>
    <w:rsid w:val="002A6C7A"/>
    <w:rsid w:val="002A73E9"/>
    <w:rsid w:val="002A7A40"/>
    <w:rsid w:val="002A7A9A"/>
    <w:rsid w:val="002A7BDB"/>
    <w:rsid w:val="002A7D1D"/>
    <w:rsid w:val="002A7F20"/>
    <w:rsid w:val="002A7FEB"/>
    <w:rsid w:val="002B0470"/>
    <w:rsid w:val="002B055F"/>
    <w:rsid w:val="002B0651"/>
    <w:rsid w:val="002B0AF2"/>
    <w:rsid w:val="002B0B6F"/>
    <w:rsid w:val="002B0D6E"/>
    <w:rsid w:val="002B0E0B"/>
    <w:rsid w:val="002B0F71"/>
    <w:rsid w:val="002B105A"/>
    <w:rsid w:val="002B12DA"/>
    <w:rsid w:val="002B1462"/>
    <w:rsid w:val="002B15AA"/>
    <w:rsid w:val="002B15C8"/>
    <w:rsid w:val="002B1938"/>
    <w:rsid w:val="002B19BE"/>
    <w:rsid w:val="002B19F3"/>
    <w:rsid w:val="002B1CE8"/>
    <w:rsid w:val="002B1E7D"/>
    <w:rsid w:val="002B2437"/>
    <w:rsid w:val="002B24D5"/>
    <w:rsid w:val="002B286B"/>
    <w:rsid w:val="002B2881"/>
    <w:rsid w:val="002B2A87"/>
    <w:rsid w:val="002B2D28"/>
    <w:rsid w:val="002B30C0"/>
    <w:rsid w:val="002B30FE"/>
    <w:rsid w:val="002B3148"/>
    <w:rsid w:val="002B3179"/>
    <w:rsid w:val="002B3184"/>
    <w:rsid w:val="002B31B4"/>
    <w:rsid w:val="002B328F"/>
    <w:rsid w:val="002B3479"/>
    <w:rsid w:val="002B3663"/>
    <w:rsid w:val="002B3E6B"/>
    <w:rsid w:val="002B3EA0"/>
    <w:rsid w:val="002B4121"/>
    <w:rsid w:val="002B42C6"/>
    <w:rsid w:val="002B4405"/>
    <w:rsid w:val="002B48DB"/>
    <w:rsid w:val="002B4A06"/>
    <w:rsid w:val="002B4BA4"/>
    <w:rsid w:val="002B4C18"/>
    <w:rsid w:val="002B4E2D"/>
    <w:rsid w:val="002B4E42"/>
    <w:rsid w:val="002B5461"/>
    <w:rsid w:val="002B551F"/>
    <w:rsid w:val="002B5720"/>
    <w:rsid w:val="002B5751"/>
    <w:rsid w:val="002B59AD"/>
    <w:rsid w:val="002B59D2"/>
    <w:rsid w:val="002B5B6B"/>
    <w:rsid w:val="002B61DF"/>
    <w:rsid w:val="002B63B3"/>
    <w:rsid w:val="002B653A"/>
    <w:rsid w:val="002B68E3"/>
    <w:rsid w:val="002B6AB2"/>
    <w:rsid w:val="002B6B8D"/>
    <w:rsid w:val="002B6C7C"/>
    <w:rsid w:val="002B6EC7"/>
    <w:rsid w:val="002B6ECA"/>
    <w:rsid w:val="002B6F1C"/>
    <w:rsid w:val="002B7216"/>
    <w:rsid w:val="002B7291"/>
    <w:rsid w:val="002B787C"/>
    <w:rsid w:val="002B7A9D"/>
    <w:rsid w:val="002B7F10"/>
    <w:rsid w:val="002B7F7A"/>
    <w:rsid w:val="002C02B1"/>
    <w:rsid w:val="002C02C3"/>
    <w:rsid w:val="002C02ED"/>
    <w:rsid w:val="002C0521"/>
    <w:rsid w:val="002C05E3"/>
    <w:rsid w:val="002C07E3"/>
    <w:rsid w:val="002C0812"/>
    <w:rsid w:val="002C0C3A"/>
    <w:rsid w:val="002C0E86"/>
    <w:rsid w:val="002C0FCE"/>
    <w:rsid w:val="002C100F"/>
    <w:rsid w:val="002C1098"/>
    <w:rsid w:val="002C10A3"/>
    <w:rsid w:val="002C117E"/>
    <w:rsid w:val="002C14D6"/>
    <w:rsid w:val="002C17D3"/>
    <w:rsid w:val="002C17EF"/>
    <w:rsid w:val="002C1E5B"/>
    <w:rsid w:val="002C1FC3"/>
    <w:rsid w:val="002C206E"/>
    <w:rsid w:val="002C23E9"/>
    <w:rsid w:val="002C25FB"/>
    <w:rsid w:val="002C26A2"/>
    <w:rsid w:val="002C28B1"/>
    <w:rsid w:val="002C2E01"/>
    <w:rsid w:val="002C2E34"/>
    <w:rsid w:val="002C3094"/>
    <w:rsid w:val="002C339A"/>
    <w:rsid w:val="002C3597"/>
    <w:rsid w:val="002C35E1"/>
    <w:rsid w:val="002C360B"/>
    <w:rsid w:val="002C3C1D"/>
    <w:rsid w:val="002C3E65"/>
    <w:rsid w:val="002C4164"/>
    <w:rsid w:val="002C4176"/>
    <w:rsid w:val="002C4204"/>
    <w:rsid w:val="002C42E7"/>
    <w:rsid w:val="002C4345"/>
    <w:rsid w:val="002C44BE"/>
    <w:rsid w:val="002C458E"/>
    <w:rsid w:val="002C4640"/>
    <w:rsid w:val="002C4690"/>
    <w:rsid w:val="002C49BA"/>
    <w:rsid w:val="002C4A2C"/>
    <w:rsid w:val="002C4D7D"/>
    <w:rsid w:val="002C5232"/>
    <w:rsid w:val="002C535F"/>
    <w:rsid w:val="002C56BC"/>
    <w:rsid w:val="002C56EF"/>
    <w:rsid w:val="002C5886"/>
    <w:rsid w:val="002C58FB"/>
    <w:rsid w:val="002C59E3"/>
    <w:rsid w:val="002C5ACD"/>
    <w:rsid w:val="002C5D4E"/>
    <w:rsid w:val="002C6033"/>
    <w:rsid w:val="002C626F"/>
    <w:rsid w:val="002C6291"/>
    <w:rsid w:val="002C62F8"/>
    <w:rsid w:val="002C641B"/>
    <w:rsid w:val="002C69A1"/>
    <w:rsid w:val="002C6ABA"/>
    <w:rsid w:val="002C6E7D"/>
    <w:rsid w:val="002C6F74"/>
    <w:rsid w:val="002C7224"/>
    <w:rsid w:val="002C738D"/>
    <w:rsid w:val="002C740D"/>
    <w:rsid w:val="002C743B"/>
    <w:rsid w:val="002C75DC"/>
    <w:rsid w:val="002C78E3"/>
    <w:rsid w:val="002C7913"/>
    <w:rsid w:val="002C7990"/>
    <w:rsid w:val="002C7B4D"/>
    <w:rsid w:val="002C7FC7"/>
    <w:rsid w:val="002C7FD4"/>
    <w:rsid w:val="002D0010"/>
    <w:rsid w:val="002D00A0"/>
    <w:rsid w:val="002D0475"/>
    <w:rsid w:val="002D0543"/>
    <w:rsid w:val="002D0572"/>
    <w:rsid w:val="002D069C"/>
    <w:rsid w:val="002D08B1"/>
    <w:rsid w:val="002D0B32"/>
    <w:rsid w:val="002D0D79"/>
    <w:rsid w:val="002D0F64"/>
    <w:rsid w:val="002D0F67"/>
    <w:rsid w:val="002D1028"/>
    <w:rsid w:val="002D1141"/>
    <w:rsid w:val="002D117C"/>
    <w:rsid w:val="002D117F"/>
    <w:rsid w:val="002D149C"/>
    <w:rsid w:val="002D15DE"/>
    <w:rsid w:val="002D1920"/>
    <w:rsid w:val="002D1994"/>
    <w:rsid w:val="002D19B6"/>
    <w:rsid w:val="002D1DF0"/>
    <w:rsid w:val="002D2006"/>
    <w:rsid w:val="002D2231"/>
    <w:rsid w:val="002D2317"/>
    <w:rsid w:val="002D27C6"/>
    <w:rsid w:val="002D29E7"/>
    <w:rsid w:val="002D2F12"/>
    <w:rsid w:val="002D3118"/>
    <w:rsid w:val="002D37A6"/>
    <w:rsid w:val="002D3937"/>
    <w:rsid w:val="002D397F"/>
    <w:rsid w:val="002D3E18"/>
    <w:rsid w:val="002D4036"/>
    <w:rsid w:val="002D4141"/>
    <w:rsid w:val="002D46BE"/>
    <w:rsid w:val="002D4775"/>
    <w:rsid w:val="002D47F7"/>
    <w:rsid w:val="002D49B0"/>
    <w:rsid w:val="002D4ACD"/>
    <w:rsid w:val="002D4CF9"/>
    <w:rsid w:val="002D5086"/>
    <w:rsid w:val="002D535D"/>
    <w:rsid w:val="002D54EF"/>
    <w:rsid w:val="002D5509"/>
    <w:rsid w:val="002D5518"/>
    <w:rsid w:val="002D558D"/>
    <w:rsid w:val="002D5C21"/>
    <w:rsid w:val="002D5F71"/>
    <w:rsid w:val="002D5FFB"/>
    <w:rsid w:val="002D6197"/>
    <w:rsid w:val="002D61DA"/>
    <w:rsid w:val="002D6254"/>
    <w:rsid w:val="002D6536"/>
    <w:rsid w:val="002D660A"/>
    <w:rsid w:val="002D6687"/>
    <w:rsid w:val="002D67FC"/>
    <w:rsid w:val="002D6B5C"/>
    <w:rsid w:val="002D6E97"/>
    <w:rsid w:val="002D6E99"/>
    <w:rsid w:val="002D711A"/>
    <w:rsid w:val="002D74C2"/>
    <w:rsid w:val="002D75E6"/>
    <w:rsid w:val="002D760D"/>
    <w:rsid w:val="002D7835"/>
    <w:rsid w:val="002D7A3E"/>
    <w:rsid w:val="002D7B71"/>
    <w:rsid w:val="002D7BAB"/>
    <w:rsid w:val="002D7BD7"/>
    <w:rsid w:val="002D7C71"/>
    <w:rsid w:val="002D7DC1"/>
    <w:rsid w:val="002E0226"/>
    <w:rsid w:val="002E028F"/>
    <w:rsid w:val="002E04A7"/>
    <w:rsid w:val="002E0D16"/>
    <w:rsid w:val="002E0DB5"/>
    <w:rsid w:val="002E110F"/>
    <w:rsid w:val="002E13B7"/>
    <w:rsid w:val="002E16E7"/>
    <w:rsid w:val="002E1895"/>
    <w:rsid w:val="002E1A3B"/>
    <w:rsid w:val="002E1CDA"/>
    <w:rsid w:val="002E1D6A"/>
    <w:rsid w:val="002E1DA8"/>
    <w:rsid w:val="002E1EBE"/>
    <w:rsid w:val="002E20EA"/>
    <w:rsid w:val="002E2381"/>
    <w:rsid w:val="002E2394"/>
    <w:rsid w:val="002E23BB"/>
    <w:rsid w:val="002E26E1"/>
    <w:rsid w:val="002E2945"/>
    <w:rsid w:val="002E29CD"/>
    <w:rsid w:val="002E2BBA"/>
    <w:rsid w:val="002E2DC9"/>
    <w:rsid w:val="002E2F41"/>
    <w:rsid w:val="002E30CC"/>
    <w:rsid w:val="002E31B0"/>
    <w:rsid w:val="002E36B0"/>
    <w:rsid w:val="002E3801"/>
    <w:rsid w:val="002E3A18"/>
    <w:rsid w:val="002E3A9E"/>
    <w:rsid w:val="002E3D68"/>
    <w:rsid w:val="002E3F25"/>
    <w:rsid w:val="002E40E1"/>
    <w:rsid w:val="002E4126"/>
    <w:rsid w:val="002E418F"/>
    <w:rsid w:val="002E4298"/>
    <w:rsid w:val="002E45D3"/>
    <w:rsid w:val="002E4E85"/>
    <w:rsid w:val="002E4E9B"/>
    <w:rsid w:val="002E4EC8"/>
    <w:rsid w:val="002E4F5C"/>
    <w:rsid w:val="002E50A1"/>
    <w:rsid w:val="002E51E4"/>
    <w:rsid w:val="002E52E7"/>
    <w:rsid w:val="002E5319"/>
    <w:rsid w:val="002E533D"/>
    <w:rsid w:val="002E566C"/>
    <w:rsid w:val="002E5867"/>
    <w:rsid w:val="002E58ED"/>
    <w:rsid w:val="002E5A79"/>
    <w:rsid w:val="002E5D58"/>
    <w:rsid w:val="002E634A"/>
    <w:rsid w:val="002E63C1"/>
    <w:rsid w:val="002E64BB"/>
    <w:rsid w:val="002E650E"/>
    <w:rsid w:val="002E651D"/>
    <w:rsid w:val="002E65F1"/>
    <w:rsid w:val="002E6918"/>
    <w:rsid w:val="002E6ACB"/>
    <w:rsid w:val="002E6DF4"/>
    <w:rsid w:val="002E6EBB"/>
    <w:rsid w:val="002E6FF5"/>
    <w:rsid w:val="002E7503"/>
    <w:rsid w:val="002E7525"/>
    <w:rsid w:val="002E75D6"/>
    <w:rsid w:val="002E76C1"/>
    <w:rsid w:val="002E76CD"/>
    <w:rsid w:val="002E7709"/>
    <w:rsid w:val="002E78BA"/>
    <w:rsid w:val="002E78D0"/>
    <w:rsid w:val="002E7C47"/>
    <w:rsid w:val="002E7F84"/>
    <w:rsid w:val="002F014E"/>
    <w:rsid w:val="002F0253"/>
    <w:rsid w:val="002F02FF"/>
    <w:rsid w:val="002F03FF"/>
    <w:rsid w:val="002F07D1"/>
    <w:rsid w:val="002F0AD1"/>
    <w:rsid w:val="002F0FAF"/>
    <w:rsid w:val="002F15B2"/>
    <w:rsid w:val="002F15E3"/>
    <w:rsid w:val="002F1B27"/>
    <w:rsid w:val="002F1BC3"/>
    <w:rsid w:val="002F1D56"/>
    <w:rsid w:val="002F2334"/>
    <w:rsid w:val="002F235C"/>
    <w:rsid w:val="002F2836"/>
    <w:rsid w:val="002F29D9"/>
    <w:rsid w:val="002F2A7D"/>
    <w:rsid w:val="002F2DD0"/>
    <w:rsid w:val="002F2E0A"/>
    <w:rsid w:val="002F2F53"/>
    <w:rsid w:val="002F30DC"/>
    <w:rsid w:val="002F3211"/>
    <w:rsid w:val="002F321A"/>
    <w:rsid w:val="002F3254"/>
    <w:rsid w:val="002F3494"/>
    <w:rsid w:val="002F350C"/>
    <w:rsid w:val="002F3A35"/>
    <w:rsid w:val="002F3D00"/>
    <w:rsid w:val="002F3E90"/>
    <w:rsid w:val="002F4070"/>
    <w:rsid w:val="002F442D"/>
    <w:rsid w:val="002F4742"/>
    <w:rsid w:val="002F4853"/>
    <w:rsid w:val="002F4A68"/>
    <w:rsid w:val="002F4B7B"/>
    <w:rsid w:val="002F5376"/>
    <w:rsid w:val="002F577F"/>
    <w:rsid w:val="002F5B86"/>
    <w:rsid w:val="002F5C60"/>
    <w:rsid w:val="002F61D4"/>
    <w:rsid w:val="002F64B1"/>
    <w:rsid w:val="002F6586"/>
    <w:rsid w:val="002F689A"/>
    <w:rsid w:val="002F6A52"/>
    <w:rsid w:val="002F6BA1"/>
    <w:rsid w:val="002F6C4C"/>
    <w:rsid w:val="002F6CBC"/>
    <w:rsid w:val="002F6D8B"/>
    <w:rsid w:val="002F718F"/>
    <w:rsid w:val="002F73FE"/>
    <w:rsid w:val="002F7615"/>
    <w:rsid w:val="002F7843"/>
    <w:rsid w:val="002F797A"/>
    <w:rsid w:val="002F7B13"/>
    <w:rsid w:val="002F7C40"/>
    <w:rsid w:val="002F7D7F"/>
    <w:rsid w:val="002F7EB4"/>
    <w:rsid w:val="002F7F07"/>
    <w:rsid w:val="00300250"/>
    <w:rsid w:val="003008F5"/>
    <w:rsid w:val="00300AD6"/>
    <w:rsid w:val="00300C57"/>
    <w:rsid w:val="00300E44"/>
    <w:rsid w:val="003011BD"/>
    <w:rsid w:val="00301370"/>
    <w:rsid w:val="003013BA"/>
    <w:rsid w:val="00301494"/>
    <w:rsid w:val="00301576"/>
    <w:rsid w:val="003015CF"/>
    <w:rsid w:val="00301736"/>
    <w:rsid w:val="0030188C"/>
    <w:rsid w:val="00301967"/>
    <w:rsid w:val="00301AC0"/>
    <w:rsid w:val="00301D1F"/>
    <w:rsid w:val="00301FBB"/>
    <w:rsid w:val="003023BA"/>
    <w:rsid w:val="00302793"/>
    <w:rsid w:val="00302F3D"/>
    <w:rsid w:val="003034FA"/>
    <w:rsid w:val="003035EB"/>
    <w:rsid w:val="003036C4"/>
    <w:rsid w:val="003036F7"/>
    <w:rsid w:val="00303BFC"/>
    <w:rsid w:val="00303E1F"/>
    <w:rsid w:val="00304112"/>
    <w:rsid w:val="00304456"/>
    <w:rsid w:val="0030461F"/>
    <w:rsid w:val="0030499F"/>
    <w:rsid w:val="003049D8"/>
    <w:rsid w:val="00304A20"/>
    <w:rsid w:val="00304F47"/>
    <w:rsid w:val="003051D4"/>
    <w:rsid w:val="003051E5"/>
    <w:rsid w:val="003052BF"/>
    <w:rsid w:val="00305369"/>
    <w:rsid w:val="0030549A"/>
    <w:rsid w:val="00305796"/>
    <w:rsid w:val="00305B72"/>
    <w:rsid w:val="00305CD5"/>
    <w:rsid w:val="00305EFA"/>
    <w:rsid w:val="0030606E"/>
    <w:rsid w:val="00306080"/>
    <w:rsid w:val="003060DD"/>
    <w:rsid w:val="00306166"/>
    <w:rsid w:val="003064AB"/>
    <w:rsid w:val="003067E5"/>
    <w:rsid w:val="003068EA"/>
    <w:rsid w:val="00306BD1"/>
    <w:rsid w:val="00306C36"/>
    <w:rsid w:val="00306C45"/>
    <w:rsid w:val="00306C56"/>
    <w:rsid w:val="00306E07"/>
    <w:rsid w:val="00306F6C"/>
    <w:rsid w:val="00307096"/>
    <w:rsid w:val="0030709C"/>
    <w:rsid w:val="00307178"/>
    <w:rsid w:val="0030731E"/>
    <w:rsid w:val="0030758F"/>
    <w:rsid w:val="003075E7"/>
    <w:rsid w:val="00307915"/>
    <w:rsid w:val="00307C4C"/>
    <w:rsid w:val="00307D0A"/>
    <w:rsid w:val="00307D7C"/>
    <w:rsid w:val="00307FD9"/>
    <w:rsid w:val="00310392"/>
    <w:rsid w:val="0031045F"/>
    <w:rsid w:val="0031068F"/>
    <w:rsid w:val="0031076F"/>
    <w:rsid w:val="003108A2"/>
    <w:rsid w:val="00310954"/>
    <w:rsid w:val="00311026"/>
    <w:rsid w:val="003113F2"/>
    <w:rsid w:val="003114E2"/>
    <w:rsid w:val="003115A4"/>
    <w:rsid w:val="00311714"/>
    <w:rsid w:val="00311BA5"/>
    <w:rsid w:val="00311E54"/>
    <w:rsid w:val="00311F32"/>
    <w:rsid w:val="00312305"/>
    <w:rsid w:val="0031230C"/>
    <w:rsid w:val="0031274C"/>
    <w:rsid w:val="00312DE5"/>
    <w:rsid w:val="00312F3E"/>
    <w:rsid w:val="0031304E"/>
    <w:rsid w:val="003130D0"/>
    <w:rsid w:val="00313388"/>
    <w:rsid w:val="003133B9"/>
    <w:rsid w:val="00313BB2"/>
    <w:rsid w:val="00313C08"/>
    <w:rsid w:val="00314101"/>
    <w:rsid w:val="00314306"/>
    <w:rsid w:val="003143CD"/>
    <w:rsid w:val="00314576"/>
    <w:rsid w:val="0031475B"/>
    <w:rsid w:val="00314891"/>
    <w:rsid w:val="00314BFC"/>
    <w:rsid w:val="00314C04"/>
    <w:rsid w:val="00314D48"/>
    <w:rsid w:val="00315139"/>
    <w:rsid w:val="003152C5"/>
    <w:rsid w:val="0031535A"/>
    <w:rsid w:val="00315374"/>
    <w:rsid w:val="003153AD"/>
    <w:rsid w:val="0031576F"/>
    <w:rsid w:val="00315972"/>
    <w:rsid w:val="00315990"/>
    <w:rsid w:val="003159D0"/>
    <w:rsid w:val="00315A66"/>
    <w:rsid w:val="00315BA2"/>
    <w:rsid w:val="00315DBE"/>
    <w:rsid w:val="00315E25"/>
    <w:rsid w:val="00316070"/>
    <w:rsid w:val="0031614B"/>
    <w:rsid w:val="00316162"/>
    <w:rsid w:val="003161ED"/>
    <w:rsid w:val="003164B4"/>
    <w:rsid w:val="003169D0"/>
    <w:rsid w:val="00316A28"/>
    <w:rsid w:val="00316A60"/>
    <w:rsid w:val="00316AE1"/>
    <w:rsid w:val="00316B22"/>
    <w:rsid w:val="00316CA7"/>
    <w:rsid w:val="0031755B"/>
    <w:rsid w:val="00317629"/>
    <w:rsid w:val="00317887"/>
    <w:rsid w:val="00317915"/>
    <w:rsid w:val="00317A7A"/>
    <w:rsid w:val="003201A1"/>
    <w:rsid w:val="0032029A"/>
    <w:rsid w:val="003203B5"/>
    <w:rsid w:val="00320534"/>
    <w:rsid w:val="0032054C"/>
    <w:rsid w:val="003205A2"/>
    <w:rsid w:val="003205F4"/>
    <w:rsid w:val="00320E2C"/>
    <w:rsid w:val="0032108E"/>
    <w:rsid w:val="0032111C"/>
    <w:rsid w:val="0032111D"/>
    <w:rsid w:val="0032136C"/>
    <w:rsid w:val="003214E2"/>
    <w:rsid w:val="00321506"/>
    <w:rsid w:val="00321D3A"/>
    <w:rsid w:val="00321F0C"/>
    <w:rsid w:val="003222F4"/>
    <w:rsid w:val="00322384"/>
    <w:rsid w:val="00322459"/>
    <w:rsid w:val="0032245B"/>
    <w:rsid w:val="00322534"/>
    <w:rsid w:val="00322771"/>
    <w:rsid w:val="00322860"/>
    <w:rsid w:val="003229AC"/>
    <w:rsid w:val="00322B31"/>
    <w:rsid w:val="00322BF9"/>
    <w:rsid w:val="00322C21"/>
    <w:rsid w:val="00322F3A"/>
    <w:rsid w:val="00322F90"/>
    <w:rsid w:val="00323094"/>
    <w:rsid w:val="003234AF"/>
    <w:rsid w:val="0032355B"/>
    <w:rsid w:val="0032396E"/>
    <w:rsid w:val="00323972"/>
    <w:rsid w:val="00323C03"/>
    <w:rsid w:val="00323C1A"/>
    <w:rsid w:val="00323CB5"/>
    <w:rsid w:val="00323CCA"/>
    <w:rsid w:val="00323F9A"/>
    <w:rsid w:val="00324114"/>
    <w:rsid w:val="0032413E"/>
    <w:rsid w:val="00324288"/>
    <w:rsid w:val="00324735"/>
    <w:rsid w:val="003248EF"/>
    <w:rsid w:val="00324B3B"/>
    <w:rsid w:val="00324F38"/>
    <w:rsid w:val="00324FC5"/>
    <w:rsid w:val="00325121"/>
    <w:rsid w:val="003251B2"/>
    <w:rsid w:val="003251F9"/>
    <w:rsid w:val="00325224"/>
    <w:rsid w:val="003254AB"/>
    <w:rsid w:val="003254AE"/>
    <w:rsid w:val="003254B9"/>
    <w:rsid w:val="003255C1"/>
    <w:rsid w:val="00325885"/>
    <w:rsid w:val="0032588A"/>
    <w:rsid w:val="0032588E"/>
    <w:rsid w:val="00325964"/>
    <w:rsid w:val="003259C5"/>
    <w:rsid w:val="00325A5A"/>
    <w:rsid w:val="00325F64"/>
    <w:rsid w:val="00326037"/>
    <w:rsid w:val="00326058"/>
    <w:rsid w:val="00326098"/>
    <w:rsid w:val="00326256"/>
    <w:rsid w:val="0032638B"/>
    <w:rsid w:val="00326440"/>
    <w:rsid w:val="00326649"/>
    <w:rsid w:val="003266BF"/>
    <w:rsid w:val="003267A9"/>
    <w:rsid w:val="00326C55"/>
    <w:rsid w:val="00326D02"/>
    <w:rsid w:val="00326E47"/>
    <w:rsid w:val="0032700A"/>
    <w:rsid w:val="00327461"/>
    <w:rsid w:val="00327497"/>
    <w:rsid w:val="003274C1"/>
    <w:rsid w:val="0032777F"/>
    <w:rsid w:val="00327900"/>
    <w:rsid w:val="0032790A"/>
    <w:rsid w:val="00327B7C"/>
    <w:rsid w:val="00330293"/>
    <w:rsid w:val="003302A7"/>
    <w:rsid w:val="003304A5"/>
    <w:rsid w:val="00330666"/>
    <w:rsid w:val="0033069A"/>
    <w:rsid w:val="00330761"/>
    <w:rsid w:val="00330AEE"/>
    <w:rsid w:val="00330B16"/>
    <w:rsid w:val="00330BD7"/>
    <w:rsid w:val="00330D5E"/>
    <w:rsid w:val="00330FD4"/>
    <w:rsid w:val="003311EB"/>
    <w:rsid w:val="003312B9"/>
    <w:rsid w:val="003313B9"/>
    <w:rsid w:val="0033146D"/>
    <w:rsid w:val="00331489"/>
    <w:rsid w:val="003316A1"/>
    <w:rsid w:val="003317C6"/>
    <w:rsid w:val="0033180C"/>
    <w:rsid w:val="00331A2C"/>
    <w:rsid w:val="00331C76"/>
    <w:rsid w:val="00332165"/>
    <w:rsid w:val="0033217A"/>
    <w:rsid w:val="00332414"/>
    <w:rsid w:val="0033249A"/>
    <w:rsid w:val="0033255F"/>
    <w:rsid w:val="00332790"/>
    <w:rsid w:val="003329D2"/>
    <w:rsid w:val="003329DA"/>
    <w:rsid w:val="00332A41"/>
    <w:rsid w:val="00332E4B"/>
    <w:rsid w:val="003330BB"/>
    <w:rsid w:val="0033310F"/>
    <w:rsid w:val="003331EB"/>
    <w:rsid w:val="0033322A"/>
    <w:rsid w:val="00333411"/>
    <w:rsid w:val="00333467"/>
    <w:rsid w:val="0033349A"/>
    <w:rsid w:val="0033352F"/>
    <w:rsid w:val="0033378A"/>
    <w:rsid w:val="003339F1"/>
    <w:rsid w:val="00333B2C"/>
    <w:rsid w:val="00333DC2"/>
    <w:rsid w:val="00333F3C"/>
    <w:rsid w:val="00334192"/>
    <w:rsid w:val="003341F1"/>
    <w:rsid w:val="003342F6"/>
    <w:rsid w:val="00334899"/>
    <w:rsid w:val="003349C9"/>
    <w:rsid w:val="00334A07"/>
    <w:rsid w:val="00334CB9"/>
    <w:rsid w:val="00334E2F"/>
    <w:rsid w:val="00334E64"/>
    <w:rsid w:val="0033508C"/>
    <w:rsid w:val="003354D9"/>
    <w:rsid w:val="003355EE"/>
    <w:rsid w:val="00335624"/>
    <w:rsid w:val="00335747"/>
    <w:rsid w:val="0033587A"/>
    <w:rsid w:val="00335D39"/>
    <w:rsid w:val="00335DE5"/>
    <w:rsid w:val="00335F89"/>
    <w:rsid w:val="003361C4"/>
    <w:rsid w:val="00336321"/>
    <w:rsid w:val="0033677E"/>
    <w:rsid w:val="003369E4"/>
    <w:rsid w:val="00336AD5"/>
    <w:rsid w:val="00336B9B"/>
    <w:rsid w:val="00336CC2"/>
    <w:rsid w:val="00336D5A"/>
    <w:rsid w:val="003371A3"/>
    <w:rsid w:val="00337470"/>
    <w:rsid w:val="00337560"/>
    <w:rsid w:val="00337839"/>
    <w:rsid w:val="003378ED"/>
    <w:rsid w:val="00337CDD"/>
    <w:rsid w:val="00340062"/>
    <w:rsid w:val="00340152"/>
    <w:rsid w:val="00340262"/>
    <w:rsid w:val="00340596"/>
    <w:rsid w:val="00340667"/>
    <w:rsid w:val="003408AD"/>
    <w:rsid w:val="0034092F"/>
    <w:rsid w:val="003409F7"/>
    <w:rsid w:val="00340FD7"/>
    <w:rsid w:val="003412B5"/>
    <w:rsid w:val="003415CF"/>
    <w:rsid w:val="003415F9"/>
    <w:rsid w:val="003416BB"/>
    <w:rsid w:val="00341713"/>
    <w:rsid w:val="003417AB"/>
    <w:rsid w:val="00341977"/>
    <w:rsid w:val="00341AF2"/>
    <w:rsid w:val="00341D40"/>
    <w:rsid w:val="00341D50"/>
    <w:rsid w:val="00341DE9"/>
    <w:rsid w:val="0034200E"/>
    <w:rsid w:val="0034231A"/>
    <w:rsid w:val="00342942"/>
    <w:rsid w:val="00342BA5"/>
    <w:rsid w:val="00342C36"/>
    <w:rsid w:val="00342E43"/>
    <w:rsid w:val="00343171"/>
    <w:rsid w:val="0034362A"/>
    <w:rsid w:val="00343A8A"/>
    <w:rsid w:val="00343A9A"/>
    <w:rsid w:val="00343BA3"/>
    <w:rsid w:val="00343D99"/>
    <w:rsid w:val="00343E70"/>
    <w:rsid w:val="0034438B"/>
    <w:rsid w:val="00344717"/>
    <w:rsid w:val="003449E8"/>
    <w:rsid w:val="00344B19"/>
    <w:rsid w:val="00344B4E"/>
    <w:rsid w:val="00345166"/>
    <w:rsid w:val="003451A0"/>
    <w:rsid w:val="003451C6"/>
    <w:rsid w:val="003453BF"/>
    <w:rsid w:val="0034541E"/>
    <w:rsid w:val="003454F9"/>
    <w:rsid w:val="003455D2"/>
    <w:rsid w:val="003455F4"/>
    <w:rsid w:val="0034560A"/>
    <w:rsid w:val="00345662"/>
    <w:rsid w:val="003456C9"/>
    <w:rsid w:val="003456EF"/>
    <w:rsid w:val="00345ADD"/>
    <w:rsid w:val="00345B42"/>
    <w:rsid w:val="00345B75"/>
    <w:rsid w:val="00345FF9"/>
    <w:rsid w:val="00346009"/>
    <w:rsid w:val="003460DC"/>
    <w:rsid w:val="003461F4"/>
    <w:rsid w:val="00346394"/>
    <w:rsid w:val="00346661"/>
    <w:rsid w:val="00346B3D"/>
    <w:rsid w:val="00346BF5"/>
    <w:rsid w:val="00346C5D"/>
    <w:rsid w:val="00346C69"/>
    <w:rsid w:val="00346C9F"/>
    <w:rsid w:val="00346E22"/>
    <w:rsid w:val="003472C5"/>
    <w:rsid w:val="003475E7"/>
    <w:rsid w:val="003477F9"/>
    <w:rsid w:val="00347BCD"/>
    <w:rsid w:val="00347D8A"/>
    <w:rsid w:val="00347DA9"/>
    <w:rsid w:val="00347DEB"/>
    <w:rsid w:val="00347EAB"/>
    <w:rsid w:val="0035005D"/>
    <w:rsid w:val="0035039D"/>
    <w:rsid w:val="003503F5"/>
    <w:rsid w:val="00350458"/>
    <w:rsid w:val="0035049C"/>
    <w:rsid w:val="0035057B"/>
    <w:rsid w:val="003507B5"/>
    <w:rsid w:val="00350A0F"/>
    <w:rsid w:val="00350B3B"/>
    <w:rsid w:val="00350B3D"/>
    <w:rsid w:val="00350BAA"/>
    <w:rsid w:val="00350BD2"/>
    <w:rsid w:val="00350BF6"/>
    <w:rsid w:val="00350FD9"/>
    <w:rsid w:val="003510F4"/>
    <w:rsid w:val="00351208"/>
    <w:rsid w:val="0035120B"/>
    <w:rsid w:val="003512DF"/>
    <w:rsid w:val="003512E4"/>
    <w:rsid w:val="003516FA"/>
    <w:rsid w:val="00351EE7"/>
    <w:rsid w:val="0035218F"/>
    <w:rsid w:val="003525E1"/>
    <w:rsid w:val="0035274A"/>
    <w:rsid w:val="00352799"/>
    <w:rsid w:val="003529C4"/>
    <w:rsid w:val="00352B3D"/>
    <w:rsid w:val="00352CED"/>
    <w:rsid w:val="00352E0D"/>
    <w:rsid w:val="00352EC3"/>
    <w:rsid w:val="0035322E"/>
    <w:rsid w:val="00353606"/>
    <w:rsid w:val="0035368A"/>
    <w:rsid w:val="00353701"/>
    <w:rsid w:val="003539A8"/>
    <w:rsid w:val="00353A62"/>
    <w:rsid w:val="00353B51"/>
    <w:rsid w:val="00353DEE"/>
    <w:rsid w:val="00353EA9"/>
    <w:rsid w:val="00353FFC"/>
    <w:rsid w:val="0035408F"/>
    <w:rsid w:val="003540F0"/>
    <w:rsid w:val="00354166"/>
    <w:rsid w:val="003542EF"/>
    <w:rsid w:val="003543E2"/>
    <w:rsid w:val="00354453"/>
    <w:rsid w:val="00354696"/>
    <w:rsid w:val="003546D0"/>
    <w:rsid w:val="00354709"/>
    <w:rsid w:val="003547D3"/>
    <w:rsid w:val="00354B9E"/>
    <w:rsid w:val="00354C0B"/>
    <w:rsid w:val="00354D16"/>
    <w:rsid w:val="00354E31"/>
    <w:rsid w:val="00354E96"/>
    <w:rsid w:val="00355109"/>
    <w:rsid w:val="003554DF"/>
    <w:rsid w:val="003554ED"/>
    <w:rsid w:val="0035565E"/>
    <w:rsid w:val="003558C5"/>
    <w:rsid w:val="00355EF8"/>
    <w:rsid w:val="00355FAF"/>
    <w:rsid w:val="00356096"/>
    <w:rsid w:val="00356098"/>
    <w:rsid w:val="00356117"/>
    <w:rsid w:val="00356209"/>
    <w:rsid w:val="00356293"/>
    <w:rsid w:val="003564E1"/>
    <w:rsid w:val="003566B9"/>
    <w:rsid w:val="003570FE"/>
    <w:rsid w:val="0035723F"/>
    <w:rsid w:val="0035734B"/>
    <w:rsid w:val="00357442"/>
    <w:rsid w:val="00357568"/>
    <w:rsid w:val="00357608"/>
    <w:rsid w:val="0035762C"/>
    <w:rsid w:val="00357649"/>
    <w:rsid w:val="00357979"/>
    <w:rsid w:val="00357AA7"/>
    <w:rsid w:val="00357C75"/>
    <w:rsid w:val="00360143"/>
    <w:rsid w:val="003602A7"/>
    <w:rsid w:val="003604E3"/>
    <w:rsid w:val="0036052C"/>
    <w:rsid w:val="0036066D"/>
    <w:rsid w:val="00360891"/>
    <w:rsid w:val="003608A6"/>
    <w:rsid w:val="003608F2"/>
    <w:rsid w:val="00360F5B"/>
    <w:rsid w:val="00361064"/>
    <w:rsid w:val="003611BD"/>
    <w:rsid w:val="0036142D"/>
    <w:rsid w:val="00361443"/>
    <w:rsid w:val="003614AC"/>
    <w:rsid w:val="0036151C"/>
    <w:rsid w:val="003615B8"/>
    <w:rsid w:val="0036166B"/>
    <w:rsid w:val="003618CE"/>
    <w:rsid w:val="003619B9"/>
    <w:rsid w:val="00361FC7"/>
    <w:rsid w:val="00362014"/>
    <w:rsid w:val="0036224D"/>
    <w:rsid w:val="003623E4"/>
    <w:rsid w:val="003624BC"/>
    <w:rsid w:val="00362755"/>
    <w:rsid w:val="003627B7"/>
    <w:rsid w:val="00362903"/>
    <w:rsid w:val="00362951"/>
    <w:rsid w:val="00362CDA"/>
    <w:rsid w:val="003630B5"/>
    <w:rsid w:val="003632AD"/>
    <w:rsid w:val="003633EE"/>
    <w:rsid w:val="00363522"/>
    <w:rsid w:val="003636EA"/>
    <w:rsid w:val="00363BA5"/>
    <w:rsid w:val="00363C38"/>
    <w:rsid w:val="00363EC7"/>
    <w:rsid w:val="00363FFC"/>
    <w:rsid w:val="00364029"/>
    <w:rsid w:val="0036436D"/>
    <w:rsid w:val="00364410"/>
    <w:rsid w:val="0036443E"/>
    <w:rsid w:val="003644AB"/>
    <w:rsid w:val="003646AB"/>
    <w:rsid w:val="00364874"/>
    <w:rsid w:val="00364906"/>
    <w:rsid w:val="003649E8"/>
    <w:rsid w:val="00364C33"/>
    <w:rsid w:val="00364E25"/>
    <w:rsid w:val="00364F55"/>
    <w:rsid w:val="00365165"/>
    <w:rsid w:val="0036538F"/>
    <w:rsid w:val="00365619"/>
    <w:rsid w:val="00365A18"/>
    <w:rsid w:val="00365C0A"/>
    <w:rsid w:val="00365DB6"/>
    <w:rsid w:val="00366136"/>
    <w:rsid w:val="00366237"/>
    <w:rsid w:val="0036644F"/>
    <w:rsid w:val="00366579"/>
    <w:rsid w:val="00366B5A"/>
    <w:rsid w:val="00366C59"/>
    <w:rsid w:val="00366EED"/>
    <w:rsid w:val="00367354"/>
    <w:rsid w:val="00367652"/>
    <w:rsid w:val="00367756"/>
    <w:rsid w:val="00370672"/>
    <w:rsid w:val="0037083C"/>
    <w:rsid w:val="00370905"/>
    <w:rsid w:val="00370D53"/>
    <w:rsid w:val="00370F97"/>
    <w:rsid w:val="00371012"/>
    <w:rsid w:val="0037126B"/>
    <w:rsid w:val="0037126E"/>
    <w:rsid w:val="0037127F"/>
    <w:rsid w:val="003717A5"/>
    <w:rsid w:val="003719A6"/>
    <w:rsid w:val="00371B6F"/>
    <w:rsid w:val="00371BD5"/>
    <w:rsid w:val="003720D1"/>
    <w:rsid w:val="003721A2"/>
    <w:rsid w:val="00372364"/>
    <w:rsid w:val="00372569"/>
    <w:rsid w:val="0037265B"/>
    <w:rsid w:val="003727C4"/>
    <w:rsid w:val="00372996"/>
    <w:rsid w:val="00372AF6"/>
    <w:rsid w:val="00372BB3"/>
    <w:rsid w:val="00372F16"/>
    <w:rsid w:val="00373026"/>
    <w:rsid w:val="0037313D"/>
    <w:rsid w:val="0037345D"/>
    <w:rsid w:val="0037393E"/>
    <w:rsid w:val="00373BDB"/>
    <w:rsid w:val="00373C4B"/>
    <w:rsid w:val="00373D45"/>
    <w:rsid w:val="00373D7C"/>
    <w:rsid w:val="003740DA"/>
    <w:rsid w:val="0037412C"/>
    <w:rsid w:val="0037422B"/>
    <w:rsid w:val="00374242"/>
    <w:rsid w:val="00374495"/>
    <w:rsid w:val="003744BC"/>
    <w:rsid w:val="00374578"/>
    <w:rsid w:val="00374614"/>
    <w:rsid w:val="00374A26"/>
    <w:rsid w:val="00374BDA"/>
    <w:rsid w:val="003750EA"/>
    <w:rsid w:val="0037536E"/>
    <w:rsid w:val="00375411"/>
    <w:rsid w:val="0037586B"/>
    <w:rsid w:val="00375875"/>
    <w:rsid w:val="00375911"/>
    <w:rsid w:val="00375981"/>
    <w:rsid w:val="00375A18"/>
    <w:rsid w:val="00375CA7"/>
    <w:rsid w:val="00375CB7"/>
    <w:rsid w:val="00376227"/>
    <w:rsid w:val="00376604"/>
    <w:rsid w:val="0037666F"/>
    <w:rsid w:val="0037675E"/>
    <w:rsid w:val="003767BF"/>
    <w:rsid w:val="00376888"/>
    <w:rsid w:val="00376991"/>
    <w:rsid w:val="00376997"/>
    <w:rsid w:val="00376A83"/>
    <w:rsid w:val="00376C9C"/>
    <w:rsid w:val="00376CD0"/>
    <w:rsid w:val="00376EA1"/>
    <w:rsid w:val="00376FC1"/>
    <w:rsid w:val="003770D3"/>
    <w:rsid w:val="00377252"/>
    <w:rsid w:val="003772A0"/>
    <w:rsid w:val="00377BE2"/>
    <w:rsid w:val="0038029E"/>
    <w:rsid w:val="0038095B"/>
    <w:rsid w:val="003813F2"/>
    <w:rsid w:val="003817CC"/>
    <w:rsid w:val="00381927"/>
    <w:rsid w:val="00381B08"/>
    <w:rsid w:val="00381B7E"/>
    <w:rsid w:val="00381D08"/>
    <w:rsid w:val="0038208A"/>
    <w:rsid w:val="00382440"/>
    <w:rsid w:val="0038250C"/>
    <w:rsid w:val="0038272D"/>
    <w:rsid w:val="0038273F"/>
    <w:rsid w:val="00382746"/>
    <w:rsid w:val="0038299E"/>
    <w:rsid w:val="00382AC5"/>
    <w:rsid w:val="00382AEE"/>
    <w:rsid w:val="00382B02"/>
    <w:rsid w:val="00382F30"/>
    <w:rsid w:val="00383141"/>
    <w:rsid w:val="0038364E"/>
    <w:rsid w:val="00383662"/>
    <w:rsid w:val="003837B4"/>
    <w:rsid w:val="003838EC"/>
    <w:rsid w:val="00383C5F"/>
    <w:rsid w:val="00383E34"/>
    <w:rsid w:val="00383F87"/>
    <w:rsid w:val="00384227"/>
    <w:rsid w:val="0038464A"/>
    <w:rsid w:val="0038482C"/>
    <w:rsid w:val="003848F4"/>
    <w:rsid w:val="00384AF9"/>
    <w:rsid w:val="00384B29"/>
    <w:rsid w:val="00384B77"/>
    <w:rsid w:val="003850CE"/>
    <w:rsid w:val="0038518A"/>
    <w:rsid w:val="003853B3"/>
    <w:rsid w:val="00385414"/>
    <w:rsid w:val="00385497"/>
    <w:rsid w:val="00385511"/>
    <w:rsid w:val="0038560E"/>
    <w:rsid w:val="00385668"/>
    <w:rsid w:val="003859AD"/>
    <w:rsid w:val="00385C38"/>
    <w:rsid w:val="00385CF6"/>
    <w:rsid w:val="00385F8D"/>
    <w:rsid w:val="0038622E"/>
    <w:rsid w:val="00386390"/>
    <w:rsid w:val="003865D8"/>
    <w:rsid w:val="00386740"/>
    <w:rsid w:val="003869C8"/>
    <w:rsid w:val="00386BC9"/>
    <w:rsid w:val="0038702B"/>
    <w:rsid w:val="003875B9"/>
    <w:rsid w:val="00387751"/>
    <w:rsid w:val="00387938"/>
    <w:rsid w:val="00387A2F"/>
    <w:rsid w:val="00387A9B"/>
    <w:rsid w:val="00387B9E"/>
    <w:rsid w:val="00387C03"/>
    <w:rsid w:val="00387C84"/>
    <w:rsid w:val="00387EEE"/>
    <w:rsid w:val="003901A1"/>
    <w:rsid w:val="00390290"/>
    <w:rsid w:val="003903A8"/>
    <w:rsid w:val="00390688"/>
    <w:rsid w:val="00390A53"/>
    <w:rsid w:val="00390F51"/>
    <w:rsid w:val="00391033"/>
    <w:rsid w:val="0039103D"/>
    <w:rsid w:val="00391248"/>
    <w:rsid w:val="00391320"/>
    <w:rsid w:val="0039134A"/>
    <w:rsid w:val="00391561"/>
    <w:rsid w:val="003917BB"/>
    <w:rsid w:val="00391874"/>
    <w:rsid w:val="00391982"/>
    <w:rsid w:val="00391E18"/>
    <w:rsid w:val="0039204D"/>
    <w:rsid w:val="003921AD"/>
    <w:rsid w:val="00392267"/>
    <w:rsid w:val="0039237D"/>
    <w:rsid w:val="00392444"/>
    <w:rsid w:val="0039266B"/>
    <w:rsid w:val="003927C4"/>
    <w:rsid w:val="00392889"/>
    <w:rsid w:val="003928AF"/>
    <w:rsid w:val="003929E4"/>
    <w:rsid w:val="00392CAE"/>
    <w:rsid w:val="00392EFE"/>
    <w:rsid w:val="00393129"/>
    <w:rsid w:val="0039328F"/>
    <w:rsid w:val="003932B1"/>
    <w:rsid w:val="003932EF"/>
    <w:rsid w:val="00393486"/>
    <w:rsid w:val="00393520"/>
    <w:rsid w:val="00393687"/>
    <w:rsid w:val="00393689"/>
    <w:rsid w:val="003937CD"/>
    <w:rsid w:val="00393818"/>
    <w:rsid w:val="00393840"/>
    <w:rsid w:val="00393ABC"/>
    <w:rsid w:val="00393B16"/>
    <w:rsid w:val="00393BF9"/>
    <w:rsid w:val="00393C2E"/>
    <w:rsid w:val="00393FAB"/>
    <w:rsid w:val="00394077"/>
    <w:rsid w:val="003944C8"/>
    <w:rsid w:val="003946B5"/>
    <w:rsid w:val="00394870"/>
    <w:rsid w:val="00394915"/>
    <w:rsid w:val="0039499C"/>
    <w:rsid w:val="00394AEF"/>
    <w:rsid w:val="00394B13"/>
    <w:rsid w:val="00394BC0"/>
    <w:rsid w:val="00394E21"/>
    <w:rsid w:val="00395150"/>
    <w:rsid w:val="003951DA"/>
    <w:rsid w:val="00395220"/>
    <w:rsid w:val="0039541D"/>
    <w:rsid w:val="00395522"/>
    <w:rsid w:val="003955F0"/>
    <w:rsid w:val="00395766"/>
    <w:rsid w:val="003959F9"/>
    <w:rsid w:val="00395AF8"/>
    <w:rsid w:val="00395E9B"/>
    <w:rsid w:val="00396030"/>
    <w:rsid w:val="00396067"/>
    <w:rsid w:val="00396168"/>
    <w:rsid w:val="003961A5"/>
    <w:rsid w:val="003961D1"/>
    <w:rsid w:val="0039635E"/>
    <w:rsid w:val="00396387"/>
    <w:rsid w:val="003966D5"/>
    <w:rsid w:val="003967BC"/>
    <w:rsid w:val="003967CB"/>
    <w:rsid w:val="00396843"/>
    <w:rsid w:val="00396882"/>
    <w:rsid w:val="00396ACC"/>
    <w:rsid w:val="00396AF3"/>
    <w:rsid w:val="00396D18"/>
    <w:rsid w:val="0039737E"/>
    <w:rsid w:val="0039740C"/>
    <w:rsid w:val="00397658"/>
    <w:rsid w:val="003978A6"/>
    <w:rsid w:val="003978BF"/>
    <w:rsid w:val="00397A38"/>
    <w:rsid w:val="00397AE0"/>
    <w:rsid w:val="00397D54"/>
    <w:rsid w:val="00397DBF"/>
    <w:rsid w:val="00397FEC"/>
    <w:rsid w:val="003A051E"/>
    <w:rsid w:val="003A0708"/>
    <w:rsid w:val="003A072D"/>
    <w:rsid w:val="003A0B34"/>
    <w:rsid w:val="003A0D7A"/>
    <w:rsid w:val="003A0ED8"/>
    <w:rsid w:val="003A10DA"/>
    <w:rsid w:val="003A1735"/>
    <w:rsid w:val="003A1869"/>
    <w:rsid w:val="003A197A"/>
    <w:rsid w:val="003A1A82"/>
    <w:rsid w:val="003A218B"/>
    <w:rsid w:val="003A21A6"/>
    <w:rsid w:val="003A2715"/>
    <w:rsid w:val="003A2DF0"/>
    <w:rsid w:val="003A32B6"/>
    <w:rsid w:val="003A34EC"/>
    <w:rsid w:val="003A3726"/>
    <w:rsid w:val="003A3C01"/>
    <w:rsid w:val="003A3E5D"/>
    <w:rsid w:val="003A4132"/>
    <w:rsid w:val="003A4143"/>
    <w:rsid w:val="003A44BF"/>
    <w:rsid w:val="003A451C"/>
    <w:rsid w:val="003A5048"/>
    <w:rsid w:val="003A5073"/>
    <w:rsid w:val="003A5112"/>
    <w:rsid w:val="003A5196"/>
    <w:rsid w:val="003A51D2"/>
    <w:rsid w:val="003A5484"/>
    <w:rsid w:val="003A5614"/>
    <w:rsid w:val="003A5733"/>
    <w:rsid w:val="003A58E6"/>
    <w:rsid w:val="003A5947"/>
    <w:rsid w:val="003A5999"/>
    <w:rsid w:val="003A5C21"/>
    <w:rsid w:val="003A5FFB"/>
    <w:rsid w:val="003A613D"/>
    <w:rsid w:val="003A6180"/>
    <w:rsid w:val="003A6487"/>
    <w:rsid w:val="003A64F2"/>
    <w:rsid w:val="003A673F"/>
    <w:rsid w:val="003A6794"/>
    <w:rsid w:val="003A6862"/>
    <w:rsid w:val="003A6A90"/>
    <w:rsid w:val="003A6A99"/>
    <w:rsid w:val="003A6B66"/>
    <w:rsid w:val="003A6D81"/>
    <w:rsid w:val="003A73E0"/>
    <w:rsid w:val="003A73E2"/>
    <w:rsid w:val="003A7641"/>
    <w:rsid w:val="003A7723"/>
    <w:rsid w:val="003A7BCC"/>
    <w:rsid w:val="003A7CCE"/>
    <w:rsid w:val="003A7D0D"/>
    <w:rsid w:val="003A7D64"/>
    <w:rsid w:val="003B0166"/>
    <w:rsid w:val="003B01F7"/>
    <w:rsid w:val="003B0583"/>
    <w:rsid w:val="003B068E"/>
    <w:rsid w:val="003B077B"/>
    <w:rsid w:val="003B084A"/>
    <w:rsid w:val="003B09A3"/>
    <w:rsid w:val="003B09BF"/>
    <w:rsid w:val="003B0A44"/>
    <w:rsid w:val="003B0C04"/>
    <w:rsid w:val="003B0D46"/>
    <w:rsid w:val="003B0E3F"/>
    <w:rsid w:val="003B0FD6"/>
    <w:rsid w:val="003B1160"/>
    <w:rsid w:val="003B117F"/>
    <w:rsid w:val="003B14BE"/>
    <w:rsid w:val="003B17C1"/>
    <w:rsid w:val="003B1973"/>
    <w:rsid w:val="003B1BBB"/>
    <w:rsid w:val="003B1C06"/>
    <w:rsid w:val="003B1CBE"/>
    <w:rsid w:val="003B1F7C"/>
    <w:rsid w:val="003B1FB3"/>
    <w:rsid w:val="003B2079"/>
    <w:rsid w:val="003B2138"/>
    <w:rsid w:val="003B26F8"/>
    <w:rsid w:val="003B2851"/>
    <w:rsid w:val="003B31A4"/>
    <w:rsid w:val="003B322A"/>
    <w:rsid w:val="003B331A"/>
    <w:rsid w:val="003B3727"/>
    <w:rsid w:val="003B3760"/>
    <w:rsid w:val="003B3C62"/>
    <w:rsid w:val="003B41CE"/>
    <w:rsid w:val="003B4242"/>
    <w:rsid w:val="003B4280"/>
    <w:rsid w:val="003B436D"/>
    <w:rsid w:val="003B46A9"/>
    <w:rsid w:val="003B4ACD"/>
    <w:rsid w:val="003B4B4A"/>
    <w:rsid w:val="003B4BCD"/>
    <w:rsid w:val="003B4C44"/>
    <w:rsid w:val="003B4EDE"/>
    <w:rsid w:val="003B4F22"/>
    <w:rsid w:val="003B5318"/>
    <w:rsid w:val="003B538A"/>
    <w:rsid w:val="003B53AD"/>
    <w:rsid w:val="003B540C"/>
    <w:rsid w:val="003B5558"/>
    <w:rsid w:val="003B5582"/>
    <w:rsid w:val="003B565B"/>
    <w:rsid w:val="003B5747"/>
    <w:rsid w:val="003B57A1"/>
    <w:rsid w:val="003B57AD"/>
    <w:rsid w:val="003B5B0A"/>
    <w:rsid w:val="003B5C2D"/>
    <w:rsid w:val="003B5CC9"/>
    <w:rsid w:val="003B5CDB"/>
    <w:rsid w:val="003B622D"/>
    <w:rsid w:val="003B6231"/>
    <w:rsid w:val="003B64C4"/>
    <w:rsid w:val="003B6579"/>
    <w:rsid w:val="003B6642"/>
    <w:rsid w:val="003B68DE"/>
    <w:rsid w:val="003B6989"/>
    <w:rsid w:val="003B6A73"/>
    <w:rsid w:val="003B6F3A"/>
    <w:rsid w:val="003B7125"/>
    <w:rsid w:val="003B714D"/>
    <w:rsid w:val="003B7212"/>
    <w:rsid w:val="003B738C"/>
    <w:rsid w:val="003B74A3"/>
    <w:rsid w:val="003B75A7"/>
    <w:rsid w:val="003B7659"/>
    <w:rsid w:val="003B76F1"/>
    <w:rsid w:val="003B7AC3"/>
    <w:rsid w:val="003B7BD7"/>
    <w:rsid w:val="003B7D79"/>
    <w:rsid w:val="003B7EA0"/>
    <w:rsid w:val="003B7EB7"/>
    <w:rsid w:val="003B7F78"/>
    <w:rsid w:val="003B7F9B"/>
    <w:rsid w:val="003C0043"/>
    <w:rsid w:val="003C020D"/>
    <w:rsid w:val="003C0850"/>
    <w:rsid w:val="003C08F2"/>
    <w:rsid w:val="003C0D70"/>
    <w:rsid w:val="003C0E1F"/>
    <w:rsid w:val="003C1166"/>
    <w:rsid w:val="003C118F"/>
    <w:rsid w:val="003C1374"/>
    <w:rsid w:val="003C174A"/>
    <w:rsid w:val="003C19BD"/>
    <w:rsid w:val="003C19C2"/>
    <w:rsid w:val="003C1EBF"/>
    <w:rsid w:val="003C1EC7"/>
    <w:rsid w:val="003C1F0D"/>
    <w:rsid w:val="003C2129"/>
    <w:rsid w:val="003C2137"/>
    <w:rsid w:val="003C2221"/>
    <w:rsid w:val="003C224D"/>
    <w:rsid w:val="003C2296"/>
    <w:rsid w:val="003C22F1"/>
    <w:rsid w:val="003C252D"/>
    <w:rsid w:val="003C291D"/>
    <w:rsid w:val="003C2C36"/>
    <w:rsid w:val="003C2D7E"/>
    <w:rsid w:val="003C2DAC"/>
    <w:rsid w:val="003C2F4C"/>
    <w:rsid w:val="003C2F8E"/>
    <w:rsid w:val="003C31C5"/>
    <w:rsid w:val="003C31DB"/>
    <w:rsid w:val="003C33D3"/>
    <w:rsid w:val="003C3442"/>
    <w:rsid w:val="003C35EF"/>
    <w:rsid w:val="003C38C2"/>
    <w:rsid w:val="003C39DD"/>
    <w:rsid w:val="003C3A12"/>
    <w:rsid w:val="003C3ADF"/>
    <w:rsid w:val="003C40F3"/>
    <w:rsid w:val="003C443E"/>
    <w:rsid w:val="003C4C0A"/>
    <w:rsid w:val="003C4D33"/>
    <w:rsid w:val="003C4DE3"/>
    <w:rsid w:val="003C4EE1"/>
    <w:rsid w:val="003C50A2"/>
    <w:rsid w:val="003C51BD"/>
    <w:rsid w:val="003C534A"/>
    <w:rsid w:val="003C55D0"/>
    <w:rsid w:val="003C5BED"/>
    <w:rsid w:val="003C5E36"/>
    <w:rsid w:val="003C5F22"/>
    <w:rsid w:val="003C5F2C"/>
    <w:rsid w:val="003C5F3C"/>
    <w:rsid w:val="003C6219"/>
    <w:rsid w:val="003C6705"/>
    <w:rsid w:val="003C6811"/>
    <w:rsid w:val="003C69DF"/>
    <w:rsid w:val="003C6AC2"/>
    <w:rsid w:val="003C6BDC"/>
    <w:rsid w:val="003C6CBD"/>
    <w:rsid w:val="003C6D3B"/>
    <w:rsid w:val="003C6D3F"/>
    <w:rsid w:val="003C6DEE"/>
    <w:rsid w:val="003C6E60"/>
    <w:rsid w:val="003C6EAF"/>
    <w:rsid w:val="003C6F7A"/>
    <w:rsid w:val="003C709D"/>
    <w:rsid w:val="003C7327"/>
    <w:rsid w:val="003C7393"/>
    <w:rsid w:val="003C73A3"/>
    <w:rsid w:val="003C7846"/>
    <w:rsid w:val="003C785E"/>
    <w:rsid w:val="003D00BA"/>
    <w:rsid w:val="003D0438"/>
    <w:rsid w:val="003D0476"/>
    <w:rsid w:val="003D053D"/>
    <w:rsid w:val="003D0733"/>
    <w:rsid w:val="003D0B6B"/>
    <w:rsid w:val="003D0BD4"/>
    <w:rsid w:val="003D1313"/>
    <w:rsid w:val="003D13A2"/>
    <w:rsid w:val="003D1491"/>
    <w:rsid w:val="003D1524"/>
    <w:rsid w:val="003D1B9A"/>
    <w:rsid w:val="003D1CBF"/>
    <w:rsid w:val="003D1E9B"/>
    <w:rsid w:val="003D1F59"/>
    <w:rsid w:val="003D1FBB"/>
    <w:rsid w:val="003D1FFE"/>
    <w:rsid w:val="003D2219"/>
    <w:rsid w:val="003D2240"/>
    <w:rsid w:val="003D2378"/>
    <w:rsid w:val="003D24A5"/>
    <w:rsid w:val="003D2879"/>
    <w:rsid w:val="003D29AE"/>
    <w:rsid w:val="003D2A8A"/>
    <w:rsid w:val="003D2C75"/>
    <w:rsid w:val="003D2ED3"/>
    <w:rsid w:val="003D2F98"/>
    <w:rsid w:val="003D2FD8"/>
    <w:rsid w:val="003D305A"/>
    <w:rsid w:val="003D30AD"/>
    <w:rsid w:val="003D321E"/>
    <w:rsid w:val="003D3228"/>
    <w:rsid w:val="003D3297"/>
    <w:rsid w:val="003D32B2"/>
    <w:rsid w:val="003D3434"/>
    <w:rsid w:val="003D351E"/>
    <w:rsid w:val="003D3537"/>
    <w:rsid w:val="003D35BB"/>
    <w:rsid w:val="003D35F1"/>
    <w:rsid w:val="003D374F"/>
    <w:rsid w:val="003D3845"/>
    <w:rsid w:val="003D38F4"/>
    <w:rsid w:val="003D3A2D"/>
    <w:rsid w:val="003D3A57"/>
    <w:rsid w:val="003D3B4C"/>
    <w:rsid w:val="003D3BD6"/>
    <w:rsid w:val="003D3F67"/>
    <w:rsid w:val="003D42D2"/>
    <w:rsid w:val="003D47CB"/>
    <w:rsid w:val="003D47E7"/>
    <w:rsid w:val="003D4C1E"/>
    <w:rsid w:val="003D4D09"/>
    <w:rsid w:val="003D4EC9"/>
    <w:rsid w:val="003D4F63"/>
    <w:rsid w:val="003D5125"/>
    <w:rsid w:val="003D55BA"/>
    <w:rsid w:val="003D5644"/>
    <w:rsid w:val="003D5660"/>
    <w:rsid w:val="003D56D9"/>
    <w:rsid w:val="003D5773"/>
    <w:rsid w:val="003D5A93"/>
    <w:rsid w:val="003D5BDA"/>
    <w:rsid w:val="003D5CE5"/>
    <w:rsid w:val="003D5EA5"/>
    <w:rsid w:val="003D611A"/>
    <w:rsid w:val="003D61BD"/>
    <w:rsid w:val="003D6958"/>
    <w:rsid w:val="003D69C1"/>
    <w:rsid w:val="003D6C68"/>
    <w:rsid w:val="003D6FE9"/>
    <w:rsid w:val="003D731D"/>
    <w:rsid w:val="003D76CB"/>
    <w:rsid w:val="003D770E"/>
    <w:rsid w:val="003D772B"/>
    <w:rsid w:val="003D783D"/>
    <w:rsid w:val="003D795B"/>
    <w:rsid w:val="003D7D2B"/>
    <w:rsid w:val="003D7F5B"/>
    <w:rsid w:val="003E0001"/>
    <w:rsid w:val="003E0470"/>
    <w:rsid w:val="003E0530"/>
    <w:rsid w:val="003E09EE"/>
    <w:rsid w:val="003E0A11"/>
    <w:rsid w:val="003E0A9A"/>
    <w:rsid w:val="003E0F06"/>
    <w:rsid w:val="003E10B5"/>
    <w:rsid w:val="003E16EF"/>
    <w:rsid w:val="003E176D"/>
    <w:rsid w:val="003E1886"/>
    <w:rsid w:val="003E18E4"/>
    <w:rsid w:val="003E1A8F"/>
    <w:rsid w:val="003E1DA3"/>
    <w:rsid w:val="003E1DC3"/>
    <w:rsid w:val="003E1E22"/>
    <w:rsid w:val="003E2B42"/>
    <w:rsid w:val="003E2E73"/>
    <w:rsid w:val="003E3744"/>
    <w:rsid w:val="003E383F"/>
    <w:rsid w:val="003E39FE"/>
    <w:rsid w:val="003E3B64"/>
    <w:rsid w:val="003E3EA6"/>
    <w:rsid w:val="003E3F61"/>
    <w:rsid w:val="003E403C"/>
    <w:rsid w:val="003E4466"/>
    <w:rsid w:val="003E44E6"/>
    <w:rsid w:val="003E4548"/>
    <w:rsid w:val="003E4782"/>
    <w:rsid w:val="003E4B70"/>
    <w:rsid w:val="003E4DBB"/>
    <w:rsid w:val="003E4EEF"/>
    <w:rsid w:val="003E4FFB"/>
    <w:rsid w:val="003E5232"/>
    <w:rsid w:val="003E5582"/>
    <w:rsid w:val="003E55A6"/>
    <w:rsid w:val="003E5627"/>
    <w:rsid w:val="003E5A8C"/>
    <w:rsid w:val="003E5C2B"/>
    <w:rsid w:val="003E5C6A"/>
    <w:rsid w:val="003E62DF"/>
    <w:rsid w:val="003E6836"/>
    <w:rsid w:val="003E6EC8"/>
    <w:rsid w:val="003E70BE"/>
    <w:rsid w:val="003E7271"/>
    <w:rsid w:val="003E73C2"/>
    <w:rsid w:val="003E7474"/>
    <w:rsid w:val="003E75A3"/>
    <w:rsid w:val="003E7EC5"/>
    <w:rsid w:val="003F009E"/>
    <w:rsid w:val="003F0162"/>
    <w:rsid w:val="003F01F5"/>
    <w:rsid w:val="003F023D"/>
    <w:rsid w:val="003F0361"/>
    <w:rsid w:val="003F0445"/>
    <w:rsid w:val="003F049C"/>
    <w:rsid w:val="003F04BA"/>
    <w:rsid w:val="003F057D"/>
    <w:rsid w:val="003F06A1"/>
    <w:rsid w:val="003F07CD"/>
    <w:rsid w:val="003F08E5"/>
    <w:rsid w:val="003F0922"/>
    <w:rsid w:val="003F0A00"/>
    <w:rsid w:val="003F0C8B"/>
    <w:rsid w:val="003F0CB4"/>
    <w:rsid w:val="003F0E63"/>
    <w:rsid w:val="003F10B9"/>
    <w:rsid w:val="003F136D"/>
    <w:rsid w:val="003F13CD"/>
    <w:rsid w:val="003F16D1"/>
    <w:rsid w:val="003F174D"/>
    <w:rsid w:val="003F17C2"/>
    <w:rsid w:val="003F19D0"/>
    <w:rsid w:val="003F1C87"/>
    <w:rsid w:val="003F1E01"/>
    <w:rsid w:val="003F1E5C"/>
    <w:rsid w:val="003F215D"/>
    <w:rsid w:val="003F2399"/>
    <w:rsid w:val="003F24E5"/>
    <w:rsid w:val="003F26A4"/>
    <w:rsid w:val="003F2B64"/>
    <w:rsid w:val="003F2BB7"/>
    <w:rsid w:val="003F2BDE"/>
    <w:rsid w:val="003F2C0F"/>
    <w:rsid w:val="003F2F4F"/>
    <w:rsid w:val="003F301E"/>
    <w:rsid w:val="003F329E"/>
    <w:rsid w:val="003F335F"/>
    <w:rsid w:val="003F339C"/>
    <w:rsid w:val="003F34F0"/>
    <w:rsid w:val="003F35B4"/>
    <w:rsid w:val="003F3764"/>
    <w:rsid w:val="003F38FD"/>
    <w:rsid w:val="003F3AEB"/>
    <w:rsid w:val="003F3E73"/>
    <w:rsid w:val="003F3EF2"/>
    <w:rsid w:val="003F3FB6"/>
    <w:rsid w:val="003F41BB"/>
    <w:rsid w:val="003F432A"/>
    <w:rsid w:val="003F459F"/>
    <w:rsid w:val="003F47FF"/>
    <w:rsid w:val="003F4837"/>
    <w:rsid w:val="003F4953"/>
    <w:rsid w:val="003F4C85"/>
    <w:rsid w:val="003F4FB8"/>
    <w:rsid w:val="003F5565"/>
    <w:rsid w:val="003F567C"/>
    <w:rsid w:val="003F575B"/>
    <w:rsid w:val="003F57B6"/>
    <w:rsid w:val="003F57F2"/>
    <w:rsid w:val="003F58AD"/>
    <w:rsid w:val="003F597A"/>
    <w:rsid w:val="003F5A5F"/>
    <w:rsid w:val="003F5B08"/>
    <w:rsid w:val="003F5BC4"/>
    <w:rsid w:val="003F5C8E"/>
    <w:rsid w:val="003F5CE0"/>
    <w:rsid w:val="003F6078"/>
    <w:rsid w:val="003F60B6"/>
    <w:rsid w:val="003F60BE"/>
    <w:rsid w:val="003F611E"/>
    <w:rsid w:val="003F62E0"/>
    <w:rsid w:val="003F6565"/>
    <w:rsid w:val="003F68A1"/>
    <w:rsid w:val="003F6A86"/>
    <w:rsid w:val="003F6C57"/>
    <w:rsid w:val="003F7472"/>
    <w:rsid w:val="003F75A4"/>
    <w:rsid w:val="003F7859"/>
    <w:rsid w:val="003F7A97"/>
    <w:rsid w:val="00400420"/>
    <w:rsid w:val="004004B7"/>
    <w:rsid w:val="00400685"/>
    <w:rsid w:val="004006D9"/>
    <w:rsid w:val="00400782"/>
    <w:rsid w:val="00400B5C"/>
    <w:rsid w:val="00400DFE"/>
    <w:rsid w:val="00400E53"/>
    <w:rsid w:val="00400E61"/>
    <w:rsid w:val="0040103F"/>
    <w:rsid w:val="0040132B"/>
    <w:rsid w:val="00401722"/>
    <w:rsid w:val="00401AE3"/>
    <w:rsid w:val="00401B14"/>
    <w:rsid w:val="00401BEE"/>
    <w:rsid w:val="00401D83"/>
    <w:rsid w:val="00401EC4"/>
    <w:rsid w:val="00401F78"/>
    <w:rsid w:val="0040215D"/>
    <w:rsid w:val="004023F1"/>
    <w:rsid w:val="004024A7"/>
    <w:rsid w:val="004025C3"/>
    <w:rsid w:val="004026FC"/>
    <w:rsid w:val="00402792"/>
    <w:rsid w:val="004028F1"/>
    <w:rsid w:val="00402ABA"/>
    <w:rsid w:val="00402B7D"/>
    <w:rsid w:val="00402C6F"/>
    <w:rsid w:val="00402C9C"/>
    <w:rsid w:val="00402C9D"/>
    <w:rsid w:val="00402DBD"/>
    <w:rsid w:val="00402DF5"/>
    <w:rsid w:val="00402F22"/>
    <w:rsid w:val="00402F4D"/>
    <w:rsid w:val="00403053"/>
    <w:rsid w:val="0040345C"/>
    <w:rsid w:val="004038A0"/>
    <w:rsid w:val="0040399E"/>
    <w:rsid w:val="00403C62"/>
    <w:rsid w:val="00403E5A"/>
    <w:rsid w:val="004040A6"/>
    <w:rsid w:val="0040419C"/>
    <w:rsid w:val="00404391"/>
    <w:rsid w:val="00404555"/>
    <w:rsid w:val="0040469A"/>
    <w:rsid w:val="004046FC"/>
    <w:rsid w:val="0040476C"/>
    <w:rsid w:val="004048F1"/>
    <w:rsid w:val="00404CB1"/>
    <w:rsid w:val="00404D25"/>
    <w:rsid w:val="00404EE1"/>
    <w:rsid w:val="00405303"/>
    <w:rsid w:val="00405591"/>
    <w:rsid w:val="0040578B"/>
    <w:rsid w:val="00405B85"/>
    <w:rsid w:val="00405C59"/>
    <w:rsid w:val="00405CD2"/>
    <w:rsid w:val="0040653A"/>
    <w:rsid w:val="0040689F"/>
    <w:rsid w:val="00406B14"/>
    <w:rsid w:val="00406E9F"/>
    <w:rsid w:val="004072B5"/>
    <w:rsid w:val="00407578"/>
    <w:rsid w:val="00407603"/>
    <w:rsid w:val="004076E4"/>
    <w:rsid w:val="00407920"/>
    <w:rsid w:val="00407BF3"/>
    <w:rsid w:val="00407D3C"/>
    <w:rsid w:val="00407ECA"/>
    <w:rsid w:val="004100BB"/>
    <w:rsid w:val="00410216"/>
    <w:rsid w:val="0041022E"/>
    <w:rsid w:val="004102A6"/>
    <w:rsid w:val="0041075E"/>
    <w:rsid w:val="00410870"/>
    <w:rsid w:val="004108FC"/>
    <w:rsid w:val="00410AC6"/>
    <w:rsid w:val="00410AFB"/>
    <w:rsid w:val="00411074"/>
    <w:rsid w:val="004110C2"/>
    <w:rsid w:val="00411492"/>
    <w:rsid w:val="0041169B"/>
    <w:rsid w:val="0041203D"/>
    <w:rsid w:val="00412148"/>
    <w:rsid w:val="004121ED"/>
    <w:rsid w:val="00412211"/>
    <w:rsid w:val="004124CF"/>
    <w:rsid w:val="004125D2"/>
    <w:rsid w:val="00412760"/>
    <w:rsid w:val="00412919"/>
    <w:rsid w:val="00412AB5"/>
    <w:rsid w:val="00412B6E"/>
    <w:rsid w:val="00412D2C"/>
    <w:rsid w:val="00413290"/>
    <w:rsid w:val="004138CA"/>
    <w:rsid w:val="00413A1F"/>
    <w:rsid w:val="00413AAF"/>
    <w:rsid w:val="00413BD4"/>
    <w:rsid w:val="00413DFB"/>
    <w:rsid w:val="00413E11"/>
    <w:rsid w:val="00413E78"/>
    <w:rsid w:val="004140A2"/>
    <w:rsid w:val="0041438C"/>
    <w:rsid w:val="0041475F"/>
    <w:rsid w:val="00414A47"/>
    <w:rsid w:val="00414CAF"/>
    <w:rsid w:val="00414CE9"/>
    <w:rsid w:val="00414DC6"/>
    <w:rsid w:val="00414EB2"/>
    <w:rsid w:val="00414F31"/>
    <w:rsid w:val="00415121"/>
    <w:rsid w:val="00415141"/>
    <w:rsid w:val="00415161"/>
    <w:rsid w:val="00415237"/>
    <w:rsid w:val="0041529B"/>
    <w:rsid w:val="00415301"/>
    <w:rsid w:val="004157C2"/>
    <w:rsid w:val="0041585B"/>
    <w:rsid w:val="004159F2"/>
    <w:rsid w:val="00415A3C"/>
    <w:rsid w:val="00415FFB"/>
    <w:rsid w:val="0041626B"/>
    <w:rsid w:val="00416490"/>
    <w:rsid w:val="0041684B"/>
    <w:rsid w:val="00416B49"/>
    <w:rsid w:val="00416D71"/>
    <w:rsid w:val="004173DD"/>
    <w:rsid w:val="004174B4"/>
    <w:rsid w:val="004174DB"/>
    <w:rsid w:val="004177FA"/>
    <w:rsid w:val="0041783E"/>
    <w:rsid w:val="00417936"/>
    <w:rsid w:val="00417D21"/>
    <w:rsid w:val="00417F21"/>
    <w:rsid w:val="004200E1"/>
    <w:rsid w:val="00420198"/>
    <w:rsid w:val="004202CB"/>
    <w:rsid w:val="00420471"/>
    <w:rsid w:val="004204E6"/>
    <w:rsid w:val="00420618"/>
    <w:rsid w:val="004206C8"/>
    <w:rsid w:val="004207A1"/>
    <w:rsid w:val="00420FEC"/>
    <w:rsid w:val="004211F3"/>
    <w:rsid w:val="0042133C"/>
    <w:rsid w:val="00421429"/>
    <w:rsid w:val="004214AD"/>
    <w:rsid w:val="0042158B"/>
    <w:rsid w:val="004215C4"/>
    <w:rsid w:val="004217AA"/>
    <w:rsid w:val="004217E2"/>
    <w:rsid w:val="00421805"/>
    <w:rsid w:val="00421A21"/>
    <w:rsid w:val="00421BD1"/>
    <w:rsid w:val="00421D14"/>
    <w:rsid w:val="00421F6F"/>
    <w:rsid w:val="00422782"/>
    <w:rsid w:val="0042296F"/>
    <w:rsid w:val="00422BCE"/>
    <w:rsid w:val="00422D09"/>
    <w:rsid w:val="00422E33"/>
    <w:rsid w:val="00422E75"/>
    <w:rsid w:val="00422EB5"/>
    <w:rsid w:val="004230F9"/>
    <w:rsid w:val="00423191"/>
    <w:rsid w:val="004231D3"/>
    <w:rsid w:val="004236EC"/>
    <w:rsid w:val="004237A4"/>
    <w:rsid w:val="00423817"/>
    <w:rsid w:val="004238F2"/>
    <w:rsid w:val="004238F3"/>
    <w:rsid w:val="00423D9E"/>
    <w:rsid w:val="00424102"/>
    <w:rsid w:val="0042411E"/>
    <w:rsid w:val="00424334"/>
    <w:rsid w:val="0042440B"/>
    <w:rsid w:val="00424514"/>
    <w:rsid w:val="004248BD"/>
    <w:rsid w:val="00424A9B"/>
    <w:rsid w:val="00424CF6"/>
    <w:rsid w:val="00424E69"/>
    <w:rsid w:val="00424EDB"/>
    <w:rsid w:val="004254E1"/>
    <w:rsid w:val="004255AE"/>
    <w:rsid w:val="00425624"/>
    <w:rsid w:val="0042596D"/>
    <w:rsid w:val="00425A80"/>
    <w:rsid w:val="00425ABD"/>
    <w:rsid w:val="0042604D"/>
    <w:rsid w:val="00426270"/>
    <w:rsid w:val="004262F8"/>
    <w:rsid w:val="0042635F"/>
    <w:rsid w:val="004265B2"/>
    <w:rsid w:val="004265D1"/>
    <w:rsid w:val="00426614"/>
    <w:rsid w:val="0042686E"/>
    <w:rsid w:val="004268F6"/>
    <w:rsid w:val="00426A06"/>
    <w:rsid w:val="00426CD6"/>
    <w:rsid w:val="00426E30"/>
    <w:rsid w:val="00426ECA"/>
    <w:rsid w:val="00426ED8"/>
    <w:rsid w:val="004274AE"/>
    <w:rsid w:val="00427736"/>
    <w:rsid w:val="00427892"/>
    <w:rsid w:val="004279B5"/>
    <w:rsid w:val="00427A41"/>
    <w:rsid w:val="00427EFF"/>
    <w:rsid w:val="00427F55"/>
    <w:rsid w:val="00430168"/>
    <w:rsid w:val="004302D5"/>
    <w:rsid w:val="004304AE"/>
    <w:rsid w:val="00430883"/>
    <w:rsid w:val="00430C79"/>
    <w:rsid w:val="00430E48"/>
    <w:rsid w:val="00430EAD"/>
    <w:rsid w:val="00430EC3"/>
    <w:rsid w:val="00430F4B"/>
    <w:rsid w:val="00431109"/>
    <w:rsid w:val="00431190"/>
    <w:rsid w:val="004311FC"/>
    <w:rsid w:val="0043135E"/>
    <w:rsid w:val="004313A0"/>
    <w:rsid w:val="00431441"/>
    <w:rsid w:val="00431860"/>
    <w:rsid w:val="00431BF8"/>
    <w:rsid w:val="00431C82"/>
    <w:rsid w:val="00431CEB"/>
    <w:rsid w:val="00431E07"/>
    <w:rsid w:val="00431F7A"/>
    <w:rsid w:val="004323BF"/>
    <w:rsid w:val="004326ED"/>
    <w:rsid w:val="004327A9"/>
    <w:rsid w:val="004327C6"/>
    <w:rsid w:val="00432817"/>
    <w:rsid w:val="004329B7"/>
    <w:rsid w:val="00432A4B"/>
    <w:rsid w:val="00432C8C"/>
    <w:rsid w:val="00432D37"/>
    <w:rsid w:val="00433121"/>
    <w:rsid w:val="004336EF"/>
    <w:rsid w:val="0043382A"/>
    <w:rsid w:val="004338ED"/>
    <w:rsid w:val="00433CF2"/>
    <w:rsid w:val="00433DAB"/>
    <w:rsid w:val="00433FF6"/>
    <w:rsid w:val="00434158"/>
    <w:rsid w:val="0043431B"/>
    <w:rsid w:val="00434532"/>
    <w:rsid w:val="00434593"/>
    <w:rsid w:val="0043462F"/>
    <w:rsid w:val="00434668"/>
    <w:rsid w:val="004347B2"/>
    <w:rsid w:val="00434B86"/>
    <w:rsid w:val="00434C2A"/>
    <w:rsid w:val="00434F4B"/>
    <w:rsid w:val="004352BE"/>
    <w:rsid w:val="0043547E"/>
    <w:rsid w:val="004355BC"/>
    <w:rsid w:val="004356C4"/>
    <w:rsid w:val="00435CCC"/>
    <w:rsid w:val="00435D08"/>
    <w:rsid w:val="00435E2B"/>
    <w:rsid w:val="00435FA0"/>
    <w:rsid w:val="0043633E"/>
    <w:rsid w:val="00436373"/>
    <w:rsid w:val="004365FB"/>
    <w:rsid w:val="004368F6"/>
    <w:rsid w:val="00436C02"/>
    <w:rsid w:val="00436CFA"/>
    <w:rsid w:val="00436E16"/>
    <w:rsid w:val="00436F41"/>
    <w:rsid w:val="00437060"/>
    <w:rsid w:val="00437336"/>
    <w:rsid w:val="00437517"/>
    <w:rsid w:val="00437B14"/>
    <w:rsid w:val="00437B8C"/>
    <w:rsid w:val="00437CC2"/>
    <w:rsid w:val="00437CE9"/>
    <w:rsid w:val="00437EA6"/>
    <w:rsid w:val="004401FB"/>
    <w:rsid w:val="00440474"/>
    <w:rsid w:val="004404D7"/>
    <w:rsid w:val="0044074F"/>
    <w:rsid w:val="004407EE"/>
    <w:rsid w:val="00440858"/>
    <w:rsid w:val="0044098C"/>
    <w:rsid w:val="00440B50"/>
    <w:rsid w:val="00440B7A"/>
    <w:rsid w:val="00440F29"/>
    <w:rsid w:val="00441511"/>
    <w:rsid w:val="00441639"/>
    <w:rsid w:val="004418C8"/>
    <w:rsid w:val="004419FF"/>
    <w:rsid w:val="00441D3C"/>
    <w:rsid w:val="00441D88"/>
    <w:rsid w:val="00441FBE"/>
    <w:rsid w:val="00442104"/>
    <w:rsid w:val="004422F9"/>
    <w:rsid w:val="004425ED"/>
    <w:rsid w:val="004427A9"/>
    <w:rsid w:val="0044288A"/>
    <w:rsid w:val="00442A0A"/>
    <w:rsid w:val="00442A73"/>
    <w:rsid w:val="00442ECD"/>
    <w:rsid w:val="004433D3"/>
    <w:rsid w:val="00443570"/>
    <w:rsid w:val="004437D8"/>
    <w:rsid w:val="00443A3F"/>
    <w:rsid w:val="00443F4C"/>
    <w:rsid w:val="004440EC"/>
    <w:rsid w:val="00444386"/>
    <w:rsid w:val="0044444E"/>
    <w:rsid w:val="0044446F"/>
    <w:rsid w:val="004444C2"/>
    <w:rsid w:val="0044485A"/>
    <w:rsid w:val="00444C5D"/>
    <w:rsid w:val="00444CC1"/>
    <w:rsid w:val="00444CC3"/>
    <w:rsid w:val="00444D18"/>
    <w:rsid w:val="004451BE"/>
    <w:rsid w:val="0044525B"/>
    <w:rsid w:val="00445452"/>
    <w:rsid w:val="004457E7"/>
    <w:rsid w:val="004457EC"/>
    <w:rsid w:val="00445943"/>
    <w:rsid w:val="00445BAB"/>
    <w:rsid w:val="004460AE"/>
    <w:rsid w:val="00446361"/>
    <w:rsid w:val="00446897"/>
    <w:rsid w:val="00446BA5"/>
    <w:rsid w:val="00446EBB"/>
    <w:rsid w:val="00446EF5"/>
    <w:rsid w:val="00446F15"/>
    <w:rsid w:val="0044703F"/>
    <w:rsid w:val="00447183"/>
    <w:rsid w:val="00447202"/>
    <w:rsid w:val="00447414"/>
    <w:rsid w:val="004475DB"/>
    <w:rsid w:val="0044771F"/>
    <w:rsid w:val="004478AF"/>
    <w:rsid w:val="00447CBD"/>
    <w:rsid w:val="00447DE6"/>
    <w:rsid w:val="00447E88"/>
    <w:rsid w:val="0045006C"/>
    <w:rsid w:val="00450362"/>
    <w:rsid w:val="0045040D"/>
    <w:rsid w:val="0045043B"/>
    <w:rsid w:val="004507D2"/>
    <w:rsid w:val="00450872"/>
    <w:rsid w:val="004509F0"/>
    <w:rsid w:val="004513DF"/>
    <w:rsid w:val="00451537"/>
    <w:rsid w:val="004516C4"/>
    <w:rsid w:val="0045199E"/>
    <w:rsid w:val="00451D39"/>
    <w:rsid w:val="00451D86"/>
    <w:rsid w:val="00452199"/>
    <w:rsid w:val="0045221E"/>
    <w:rsid w:val="0045246C"/>
    <w:rsid w:val="004524C4"/>
    <w:rsid w:val="0045250D"/>
    <w:rsid w:val="00452565"/>
    <w:rsid w:val="00452B49"/>
    <w:rsid w:val="00452B7E"/>
    <w:rsid w:val="004530D6"/>
    <w:rsid w:val="00453484"/>
    <w:rsid w:val="004534CB"/>
    <w:rsid w:val="00453745"/>
    <w:rsid w:val="0045394A"/>
    <w:rsid w:val="00453A11"/>
    <w:rsid w:val="00453B4C"/>
    <w:rsid w:val="00453CB8"/>
    <w:rsid w:val="00453D06"/>
    <w:rsid w:val="00453E59"/>
    <w:rsid w:val="00453EDA"/>
    <w:rsid w:val="00454089"/>
    <w:rsid w:val="004540D1"/>
    <w:rsid w:val="004543A1"/>
    <w:rsid w:val="0045442F"/>
    <w:rsid w:val="0045446A"/>
    <w:rsid w:val="004545A5"/>
    <w:rsid w:val="00454798"/>
    <w:rsid w:val="00455268"/>
    <w:rsid w:val="004552CA"/>
    <w:rsid w:val="004552D3"/>
    <w:rsid w:val="0045546B"/>
    <w:rsid w:val="00455492"/>
    <w:rsid w:val="00455573"/>
    <w:rsid w:val="00455750"/>
    <w:rsid w:val="004559E4"/>
    <w:rsid w:val="00455D39"/>
    <w:rsid w:val="00455E85"/>
    <w:rsid w:val="00455FE0"/>
    <w:rsid w:val="004560D4"/>
    <w:rsid w:val="004568D9"/>
    <w:rsid w:val="00456A93"/>
    <w:rsid w:val="00457030"/>
    <w:rsid w:val="00457118"/>
    <w:rsid w:val="00457534"/>
    <w:rsid w:val="00457574"/>
    <w:rsid w:val="004579A4"/>
    <w:rsid w:val="00457C0B"/>
    <w:rsid w:val="00457CF2"/>
    <w:rsid w:val="00457FC1"/>
    <w:rsid w:val="00460163"/>
    <w:rsid w:val="0046030A"/>
    <w:rsid w:val="00460443"/>
    <w:rsid w:val="00460545"/>
    <w:rsid w:val="0046058A"/>
    <w:rsid w:val="00460663"/>
    <w:rsid w:val="004607F8"/>
    <w:rsid w:val="00460B13"/>
    <w:rsid w:val="00460B26"/>
    <w:rsid w:val="00460B30"/>
    <w:rsid w:val="00460BA2"/>
    <w:rsid w:val="00460C29"/>
    <w:rsid w:val="004610D3"/>
    <w:rsid w:val="0046119F"/>
    <w:rsid w:val="0046124A"/>
    <w:rsid w:val="004613D6"/>
    <w:rsid w:val="00461437"/>
    <w:rsid w:val="0046143A"/>
    <w:rsid w:val="0046158D"/>
    <w:rsid w:val="00461B48"/>
    <w:rsid w:val="00461B8D"/>
    <w:rsid w:val="00461BEB"/>
    <w:rsid w:val="00461FDC"/>
    <w:rsid w:val="00461FFC"/>
    <w:rsid w:val="004621CF"/>
    <w:rsid w:val="004622D1"/>
    <w:rsid w:val="00462561"/>
    <w:rsid w:val="00462DE6"/>
    <w:rsid w:val="00462F12"/>
    <w:rsid w:val="00463259"/>
    <w:rsid w:val="004633BF"/>
    <w:rsid w:val="00463A02"/>
    <w:rsid w:val="00463B37"/>
    <w:rsid w:val="00463B6A"/>
    <w:rsid w:val="00463BA8"/>
    <w:rsid w:val="00463CDD"/>
    <w:rsid w:val="00463F56"/>
    <w:rsid w:val="004642B6"/>
    <w:rsid w:val="004643AC"/>
    <w:rsid w:val="004648C5"/>
    <w:rsid w:val="00464EC8"/>
    <w:rsid w:val="00464EFE"/>
    <w:rsid w:val="00465026"/>
    <w:rsid w:val="004651F4"/>
    <w:rsid w:val="0046522F"/>
    <w:rsid w:val="00465266"/>
    <w:rsid w:val="00465286"/>
    <w:rsid w:val="004654C8"/>
    <w:rsid w:val="004654E3"/>
    <w:rsid w:val="00465509"/>
    <w:rsid w:val="004655D1"/>
    <w:rsid w:val="0046571D"/>
    <w:rsid w:val="0046575E"/>
    <w:rsid w:val="00465813"/>
    <w:rsid w:val="00465988"/>
    <w:rsid w:val="004659E1"/>
    <w:rsid w:val="00465A11"/>
    <w:rsid w:val="00465D0D"/>
    <w:rsid w:val="00465FEB"/>
    <w:rsid w:val="00465FF0"/>
    <w:rsid w:val="004660A3"/>
    <w:rsid w:val="0046616C"/>
    <w:rsid w:val="00466396"/>
    <w:rsid w:val="004663ED"/>
    <w:rsid w:val="00466463"/>
    <w:rsid w:val="00466CD4"/>
    <w:rsid w:val="0046723A"/>
    <w:rsid w:val="00467262"/>
    <w:rsid w:val="004673BC"/>
    <w:rsid w:val="0046744A"/>
    <w:rsid w:val="004674D9"/>
    <w:rsid w:val="00467628"/>
    <w:rsid w:val="0046788A"/>
    <w:rsid w:val="004678A3"/>
    <w:rsid w:val="004678A8"/>
    <w:rsid w:val="00467D9B"/>
    <w:rsid w:val="00467E80"/>
    <w:rsid w:val="00467FF8"/>
    <w:rsid w:val="004701B9"/>
    <w:rsid w:val="004701ED"/>
    <w:rsid w:val="00470311"/>
    <w:rsid w:val="0047035C"/>
    <w:rsid w:val="004705F1"/>
    <w:rsid w:val="0047076C"/>
    <w:rsid w:val="00470822"/>
    <w:rsid w:val="00470990"/>
    <w:rsid w:val="00470AF3"/>
    <w:rsid w:val="00471200"/>
    <w:rsid w:val="004712D6"/>
    <w:rsid w:val="004714BD"/>
    <w:rsid w:val="00471837"/>
    <w:rsid w:val="004718BE"/>
    <w:rsid w:val="00471CB3"/>
    <w:rsid w:val="00471CC4"/>
    <w:rsid w:val="00471F6B"/>
    <w:rsid w:val="004720D5"/>
    <w:rsid w:val="004720ED"/>
    <w:rsid w:val="00472313"/>
    <w:rsid w:val="0047244F"/>
    <w:rsid w:val="00472878"/>
    <w:rsid w:val="0047306A"/>
    <w:rsid w:val="00473371"/>
    <w:rsid w:val="00473620"/>
    <w:rsid w:val="00473627"/>
    <w:rsid w:val="00473638"/>
    <w:rsid w:val="004739F4"/>
    <w:rsid w:val="00474062"/>
    <w:rsid w:val="0047435D"/>
    <w:rsid w:val="00474411"/>
    <w:rsid w:val="0047452C"/>
    <w:rsid w:val="004746D9"/>
    <w:rsid w:val="00474D9F"/>
    <w:rsid w:val="00474E13"/>
    <w:rsid w:val="00474EA4"/>
    <w:rsid w:val="00474EAD"/>
    <w:rsid w:val="00474ED7"/>
    <w:rsid w:val="00474FAC"/>
    <w:rsid w:val="00474FD8"/>
    <w:rsid w:val="004751C0"/>
    <w:rsid w:val="0047523E"/>
    <w:rsid w:val="00475448"/>
    <w:rsid w:val="0047546A"/>
    <w:rsid w:val="00475496"/>
    <w:rsid w:val="00475648"/>
    <w:rsid w:val="00475899"/>
    <w:rsid w:val="004758CB"/>
    <w:rsid w:val="00475F99"/>
    <w:rsid w:val="00476140"/>
    <w:rsid w:val="004761D8"/>
    <w:rsid w:val="004764DB"/>
    <w:rsid w:val="004766E4"/>
    <w:rsid w:val="0047672D"/>
    <w:rsid w:val="00476880"/>
    <w:rsid w:val="00476A9C"/>
    <w:rsid w:val="00476B10"/>
    <w:rsid w:val="00476E46"/>
    <w:rsid w:val="004770A7"/>
    <w:rsid w:val="00477150"/>
    <w:rsid w:val="00477330"/>
    <w:rsid w:val="00477365"/>
    <w:rsid w:val="0047737B"/>
    <w:rsid w:val="00477480"/>
    <w:rsid w:val="004775FA"/>
    <w:rsid w:val="004777C0"/>
    <w:rsid w:val="00477873"/>
    <w:rsid w:val="00477AB5"/>
    <w:rsid w:val="00477E31"/>
    <w:rsid w:val="00477EB8"/>
    <w:rsid w:val="00477F12"/>
    <w:rsid w:val="00477F34"/>
    <w:rsid w:val="00480321"/>
    <w:rsid w:val="004803AB"/>
    <w:rsid w:val="00480436"/>
    <w:rsid w:val="004805E4"/>
    <w:rsid w:val="004806A5"/>
    <w:rsid w:val="00480761"/>
    <w:rsid w:val="00480B5C"/>
    <w:rsid w:val="00480F40"/>
    <w:rsid w:val="004811A3"/>
    <w:rsid w:val="004812AC"/>
    <w:rsid w:val="00481392"/>
    <w:rsid w:val="00481445"/>
    <w:rsid w:val="00481548"/>
    <w:rsid w:val="00481691"/>
    <w:rsid w:val="00481887"/>
    <w:rsid w:val="0048206D"/>
    <w:rsid w:val="004820C3"/>
    <w:rsid w:val="00482581"/>
    <w:rsid w:val="004825D4"/>
    <w:rsid w:val="00482C3F"/>
    <w:rsid w:val="00482F00"/>
    <w:rsid w:val="00482F81"/>
    <w:rsid w:val="0048340F"/>
    <w:rsid w:val="00483922"/>
    <w:rsid w:val="00483B84"/>
    <w:rsid w:val="00483BC9"/>
    <w:rsid w:val="0048401F"/>
    <w:rsid w:val="0048406A"/>
    <w:rsid w:val="00484212"/>
    <w:rsid w:val="0048440B"/>
    <w:rsid w:val="004845A8"/>
    <w:rsid w:val="004845EF"/>
    <w:rsid w:val="0048477A"/>
    <w:rsid w:val="00484844"/>
    <w:rsid w:val="00484D6B"/>
    <w:rsid w:val="00485000"/>
    <w:rsid w:val="0048517C"/>
    <w:rsid w:val="004851B5"/>
    <w:rsid w:val="0048526E"/>
    <w:rsid w:val="00485A02"/>
    <w:rsid w:val="00486038"/>
    <w:rsid w:val="0048611E"/>
    <w:rsid w:val="0048642A"/>
    <w:rsid w:val="00486476"/>
    <w:rsid w:val="0048651C"/>
    <w:rsid w:val="004867D9"/>
    <w:rsid w:val="00486824"/>
    <w:rsid w:val="00486915"/>
    <w:rsid w:val="00486E90"/>
    <w:rsid w:val="004873FF"/>
    <w:rsid w:val="00487475"/>
    <w:rsid w:val="00487833"/>
    <w:rsid w:val="004879A4"/>
    <w:rsid w:val="00487D80"/>
    <w:rsid w:val="00487F41"/>
    <w:rsid w:val="004900E0"/>
    <w:rsid w:val="00490184"/>
    <w:rsid w:val="004904BE"/>
    <w:rsid w:val="0049051D"/>
    <w:rsid w:val="00490736"/>
    <w:rsid w:val="00490929"/>
    <w:rsid w:val="00490B70"/>
    <w:rsid w:val="00490F59"/>
    <w:rsid w:val="0049133C"/>
    <w:rsid w:val="004914DB"/>
    <w:rsid w:val="0049172A"/>
    <w:rsid w:val="00491849"/>
    <w:rsid w:val="004918C3"/>
    <w:rsid w:val="00491B9A"/>
    <w:rsid w:val="00492090"/>
    <w:rsid w:val="0049219E"/>
    <w:rsid w:val="004921A8"/>
    <w:rsid w:val="004922EE"/>
    <w:rsid w:val="004923AC"/>
    <w:rsid w:val="004926AA"/>
    <w:rsid w:val="0049285B"/>
    <w:rsid w:val="004928D7"/>
    <w:rsid w:val="004929B8"/>
    <w:rsid w:val="00492A30"/>
    <w:rsid w:val="00492AEC"/>
    <w:rsid w:val="00492CF9"/>
    <w:rsid w:val="004931F5"/>
    <w:rsid w:val="0049339B"/>
    <w:rsid w:val="00493627"/>
    <w:rsid w:val="00493ABB"/>
    <w:rsid w:val="00493B76"/>
    <w:rsid w:val="00493E05"/>
    <w:rsid w:val="00493E2F"/>
    <w:rsid w:val="00493E88"/>
    <w:rsid w:val="00493E8D"/>
    <w:rsid w:val="00493F6F"/>
    <w:rsid w:val="00493F73"/>
    <w:rsid w:val="00494483"/>
    <w:rsid w:val="00494492"/>
    <w:rsid w:val="004947A4"/>
    <w:rsid w:val="004947B2"/>
    <w:rsid w:val="004948DA"/>
    <w:rsid w:val="00494A1D"/>
    <w:rsid w:val="00494A33"/>
    <w:rsid w:val="00494A5D"/>
    <w:rsid w:val="00494AB9"/>
    <w:rsid w:val="00494B68"/>
    <w:rsid w:val="00494C24"/>
    <w:rsid w:val="00494EAC"/>
    <w:rsid w:val="00495174"/>
    <w:rsid w:val="004951AC"/>
    <w:rsid w:val="004953BF"/>
    <w:rsid w:val="004954AD"/>
    <w:rsid w:val="00495730"/>
    <w:rsid w:val="004958A3"/>
    <w:rsid w:val="004959BC"/>
    <w:rsid w:val="004959D7"/>
    <w:rsid w:val="00495CC8"/>
    <w:rsid w:val="00495F03"/>
    <w:rsid w:val="0049604F"/>
    <w:rsid w:val="00496105"/>
    <w:rsid w:val="00496665"/>
    <w:rsid w:val="004966A2"/>
    <w:rsid w:val="004966BD"/>
    <w:rsid w:val="00496776"/>
    <w:rsid w:val="0049684F"/>
    <w:rsid w:val="00496B63"/>
    <w:rsid w:val="00496FCC"/>
    <w:rsid w:val="00497338"/>
    <w:rsid w:val="004973D6"/>
    <w:rsid w:val="0049750B"/>
    <w:rsid w:val="00497593"/>
    <w:rsid w:val="004975AF"/>
    <w:rsid w:val="004975C8"/>
    <w:rsid w:val="0049766F"/>
    <w:rsid w:val="004978E2"/>
    <w:rsid w:val="00497B03"/>
    <w:rsid w:val="00497B5F"/>
    <w:rsid w:val="00497B8B"/>
    <w:rsid w:val="00497C4E"/>
    <w:rsid w:val="00497C9A"/>
    <w:rsid w:val="00497F17"/>
    <w:rsid w:val="004A04BD"/>
    <w:rsid w:val="004A0831"/>
    <w:rsid w:val="004A08D6"/>
    <w:rsid w:val="004A0A37"/>
    <w:rsid w:val="004A0B8B"/>
    <w:rsid w:val="004A0CAE"/>
    <w:rsid w:val="004A0D9E"/>
    <w:rsid w:val="004A0DBE"/>
    <w:rsid w:val="004A0EAD"/>
    <w:rsid w:val="004A11AA"/>
    <w:rsid w:val="004A142F"/>
    <w:rsid w:val="004A1787"/>
    <w:rsid w:val="004A1874"/>
    <w:rsid w:val="004A1A8E"/>
    <w:rsid w:val="004A1C55"/>
    <w:rsid w:val="004A1D86"/>
    <w:rsid w:val="004A1EC7"/>
    <w:rsid w:val="004A21D7"/>
    <w:rsid w:val="004A21E8"/>
    <w:rsid w:val="004A22D4"/>
    <w:rsid w:val="004A2452"/>
    <w:rsid w:val="004A2471"/>
    <w:rsid w:val="004A249E"/>
    <w:rsid w:val="004A2520"/>
    <w:rsid w:val="004A258A"/>
    <w:rsid w:val="004A2AE3"/>
    <w:rsid w:val="004A2CE5"/>
    <w:rsid w:val="004A2F5D"/>
    <w:rsid w:val="004A3123"/>
    <w:rsid w:val="004A318C"/>
    <w:rsid w:val="004A32DD"/>
    <w:rsid w:val="004A3645"/>
    <w:rsid w:val="004A3767"/>
    <w:rsid w:val="004A39DF"/>
    <w:rsid w:val="004A3AF8"/>
    <w:rsid w:val="004A3D34"/>
    <w:rsid w:val="004A41F8"/>
    <w:rsid w:val="004A426C"/>
    <w:rsid w:val="004A4313"/>
    <w:rsid w:val="004A4475"/>
    <w:rsid w:val="004A4663"/>
    <w:rsid w:val="004A47EF"/>
    <w:rsid w:val="004A4991"/>
    <w:rsid w:val="004A4B93"/>
    <w:rsid w:val="004A4BC3"/>
    <w:rsid w:val="004A5012"/>
    <w:rsid w:val="004A513D"/>
    <w:rsid w:val="004A59FA"/>
    <w:rsid w:val="004A5A42"/>
    <w:rsid w:val="004A5AED"/>
    <w:rsid w:val="004A5B08"/>
    <w:rsid w:val="004A5BC8"/>
    <w:rsid w:val="004A5BFA"/>
    <w:rsid w:val="004A5BFB"/>
    <w:rsid w:val="004A5CBA"/>
    <w:rsid w:val="004A62E8"/>
    <w:rsid w:val="004A64F8"/>
    <w:rsid w:val="004A6579"/>
    <w:rsid w:val="004A657B"/>
    <w:rsid w:val="004A6729"/>
    <w:rsid w:val="004A6753"/>
    <w:rsid w:val="004A67D1"/>
    <w:rsid w:val="004A6839"/>
    <w:rsid w:val="004A68DA"/>
    <w:rsid w:val="004A68FF"/>
    <w:rsid w:val="004A6C5F"/>
    <w:rsid w:val="004A6CE4"/>
    <w:rsid w:val="004A6FC9"/>
    <w:rsid w:val="004A718E"/>
    <w:rsid w:val="004A73E4"/>
    <w:rsid w:val="004A7538"/>
    <w:rsid w:val="004A756E"/>
    <w:rsid w:val="004A7946"/>
    <w:rsid w:val="004A7DE9"/>
    <w:rsid w:val="004B0444"/>
    <w:rsid w:val="004B06BA"/>
    <w:rsid w:val="004B0837"/>
    <w:rsid w:val="004B0A32"/>
    <w:rsid w:val="004B0EBD"/>
    <w:rsid w:val="004B0F6C"/>
    <w:rsid w:val="004B1684"/>
    <w:rsid w:val="004B191F"/>
    <w:rsid w:val="004B1CC5"/>
    <w:rsid w:val="004B21A4"/>
    <w:rsid w:val="004B221E"/>
    <w:rsid w:val="004B2418"/>
    <w:rsid w:val="004B2422"/>
    <w:rsid w:val="004B27E5"/>
    <w:rsid w:val="004B28D9"/>
    <w:rsid w:val="004B2923"/>
    <w:rsid w:val="004B2A6D"/>
    <w:rsid w:val="004B2A9D"/>
    <w:rsid w:val="004B2AED"/>
    <w:rsid w:val="004B2B04"/>
    <w:rsid w:val="004B2B2E"/>
    <w:rsid w:val="004B2C36"/>
    <w:rsid w:val="004B2F62"/>
    <w:rsid w:val="004B2FAB"/>
    <w:rsid w:val="004B2FD2"/>
    <w:rsid w:val="004B303F"/>
    <w:rsid w:val="004B304A"/>
    <w:rsid w:val="004B33F7"/>
    <w:rsid w:val="004B3486"/>
    <w:rsid w:val="004B3778"/>
    <w:rsid w:val="004B37C4"/>
    <w:rsid w:val="004B37F0"/>
    <w:rsid w:val="004B3934"/>
    <w:rsid w:val="004B3CF0"/>
    <w:rsid w:val="004B3DD6"/>
    <w:rsid w:val="004B40AC"/>
    <w:rsid w:val="004B421E"/>
    <w:rsid w:val="004B4246"/>
    <w:rsid w:val="004B4355"/>
    <w:rsid w:val="004B43BB"/>
    <w:rsid w:val="004B43BD"/>
    <w:rsid w:val="004B4B0C"/>
    <w:rsid w:val="004B4B9D"/>
    <w:rsid w:val="004B4C79"/>
    <w:rsid w:val="004B4CE1"/>
    <w:rsid w:val="004B4F7F"/>
    <w:rsid w:val="004B552E"/>
    <w:rsid w:val="004B5723"/>
    <w:rsid w:val="004B5A99"/>
    <w:rsid w:val="004B5C7E"/>
    <w:rsid w:val="004B5DC0"/>
    <w:rsid w:val="004B5DDC"/>
    <w:rsid w:val="004B5F44"/>
    <w:rsid w:val="004B620F"/>
    <w:rsid w:val="004B6269"/>
    <w:rsid w:val="004B65C3"/>
    <w:rsid w:val="004B67E8"/>
    <w:rsid w:val="004B68F6"/>
    <w:rsid w:val="004B6A70"/>
    <w:rsid w:val="004B6D4C"/>
    <w:rsid w:val="004B6E1D"/>
    <w:rsid w:val="004B6E42"/>
    <w:rsid w:val="004B6FFD"/>
    <w:rsid w:val="004B7282"/>
    <w:rsid w:val="004B7298"/>
    <w:rsid w:val="004B738D"/>
    <w:rsid w:val="004B75A7"/>
    <w:rsid w:val="004B75FF"/>
    <w:rsid w:val="004B77B4"/>
    <w:rsid w:val="004B78D7"/>
    <w:rsid w:val="004B79DF"/>
    <w:rsid w:val="004B7C02"/>
    <w:rsid w:val="004C016F"/>
    <w:rsid w:val="004C01D4"/>
    <w:rsid w:val="004C0825"/>
    <w:rsid w:val="004C0AE8"/>
    <w:rsid w:val="004C0CFA"/>
    <w:rsid w:val="004C1039"/>
    <w:rsid w:val="004C10B5"/>
    <w:rsid w:val="004C110B"/>
    <w:rsid w:val="004C11B5"/>
    <w:rsid w:val="004C12AD"/>
    <w:rsid w:val="004C12DA"/>
    <w:rsid w:val="004C1384"/>
    <w:rsid w:val="004C1388"/>
    <w:rsid w:val="004C14E4"/>
    <w:rsid w:val="004C150A"/>
    <w:rsid w:val="004C159F"/>
    <w:rsid w:val="004C1660"/>
    <w:rsid w:val="004C1CE5"/>
    <w:rsid w:val="004C1DD8"/>
    <w:rsid w:val="004C1DFE"/>
    <w:rsid w:val="004C1E90"/>
    <w:rsid w:val="004C20B2"/>
    <w:rsid w:val="004C2451"/>
    <w:rsid w:val="004C2585"/>
    <w:rsid w:val="004C2623"/>
    <w:rsid w:val="004C274C"/>
    <w:rsid w:val="004C29D0"/>
    <w:rsid w:val="004C2A1B"/>
    <w:rsid w:val="004C2ADF"/>
    <w:rsid w:val="004C2C10"/>
    <w:rsid w:val="004C2D38"/>
    <w:rsid w:val="004C2E6E"/>
    <w:rsid w:val="004C2F3F"/>
    <w:rsid w:val="004C2F58"/>
    <w:rsid w:val="004C32AB"/>
    <w:rsid w:val="004C3350"/>
    <w:rsid w:val="004C33F3"/>
    <w:rsid w:val="004C3674"/>
    <w:rsid w:val="004C36B8"/>
    <w:rsid w:val="004C3798"/>
    <w:rsid w:val="004C39EE"/>
    <w:rsid w:val="004C3B6B"/>
    <w:rsid w:val="004C3C62"/>
    <w:rsid w:val="004C4070"/>
    <w:rsid w:val="004C4153"/>
    <w:rsid w:val="004C4396"/>
    <w:rsid w:val="004C46A7"/>
    <w:rsid w:val="004C4785"/>
    <w:rsid w:val="004C47FB"/>
    <w:rsid w:val="004C4ADD"/>
    <w:rsid w:val="004C4D1F"/>
    <w:rsid w:val="004C4E44"/>
    <w:rsid w:val="004C4E53"/>
    <w:rsid w:val="004C4EC3"/>
    <w:rsid w:val="004C51DA"/>
    <w:rsid w:val="004C5274"/>
    <w:rsid w:val="004C5326"/>
    <w:rsid w:val="004C536C"/>
    <w:rsid w:val="004C53F7"/>
    <w:rsid w:val="004C5487"/>
    <w:rsid w:val="004C54B8"/>
    <w:rsid w:val="004C5734"/>
    <w:rsid w:val="004C57EF"/>
    <w:rsid w:val="004C593A"/>
    <w:rsid w:val="004C593F"/>
    <w:rsid w:val="004C5B97"/>
    <w:rsid w:val="004C5C6D"/>
    <w:rsid w:val="004C5E68"/>
    <w:rsid w:val="004C607E"/>
    <w:rsid w:val="004C64C9"/>
    <w:rsid w:val="004C658D"/>
    <w:rsid w:val="004C6887"/>
    <w:rsid w:val="004C6C1B"/>
    <w:rsid w:val="004C6C1C"/>
    <w:rsid w:val="004C6C20"/>
    <w:rsid w:val="004C6FE9"/>
    <w:rsid w:val="004C7237"/>
    <w:rsid w:val="004C74A7"/>
    <w:rsid w:val="004C74B3"/>
    <w:rsid w:val="004C75AF"/>
    <w:rsid w:val="004C7CFB"/>
    <w:rsid w:val="004C7DD9"/>
    <w:rsid w:val="004C7ED0"/>
    <w:rsid w:val="004C7EDC"/>
    <w:rsid w:val="004C7EE6"/>
    <w:rsid w:val="004D01BB"/>
    <w:rsid w:val="004D07A8"/>
    <w:rsid w:val="004D08D2"/>
    <w:rsid w:val="004D0A48"/>
    <w:rsid w:val="004D0A6A"/>
    <w:rsid w:val="004D0A82"/>
    <w:rsid w:val="004D11D6"/>
    <w:rsid w:val="004D130B"/>
    <w:rsid w:val="004D1593"/>
    <w:rsid w:val="004D170A"/>
    <w:rsid w:val="004D19F4"/>
    <w:rsid w:val="004D1AC4"/>
    <w:rsid w:val="004D1C90"/>
    <w:rsid w:val="004D1CE2"/>
    <w:rsid w:val="004D1F36"/>
    <w:rsid w:val="004D1FB1"/>
    <w:rsid w:val="004D227F"/>
    <w:rsid w:val="004D2501"/>
    <w:rsid w:val="004D2542"/>
    <w:rsid w:val="004D26B7"/>
    <w:rsid w:val="004D2906"/>
    <w:rsid w:val="004D2BA2"/>
    <w:rsid w:val="004D2C1B"/>
    <w:rsid w:val="004D308A"/>
    <w:rsid w:val="004D32FB"/>
    <w:rsid w:val="004D33C3"/>
    <w:rsid w:val="004D3609"/>
    <w:rsid w:val="004D386F"/>
    <w:rsid w:val="004D3A02"/>
    <w:rsid w:val="004D3B2A"/>
    <w:rsid w:val="004D3D4B"/>
    <w:rsid w:val="004D40C7"/>
    <w:rsid w:val="004D41C8"/>
    <w:rsid w:val="004D434D"/>
    <w:rsid w:val="004D44A4"/>
    <w:rsid w:val="004D4689"/>
    <w:rsid w:val="004D4997"/>
    <w:rsid w:val="004D4D09"/>
    <w:rsid w:val="004D4D1F"/>
    <w:rsid w:val="004D4F22"/>
    <w:rsid w:val="004D5101"/>
    <w:rsid w:val="004D58B6"/>
    <w:rsid w:val="004D5905"/>
    <w:rsid w:val="004D5984"/>
    <w:rsid w:val="004D5C1E"/>
    <w:rsid w:val="004D5DF7"/>
    <w:rsid w:val="004D5E66"/>
    <w:rsid w:val="004D5F06"/>
    <w:rsid w:val="004D6299"/>
    <w:rsid w:val="004D63F3"/>
    <w:rsid w:val="004D6643"/>
    <w:rsid w:val="004D69A6"/>
    <w:rsid w:val="004D6A9A"/>
    <w:rsid w:val="004D71B9"/>
    <w:rsid w:val="004D71CA"/>
    <w:rsid w:val="004D7352"/>
    <w:rsid w:val="004D7408"/>
    <w:rsid w:val="004D74F1"/>
    <w:rsid w:val="004D7699"/>
    <w:rsid w:val="004D779C"/>
    <w:rsid w:val="004D79B3"/>
    <w:rsid w:val="004D7E4E"/>
    <w:rsid w:val="004D7FC2"/>
    <w:rsid w:val="004E019D"/>
    <w:rsid w:val="004E038F"/>
    <w:rsid w:val="004E05DC"/>
    <w:rsid w:val="004E0702"/>
    <w:rsid w:val="004E07DC"/>
    <w:rsid w:val="004E0A86"/>
    <w:rsid w:val="004E0E6D"/>
    <w:rsid w:val="004E140F"/>
    <w:rsid w:val="004E162A"/>
    <w:rsid w:val="004E177B"/>
    <w:rsid w:val="004E17EB"/>
    <w:rsid w:val="004E18AC"/>
    <w:rsid w:val="004E1A07"/>
    <w:rsid w:val="004E1AA8"/>
    <w:rsid w:val="004E1ADA"/>
    <w:rsid w:val="004E1BEB"/>
    <w:rsid w:val="004E1C26"/>
    <w:rsid w:val="004E1C8A"/>
    <w:rsid w:val="004E1D95"/>
    <w:rsid w:val="004E1EAC"/>
    <w:rsid w:val="004E1EE5"/>
    <w:rsid w:val="004E1F04"/>
    <w:rsid w:val="004E2124"/>
    <w:rsid w:val="004E25A0"/>
    <w:rsid w:val="004E265F"/>
    <w:rsid w:val="004E27FE"/>
    <w:rsid w:val="004E2849"/>
    <w:rsid w:val="004E2931"/>
    <w:rsid w:val="004E2CAA"/>
    <w:rsid w:val="004E2DAB"/>
    <w:rsid w:val="004E2F60"/>
    <w:rsid w:val="004E3095"/>
    <w:rsid w:val="004E30AF"/>
    <w:rsid w:val="004E328F"/>
    <w:rsid w:val="004E369B"/>
    <w:rsid w:val="004E3923"/>
    <w:rsid w:val="004E394A"/>
    <w:rsid w:val="004E3A24"/>
    <w:rsid w:val="004E3C26"/>
    <w:rsid w:val="004E3C65"/>
    <w:rsid w:val="004E3DEB"/>
    <w:rsid w:val="004E3FAE"/>
    <w:rsid w:val="004E4531"/>
    <w:rsid w:val="004E4677"/>
    <w:rsid w:val="004E491A"/>
    <w:rsid w:val="004E49CE"/>
    <w:rsid w:val="004E4D40"/>
    <w:rsid w:val="004E4F6C"/>
    <w:rsid w:val="004E4F92"/>
    <w:rsid w:val="004E4FA4"/>
    <w:rsid w:val="004E5047"/>
    <w:rsid w:val="004E5306"/>
    <w:rsid w:val="004E544E"/>
    <w:rsid w:val="004E5561"/>
    <w:rsid w:val="004E565F"/>
    <w:rsid w:val="004E57E5"/>
    <w:rsid w:val="004E5949"/>
    <w:rsid w:val="004E5976"/>
    <w:rsid w:val="004E5A78"/>
    <w:rsid w:val="004E5C1E"/>
    <w:rsid w:val="004E5FD6"/>
    <w:rsid w:val="004E605F"/>
    <w:rsid w:val="004E63C2"/>
    <w:rsid w:val="004E66E4"/>
    <w:rsid w:val="004E684A"/>
    <w:rsid w:val="004E697E"/>
    <w:rsid w:val="004E69E7"/>
    <w:rsid w:val="004E6CEE"/>
    <w:rsid w:val="004E6CF9"/>
    <w:rsid w:val="004E6EB8"/>
    <w:rsid w:val="004E7027"/>
    <w:rsid w:val="004E704B"/>
    <w:rsid w:val="004E73D9"/>
    <w:rsid w:val="004E7641"/>
    <w:rsid w:val="004E7A04"/>
    <w:rsid w:val="004E7A6F"/>
    <w:rsid w:val="004E7B55"/>
    <w:rsid w:val="004E7BB6"/>
    <w:rsid w:val="004E7D9A"/>
    <w:rsid w:val="004E7F7C"/>
    <w:rsid w:val="004F018C"/>
    <w:rsid w:val="004F05F9"/>
    <w:rsid w:val="004F07E6"/>
    <w:rsid w:val="004F0984"/>
    <w:rsid w:val="004F0A17"/>
    <w:rsid w:val="004F0AFC"/>
    <w:rsid w:val="004F0B5C"/>
    <w:rsid w:val="004F0C2B"/>
    <w:rsid w:val="004F1232"/>
    <w:rsid w:val="004F1264"/>
    <w:rsid w:val="004F1319"/>
    <w:rsid w:val="004F1522"/>
    <w:rsid w:val="004F17D5"/>
    <w:rsid w:val="004F1ACF"/>
    <w:rsid w:val="004F1C7D"/>
    <w:rsid w:val="004F1FA4"/>
    <w:rsid w:val="004F21BB"/>
    <w:rsid w:val="004F22E3"/>
    <w:rsid w:val="004F2479"/>
    <w:rsid w:val="004F25BA"/>
    <w:rsid w:val="004F2812"/>
    <w:rsid w:val="004F2988"/>
    <w:rsid w:val="004F2AA3"/>
    <w:rsid w:val="004F2BD6"/>
    <w:rsid w:val="004F2C2C"/>
    <w:rsid w:val="004F2D30"/>
    <w:rsid w:val="004F2D66"/>
    <w:rsid w:val="004F2D7D"/>
    <w:rsid w:val="004F2E5A"/>
    <w:rsid w:val="004F2FE4"/>
    <w:rsid w:val="004F3158"/>
    <w:rsid w:val="004F3218"/>
    <w:rsid w:val="004F34DF"/>
    <w:rsid w:val="004F3745"/>
    <w:rsid w:val="004F3A43"/>
    <w:rsid w:val="004F3C2E"/>
    <w:rsid w:val="004F3C4A"/>
    <w:rsid w:val="004F3C9F"/>
    <w:rsid w:val="004F3D20"/>
    <w:rsid w:val="004F4345"/>
    <w:rsid w:val="004F47F0"/>
    <w:rsid w:val="004F4904"/>
    <w:rsid w:val="004F49B7"/>
    <w:rsid w:val="004F49C0"/>
    <w:rsid w:val="004F4A14"/>
    <w:rsid w:val="004F4A6F"/>
    <w:rsid w:val="004F4B15"/>
    <w:rsid w:val="004F4FAF"/>
    <w:rsid w:val="004F5638"/>
    <w:rsid w:val="004F5726"/>
    <w:rsid w:val="004F579C"/>
    <w:rsid w:val="004F586A"/>
    <w:rsid w:val="004F5878"/>
    <w:rsid w:val="004F58B9"/>
    <w:rsid w:val="004F5ACB"/>
    <w:rsid w:val="004F5B1A"/>
    <w:rsid w:val="004F5B34"/>
    <w:rsid w:val="004F5E77"/>
    <w:rsid w:val="004F64AD"/>
    <w:rsid w:val="004F659D"/>
    <w:rsid w:val="004F6986"/>
    <w:rsid w:val="004F6AC2"/>
    <w:rsid w:val="004F6C63"/>
    <w:rsid w:val="004F6CC1"/>
    <w:rsid w:val="004F6DB6"/>
    <w:rsid w:val="004F6DD5"/>
    <w:rsid w:val="004F7213"/>
    <w:rsid w:val="004F75F3"/>
    <w:rsid w:val="004F7CDE"/>
    <w:rsid w:val="004F7D40"/>
    <w:rsid w:val="004F7E60"/>
    <w:rsid w:val="004F7EA7"/>
    <w:rsid w:val="00500050"/>
    <w:rsid w:val="005005D1"/>
    <w:rsid w:val="0050063D"/>
    <w:rsid w:val="005009E4"/>
    <w:rsid w:val="00500B9E"/>
    <w:rsid w:val="00500C3A"/>
    <w:rsid w:val="00500FB7"/>
    <w:rsid w:val="00501147"/>
    <w:rsid w:val="005011D5"/>
    <w:rsid w:val="0050127D"/>
    <w:rsid w:val="0050148D"/>
    <w:rsid w:val="00501643"/>
    <w:rsid w:val="00501D1B"/>
    <w:rsid w:val="00501DE9"/>
    <w:rsid w:val="005022FA"/>
    <w:rsid w:val="005025B3"/>
    <w:rsid w:val="00502687"/>
    <w:rsid w:val="00502802"/>
    <w:rsid w:val="00502929"/>
    <w:rsid w:val="00502C25"/>
    <w:rsid w:val="00502DFD"/>
    <w:rsid w:val="00502E04"/>
    <w:rsid w:val="00502E37"/>
    <w:rsid w:val="00503222"/>
    <w:rsid w:val="005033E8"/>
    <w:rsid w:val="0050342C"/>
    <w:rsid w:val="0050382C"/>
    <w:rsid w:val="00503904"/>
    <w:rsid w:val="00503919"/>
    <w:rsid w:val="00503A5F"/>
    <w:rsid w:val="00503ABC"/>
    <w:rsid w:val="00504363"/>
    <w:rsid w:val="005043EA"/>
    <w:rsid w:val="0050481F"/>
    <w:rsid w:val="00504A62"/>
    <w:rsid w:val="00504BB5"/>
    <w:rsid w:val="00504C5F"/>
    <w:rsid w:val="00504D36"/>
    <w:rsid w:val="00504DF9"/>
    <w:rsid w:val="005051D8"/>
    <w:rsid w:val="00505342"/>
    <w:rsid w:val="0050555E"/>
    <w:rsid w:val="00505576"/>
    <w:rsid w:val="005056B4"/>
    <w:rsid w:val="0050574B"/>
    <w:rsid w:val="005057CE"/>
    <w:rsid w:val="005059CC"/>
    <w:rsid w:val="00505BB3"/>
    <w:rsid w:val="00505F27"/>
    <w:rsid w:val="005060F0"/>
    <w:rsid w:val="00506228"/>
    <w:rsid w:val="0050638E"/>
    <w:rsid w:val="005065D3"/>
    <w:rsid w:val="005068B4"/>
    <w:rsid w:val="005069ED"/>
    <w:rsid w:val="00506AB0"/>
    <w:rsid w:val="00506C0F"/>
    <w:rsid w:val="00506C59"/>
    <w:rsid w:val="00507028"/>
    <w:rsid w:val="005071DE"/>
    <w:rsid w:val="00507430"/>
    <w:rsid w:val="00507754"/>
    <w:rsid w:val="005077A6"/>
    <w:rsid w:val="00507A4C"/>
    <w:rsid w:val="00507DA1"/>
    <w:rsid w:val="00507F7D"/>
    <w:rsid w:val="0051000E"/>
    <w:rsid w:val="00510881"/>
    <w:rsid w:val="005109AF"/>
    <w:rsid w:val="00510C9F"/>
    <w:rsid w:val="00510CD9"/>
    <w:rsid w:val="00510D61"/>
    <w:rsid w:val="00510F6F"/>
    <w:rsid w:val="005111D4"/>
    <w:rsid w:val="005112E2"/>
    <w:rsid w:val="0051147A"/>
    <w:rsid w:val="005114EC"/>
    <w:rsid w:val="005116A3"/>
    <w:rsid w:val="00511943"/>
    <w:rsid w:val="00511BBC"/>
    <w:rsid w:val="00511BF6"/>
    <w:rsid w:val="00511C49"/>
    <w:rsid w:val="00511EF3"/>
    <w:rsid w:val="00511F4C"/>
    <w:rsid w:val="00512304"/>
    <w:rsid w:val="005124C8"/>
    <w:rsid w:val="005124F1"/>
    <w:rsid w:val="005126E6"/>
    <w:rsid w:val="005127C1"/>
    <w:rsid w:val="005127D2"/>
    <w:rsid w:val="0051280B"/>
    <w:rsid w:val="00512FB9"/>
    <w:rsid w:val="0051339B"/>
    <w:rsid w:val="005135F4"/>
    <w:rsid w:val="00513B39"/>
    <w:rsid w:val="00513C8E"/>
    <w:rsid w:val="00513CFD"/>
    <w:rsid w:val="00513DBC"/>
    <w:rsid w:val="005141D7"/>
    <w:rsid w:val="005142C9"/>
    <w:rsid w:val="0051465D"/>
    <w:rsid w:val="00514695"/>
    <w:rsid w:val="00514853"/>
    <w:rsid w:val="005148F4"/>
    <w:rsid w:val="00514A89"/>
    <w:rsid w:val="00514BDA"/>
    <w:rsid w:val="00514C52"/>
    <w:rsid w:val="00514DB2"/>
    <w:rsid w:val="0051514C"/>
    <w:rsid w:val="0051538C"/>
    <w:rsid w:val="00515436"/>
    <w:rsid w:val="00515518"/>
    <w:rsid w:val="00515531"/>
    <w:rsid w:val="005156C6"/>
    <w:rsid w:val="00515984"/>
    <w:rsid w:val="00515A53"/>
    <w:rsid w:val="00515AFE"/>
    <w:rsid w:val="00515DCD"/>
    <w:rsid w:val="00515E24"/>
    <w:rsid w:val="00515F49"/>
    <w:rsid w:val="00516295"/>
    <w:rsid w:val="00516A31"/>
    <w:rsid w:val="00516ADB"/>
    <w:rsid w:val="00516ECD"/>
    <w:rsid w:val="00517403"/>
    <w:rsid w:val="005178C6"/>
    <w:rsid w:val="00517931"/>
    <w:rsid w:val="00517BB5"/>
    <w:rsid w:val="00517D38"/>
    <w:rsid w:val="00517DA8"/>
    <w:rsid w:val="00517DB8"/>
    <w:rsid w:val="00517DB9"/>
    <w:rsid w:val="0052002D"/>
    <w:rsid w:val="00520065"/>
    <w:rsid w:val="005202EE"/>
    <w:rsid w:val="005207E1"/>
    <w:rsid w:val="005208BE"/>
    <w:rsid w:val="00520A28"/>
    <w:rsid w:val="00520CF2"/>
    <w:rsid w:val="00520D18"/>
    <w:rsid w:val="00520EB8"/>
    <w:rsid w:val="00520F0C"/>
    <w:rsid w:val="00520F28"/>
    <w:rsid w:val="005210F9"/>
    <w:rsid w:val="005211A2"/>
    <w:rsid w:val="00521524"/>
    <w:rsid w:val="00521838"/>
    <w:rsid w:val="00521F73"/>
    <w:rsid w:val="00522108"/>
    <w:rsid w:val="005227D7"/>
    <w:rsid w:val="005228C8"/>
    <w:rsid w:val="00522970"/>
    <w:rsid w:val="005229E6"/>
    <w:rsid w:val="00522AF1"/>
    <w:rsid w:val="00522B7D"/>
    <w:rsid w:val="00522E86"/>
    <w:rsid w:val="00522E95"/>
    <w:rsid w:val="005230D6"/>
    <w:rsid w:val="0052311C"/>
    <w:rsid w:val="0052312A"/>
    <w:rsid w:val="005238F6"/>
    <w:rsid w:val="00523B3C"/>
    <w:rsid w:val="00523D96"/>
    <w:rsid w:val="0052407A"/>
    <w:rsid w:val="005242AE"/>
    <w:rsid w:val="0052445D"/>
    <w:rsid w:val="00524475"/>
    <w:rsid w:val="0052455E"/>
    <w:rsid w:val="0052478A"/>
    <w:rsid w:val="00524B95"/>
    <w:rsid w:val="00525112"/>
    <w:rsid w:val="0052527A"/>
    <w:rsid w:val="005252A1"/>
    <w:rsid w:val="0052534E"/>
    <w:rsid w:val="0052552A"/>
    <w:rsid w:val="00525627"/>
    <w:rsid w:val="005257B2"/>
    <w:rsid w:val="00525862"/>
    <w:rsid w:val="005258F1"/>
    <w:rsid w:val="00525929"/>
    <w:rsid w:val="00525F6A"/>
    <w:rsid w:val="0052607F"/>
    <w:rsid w:val="005262A4"/>
    <w:rsid w:val="0052635E"/>
    <w:rsid w:val="00526426"/>
    <w:rsid w:val="0052644B"/>
    <w:rsid w:val="00526538"/>
    <w:rsid w:val="0052662B"/>
    <w:rsid w:val="0052672F"/>
    <w:rsid w:val="00526A9B"/>
    <w:rsid w:val="00526D6D"/>
    <w:rsid w:val="00526F95"/>
    <w:rsid w:val="00527093"/>
    <w:rsid w:val="0052740B"/>
    <w:rsid w:val="0052753C"/>
    <w:rsid w:val="0052784A"/>
    <w:rsid w:val="00527962"/>
    <w:rsid w:val="00527A01"/>
    <w:rsid w:val="00527BE5"/>
    <w:rsid w:val="00527C13"/>
    <w:rsid w:val="00527EC7"/>
    <w:rsid w:val="00527F60"/>
    <w:rsid w:val="00530025"/>
    <w:rsid w:val="005300B2"/>
    <w:rsid w:val="005300E0"/>
    <w:rsid w:val="005301F9"/>
    <w:rsid w:val="00530247"/>
    <w:rsid w:val="005302ED"/>
    <w:rsid w:val="0053042F"/>
    <w:rsid w:val="0053086D"/>
    <w:rsid w:val="00530F54"/>
    <w:rsid w:val="00530FF5"/>
    <w:rsid w:val="005310A8"/>
    <w:rsid w:val="005311DC"/>
    <w:rsid w:val="0053126A"/>
    <w:rsid w:val="00531344"/>
    <w:rsid w:val="0053138B"/>
    <w:rsid w:val="005313E1"/>
    <w:rsid w:val="00531455"/>
    <w:rsid w:val="005314D2"/>
    <w:rsid w:val="005317EC"/>
    <w:rsid w:val="0053182C"/>
    <w:rsid w:val="005319FE"/>
    <w:rsid w:val="00531A9F"/>
    <w:rsid w:val="00531D11"/>
    <w:rsid w:val="00532070"/>
    <w:rsid w:val="005320A6"/>
    <w:rsid w:val="005320C6"/>
    <w:rsid w:val="0053223A"/>
    <w:rsid w:val="0053226F"/>
    <w:rsid w:val="005325D2"/>
    <w:rsid w:val="005326F1"/>
    <w:rsid w:val="00532701"/>
    <w:rsid w:val="00532895"/>
    <w:rsid w:val="00532ADF"/>
    <w:rsid w:val="00532CBD"/>
    <w:rsid w:val="00533001"/>
    <w:rsid w:val="005330D0"/>
    <w:rsid w:val="00533341"/>
    <w:rsid w:val="00533394"/>
    <w:rsid w:val="00533991"/>
    <w:rsid w:val="00533A28"/>
    <w:rsid w:val="00533AD6"/>
    <w:rsid w:val="00534325"/>
    <w:rsid w:val="00534678"/>
    <w:rsid w:val="00534973"/>
    <w:rsid w:val="00534A2B"/>
    <w:rsid w:val="00534BEC"/>
    <w:rsid w:val="00534C8D"/>
    <w:rsid w:val="00534E93"/>
    <w:rsid w:val="00534EA6"/>
    <w:rsid w:val="00535218"/>
    <w:rsid w:val="005358E0"/>
    <w:rsid w:val="00535924"/>
    <w:rsid w:val="00535AC5"/>
    <w:rsid w:val="00535AD7"/>
    <w:rsid w:val="00535C07"/>
    <w:rsid w:val="00535C81"/>
    <w:rsid w:val="00535CE6"/>
    <w:rsid w:val="0053620B"/>
    <w:rsid w:val="005362E8"/>
    <w:rsid w:val="0053633C"/>
    <w:rsid w:val="00536580"/>
    <w:rsid w:val="00536979"/>
    <w:rsid w:val="00536BB7"/>
    <w:rsid w:val="00536C45"/>
    <w:rsid w:val="00536EDF"/>
    <w:rsid w:val="00537090"/>
    <w:rsid w:val="00537491"/>
    <w:rsid w:val="005374F3"/>
    <w:rsid w:val="005377B5"/>
    <w:rsid w:val="005377FC"/>
    <w:rsid w:val="0054015B"/>
    <w:rsid w:val="005402AD"/>
    <w:rsid w:val="005404BC"/>
    <w:rsid w:val="00540A91"/>
    <w:rsid w:val="00540D08"/>
    <w:rsid w:val="00540E5C"/>
    <w:rsid w:val="00540F3A"/>
    <w:rsid w:val="005410F5"/>
    <w:rsid w:val="00541342"/>
    <w:rsid w:val="0054170B"/>
    <w:rsid w:val="00541719"/>
    <w:rsid w:val="00541833"/>
    <w:rsid w:val="00541874"/>
    <w:rsid w:val="00541A7F"/>
    <w:rsid w:val="00541AE5"/>
    <w:rsid w:val="00541BF1"/>
    <w:rsid w:val="00541C41"/>
    <w:rsid w:val="00541E0C"/>
    <w:rsid w:val="005427DA"/>
    <w:rsid w:val="00542DB2"/>
    <w:rsid w:val="00542EE2"/>
    <w:rsid w:val="00542FBA"/>
    <w:rsid w:val="00543415"/>
    <w:rsid w:val="00543888"/>
    <w:rsid w:val="005438FD"/>
    <w:rsid w:val="005439A9"/>
    <w:rsid w:val="00543DFD"/>
    <w:rsid w:val="00543FED"/>
    <w:rsid w:val="00544086"/>
    <w:rsid w:val="00544207"/>
    <w:rsid w:val="005443CE"/>
    <w:rsid w:val="0054462A"/>
    <w:rsid w:val="00544636"/>
    <w:rsid w:val="005446FB"/>
    <w:rsid w:val="0054475D"/>
    <w:rsid w:val="005448AC"/>
    <w:rsid w:val="00544E6D"/>
    <w:rsid w:val="00544F30"/>
    <w:rsid w:val="00544F78"/>
    <w:rsid w:val="005450C8"/>
    <w:rsid w:val="005453DE"/>
    <w:rsid w:val="0054568F"/>
    <w:rsid w:val="005457CA"/>
    <w:rsid w:val="00545844"/>
    <w:rsid w:val="0054587B"/>
    <w:rsid w:val="00545FE1"/>
    <w:rsid w:val="005460CA"/>
    <w:rsid w:val="00546321"/>
    <w:rsid w:val="00546431"/>
    <w:rsid w:val="0054671B"/>
    <w:rsid w:val="0054688B"/>
    <w:rsid w:val="00546B96"/>
    <w:rsid w:val="00546C6A"/>
    <w:rsid w:val="00546DE8"/>
    <w:rsid w:val="0054717E"/>
    <w:rsid w:val="00547401"/>
    <w:rsid w:val="00547501"/>
    <w:rsid w:val="005475AC"/>
    <w:rsid w:val="00547657"/>
    <w:rsid w:val="005479B7"/>
    <w:rsid w:val="00547A47"/>
    <w:rsid w:val="00547ABA"/>
    <w:rsid w:val="00547B5D"/>
    <w:rsid w:val="00547CD8"/>
    <w:rsid w:val="00547D6E"/>
    <w:rsid w:val="005503CD"/>
    <w:rsid w:val="0055050D"/>
    <w:rsid w:val="005505F7"/>
    <w:rsid w:val="00550DDD"/>
    <w:rsid w:val="00550E2A"/>
    <w:rsid w:val="00550F01"/>
    <w:rsid w:val="00550FEB"/>
    <w:rsid w:val="005513BD"/>
    <w:rsid w:val="00551585"/>
    <w:rsid w:val="005515A3"/>
    <w:rsid w:val="0055169F"/>
    <w:rsid w:val="0055172C"/>
    <w:rsid w:val="00551852"/>
    <w:rsid w:val="00551D6C"/>
    <w:rsid w:val="00551EED"/>
    <w:rsid w:val="00551F67"/>
    <w:rsid w:val="0055248B"/>
    <w:rsid w:val="005526CA"/>
    <w:rsid w:val="005529A2"/>
    <w:rsid w:val="00552BCB"/>
    <w:rsid w:val="00552FC9"/>
    <w:rsid w:val="00553035"/>
    <w:rsid w:val="00553233"/>
    <w:rsid w:val="00553312"/>
    <w:rsid w:val="0055333D"/>
    <w:rsid w:val="005535E1"/>
    <w:rsid w:val="00553705"/>
    <w:rsid w:val="0055372B"/>
    <w:rsid w:val="005537BB"/>
    <w:rsid w:val="00553851"/>
    <w:rsid w:val="00553898"/>
    <w:rsid w:val="005538FA"/>
    <w:rsid w:val="00553966"/>
    <w:rsid w:val="00553A28"/>
    <w:rsid w:val="005542C0"/>
    <w:rsid w:val="00554646"/>
    <w:rsid w:val="0055478F"/>
    <w:rsid w:val="00554D57"/>
    <w:rsid w:val="00554FA6"/>
    <w:rsid w:val="00555287"/>
    <w:rsid w:val="005552C0"/>
    <w:rsid w:val="005558C0"/>
    <w:rsid w:val="00555ADF"/>
    <w:rsid w:val="00555C84"/>
    <w:rsid w:val="00555D80"/>
    <w:rsid w:val="00555FAF"/>
    <w:rsid w:val="00555FD9"/>
    <w:rsid w:val="005561BF"/>
    <w:rsid w:val="00556500"/>
    <w:rsid w:val="00556578"/>
    <w:rsid w:val="005567B8"/>
    <w:rsid w:val="00556842"/>
    <w:rsid w:val="00556A6B"/>
    <w:rsid w:val="00556C6F"/>
    <w:rsid w:val="00556D09"/>
    <w:rsid w:val="00556FF0"/>
    <w:rsid w:val="00557428"/>
    <w:rsid w:val="005577BF"/>
    <w:rsid w:val="00557964"/>
    <w:rsid w:val="00557CBA"/>
    <w:rsid w:val="00557E27"/>
    <w:rsid w:val="00557EE7"/>
    <w:rsid w:val="00557F19"/>
    <w:rsid w:val="00557FED"/>
    <w:rsid w:val="005600D5"/>
    <w:rsid w:val="00560532"/>
    <w:rsid w:val="0056069A"/>
    <w:rsid w:val="005607A3"/>
    <w:rsid w:val="005608CB"/>
    <w:rsid w:val="00560936"/>
    <w:rsid w:val="005609CB"/>
    <w:rsid w:val="00560A05"/>
    <w:rsid w:val="00560A20"/>
    <w:rsid w:val="00560B5F"/>
    <w:rsid w:val="00560BE0"/>
    <w:rsid w:val="00560C3E"/>
    <w:rsid w:val="00560E41"/>
    <w:rsid w:val="00560E72"/>
    <w:rsid w:val="00560FF2"/>
    <w:rsid w:val="00561174"/>
    <w:rsid w:val="005613F4"/>
    <w:rsid w:val="005616DB"/>
    <w:rsid w:val="00561A6B"/>
    <w:rsid w:val="00561AB5"/>
    <w:rsid w:val="00561FE4"/>
    <w:rsid w:val="005622C7"/>
    <w:rsid w:val="005622F7"/>
    <w:rsid w:val="00562791"/>
    <w:rsid w:val="00562839"/>
    <w:rsid w:val="00562CDD"/>
    <w:rsid w:val="00562D9B"/>
    <w:rsid w:val="00562DAC"/>
    <w:rsid w:val="00563059"/>
    <w:rsid w:val="005631A8"/>
    <w:rsid w:val="005632D4"/>
    <w:rsid w:val="005633AA"/>
    <w:rsid w:val="0056362B"/>
    <w:rsid w:val="005638CE"/>
    <w:rsid w:val="00563DC0"/>
    <w:rsid w:val="00563DD5"/>
    <w:rsid w:val="00563EE9"/>
    <w:rsid w:val="0056416D"/>
    <w:rsid w:val="00564193"/>
    <w:rsid w:val="005641D8"/>
    <w:rsid w:val="005642A2"/>
    <w:rsid w:val="005642D3"/>
    <w:rsid w:val="00564522"/>
    <w:rsid w:val="005648C9"/>
    <w:rsid w:val="00564971"/>
    <w:rsid w:val="00564B49"/>
    <w:rsid w:val="00564D9F"/>
    <w:rsid w:val="00564E9E"/>
    <w:rsid w:val="00564EC2"/>
    <w:rsid w:val="0056518F"/>
    <w:rsid w:val="005651B8"/>
    <w:rsid w:val="00565254"/>
    <w:rsid w:val="005652B9"/>
    <w:rsid w:val="0056549B"/>
    <w:rsid w:val="0056554C"/>
    <w:rsid w:val="00565570"/>
    <w:rsid w:val="005657D8"/>
    <w:rsid w:val="00565A61"/>
    <w:rsid w:val="00565B48"/>
    <w:rsid w:val="00565FAF"/>
    <w:rsid w:val="00566029"/>
    <w:rsid w:val="00566039"/>
    <w:rsid w:val="00566058"/>
    <w:rsid w:val="0056624D"/>
    <w:rsid w:val="0056627D"/>
    <w:rsid w:val="005662C6"/>
    <w:rsid w:val="00566411"/>
    <w:rsid w:val="00566933"/>
    <w:rsid w:val="0056697D"/>
    <w:rsid w:val="00566AE6"/>
    <w:rsid w:val="00566D2C"/>
    <w:rsid w:val="00566D73"/>
    <w:rsid w:val="005671C3"/>
    <w:rsid w:val="00567268"/>
    <w:rsid w:val="0056747A"/>
    <w:rsid w:val="0056768F"/>
    <w:rsid w:val="005676A8"/>
    <w:rsid w:val="005678E0"/>
    <w:rsid w:val="00567C51"/>
    <w:rsid w:val="00567C98"/>
    <w:rsid w:val="00567FB6"/>
    <w:rsid w:val="00570257"/>
    <w:rsid w:val="005709AC"/>
    <w:rsid w:val="005709AD"/>
    <w:rsid w:val="00570ACF"/>
    <w:rsid w:val="00570ADF"/>
    <w:rsid w:val="00570CE6"/>
    <w:rsid w:val="00570F3E"/>
    <w:rsid w:val="005710BB"/>
    <w:rsid w:val="0057144A"/>
    <w:rsid w:val="00571573"/>
    <w:rsid w:val="00571661"/>
    <w:rsid w:val="0057167B"/>
    <w:rsid w:val="00571682"/>
    <w:rsid w:val="00571976"/>
    <w:rsid w:val="00571B13"/>
    <w:rsid w:val="00571B88"/>
    <w:rsid w:val="00572029"/>
    <w:rsid w:val="00572457"/>
    <w:rsid w:val="00572486"/>
    <w:rsid w:val="005725B7"/>
    <w:rsid w:val="00572614"/>
    <w:rsid w:val="00572875"/>
    <w:rsid w:val="00572A24"/>
    <w:rsid w:val="00572C7E"/>
    <w:rsid w:val="00572D07"/>
    <w:rsid w:val="00572EC1"/>
    <w:rsid w:val="005730F4"/>
    <w:rsid w:val="005733EF"/>
    <w:rsid w:val="0057346B"/>
    <w:rsid w:val="0057347C"/>
    <w:rsid w:val="00573645"/>
    <w:rsid w:val="00573800"/>
    <w:rsid w:val="005738AA"/>
    <w:rsid w:val="005739B4"/>
    <w:rsid w:val="00573C88"/>
    <w:rsid w:val="00573CB2"/>
    <w:rsid w:val="005741DC"/>
    <w:rsid w:val="00574356"/>
    <w:rsid w:val="0057435E"/>
    <w:rsid w:val="005745C3"/>
    <w:rsid w:val="00574A45"/>
    <w:rsid w:val="00574A69"/>
    <w:rsid w:val="00574AE9"/>
    <w:rsid w:val="00574D85"/>
    <w:rsid w:val="00574E91"/>
    <w:rsid w:val="00575149"/>
    <w:rsid w:val="005751BE"/>
    <w:rsid w:val="00575554"/>
    <w:rsid w:val="005755B7"/>
    <w:rsid w:val="0057595D"/>
    <w:rsid w:val="00575B47"/>
    <w:rsid w:val="00575C8B"/>
    <w:rsid w:val="00575FA4"/>
    <w:rsid w:val="00576050"/>
    <w:rsid w:val="00576133"/>
    <w:rsid w:val="005762EC"/>
    <w:rsid w:val="0057666B"/>
    <w:rsid w:val="00576989"/>
    <w:rsid w:val="00576B84"/>
    <w:rsid w:val="00576D0E"/>
    <w:rsid w:val="00577200"/>
    <w:rsid w:val="00577596"/>
    <w:rsid w:val="005776A7"/>
    <w:rsid w:val="00577819"/>
    <w:rsid w:val="0057789B"/>
    <w:rsid w:val="0057793E"/>
    <w:rsid w:val="00577C62"/>
    <w:rsid w:val="00580126"/>
    <w:rsid w:val="00580154"/>
    <w:rsid w:val="0058037F"/>
    <w:rsid w:val="005806CC"/>
    <w:rsid w:val="0058089E"/>
    <w:rsid w:val="00580CF0"/>
    <w:rsid w:val="00580EF6"/>
    <w:rsid w:val="00580FD3"/>
    <w:rsid w:val="00580FFF"/>
    <w:rsid w:val="00581057"/>
    <w:rsid w:val="00581214"/>
    <w:rsid w:val="00581262"/>
    <w:rsid w:val="00581271"/>
    <w:rsid w:val="00581319"/>
    <w:rsid w:val="0058150C"/>
    <w:rsid w:val="00581826"/>
    <w:rsid w:val="005818BA"/>
    <w:rsid w:val="00581ACB"/>
    <w:rsid w:val="00581BA3"/>
    <w:rsid w:val="00581D2E"/>
    <w:rsid w:val="00581D4D"/>
    <w:rsid w:val="00581DC8"/>
    <w:rsid w:val="00581DEC"/>
    <w:rsid w:val="00581E9C"/>
    <w:rsid w:val="00581F0C"/>
    <w:rsid w:val="0058234A"/>
    <w:rsid w:val="00582449"/>
    <w:rsid w:val="0058245E"/>
    <w:rsid w:val="005825DF"/>
    <w:rsid w:val="005827B8"/>
    <w:rsid w:val="005827D4"/>
    <w:rsid w:val="005828A6"/>
    <w:rsid w:val="00582CFF"/>
    <w:rsid w:val="00582D4B"/>
    <w:rsid w:val="00582DD8"/>
    <w:rsid w:val="00582E4C"/>
    <w:rsid w:val="00582E8E"/>
    <w:rsid w:val="00582EC3"/>
    <w:rsid w:val="00582FA4"/>
    <w:rsid w:val="00583253"/>
    <w:rsid w:val="0058341E"/>
    <w:rsid w:val="005834C3"/>
    <w:rsid w:val="00583604"/>
    <w:rsid w:val="00583A6F"/>
    <w:rsid w:val="00583E61"/>
    <w:rsid w:val="0058403C"/>
    <w:rsid w:val="005841E7"/>
    <w:rsid w:val="005841F8"/>
    <w:rsid w:val="00584240"/>
    <w:rsid w:val="0058428C"/>
    <w:rsid w:val="0058447A"/>
    <w:rsid w:val="005844A3"/>
    <w:rsid w:val="00584515"/>
    <w:rsid w:val="00584630"/>
    <w:rsid w:val="00584D7B"/>
    <w:rsid w:val="00585061"/>
    <w:rsid w:val="00585339"/>
    <w:rsid w:val="00585367"/>
    <w:rsid w:val="005855AE"/>
    <w:rsid w:val="00585707"/>
    <w:rsid w:val="00585945"/>
    <w:rsid w:val="005859F5"/>
    <w:rsid w:val="00585B7C"/>
    <w:rsid w:val="00585D7F"/>
    <w:rsid w:val="005861D3"/>
    <w:rsid w:val="0058641A"/>
    <w:rsid w:val="005864B1"/>
    <w:rsid w:val="00586605"/>
    <w:rsid w:val="0058667F"/>
    <w:rsid w:val="00586816"/>
    <w:rsid w:val="00586A34"/>
    <w:rsid w:val="00586AEC"/>
    <w:rsid w:val="00586CAC"/>
    <w:rsid w:val="00586D0E"/>
    <w:rsid w:val="00586D67"/>
    <w:rsid w:val="00586D8E"/>
    <w:rsid w:val="00586E70"/>
    <w:rsid w:val="00586F53"/>
    <w:rsid w:val="00587165"/>
    <w:rsid w:val="00587223"/>
    <w:rsid w:val="00587422"/>
    <w:rsid w:val="00587A0A"/>
    <w:rsid w:val="00587CBF"/>
    <w:rsid w:val="00587E67"/>
    <w:rsid w:val="00587E8B"/>
    <w:rsid w:val="0059002E"/>
    <w:rsid w:val="005900AF"/>
    <w:rsid w:val="005900E5"/>
    <w:rsid w:val="00590135"/>
    <w:rsid w:val="005906C5"/>
    <w:rsid w:val="005907D4"/>
    <w:rsid w:val="0059081D"/>
    <w:rsid w:val="00590844"/>
    <w:rsid w:val="00590B12"/>
    <w:rsid w:val="0059161D"/>
    <w:rsid w:val="00591A20"/>
    <w:rsid w:val="00591AB8"/>
    <w:rsid w:val="00591D18"/>
    <w:rsid w:val="00591D5A"/>
    <w:rsid w:val="00591F33"/>
    <w:rsid w:val="00591F40"/>
    <w:rsid w:val="00592115"/>
    <w:rsid w:val="005922EB"/>
    <w:rsid w:val="00592338"/>
    <w:rsid w:val="005924D0"/>
    <w:rsid w:val="00592502"/>
    <w:rsid w:val="005926B0"/>
    <w:rsid w:val="00592928"/>
    <w:rsid w:val="0059299C"/>
    <w:rsid w:val="005929E7"/>
    <w:rsid w:val="00592A01"/>
    <w:rsid w:val="00592A1F"/>
    <w:rsid w:val="00592C77"/>
    <w:rsid w:val="00592C78"/>
    <w:rsid w:val="00592E07"/>
    <w:rsid w:val="00592E4D"/>
    <w:rsid w:val="005935F8"/>
    <w:rsid w:val="00593679"/>
    <w:rsid w:val="00593796"/>
    <w:rsid w:val="00593850"/>
    <w:rsid w:val="00593884"/>
    <w:rsid w:val="00593A0C"/>
    <w:rsid w:val="00593AE7"/>
    <w:rsid w:val="00593C1D"/>
    <w:rsid w:val="00593C8F"/>
    <w:rsid w:val="00594576"/>
    <w:rsid w:val="0059492D"/>
    <w:rsid w:val="00594931"/>
    <w:rsid w:val="005949D0"/>
    <w:rsid w:val="00594A15"/>
    <w:rsid w:val="00594B15"/>
    <w:rsid w:val="00594C23"/>
    <w:rsid w:val="00594DDD"/>
    <w:rsid w:val="00594ECB"/>
    <w:rsid w:val="00594FC5"/>
    <w:rsid w:val="00595278"/>
    <w:rsid w:val="00595390"/>
    <w:rsid w:val="0059553D"/>
    <w:rsid w:val="0059592A"/>
    <w:rsid w:val="00595ABA"/>
    <w:rsid w:val="00595D90"/>
    <w:rsid w:val="005962CE"/>
    <w:rsid w:val="005963DF"/>
    <w:rsid w:val="005965E0"/>
    <w:rsid w:val="0059672E"/>
    <w:rsid w:val="005969FC"/>
    <w:rsid w:val="005970E9"/>
    <w:rsid w:val="00597442"/>
    <w:rsid w:val="00597515"/>
    <w:rsid w:val="00597660"/>
    <w:rsid w:val="00597D9F"/>
    <w:rsid w:val="00597ED9"/>
    <w:rsid w:val="00597FCC"/>
    <w:rsid w:val="005A001B"/>
    <w:rsid w:val="005A00A3"/>
    <w:rsid w:val="005A02DA"/>
    <w:rsid w:val="005A0550"/>
    <w:rsid w:val="005A067C"/>
    <w:rsid w:val="005A08CB"/>
    <w:rsid w:val="005A0983"/>
    <w:rsid w:val="005A09F0"/>
    <w:rsid w:val="005A0A8F"/>
    <w:rsid w:val="005A0BCD"/>
    <w:rsid w:val="005A0E57"/>
    <w:rsid w:val="005A11E8"/>
    <w:rsid w:val="005A1BD6"/>
    <w:rsid w:val="005A1CD3"/>
    <w:rsid w:val="005A1E69"/>
    <w:rsid w:val="005A204D"/>
    <w:rsid w:val="005A2311"/>
    <w:rsid w:val="005A234E"/>
    <w:rsid w:val="005A2436"/>
    <w:rsid w:val="005A24CA"/>
    <w:rsid w:val="005A2515"/>
    <w:rsid w:val="005A254B"/>
    <w:rsid w:val="005A2854"/>
    <w:rsid w:val="005A28A8"/>
    <w:rsid w:val="005A28F0"/>
    <w:rsid w:val="005A293C"/>
    <w:rsid w:val="005A2975"/>
    <w:rsid w:val="005A2B3F"/>
    <w:rsid w:val="005A2CE7"/>
    <w:rsid w:val="005A3044"/>
    <w:rsid w:val="005A356A"/>
    <w:rsid w:val="005A35CA"/>
    <w:rsid w:val="005A36AE"/>
    <w:rsid w:val="005A36EA"/>
    <w:rsid w:val="005A3728"/>
    <w:rsid w:val="005A37E5"/>
    <w:rsid w:val="005A38D2"/>
    <w:rsid w:val="005A39D4"/>
    <w:rsid w:val="005A3AFE"/>
    <w:rsid w:val="005A3C86"/>
    <w:rsid w:val="005A4043"/>
    <w:rsid w:val="005A448F"/>
    <w:rsid w:val="005A44FC"/>
    <w:rsid w:val="005A4614"/>
    <w:rsid w:val="005A47E8"/>
    <w:rsid w:val="005A4B15"/>
    <w:rsid w:val="005A4F17"/>
    <w:rsid w:val="005A4FE2"/>
    <w:rsid w:val="005A5351"/>
    <w:rsid w:val="005A55FC"/>
    <w:rsid w:val="005A5618"/>
    <w:rsid w:val="005A5BD2"/>
    <w:rsid w:val="005A5C1C"/>
    <w:rsid w:val="005A5F07"/>
    <w:rsid w:val="005A6174"/>
    <w:rsid w:val="005A6238"/>
    <w:rsid w:val="005A6293"/>
    <w:rsid w:val="005A62AE"/>
    <w:rsid w:val="005A65CD"/>
    <w:rsid w:val="005A685B"/>
    <w:rsid w:val="005A6957"/>
    <w:rsid w:val="005A6AF9"/>
    <w:rsid w:val="005A6D74"/>
    <w:rsid w:val="005A6D75"/>
    <w:rsid w:val="005A6D9F"/>
    <w:rsid w:val="005A71D5"/>
    <w:rsid w:val="005A730A"/>
    <w:rsid w:val="005A7327"/>
    <w:rsid w:val="005A7665"/>
    <w:rsid w:val="005A7999"/>
    <w:rsid w:val="005A7A48"/>
    <w:rsid w:val="005A7B46"/>
    <w:rsid w:val="005A7BBA"/>
    <w:rsid w:val="005A7CD8"/>
    <w:rsid w:val="005A7D44"/>
    <w:rsid w:val="005A7DA5"/>
    <w:rsid w:val="005A7EA9"/>
    <w:rsid w:val="005A7ED8"/>
    <w:rsid w:val="005A7EF9"/>
    <w:rsid w:val="005B0368"/>
    <w:rsid w:val="005B0371"/>
    <w:rsid w:val="005B0646"/>
    <w:rsid w:val="005B069D"/>
    <w:rsid w:val="005B0AA1"/>
    <w:rsid w:val="005B0F47"/>
    <w:rsid w:val="005B0FED"/>
    <w:rsid w:val="005B1673"/>
    <w:rsid w:val="005B18F9"/>
    <w:rsid w:val="005B1C14"/>
    <w:rsid w:val="005B1C88"/>
    <w:rsid w:val="005B1D01"/>
    <w:rsid w:val="005B1D78"/>
    <w:rsid w:val="005B1FCD"/>
    <w:rsid w:val="005B22C8"/>
    <w:rsid w:val="005B23F0"/>
    <w:rsid w:val="005B23F5"/>
    <w:rsid w:val="005B26D9"/>
    <w:rsid w:val="005B2A86"/>
    <w:rsid w:val="005B2D39"/>
    <w:rsid w:val="005B2EAC"/>
    <w:rsid w:val="005B309E"/>
    <w:rsid w:val="005B31DE"/>
    <w:rsid w:val="005B3267"/>
    <w:rsid w:val="005B3574"/>
    <w:rsid w:val="005B35A4"/>
    <w:rsid w:val="005B3701"/>
    <w:rsid w:val="005B3A0A"/>
    <w:rsid w:val="005B3BA4"/>
    <w:rsid w:val="005B3D4B"/>
    <w:rsid w:val="005B434D"/>
    <w:rsid w:val="005B4418"/>
    <w:rsid w:val="005B44CF"/>
    <w:rsid w:val="005B4B30"/>
    <w:rsid w:val="005B4D35"/>
    <w:rsid w:val="005B4EF1"/>
    <w:rsid w:val="005B4F5D"/>
    <w:rsid w:val="005B5162"/>
    <w:rsid w:val="005B52EF"/>
    <w:rsid w:val="005B566E"/>
    <w:rsid w:val="005B5796"/>
    <w:rsid w:val="005B5872"/>
    <w:rsid w:val="005B5B64"/>
    <w:rsid w:val="005B5D9A"/>
    <w:rsid w:val="005B5DFD"/>
    <w:rsid w:val="005B5F99"/>
    <w:rsid w:val="005B643F"/>
    <w:rsid w:val="005B655F"/>
    <w:rsid w:val="005B67F2"/>
    <w:rsid w:val="005B6A74"/>
    <w:rsid w:val="005B6B6A"/>
    <w:rsid w:val="005B6D23"/>
    <w:rsid w:val="005B6E69"/>
    <w:rsid w:val="005B70FC"/>
    <w:rsid w:val="005B71B7"/>
    <w:rsid w:val="005B7477"/>
    <w:rsid w:val="005B757C"/>
    <w:rsid w:val="005B77B7"/>
    <w:rsid w:val="005B780B"/>
    <w:rsid w:val="005B7821"/>
    <w:rsid w:val="005B78D9"/>
    <w:rsid w:val="005B7900"/>
    <w:rsid w:val="005B792D"/>
    <w:rsid w:val="005B794D"/>
    <w:rsid w:val="005B79A0"/>
    <w:rsid w:val="005B7A0B"/>
    <w:rsid w:val="005B7FA7"/>
    <w:rsid w:val="005C0116"/>
    <w:rsid w:val="005C05A3"/>
    <w:rsid w:val="005C05BB"/>
    <w:rsid w:val="005C0817"/>
    <w:rsid w:val="005C0B31"/>
    <w:rsid w:val="005C0B40"/>
    <w:rsid w:val="005C0CAD"/>
    <w:rsid w:val="005C0F01"/>
    <w:rsid w:val="005C1048"/>
    <w:rsid w:val="005C10AA"/>
    <w:rsid w:val="005C150F"/>
    <w:rsid w:val="005C173E"/>
    <w:rsid w:val="005C1784"/>
    <w:rsid w:val="005C1814"/>
    <w:rsid w:val="005C19B9"/>
    <w:rsid w:val="005C19D5"/>
    <w:rsid w:val="005C1A51"/>
    <w:rsid w:val="005C1B2B"/>
    <w:rsid w:val="005C1F2A"/>
    <w:rsid w:val="005C1FFA"/>
    <w:rsid w:val="005C267D"/>
    <w:rsid w:val="005C27A3"/>
    <w:rsid w:val="005C27F0"/>
    <w:rsid w:val="005C294D"/>
    <w:rsid w:val="005C2D98"/>
    <w:rsid w:val="005C3125"/>
    <w:rsid w:val="005C3180"/>
    <w:rsid w:val="005C32CB"/>
    <w:rsid w:val="005C32FD"/>
    <w:rsid w:val="005C3418"/>
    <w:rsid w:val="005C3841"/>
    <w:rsid w:val="005C3D29"/>
    <w:rsid w:val="005C3D50"/>
    <w:rsid w:val="005C3FBD"/>
    <w:rsid w:val="005C4112"/>
    <w:rsid w:val="005C42B8"/>
    <w:rsid w:val="005C432C"/>
    <w:rsid w:val="005C45A2"/>
    <w:rsid w:val="005C460E"/>
    <w:rsid w:val="005C47D2"/>
    <w:rsid w:val="005C4802"/>
    <w:rsid w:val="005C4880"/>
    <w:rsid w:val="005C48F5"/>
    <w:rsid w:val="005C4908"/>
    <w:rsid w:val="005C4A11"/>
    <w:rsid w:val="005C4A18"/>
    <w:rsid w:val="005C4B36"/>
    <w:rsid w:val="005C4B8E"/>
    <w:rsid w:val="005C4F2B"/>
    <w:rsid w:val="005C50FD"/>
    <w:rsid w:val="005C52A1"/>
    <w:rsid w:val="005C54ED"/>
    <w:rsid w:val="005C569F"/>
    <w:rsid w:val="005C5B72"/>
    <w:rsid w:val="005C5B88"/>
    <w:rsid w:val="005C6005"/>
    <w:rsid w:val="005C618D"/>
    <w:rsid w:val="005C63EA"/>
    <w:rsid w:val="005C6482"/>
    <w:rsid w:val="005C6487"/>
    <w:rsid w:val="005C6517"/>
    <w:rsid w:val="005C659F"/>
    <w:rsid w:val="005C6628"/>
    <w:rsid w:val="005C67F3"/>
    <w:rsid w:val="005C6934"/>
    <w:rsid w:val="005C6B04"/>
    <w:rsid w:val="005C6D29"/>
    <w:rsid w:val="005C6E0D"/>
    <w:rsid w:val="005C7255"/>
    <w:rsid w:val="005C7371"/>
    <w:rsid w:val="005C740F"/>
    <w:rsid w:val="005C77FC"/>
    <w:rsid w:val="005C78AF"/>
    <w:rsid w:val="005C79F8"/>
    <w:rsid w:val="005C7BF2"/>
    <w:rsid w:val="005C7C62"/>
    <w:rsid w:val="005C7CE9"/>
    <w:rsid w:val="005C7EE8"/>
    <w:rsid w:val="005C7FEB"/>
    <w:rsid w:val="005D02D8"/>
    <w:rsid w:val="005D0382"/>
    <w:rsid w:val="005D0525"/>
    <w:rsid w:val="005D0A2A"/>
    <w:rsid w:val="005D0A2E"/>
    <w:rsid w:val="005D0B1A"/>
    <w:rsid w:val="005D0B7B"/>
    <w:rsid w:val="005D0C1D"/>
    <w:rsid w:val="005D0D5A"/>
    <w:rsid w:val="005D0F63"/>
    <w:rsid w:val="005D1167"/>
    <w:rsid w:val="005D116F"/>
    <w:rsid w:val="005D12BE"/>
    <w:rsid w:val="005D1767"/>
    <w:rsid w:val="005D192E"/>
    <w:rsid w:val="005D1974"/>
    <w:rsid w:val="005D1985"/>
    <w:rsid w:val="005D1B4E"/>
    <w:rsid w:val="005D1CF3"/>
    <w:rsid w:val="005D213A"/>
    <w:rsid w:val="005D2216"/>
    <w:rsid w:val="005D23AF"/>
    <w:rsid w:val="005D2554"/>
    <w:rsid w:val="005D25D9"/>
    <w:rsid w:val="005D2879"/>
    <w:rsid w:val="005D2999"/>
    <w:rsid w:val="005D2A65"/>
    <w:rsid w:val="005D2CE3"/>
    <w:rsid w:val="005D2F3C"/>
    <w:rsid w:val="005D3060"/>
    <w:rsid w:val="005D309A"/>
    <w:rsid w:val="005D324E"/>
    <w:rsid w:val="005D36C3"/>
    <w:rsid w:val="005D37FA"/>
    <w:rsid w:val="005D3DC3"/>
    <w:rsid w:val="005D3EC1"/>
    <w:rsid w:val="005D4228"/>
    <w:rsid w:val="005D436B"/>
    <w:rsid w:val="005D43FA"/>
    <w:rsid w:val="005D4599"/>
    <w:rsid w:val="005D45DF"/>
    <w:rsid w:val="005D489C"/>
    <w:rsid w:val="005D4A24"/>
    <w:rsid w:val="005D4A6B"/>
    <w:rsid w:val="005D4B72"/>
    <w:rsid w:val="005D4ED7"/>
    <w:rsid w:val="005D4F04"/>
    <w:rsid w:val="005D4F7B"/>
    <w:rsid w:val="005D53F0"/>
    <w:rsid w:val="005D544F"/>
    <w:rsid w:val="005D54D0"/>
    <w:rsid w:val="005D55DC"/>
    <w:rsid w:val="005D564C"/>
    <w:rsid w:val="005D576B"/>
    <w:rsid w:val="005D57D3"/>
    <w:rsid w:val="005D57FD"/>
    <w:rsid w:val="005D592D"/>
    <w:rsid w:val="005D59EA"/>
    <w:rsid w:val="005D5D94"/>
    <w:rsid w:val="005D5E7A"/>
    <w:rsid w:val="005D620E"/>
    <w:rsid w:val="005D62AB"/>
    <w:rsid w:val="005D6A52"/>
    <w:rsid w:val="005D6CC6"/>
    <w:rsid w:val="005D6D73"/>
    <w:rsid w:val="005D6D9D"/>
    <w:rsid w:val="005D6E88"/>
    <w:rsid w:val="005D710A"/>
    <w:rsid w:val="005D71B8"/>
    <w:rsid w:val="005D722B"/>
    <w:rsid w:val="005D75F9"/>
    <w:rsid w:val="005D7677"/>
    <w:rsid w:val="005D77BA"/>
    <w:rsid w:val="005D7868"/>
    <w:rsid w:val="005D7958"/>
    <w:rsid w:val="005D7ACA"/>
    <w:rsid w:val="005D7D96"/>
    <w:rsid w:val="005D7FC3"/>
    <w:rsid w:val="005E00BD"/>
    <w:rsid w:val="005E04F5"/>
    <w:rsid w:val="005E056C"/>
    <w:rsid w:val="005E0742"/>
    <w:rsid w:val="005E0774"/>
    <w:rsid w:val="005E0A22"/>
    <w:rsid w:val="005E0A3B"/>
    <w:rsid w:val="005E0F13"/>
    <w:rsid w:val="005E110F"/>
    <w:rsid w:val="005E12B2"/>
    <w:rsid w:val="005E139A"/>
    <w:rsid w:val="005E1430"/>
    <w:rsid w:val="005E15BF"/>
    <w:rsid w:val="005E177D"/>
    <w:rsid w:val="005E17D4"/>
    <w:rsid w:val="005E1888"/>
    <w:rsid w:val="005E19A3"/>
    <w:rsid w:val="005E1AF4"/>
    <w:rsid w:val="005E1B12"/>
    <w:rsid w:val="005E1BEB"/>
    <w:rsid w:val="005E1D09"/>
    <w:rsid w:val="005E1E88"/>
    <w:rsid w:val="005E1EDC"/>
    <w:rsid w:val="005E1FE6"/>
    <w:rsid w:val="005E2068"/>
    <w:rsid w:val="005E2105"/>
    <w:rsid w:val="005E22E3"/>
    <w:rsid w:val="005E237D"/>
    <w:rsid w:val="005E250C"/>
    <w:rsid w:val="005E2650"/>
    <w:rsid w:val="005E2719"/>
    <w:rsid w:val="005E27D4"/>
    <w:rsid w:val="005E2877"/>
    <w:rsid w:val="005E2966"/>
    <w:rsid w:val="005E2ADC"/>
    <w:rsid w:val="005E2AEF"/>
    <w:rsid w:val="005E2BE1"/>
    <w:rsid w:val="005E3062"/>
    <w:rsid w:val="005E32F6"/>
    <w:rsid w:val="005E33E3"/>
    <w:rsid w:val="005E34CC"/>
    <w:rsid w:val="005E3689"/>
    <w:rsid w:val="005E36A8"/>
    <w:rsid w:val="005E393F"/>
    <w:rsid w:val="005E3ADC"/>
    <w:rsid w:val="005E3D1D"/>
    <w:rsid w:val="005E3D5A"/>
    <w:rsid w:val="005E409C"/>
    <w:rsid w:val="005E448D"/>
    <w:rsid w:val="005E47F6"/>
    <w:rsid w:val="005E488B"/>
    <w:rsid w:val="005E48A0"/>
    <w:rsid w:val="005E49A3"/>
    <w:rsid w:val="005E4C65"/>
    <w:rsid w:val="005E4C6D"/>
    <w:rsid w:val="005E4C83"/>
    <w:rsid w:val="005E50B6"/>
    <w:rsid w:val="005E514A"/>
    <w:rsid w:val="005E535B"/>
    <w:rsid w:val="005E5487"/>
    <w:rsid w:val="005E5553"/>
    <w:rsid w:val="005E5615"/>
    <w:rsid w:val="005E56BE"/>
    <w:rsid w:val="005E5B2F"/>
    <w:rsid w:val="005E5B90"/>
    <w:rsid w:val="005E5CCA"/>
    <w:rsid w:val="005E5DC8"/>
    <w:rsid w:val="005E5DE4"/>
    <w:rsid w:val="005E5FF4"/>
    <w:rsid w:val="005E602E"/>
    <w:rsid w:val="005E6570"/>
    <w:rsid w:val="005E6C0E"/>
    <w:rsid w:val="005E6C16"/>
    <w:rsid w:val="005E6D06"/>
    <w:rsid w:val="005E6D15"/>
    <w:rsid w:val="005E70E0"/>
    <w:rsid w:val="005E7151"/>
    <w:rsid w:val="005E7332"/>
    <w:rsid w:val="005E7346"/>
    <w:rsid w:val="005E761E"/>
    <w:rsid w:val="005E7683"/>
    <w:rsid w:val="005E774A"/>
    <w:rsid w:val="005E7766"/>
    <w:rsid w:val="005E79C3"/>
    <w:rsid w:val="005E7ACF"/>
    <w:rsid w:val="005E7DCD"/>
    <w:rsid w:val="005E7E24"/>
    <w:rsid w:val="005E7FE6"/>
    <w:rsid w:val="005F04BF"/>
    <w:rsid w:val="005F0549"/>
    <w:rsid w:val="005F0D25"/>
    <w:rsid w:val="005F0FEB"/>
    <w:rsid w:val="005F14DB"/>
    <w:rsid w:val="005F1542"/>
    <w:rsid w:val="005F1567"/>
    <w:rsid w:val="005F1669"/>
    <w:rsid w:val="005F1B5E"/>
    <w:rsid w:val="005F1C48"/>
    <w:rsid w:val="005F1DD0"/>
    <w:rsid w:val="005F20D1"/>
    <w:rsid w:val="005F2255"/>
    <w:rsid w:val="005F2286"/>
    <w:rsid w:val="005F23E2"/>
    <w:rsid w:val="005F2594"/>
    <w:rsid w:val="005F2602"/>
    <w:rsid w:val="005F277B"/>
    <w:rsid w:val="005F2933"/>
    <w:rsid w:val="005F29AA"/>
    <w:rsid w:val="005F29DA"/>
    <w:rsid w:val="005F2C0B"/>
    <w:rsid w:val="005F2D95"/>
    <w:rsid w:val="005F2ECA"/>
    <w:rsid w:val="005F35AF"/>
    <w:rsid w:val="005F37DA"/>
    <w:rsid w:val="005F39C1"/>
    <w:rsid w:val="005F3AAA"/>
    <w:rsid w:val="005F3CAB"/>
    <w:rsid w:val="005F3EFE"/>
    <w:rsid w:val="005F3F46"/>
    <w:rsid w:val="005F400D"/>
    <w:rsid w:val="005F42BC"/>
    <w:rsid w:val="005F4674"/>
    <w:rsid w:val="005F5101"/>
    <w:rsid w:val="005F51F1"/>
    <w:rsid w:val="005F559F"/>
    <w:rsid w:val="005F5639"/>
    <w:rsid w:val="005F591D"/>
    <w:rsid w:val="005F5AFB"/>
    <w:rsid w:val="005F5CBE"/>
    <w:rsid w:val="005F5E5F"/>
    <w:rsid w:val="005F6029"/>
    <w:rsid w:val="005F61C4"/>
    <w:rsid w:val="005F6219"/>
    <w:rsid w:val="005F6607"/>
    <w:rsid w:val="005F6802"/>
    <w:rsid w:val="005F6954"/>
    <w:rsid w:val="005F6999"/>
    <w:rsid w:val="005F6C11"/>
    <w:rsid w:val="005F6CAE"/>
    <w:rsid w:val="005F71B5"/>
    <w:rsid w:val="005F768D"/>
    <w:rsid w:val="005F7D21"/>
    <w:rsid w:val="00600054"/>
    <w:rsid w:val="006002C2"/>
    <w:rsid w:val="00600355"/>
    <w:rsid w:val="00600402"/>
    <w:rsid w:val="006005BB"/>
    <w:rsid w:val="0060093C"/>
    <w:rsid w:val="00600D8D"/>
    <w:rsid w:val="0060106F"/>
    <w:rsid w:val="00601439"/>
    <w:rsid w:val="0060149E"/>
    <w:rsid w:val="006014A3"/>
    <w:rsid w:val="00601508"/>
    <w:rsid w:val="00601696"/>
    <w:rsid w:val="006016BB"/>
    <w:rsid w:val="00601BD9"/>
    <w:rsid w:val="00601E73"/>
    <w:rsid w:val="006020AC"/>
    <w:rsid w:val="0060216D"/>
    <w:rsid w:val="006021DB"/>
    <w:rsid w:val="006026B4"/>
    <w:rsid w:val="00602792"/>
    <w:rsid w:val="00602795"/>
    <w:rsid w:val="00602FE5"/>
    <w:rsid w:val="006031B8"/>
    <w:rsid w:val="006032EF"/>
    <w:rsid w:val="00603490"/>
    <w:rsid w:val="006037B0"/>
    <w:rsid w:val="00603A27"/>
    <w:rsid w:val="00603A91"/>
    <w:rsid w:val="00603BB4"/>
    <w:rsid w:val="00603DD5"/>
    <w:rsid w:val="00604117"/>
    <w:rsid w:val="006041EB"/>
    <w:rsid w:val="00604437"/>
    <w:rsid w:val="00604573"/>
    <w:rsid w:val="006047B2"/>
    <w:rsid w:val="00604E60"/>
    <w:rsid w:val="00604ED0"/>
    <w:rsid w:val="00604FAB"/>
    <w:rsid w:val="00605AEE"/>
    <w:rsid w:val="00605BD3"/>
    <w:rsid w:val="00605C1D"/>
    <w:rsid w:val="00605C6D"/>
    <w:rsid w:val="00605C7B"/>
    <w:rsid w:val="00605CCA"/>
    <w:rsid w:val="00605D11"/>
    <w:rsid w:val="00605D3A"/>
    <w:rsid w:val="00605DF0"/>
    <w:rsid w:val="00606105"/>
    <w:rsid w:val="00606257"/>
    <w:rsid w:val="006062D6"/>
    <w:rsid w:val="006064CB"/>
    <w:rsid w:val="006065E7"/>
    <w:rsid w:val="006068AF"/>
    <w:rsid w:val="00606931"/>
    <w:rsid w:val="00606A70"/>
    <w:rsid w:val="00606CCC"/>
    <w:rsid w:val="00606E11"/>
    <w:rsid w:val="00606FEE"/>
    <w:rsid w:val="006070CE"/>
    <w:rsid w:val="00607165"/>
    <w:rsid w:val="006071A5"/>
    <w:rsid w:val="0060722E"/>
    <w:rsid w:val="00607823"/>
    <w:rsid w:val="006078C1"/>
    <w:rsid w:val="006078E4"/>
    <w:rsid w:val="00607A1C"/>
    <w:rsid w:val="00607BEE"/>
    <w:rsid w:val="00607DB1"/>
    <w:rsid w:val="00607E9B"/>
    <w:rsid w:val="0061002B"/>
    <w:rsid w:val="00610647"/>
    <w:rsid w:val="00610652"/>
    <w:rsid w:val="00610759"/>
    <w:rsid w:val="006108AB"/>
    <w:rsid w:val="006109FA"/>
    <w:rsid w:val="00610B7D"/>
    <w:rsid w:val="00610DDC"/>
    <w:rsid w:val="00611029"/>
    <w:rsid w:val="006110C0"/>
    <w:rsid w:val="0061119C"/>
    <w:rsid w:val="00611219"/>
    <w:rsid w:val="0061128F"/>
    <w:rsid w:val="00611785"/>
    <w:rsid w:val="00611A8C"/>
    <w:rsid w:val="00611CB8"/>
    <w:rsid w:val="006124A8"/>
    <w:rsid w:val="00612637"/>
    <w:rsid w:val="0061270D"/>
    <w:rsid w:val="006127B6"/>
    <w:rsid w:val="00612865"/>
    <w:rsid w:val="00612871"/>
    <w:rsid w:val="00612AAA"/>
    <w:rsid w:val="00612BD7"/>
    <w:rsid w:val="00612EAC"/>
    <w:rsid w:val="0061303B"/>
    <w:rsid w:val="006130A8"/>
    <w:rsid w:val="0061314B"/>
    <w:rsid w:val="0061326F"/>
    <w:rsid w:val="00613418"/>
    <w:rsid w:val="006134FE"/>
    <w:rsid w:val="006135AB"/>
    <w:rsid w:val="0061366A"/>
    <w:rsid w:val="00613F71"/>
    <w:rsid w:val="0061415E"/>
    <w:rsid w:val="00614288"/>
    <w:rsid w:val="006143CB"/>
    <w:rsid w:val="00614462"/>
    <w:rsid w:val="00614509"/>
    <w:rsid w:val="006145C8"/>
    <w:rsid w:val="006145EA"/>
    <w:rsid w:val="00614739"/>
    <w:rsid w:val="00614E57"/>
    <w:rsid w:val="00614EE3"/>
    <w:rsid w:val="0061518A"/>
    <w:rsid w:val="0061585B"/>
    <w:rsid w:val="006159EA"/>
    <w:rsid w:val="00615BB6"/>
    <w:rsid w:val="00615C36"/>
    <w:rsid w:val="0061618B"/>
    <w:rsid w:val="006162AC"/>
    <w:rsid w:val="0061657C"/>
    <w:rsid w:val="006165AB"/>
    <w:rsid w:val="00616615"/>
    <w:rsid w:val="006167C1"/>
    <w:rsid w:val="006167EC"/>
    <w:rsid w:val="0061683B"/>
    <w:rsid w:val="00616AF9"/>
    <w:rsid w:val="00616D27"/>
    <w:rsid w:val="00616D72"/>
    <w:rsid w:val="00616EA7"/>
    <w:rsid w:val="00616EDD"/>
    <w:rsid w:val="0061726B"/>
    <w:rsid w:val="00617368"/>
    <w:rsid w:val="0061746F"/>
    <w:rsid w:val="00617634"/>
    <w:rsid w:val="00617818"/>
    <w:rsid w:val="006179C7"/>
    <w:rsid w:val="006179F0"/>
    <w:rsid w:val="00617AC6"/>
    <w:rsid w:val="00617C48"/>
    <w:rsid w:val="00617D91"/>
    <w:rsid w:val="00620048"/>
    <w:rsid w:val="006201BF"/>
    <w:rsid w:val="006201C4"/>
    <w:rsid w:val="00620363"/>
    <w:rsid w:val="006206CC"/>
    <w:rsid w:val="006206F5"/>
    <w:rsid w:val="0062081D"/>
    <w:rsid w:val="00620B17"/>
    <w:rsid w:val="00620DA3"/>
    <w:rsid w:val="00620DA9"/>
    <w:rsid w:val="00620FDF"/>
    <w:rsid w:val="00621149"/>
    <w:rsid w:val="00621218"/>
    <w:rsid w:val="00621234"/>
    <w:rsid w:val="00621271"/>
    <w:rsid w:val="00621455"/>
    <w:rsid w:val="0062157E"/>
    <w:rsid w:val="00621C1A"/>
    <w:rsid w:val="00621D0C"/>
    <w:rsid w:val="00621EA9"/>
    <w:rsid w:val="00621F11"/>
    <w:rsid w:val="00621F1C"/>
    <w:rsid w:val="00622004"/>
    <w:rsid w:val="00622438"/>
    <w:rsid w:val="006224C3"/>
    <w:rsid w:val="0062269D"/>
    <w:rsid w:val="00622947"/>
    <w:rsid w:val="00622AE8"/>
    <w:rsid w:val="0062335E"/>
    <w:rsid w:val="006233C6"/>
    <w:rsid w:val="0062349B"/>
    <w:rsid w:val="006235A5"/>
    <w:rsid w:val="00623756"/>
    <w:rsid w:val="00623867"/>
    <w:rsid w:val="006238F8"/>
    <w:rsid w:val="00623918"/>
    <w:rsid w:val="00623A93"/>
    <w:rsid w:val="00623C21"/>
    <w:rsid w:val="006245EA"/>
    <w:rsid w:val="0062499C"/>
    <w:rsid w:val="00624D57"/>
    <w:rsid w:val="00624E5D"/>
    <w:rsid w:val="006250FE"/>
    <w:rsid w:val="0062516B"/>
    <w:rsid w:val="0062540D"/>
    <w:rsid w:val="0062544C"/>
    <w:rsid w:val="006256F2"/>
    <w:rsid w:val="00625728"/>
    <w:rsid w:val="00625826"/>
    <w:rsid w:val="00625857"/>
    <w:rsid w:val="006258FC"/>
    <w:rsid w:val="00625AD5"/>
    <w:rsid w:val="00625BDF"/>
    <w:rsid w:val="00625E37"/>
    <w:rsid w:val="0062615C"/>
    <w:rsid w:val="00626532"/>
    <w:rsid w:val="006266AC"/>
    <w:rsid w:val="00626A64"/>
    <w:rsid w:val="00626B3B"/>
    <w:rsid w:val="00626BE9"/>
    <w:rsid w:val="00626BF5"/>
    <w:rsid w:val="00626EE0"/>
    <w:rsid w:val="00626FBA"/>
    <w:rsid w:val="00627269"/>
    <w:rsid w:val="0062732E"/>
    <w:rsid w:val="0062756B"/>
    <w:rsid w:val="00627633"/>
    <w:rsid w:val="00627998"/>
    <w:rsid w:val="00627AD5"/>
    <w:rsid w:val="00627BC3"/>
    <w:rsid w:val="00627EEF"/>
    <w:rsid w:val="00627F64"/>
    <w:rsid w:val="00630271"/>
    <w:rsid w:val="006302BF"/>
    <w:rsid w:val="00630557"/>
    <w:rsid w:val="006305F7"/>
    <w:rsid w:val="00630780"/>
    <w:rsid w:val="00630AF3"/>
    <w:rsid w:val="00630B17"/>
    <w:rsid w:val="00630FC3"/>
    <w:rsid w:val="00631094"/>
    <w:rsid w:val="00631218"/>
    <w:rsid w:val="00631229"/>
    <w:rsid w:val="006313DD"/>
    <w:rsid w:val="00631450"/>
    <w:rsid w:val="0063163C"/>
    <w:rsid w:val="006317B9"/>
    <w:rsid w:val="00631827"/>
    <w:rsid w:val="00631876"/>
    <w:rsid w:val="0063189E"/>
    <w:rsid w:val="00631AF6"/>
    <w:rsid w:val="00631DC7"/>
    <w:rsid w:val="00631F6A"/>
    <w:rsid w:val="00632047"/>
    <w:rsid w:val="0063237D"/>
    <w:rsid w:val="006323FD"/>
    <w:rsid w:val="0063274E"/>
    <w:rsid w:val="0063278D"/>
    <w:rsid w:val="006328DC"/>
    <w:rsid w:val="00632D03"/>
    <w:rsid w:val="00632F30"/>
    <w:rsid w:val="00633054"/>
    <w:rsid w:val="00633186"/>
    <w:rsid w:val="00633340"/>
    <w:rsid w:val="00633628"/>
    <w:rsid w:val="006337ED"/>
    <w:rsid w:val="006337EF"/>
    <w:rsid w:val="006338A7"/>
    <w:rsid w:val="00633936"/>
    <w:rsid w:val="00633A1B"/>
    <w:rsid w:val="00633B58"/>
    <w:rsid w:val="00633F6F"/>
    <w:rsid w:val="006342A1"/>
    <w:rsid w:val="006342B3"/>
    <w:rsid w:val="006342D2"/>
    <w:rsid w:val="006344C1"/>
    <w:rsid w:val="00634569"/>
    <w:rsid w:val="006346A6"/>
    <w:rsid w:val="00634780"/>
    <w:rsid w:val="006349E2"/>
    <w:rsid w:val="00634A39"/>
    <w:rsid w:val="00634A75"/>
    <w:rsid w:val="00634B3B"/>
    <w:rsid w:val="00634E08"/>
    <w:rsid w:val="00634EA8"/>
    <w:rsid w:val="00634FCD"/>
    <w:rsid w:val="00635035"/>
    <w:rsid w:val="00635076"/>
    <w:rsid w:val="006354B9"/>
    <w:rsid w:val="00635546"/>
    <w:rsid w:val="0063560F"/>
    <w:rsid w:val="00635847"/>
    <w:rsid w:val="0063593B"/>
    <w:rsid w:val="0063613D"/>
    <w:rsid w:val="00636406"/>
    <w:rsid w:val="0063672B"/>
    <w:rsid w:val="00636854"/>
    <w:rsid w:val="00636855"/>
    <w:rsid w:val="006368AF"/>
    <w:rsid w:val="00636B5D"/>
    <w:rsid w:val="00636E07"/>
    <w:rsid w:val="00636E0C"/>
    <w:rsid w:val="00636EEA"/>
    <w:rsid w:val="006374EA"/>
    <w:rsid w:val="00637648"/>
    <w:rsid w:val="00637711"/>
    <w:rsid w:val="00637967"/>
    <w:rsid w:val="00637AFC"/>
    <w:rsid w:val="00637C6D"/>
    <w:rsid w:val="00637F74"/>
    <w:rsid w:val="00640311"/>
    <w:rsid w:val="00640463"/>
    <w:rsid w:val="0064084B"/>
    <w:rsid w:val="00640891"/>
    <w:rsid w:val="00640C4E"/>
    <w:rsid w:val="00640EEC"/>
    <w:rsid w:val="00640F14"/>
    <w:rsid w:val="0064104A"/>
    <w:rsid w:val="006410B8"/>
    <w:rsid w:val="006411A4"/>
    <w:rsid w:val="00641409"/>
    <w:rsid w:val="006417EC"/>
    <w:rsid w:val="0064185C"/>
    <w:rsid w:val="00641BC0"/>
    <w:rsid w:val="006420C6"/>
    <w:rsid w:val="00642655"/>
    <w:rsid w:val="006428C9"/>
    <w:rsid w:val="006429CC"/>
    <w:rsid w:val="00642BF9"/>
    <w:rsid w:val="00642EC9"/>
    <w:rsid w:val="00642EEC"/>
    <w:rsid w:val="00643187"/>
    <w:rsid w:val="006431C9"/>
    <w:rsid w:val="00643378"/>
    <w:rsid w:val="006437FC"/>
    <w:rsid w:val="00643B54"/>
    <w:rsid w:val="00643CBA"/>
    <w:rsid w:val="00643F41"/>
    <w:rsid w:val="00643F93"/>
    <w:rsid w:val="0064409F"/>
    <w:rsid w:val="006440E3"/>
    <w:rsid w:val="0064433D"/>
    <w:rsid w:val="006445B7"/>
    <w:rsid w:val="00644843"/>
    <w:rsid w:val="006448E9"/>
    <w:rsid w:val="00644ACB"/>
    <w:rsid w:val="00644BD1"/>
    <w:rsid w:val="00644ED6"/>
    <w:rsid w:val="00644F27"/>
    <w:rsid w:val="00645021"/>
    <w:rsid w:val="006450E0"/>
    <w:rsid w:val="00645243"/>
    <w:rsid w:val="00645643"/>
    <w:rsid w:val="0064587B"/>
    <w:rsid w:val="0064598F"/>
    <w:rsid w:val="006459AF"/>
    <w:rsid w:val="00645C6A"/>
    <w:rsid w:val="00645D58"/>
    <w:rsid w:val="00646268"/>
    <w:rsid w:val="00646297"/>
    <w:rsid w:val="006467D3"/>
    <w:rsid w:val="00646958"/>
    <w:rsid w:val="00646B72"/>
    <w:rsid w:val="00646C2C"/>
    <w:rsid w:val="00646CA7"/>
    <w:rsid w:val="00647019"/>
    <w:rsid w:val="006470E6"/>
    <w:rsid w:val="00647252"/>
    <w:rsid w:val="00647308"/>
    <w:rsid w:val="00647427"/>
    <w:rsid w:val="0064796F"/>
    <w:rsid w:val="00647B8F"/>
    <w:rsid w:val="00647C93"/>
    <w:rsid w:val="00647E06"/>
    <w:rsid w:val="00650362"/>
    <w:rsid w:val="006505FE"/>
    <w:rsid w:val="00650A03"/>
    <w:rsid w:val="00650F9C"/>
    <w:rsid w:val="006511E9"/>
    <w:rsid w:val="006512A7"/>
    <w:rsid w:val="00651399"/>
    <w:rsid w:val="0065172D"/>
    <w:rsid w:val="0065196C"/>
    <w:rsid w:val="00651B54"/>
    <w:rsid w:val="00651C1F"/>
    <w:rsid w:val="00651DA5"/>
    <w:rsid w:val="00652120"/>
    <w:rsid w:val="006521A8"/>
    <w:rsid w:val="006521BD"/>
    <w:rsid w:val="006523EC"/>
    <w:rsid w:val="006523F5"/>
    <w:rsid w:val="0065251D"/>
    <w:rsid w:val="0065264A"/>
    <w:rsid w:val="006526CF"/>
    <w:rsid w:val="00652714"/>
    <w:rsid w:val="00652719"/>
    <w:rsid w:val="00652870"/>
    <w:rsid w:val="0065292B"/>
    <w:rsid w:val="00652BBD"/>
    <w:rsid w:val="00652D2B"/>
    <w:rsid w:val="00652F3E"/>
    <w:rsid w:val="006532D9"/>
    <w:rsid w:val="00653448"/>
    <w:rsid w:val="006536F7"/>
    <w:rsid w:val="00653880"/>
    <w:rsid w:val="00653A45"/>
    <w:rsid w:val="00653FC2"/>
    <w:rsid w:val="0065412D"/>
    <w:rsid w:val="0065421B"/>
    <w:rsid w:val="006547CB"/>
    <w:rsid w:val="00654838"/>
    <w:rsid w:val="00654966"/>
    <w:rsid w:val="006549B6"/>
    <w:rsid w:val="00654DB0"/>
    <w:rsid w:val="00655064"/>
    <w:rsid w:val="0065540B"/>
    <w:rsid w:val="00655820"/>
    <w:rsid w:val="00655D15"/>
    <w:rsid w:val="00655EA1"/>
    <w:rsid w:val="00655FC5"/>
    <w:rsid w:val="006565B4"/>
    <w:rsid w:val="0065715E"/>
    <w:rsid w:val="00657171"/>
    <w:rsid w:val="006571EF"/>
    <w:rsid w:val="00657376"/>
    <w:rsid w:val="006573BA"/>
    <w:rsid w:val="006575EF"/>
    <w:rsid w:val="00657CF5"/>
    <w:rsid w:val="00657E61"/>
    <w:rsid w:val="00657EB0"/>
    <w:rsid w:val="00657F99"/>
    <w:rsid w:val="00660114"/>
    <w:rsid w:val="006601D0"/>
    <w:rsid w:val="006603A1"/>
    <w:rsid w:val="006604AD"/>
    <w:rsid w:val="0066053E"/>
    <w:rsid w:val="00660B99"/>
    <w:rsid w:val="00660ED1"/>
    <w:rsid w:val="0066137C"/>
    <w:rsid w:val="006613CC"/>
    <w:rsid w:val="006617DC"/>
    <w:rsid w:val="00661AEA"/>
    <w:rsid w:val="00661BEC"/>
    <w:rsid w:val="00661EB0"/>
    <w:rsid w:val="00661F66"/>
    <w:rsid w:val="006620EE"/>
    <w:rsid w:val="006621DC"/>
    <w:rsid w:val="0066226B"/>
    <w:rsid w:val="00662D6B"/>
    <w:rsid w:val="00663777"/>
    <w:rsid w:val="006637AE"/>
    <w:rsid w:val="006637E6"/>
    <w:rsid w:val="006638F4"/>
    <w:rsid w:val="00663C00"/>
    <w:rsid w:val="00663C44"/>
    <w:rsid w:val="00663E4E"/>
    <w:rsid w:val="00663E5F"/>
    <w:rsid w:val="00663F88"/>
    <w:rsid w:val="006641D9"/>
    <w:rsid w:val="006643A2"/>
    <w:rsid w:val="0066443A"/>
    <w:rsid w:val="00664852"/>
    <w:rsid w:val="00664857"/>
    <w:rsid w:val="00664C8C"/>
    <w:rsid w:val="00664DF2"/>
    <w:rsid w:val="00664F62"/>
    <w:rsid w:val="00665108"/>
    <w:rsid w:val="00665127"/>
    <w:rsid w:val="006651D3"/>
    <w:rsid w:val="006655ED"/>
    <w:rsid w:val="00665B28"/>
    <w:rsid w:val="006661FF"/>
    <w:rsid w:val="0066628B"/>
    <w:rsid w:val="006662A0"/>
    <w:rsid w:val="006665A1"/>
    <w:rsid w:val="006665E2"/>
    <w:rsid w:val="00666CF3"/>
    <w:rsid w:val="00667234"/>
    <w:rsid w:val="006676B4"/>
    <w:rsid w:val="00667A03"/>
    <w:rsid w:val="00667DAD"/>
    <w:rsid w:val="00670077"/>
    <w:rsid w:val="006700CC"/>
    <w:rsid w:val="006702D4"/>
    <w:rsid w:val="006703C7"/>
    <w:rsid w:val="006703CD"/>
    <w:rsid w:val="006704BE"/>
    <w:rsid w:val="006705DC"/>
    <w:rsid w:val="00670691"/>
    <w:rsid w:val="00670774"/>
    <w:rsid w:val="006707A8"/>
    <w:rsid w:val="0067082C"/>
    <w:rsid w:val="00670A81"/>
    <w:rsid w:val="00670C28"/>
    <w:rsid w:val="00670F1A"/>
    <w:rsid w:val="00671069"/>
    <w:rsid w:val="006712AA"/>
    <w:rsid w:val="00671312"/>
    <w:rsid w:val="0067150D"/>
    <w:rsid w:val="006715BA"/>
    <w:rsid w:val="006717DD"/>
    <w:rsid w:val="006718F2"/>
    <w:rsid w:val="00671B97"/>
    <w:rsid w:val="00671C24"/>
    <w:rsid w:val="00671D28"/>
    <w:rsid w:val="00672049"/>
    <w:rsid w:val="00672159"/>
    <w:rsid w:val="00672383"/>
    <w:rsid w:val="00672387"/>
    <w:rsid w:val="00672557"/>
    <w:rsid w:val="006725EF"/>
    <w:rsid w:val="0067263D"/>
    <w:rsid w:val="00672818"/>
    <w:rsid w:val="00672C8A"/>
    <w:rsid w:val="00672CB0"/>
    <w:rsid w:val="00672D46"/>
    <w:rsid w:val="00672EB6"/>
    <w:rsid w:val="00672F47"/>
    <w:rsid w:val="006739AF"/>
    <w:rsid w:val="00673A9D"/>
    <w:rsid w:val="00673B7C"/>
    <w:rsid w:val="00674063"/>
    <w:rsid w:val="0067415B"/>
    <w:rsid w:val="0067419A"/>
    <w:rsid w:val="006741B2"/>
    <w:rsid w:val="00674289"/>
    <w:rsid w:val="00674498"/>
    <w:rsid w:val="006747A2"/>
    <w:rsid w:val="006748CB"/>
    <w:rsid w:val="0067496C"/>
    <w:rsid w:val="00674B22"/>
    <w:rsid w:val="00674CAE"/>
    <w:rsid w:val="00674DEB"/>
    <w:rsid w:val="00674FB5"/>
    <w:rsid w:val="006750B9"/>
    <w:rsid w:val="006751E5"/>
    <w:rsid w:val="006753FB"/>
    <w:rsid w:val="006757C4"/>
    <w:rsid w:val="00675D72"/>
    <w:rsid w:val="00675E23"/>
    <w:rsid w:val="00675FC7"/>
    <w:rsid w:val="00676028"/>
    <w:rsid w:val="00676237"/>
    <w:rsid w:val="00676641"/>
    <w:rsid w:val="0067682B"/>
    <w:rsid w:val="006769FF"/>
    <w:rsid w:val="00677157"/>
    <w:rsid w:val="00677163"/>
    <w:rsid w:val="006771E0"/>
    <w:rsid w:val="00677AB0"/>
    <w:rsid w:val="00677B92"/>
    <w:rsid w:val="00677D7E"/>
    <w:rsid w:val="00677E6D"/>
    <w:rsid w:val="006801D2"/>
    <w:rsid w:val="00680354"/>
    <w:rsid w:val="006803DF"/>
    <w:rsid w:val="006806B7"/>
    <w:rsid w:val="00680758"/>
    <w:rsid w:val="0068080A"/>
    <w:rsid w:val="006808D6"/>
    <w:rsid w:val="006808E5"/>
    <w:rsid w:val="00680920"/>
    <w:rsid w:val="00680B6B"/>
    <w:rsid w:val="00680D8F"/>
    <w:rsid w:val="00680FE3"/>
    <w:rsid w:val="00681004"/>
    <w:rsid w:val="00681031"/>
    <w:rsid w:val="006810B6"/>
    <w:rsid w:val="006810E5"/>
    <w:rsid w:val="00681408"/>
    <w:rsid w:val="00681475"/>
    <w:rsid w:val="00681644"/>
    <w:rsid w:val="00681676"/>
    <w:rsid w:val="006818C8"/>
    <w:rsid w:val="00681C47"/>
    <w:rsid w:val="00681C80"/>
    <w:rsid w:val="00681E7A"/>
    <w:rsid w:val="00681EC1"/>
    <w:rsid w:val="0068212C"/>
    <w:rsid w:val="0068220A"/>
    <w:rsid w:val="00682380"/>
    <w:rsid w:val="006826B3"/>
    <w:rsid w:val="00682BF2"/>
    <w:rsid w:val="00682CA0"/>
    <w:rsid w:val="00682D3C"/>
    <w:rsid w:val="006833CF"/>
    <w:rsid w:val="00683528"/>
    <w:rsid w:val="006836E7"/>
    <w:rsid w:val="00683844"/>
    <w:rsid w:val="006839D9"/>
    <w:rsid w:val="00683C1C"/>
    <w:rsid w:val="00683C9F"/>
    <w:rsid w:val="00683FE5"/>
    <w:rsid w:val="00684005"/>
    <w:rsid w:val="00684136"/>
    <w:rsid w:val="00684271"/>
    <w:rsid w:val="00684299"/>
    <w:rsid w:val="00684332"/>
    <w:rsid w:val="00684788"/>
    <w:rsid w:val="0068478F"/>
    <w:rsid w:val="006847A5"/>
    <w:rsid w:val="006847D2"/>
    <w:rsid w:val="00684804"/>
    <w:rsid w:val="006848E6"/>
    <w:rsid w:val="00684B2E"/>
    <w:rsid w:val="00684BC9"/>
    <w:rsid w:val="00684BCA"/>
    <w:rsid w:val="00684EA8"/>
    <w:rsid w:val="00684F9A"/>
    <w:rsid w:val="00685219"/>
    <w:rsid w:val="006852F4"/>
    <w:rsid w:val="0068556B"/>
    <w:rsid w:val="00685619"/>
    <w:rsid w:val="0068569C"/>
    <w:rsid w:val="0068588E"/>
    <w:rsid w:val="00685B04"/>
    <w:rsid w:val="00685B31"/>
    <w:rsid w:val="00685C03"/>
    <w:rsid w:val="00685DF2"/>
    <w:rsid w:val="006860D6"/>
    <w:rsid w:val="00686571"/>
    <w:rsid w:val="00686584"/>
    <w:rsid w:val="006866B6"/>
    <w:rsid w:val="00686E27"/>
    <w:rsid w:val="00686FFF"/>
    <w:rsid w:val="0068707F"/>
    <w:rsid w:val="006871E0"/>
    <w:rsid w:val="00687D32"/>
    <w:rsid w:val="00687D43"/>
    <w:rsid w:val="00687ECE"/>
    <w:rsid w:val="006902B3"/>
    <w:rsid w:val="00690356"/>
    <w:rsid w:val="0069069F"/>
    <w:rsid w:val="00690777"/>
    <w:rsid w:val="00690CB3"/>
    <w:rsid w:val="006911E6"/>
    <w:rsid w:val="0069138E"/>
    <w:rsid w:val="006916A7"/>
    <w:rsid w:val="006916AF"/>
    <w:rsid w:val="0069170E"/>
    <w:rsid w:val="0069198B"/>
    <w:rsid w:val="00691D14"/>
    <w:rsid w:val="00691D75"/>
    <w:rsid w:val="00691E52"/>
    <w:rsid w:val="0069205A"/>
    <w:rsid w:val="00692074"/>
    <w:rsid w:val="00692267"/>
    <w:rsid w:val="0069228F"/>
    <w:rsid w:val="00692398"/>
    <w:rsid w:val="006924E4"/>
    <w:rsid w:val="0069264A"/>
    <w:rsid w:val="00692676"/>
    <w:rsid w:val="006926B6"/>
    <w:rsid w:val="006928CA"/>
    <w:rsid w:val="006929E3"/>
    <w:rsid w:val="00692DC4"/>
    <w:rsid w:val="00693400"/>
    <w:rsid w:val="006937A3"/>
    <w:rsid w:val="006937B6"/>
    <w:rsid w:val="006937E0"/>
    <w:rsid w:val="00693B30"/>
    <w:rsid w:val="00693C5B"/>
    <w:rsid w:val="0069437E"/>
    <w:rsid w:val="0069443C"/>
    <w:rsid w:val="006944C5"/>
    <w:rsid w:val="006944CE"/>
    <w:rsid w:val="006948F4"/>
    <w:rsid w:val="00694949"/>
    <w:rsid w:val="00694AE2"/>
    <w:rsid w:val="00694B54"/>
    <w:rsid w:val="00694D0D"/>
    <w:rsid w:val="006950AD"/>
    <w:rsid w:val="006951CD"/>
    <w:rsid w:val="006952BF"/>
    <w:rsid w:val="0069543D"/>
    <w:rsid w:val="006955A3"/>
    <w:rsid w:val="006959C3"/>
    <w:rsid w:val="006959FD"/>
    <w:rsid w:val="00695AB2"/>
    <w:rsid w:val="00695BA5"/>
    <w:rsid w:val="00695D83"/>
    <w:rsid w:val="00696133"/>
    <w:rsid w:val="00696225"/>
    <w:rsid w:val="0069637A"/>
    <w:rsid w:val="006963B2"/>
    <w:rsid w:val="00696601"/>
    <w:rsid w:val="0069660E"/>
    <w:rsid w:val="006967D2"/>
    <w:rsid w:val="00696DD0"/>
    <w:rsid w:val="00697047"/>
    <w:rsid w:val="00697306"/>
    <w:rsid w:val="00697430"/>
    <w:rsid w:val="00697601"/>
    <w:rsid w:val="006976AB"/>
    <w:rsid w:val="006978F0"/>
    <w:rsid w:val="00697986"/>
    <w:rsid w:val="00697B49"/>
    <w:rsid w:val="00697BDB"/>
    <w:rsid w:val="00697C3B"/>
    <w:rsid w:val="00697DE5"/>
    <w:rsid w:val="006A01C8"/>
    <w:rsid w:val="006A04A7"/>
    <w:rsid w:val="006A04BD"/>
    <w:rsid w:val="006A0999"/>
    <w:rsid w:val="006A0A62"/>
    <w:rsid w:val="006A0B79"/>
    <w:rsid w:val="006A0BA9"/>
    <w:rsid w:val="006A0D29"/>
    <w:rsid w:val="006A0D62"/>
    <w:rsid w:val="006A0E38"/>
    <w:rsid w:val="006A106C"/>
    <w:rsid w:val="006A110B"/>
    <w:rsid w:val="006A1172"/>
    <w:rsid w:val="006A11BD"/>
    <w:rsid w:val="006A1760"/>
    <w:rsid w:val="006A17AF"/>
    <w:rsid w:val="006A18C8"/>
    <w:rsid w:val="006A198F"/>
    <w:rsid w:val="006A1A79"/>
    <w:rsid w:val="006A1AD7"/>
    <w:rsid w:val="006A1DD3"/>
    <w:rsid w:val="006A1ECA"/>
    <w:rsid w:val="006A1ED4"/>
    <w:rsid w:val="006A24ED"/>
    <w:rsid w:val="006A252F"/>
    <w:rsid w:val="006A25BB"/>
    <w:rsid w:val="006A2656"/>
    <w:rsid w:val="006A297C"/>
    <w:rsid w:val="006A2A8D"/>
    <w:rsid w:val="006A2BE3"/>
    <w:rsid w:val="006A2C73"/>
    <w:rsid w:val="006A3278"/>
    <w:rsid w:val="006A3285"/>
    <w:rsid w:val="006A32ED"/>
    <w:rsid w:val="006A3578"/>
    <w:rsid w:val="006A36CE"/>
    <w:rsid w:val="006A36E5"/>
    <w:rsid w:val="006A3865"/>
    <w:rsid w:val="006A3E07"/>
    <w:rsid w:val="006A3F9F"/>
    <w:rsid w:val="006A42FB"/>
    <w:rsid w:val="006A4550"/>
    <w:rsid w:val="006A45EC"/>
    <w:rsid w:val="006A46C3"/>
    <w:rsid w:val="006A4D56"/>
    <w:rsid w:val="006A4DC4"/>
    <w:rsid w:val="006A5399"/>
    <w:rsid w:val="006A5683"/>
    <w:rsid w:val="006A5699"/>
    <w:rsid w:val="006A5BDF"/>
    <w:rsid w:val="006A5C2D"/>
    <w:rsid w:val="006A5DED"/>
    <w:rsid w:val="006A613E"/>
    <w:rsid w:val="006A6314"/>
    <w:rsid w:val="006A6356"/>
    <w:rsid w:val="006A635D"/>
    <w:rsid w:val="006A66DE"/>
    <w:rsid w:val="006A6844"/>
    <w:rsid w:val="006A6B07"/>
    <w:rsid w:val="006A6E34"/>
    <w:rsid w:val="006A72A4"/>
    <w:rsid w:val="006A7366"/>
    <w:rsid w:val="006A7488"/>
    <w:rsid w:val="006A74D7"/>
    <w:rsid w:val="006A773A"/>
    <w:rsid w:val="006A7AFF"/>
    <w:rsid w:val="006A7B7F"/>
    <w:rsid w:val="006A7CCB"/>
    <w:rsid w:val="006A7E75"/>
    <w:rsid w:val="006A7EB8"/>
    <w:rsid w:val="006A7EED"/>
    <w:rsid w:val="006B013B"/>
    <w:rsid w:val="006B01F8"/>
    <w:rsid w:val="006B062E"/>
    <w:rsid w:val="006B06DB"/>
    <w:rsid w:val="006B0928"/>
    <w:rsid w:val="006B0B96"/>
    <w:rsid w:val="006B0CE1"/>
    <w:rsid w:val="006B142F"/>
    <w:rsid w:val="006B149F"/>
    <w:rsid w:val="006B14D4"/>
    <w:rsid w:val="006B187A"/>
    <w:rsid w:val="006B1945"/>
    <w:rsid w:val="006B231B"/>
    <w:rsid w:val="006B24D1"/>
    <w:rsid w:val="006B258E"/>
    <w:rsid w:val="006B28C1"/>
    <w:rsid w:val="006B2951"/>
    <w:rsid w:val="006B29B9"/>
    <w:rsid w:val="006B2BF0"/>
    <w:rsid w:val="006B314F"/>
    <w:rsid w:val="006B3265"/>
    <w:rsid w:val="006B3330"/>
    <w:rsid w:val="006B33AD"/>
    <w:rsid w:val="006B33BB"/>
    <w:rsid w:val="006B36E4"/>
    <w:rsid w:val="006B3AB3"/>
    <w:rsid w:val="006B3AED"/>
    <w:rsid w:val="006B3C0C"/>
    <w:rsid w:val="006B4110"/>
    <w:rsid w:val="006B42BA"/>
    <w:rsid w:val="006B42DF"/>
    <w:rsid w:val="006B4382"/>
    <w:rsid w:val="006B4562"/>
    <w:rsid w:val="006B4734"/>
    <w:rsid w:val="006B4B27"/>
    <w:rsid w:val="006B4BD7"/>
    <w:rsid w:val="006B4CAF"/>
    <w:rsid w:val="006B4D52"/>
    <w:rsid w:val="006B4DFB"/>
    <w:rsid w:val="006B5093"/>
    <w:rsid w:val="006B50B5"/>
    <w:rsid w:val="006B51B3"/>
    <w:rsid w:val="006B5204"/>
    <w:rsid w:val="006B54C1"/>
    <w:rsid w:val="006B559B"/>
    <w:rsid w:val="006B57DC"/>
    <w:rsid w:val="006B588D"/>
    <w:rsid w:val="006B5B4D"/>
    <w:rsid w:val="006B5F0A"/>
    <w:rsid w:val="006B640C"/>
    <w:rsid w:val="006B6451"/>
    <w:rsid w:val="006B6A81"/>
    <w:rsid w:val="006B6CB8"/>
    <w:rsid w:val="006B6E35"/>
    <w:rsid w:val="006B6F13"/>
    <w:rsid w:val="006B6F37"/>
    <w:rsid w:val="006B6F58"/>
    <w:rsid w:val="006B6FE7"/>
    <w:rsid w:val="006B7167"/>
    <w:rsid w:val="006B73AF"/>
    <w:rsid w:val="006B7409"/>
    <w:rsid w:val="006B742E"/>
    <w:rsid w:val="006B78E4"/>
    <w:rsid w:val="006B7C2D"/>
    <w:rsid w:val="006B7CB5"/>
    <w:rsid w:val="006B7D01"/>
    <w:rsid w:val="006B7E8B"/>
    <w:rsid w:val="006C0020"/>
    <w:rsid w:val="006C0036"/>
    <w:rsid w:val="006C038B"/>
    <w:rsid w:val="006C0447"/>
    <w:rsid w:val="006C0787"/>
    <w:rsid w:val="006C0BB9"/>
    <w:rsid w:val="006C0ED8"/>
    <w:rsid w:val="006C1124"/>
    <w:rsid w:val="006C1723"/>
    <w:rsid w:val="006C1DA0"/>
    <w:rsid w:val="006C1E03"/>
    <w:rsid w:val="006C1F77"/>
    <w:rsid w:val="006C1FD2"/>
    <w:rsid w:val="006C1FF1"/>
    <w:rsid w:val="006C2094"/>
    <w:rsid w:val="006C2356"/>
    <w:rsid w:val="006C25AF"/>
    <w:rsid w:val="006C2672"/>
    <w:rsid w:val="006C26F8"/>
    <w:rsid w:val="006C2C97"/>
    <w:rsid w:val="006C2F08"/>
    <w:rsid w:val="006C2F8A"/>
    <w:rsid w:val="006C3029"/>
    <w:rsid w:val="006C3137"/>
    <w:rsid w:val="006C32A8"/>
    <w:rsid w:val="006C358F"/>
    <w:rsid w:val="006C35FC"/>
    <w:rsid w:val="006C36D3"/>
    <w:rsid w:val="006C3731"/>
    <w:rsid w:val="006C3B86"/>
    <w:rsid w:val="006C3CC8"/>
    <w:rsid w:val="006C3E18"/>
    <w:rsid w:val="006C40E7"/>
    <w:rsid w:val="006C4402"/>
    <w:rsid w:val="006C4547"/>
    <w:rsid w:val="006C4592"/>
    <w:rsid w:val="006C466E"/>
    <w:rsid w:val="006C4778"/>
    <w:rsid w:val="006C4853"/>
    <w:rsid w:val="006C4B84"/>
    <w:rsid w:val="006C4CB5"/>
    <w:rsid w:val="006C4D50"/>
    <w:rsid w:val="006C4F7F"/>
    <w:rsid w:val="006C51C9"/>
    <w:rsid w:val="006C537D"/>
    <w:rsid w:val="006C557A"/>
    <w:rsid w:val="006C557C"/>
    <w:rsid w:val="006C56C9"/>
    <w:rsid w:val="006C583C"/>
    <w:rsid w:val="006C5975"/>
    <w:rsid w:val="006C5B21"/>
    <w:rsid w:val="006C5E95"/>
    <w:rsid w:val="006C6361"/>
    <w:rsid w:val="006C68BA"/>
    <w:rsid w:val="006C6901"/>
    <w:rsid w:val="006C6D1F"/>
    <w:rsid w:val="006C6DA4"/>
    <w:rsid w:val="006C6E1F"/>
    <w:rsid w:val="006C7067"/>
    <w:rsid w:val="006C71B2"/>
    <w:rsid w:val="006C7203"/>
    <w:rsid w:val="006C735E"/>
    <w:rsid w:val="006C73AE"/>
    <w:rsid w:val="006C7588"/>
    <w:rsid w:val="006C78A2"/>
    <w:rsid w:val="006C7A3A"/>
    <w:rsid w:val="006C7BD4"/>
    <w:rsid w:val="006C7C6C"/>
    <w:rsid w:val="006C7DB9"/>
    <w:rsid w:val="006C7EB1"/>
    <w:rsid w:val="006D00D7"/>
    <w:rsid w:val="006D0374"/>
    <w:rsid w:val="006D06C6"/>
    <w:rsid w:val="006D0883"/>
    <w:rsid w:val="006D08F6"/>
    <w:rsid w:val="006D09D9"/>
    <w:rsid w:val="006D0A21"/>
    <w:rsid w:val="006D0A36"/>
    <w:rsid w:val="006D0AF4"/>
    <w:rsid w:val="006D0CCF"/>
    <w:rsid w:val="006D0D3E"/>
    <w:rsid w:val="006D0EA2"/>
    <w:rsid w:val="006D124D"/>
    <w:rsid w:val="006D14AB"/>
    <w:rsid w:val="006D15EA"/>
    <w:rsid w:val="006D1640"/>
    <w:rsid w:val="006D16C9"/>
    <w:rsid w:val="006D1BBE"/>
    <w:rsid w:val="006D1BDF"/>
    <w:rsid w:val="006D1C67"/>
    <w:rsid w:val="006D1DB2"/>
    <w:rsid w:val="006D1E05"/>
    <w:rsid w:val="006D1E2D"/>
    <w:rsid w:val="006D1E43"/>
    <w:rsid w:val="006D1EF6"/>
    <w:rsid w:val="006D20A5"/>
    <w:rsid w:val="006D20AA"/>
    <w:rsid w:val="006D20BC"/>
    <w:rsid w:val="006D2144"/>
    <w:rsid w:val="006D227A"/>
    <w:rsid w:val="006D2358"/>
    <w:rsid w:val="006D2467"/>
    <w:rsid w:val="006D2906"/>
    <w:rsid w:val="006D2B25"/>
    <w:rsid w:val="006D2B65"/>
    <w:rsid w:val="006D2B6D"/>
    <w:rsid w:val="006D2E89"/>
    <w:rsid w:val="006D31D7"/>
    <w:rsid w:val="006D32B4"/>
    <w:rsid w:val="006D33D1"/>
    <w:rsid w:val="006D368B"/>
    <w:rsid w:val="006D394D"/>
    <w:rsid w:val="006D3A2E"/>
    <w:rsid w:val="006D4144"/>
    <w:rsid w:val="006D418B"/>
    <w:rsid w:val="006D42DB"/>
    <w:rsid w:val="006D4434"/>
    <w:rsid w:val="006D45D7"/>
    <w:rsid w:val="006D4831"/>
    <w:rsid w:val="006D4D53"/>
    <w:rsid w:val="006D4E4F"/>
    <w:rsid w:val="006D506D"/>
    <w:rsid w:val="006D50F0"/>
    <w:rsid w:val="006D539D"/>
    <w:rsid w:val="006D54AC"/>
    <w:rsid w:val="006D55B8"/>
    <w:rsid w:val="006D5D6E"/>
    <w:rsid w:val="006D61C8"/>
    <w:rsid w:val="006D6204"/>
    <w:rsid w:val="006D6342"/>
    <w:rsid w:val="006D639E"/>
    <w:rsid w:val="006D642B"/>
    <w:rsid w:val="006D6434"/>
    <w:rsid w:val="006D67DE"/>
    <w:rsid w:val="006D68B6"/>
    <w:rsid w:val="006D6A22"/>
    <w:rsid w:val="006D6D20"/>
    <w:rsid w:val="006D6F28"/>
    <w:rsid w:val="006D703F"/>
    <w:rsid w:val="006D70E0"/>
    <w:rsid w:val="006D7238"/>
    <w:rsid w:val="006D7488"/>
    <w:rsid w:val="006D77B4"/>
    <w:rsid w:val="006D7A04"/>
    <w:rsid w:val="006D7A89"/>
    <w:rsid w:val="006D7B00"/>
    <w:rsid w:val="006D7D89"/>
    <w:rsid w:val="006E00CA"/>
    <w:rsid w:val="006E0180"/>
    <w:rsid w:val="006E0344"/>
    <w:rsid w:val="006E03AB"/>
    <w:rsid w:val="006E03C0"/>
    <w:rsid w:val="006E075A"/>
    <w:rsid w:val="006E0A14"/>
    <w:rsid w:val="006E0A16"/>
    <w:rsid w:val="006E0AEB"/>
    <w:rsid w:val="006E0B15"/>
    <w:rsid w:val="006E0C41"/>
    <w:rsid w:val="006E0CD3"/>
    <w:rsid w:val="006E0F19"/>
    <w:rsid w:val="006E117C"/>
    <w:rsid w:val="006E122E"/>
    <w:rsid w:val="006E16E7"/>
    <w:rsid w:val="006E19BF"/>
    <w:rsid w:val="006E19CC"/>
    <w:rsid w:val="006E1CF4"/>
    <w:rsid w:val="006E1FB6"/>
    <w:rsid w:val="006E2160"/>
    <w:rsid w:val="006E2278"/>
    <w:rsid w:val="006E23BF"/>
    <w:rsid w:val="006E2664"/>
    <w:rsid w:val="006E26CA"/>
    <w:rsid w:val="006E299E"/>
    <w:rsid w:val="006E2AF4"/>
    <w:rsid w:val="006E2BDA"/>
    <w:rsid w:val="006E2EC3"/>
    <w:rsid w:val="006E2F12"/>
    <w:rsid w:val="006E3499"/>
    <w:rsid w:val="006E3569"/>
    <w:rsid w:val="006E3640"/>
    <w:rsid w:val="006E36FB"/>
    <w:rsid w:val="006E37A2"/>
    <w:rsid w:val="006E39AB"/>
    <w:rsid w:val="006E3B98"/>
    <w:rsid w:val="006E3BB7"/>
    <w:rsid w:val="006E4243"/>
    <w:rsid w:val="006E45F9"/>
    <w:rsid w:val="006E486C"/>
    <w:rsid w:val="006E490C"/>
    <w:rsid w:val="006E4B5E"/>
    <w:rsid w:val="006E4D61"/>
    <w:rsid w:val="006E51ED"/>
    <w:rsid w:val="006E53B6"/>
    <w:rsid w:val="006E593E"/>
    <w:rsid w:val="006E5A22"/>
    <w:rsid w:val="006E5C0C"/>
    <w:rsid w:val="006E6267"/>
    <w:rsid w:val="006E637B"/>
    <w:rsid w:val="006E689A"/>
    <w:rsid w:val="006E68AD"/>
    <w:rsid w:val="006E6A8B"/>
    <w:rsid w:val="006E6AF6"/>
    <w:rsid w:val="006E6D2D"/>
    <w:rsid w:val="006E6DE6"/>
    <w:rsid w:val="006E7035"/>
    <w:rsid w:val="006E709E"/>
    <w:rsid w:val="006E7112"/>
    <w:rsid w:val="006E713D"/>
    <w:rsid w:val="006E7390"/>
    <w:rsid w:val="006E74DB"/>
    <w:rsid w:val="006E7635"/>
    <w:rsid w:val="006E77CB"/>
    <w:rsid w:val="006E7879"/>
    <w:rsid w:val="006E78B6"/>
    <w:rsid w:val="006E7947"/>
    <w:rsid w:val="006E79CC"/>
    <w:rsid w:val="006E7CDD"/>
    <w:rsid w:val="006E7F9D"/>
    <w:rsid w:val="006E7FE6"/>
    <w:rsid w:val="006F0334"/>
    <w:rsid w:val="006F0784"/>
    <w:rsid w:val="006F0792"/>
    <w:rsid w:val="006F095F"/>
    <w:rsid w:val="006F0B84"/>
    <w:rsid w:val="006F0C91"/>
    <w:rsid w:val="006F0DED"/>
    <w:rsid w:val="006F0EDC"/>
    <w:rsid w:val="006F115D"/>
    <w:rsid w:val="006F1235"/>
    <w:rsid w:val="006F132D"/>
    <w:rsid w:val="006F14E7"/>
    <w:rsid w:val="006F1862"/>
    <w:rsid w:val="006F18C3"/>
    <w:rsid w:val="006F1D40"/>
    <w:rsid w:val="006F2103"/>
    <w:rsid w:val="006F250F"/>
    <w:rsid w:val="006F2822"/>
    <w:rsid w:val="006F28DB"/>
    <w:rsid w:val="006F2B04"/>
    <w:rsid w:val="006F30A6"/>
    <w:rsid w:val="006F3251"/>
    <w:rsid w:val="006F38E5"/>
    <w:rsid w:val="006F3C38"/>
    <w:rsid w:val="006F3D27"/>
    <w:rsid w:val="006F3E88"/>
    <w:rsid w:val="006F3F78"/>
    <w:rsid w:val="006F3FBE"/>
    <w:rsid w:val="006F3FF9"/>
    <w:rsid w:val="006F41A8"/>
    <w:rsid w:val="006F452D"/>
    <w:rsid w:val="006F492A"/>
    <w:rsid w:val="006F492E"/>
    <w:rsid w:val="006F4A4F"/>
    <w:rsid w:val="006F4C2C"/>
    <w:rsid w:val="006F4C5B"/>
    <w:rsid w:val="006F4CB2"/>
    <w:rsid w:val="006F4F6D"/>
    <w:rsid w:val="006F5C8F"/>
    <w:rsid w:val="006F5DD8"/>
    <w:rsid w:val="006F5E6B"/>
    <w:rsid w:val="006F5EE8"/>
    <w:rsid w:val="006F5FAE"/>
    <w:rsid w:val="006F6263"/>
    <w:rsid w:val="006F63D0"/>
    <w:rsid w:val="006F676A"/>
    <w:rsid w:val="006F6956"/>
    <w:rsid w:val="006F6A53"/>
    <w:rsid w:val="006F6D2F"/>
    <w:rsid w:val="006F6D78"/>
    <w:rsid w:val="006F72E1"/>
    <w:rsid w:val="006F7567"/>
    <w:rsid w:val="006F76A1"/>
    <w:rsid w:val="006F772C"/>
    <w:rsid w:val="006F7930"/>
    <w:rsid w:val="006F7A59"/>
    <w:rsid w:val="006F7BFF"/>
    <w:rsid w:val="006F7C33"/>
    <w:rsid w:val="006F7CE8"/>
    <w:rsid w:val="006F7D1E"/>
    <w:rsid w:val="0070007C"/>
    <w:rsid w:val="007000B6"/>
    <w:rsid w:val="0070044E"/>
    <w:rsid w:val="00700623"/>
    <w:rsid w:val="007006F2"/>
    <w:rsid w:val="00700877"/>
    <w:rsid w:val="00700BC6"/>
    <w:rsid w:val="00700C65"/>
    <w:rsid w:val="00700C7E"/>
    <w:rsid w:val="0070119B"/>
    <w:rsid w:val="007012CB"/>
    <w:rsid w:val="00701361"/>
    <w:rsid w:val="00701605"/>
    <w:rsid w:val="00701817"/>
    <w:rsid w:val="00701882"/>
    <w:rsid w:val="00701A7D"/>
    <w:rsid w:val="00701B95"/>
    <w:rsid w:val="00701BCD"/>
    <w:rsid w:val="00701BF1"/>
    <w:rsid w:val="00701E44"/>
    <w:rsid w:val="0070205E"/>
    <w:rsid w:val="007020EA"/>
    <w:rsid w:val="0070230D"/>
    <w:rsid w:val="00702319"/>
    <w:rsid w:val="0070241C"/>
    <w:rsid w:val="0070261D"/>
    <w:rsid w:val="007026A8"/>
    <w:rsid w:val="0070270E"/>
    <w:rsid w:val="0070282D"/>
    <w:rsid w:val="007028D9"/>
    <w:rsid w:val="007029B1"/>
    <w:rsid w:val="00702AC8"/>
    <w:rsid w:val="00702DDE"/>
    <w:rsid w:val="00703017"/>
    <w:rsid w:val="00703087"/>
    <w:rsid w:val="007032B2"/>
    <w:rsid w:val="007033DD"/>
    <w:rsid w:val="0070352A"/>
    <w:rsid w:val="007038F5"/>
    <w:rsid w:val="007039E7"/>
    <w:rsid w:val="00703BB3"/>
    <w:rsid w:val="00703F27"/>
    <w:rsid w:val="007042FD"/>
    <w:rsid w:val="0070477B"/>
    <w:rsid w:val="00704979"/>
    <w:rsid w:val="00704AD6"/>
    <w:rsid w:val="00704CA1"/>
    <w:rsid w:val="00704DF0"/>
    <w:rsid w:val="00704EB3"/>
    <w:rsid w:val="007050C6"/>
    <w:rsid w:val="00705180"/>
    <w:rsid w:val="0070518C"/>
    <w:rsid w:val="007055E8"/>
    <w:rsid w:val="00705AA3"/>
    <w:rsid w:val="00705FD2"/>
    <w:rsid w:val="00706163"/>
    <w:rsid w:val="0070623F"/>
    <w:rsid w:val="0070657C"/>
    <w:rsid w:val="007065C5"/>
    <w:rsid w:val="00706772"/>
    <w:rsid w:val="007069F9"/>
    <w:rsid w:val="00706AC0"/>
    <w:rsid w:val="00706DC2"/>
    <w:rsid w:val="00706EAB"/>
    <w:rsid w:val="00706FD0"/>
    <w:rsid w:val="00707212"/>
    <w:rsid w:val="007077AF"/>
    <w:rsid w:val="00707AB9"/>
    <w:rsid w:val="00707FCD"/>
    <w:rsid w:val="007102F7"/>
    <w:rsid w:val="0071031C"/>
    <w:rsid w:val="0071041A"/>
    <w:rsid w:val="00710809"/>
    <w:rsid w:val="00710A37"/>
    <w:rsid w:val="00710A9F"/>
    <w:rsid w:val="00710C99"/>
    <w:rsid w:val="00711452"/>
    <w:rsid w:val="007114C3"/>
    <w:rsid w:val="007114D1"/>
    <w:rsid w:val="007114D6"/>
    <w:rsid w:val="00711769"/>
    <w:rsid w:val="00711975"/>
    <w:rsid w:val="00711A49"/>
    <w:rsid w:val="00711E8A"/>
    <w:rsid w:val="00711ECD"/>
    <w:rsid w:val="0071227B"/>
    <w:rsid w:val="00712CD3"/>
    <w:rsid w:val="00712D21"/>
    <w:rsid w:val="0071300D"/>
    <w:rsid w:val="007132CB"/>
    <w:rsid w:val="007134C6"/>
    <w:rsid w:val="0071390E"/>
    <w:rsid w:val="00713BD7"/>
    <w:rsid w:val="0071409F"/>
    <w:rsid w:val="007144CC"/>
    <w:rsid w:val="00714848"/>
    <w:rsid w:val="00714913"/>
    <w:rsid w:val="00714E96"/>
    <w:rsid w:val="007151ED"/>
    <w:rsid w:val="007151EE"/>
    <w:rsid w:val="00715734"/>
    <w:rsid w:val="0071599B"/>
    <w:rsid w:val="00715C03"/>
    <w:rsid w:val="00715DAA"/>
    <w:rsid w:val="00715DED"/>
    <w:rsid w:val="00716095"/>
    <w:rsid w:val="007160F6"/>
    <w:rsid w:val="007162B1"/>
    <w:rsid w:val="00716365"/>
    <w:rsid w:val="0071645E"/>
    <w:rsid w:val="00716541"/>
    <w:rsid w:val="007165E8"/>
    <w:rsid w:val="00716644"/>
    <w:rsid w:val="00716884"/>
    <w:rsid w:val="0071689A"/>
    <w:rsid w:val="007168F3"/>
    <w:rsid w:val="00716946"/>
    <w:rsid w:val="007169B5"/>
    <w:rsid w:val="00716A31"/>
    <w:rsid w:val="00716AF7"/>
    <w:rsid w:val="00716DDD"/>
    <w:rsid w:val="00716F6A"/>
    <w:rsid w:val="007171DA"/>
    <w:rsid w:val="00717582"/>
    <w:rsid w:val="00717837"/>
    <w:rsid w:val="00717A43"/>
    <w:rsid w:val="00717B43"/>
    <w:rsid w:val="00717CD7"/>
    <w:rsid w:val="00717CE3"/>
    <w:rsid w:val="00717E06"/>
    <w:rsid w:val="0072001B"/>
    <w:rsid w:val="00720086"/>
    <w:rsid w:val="00720161"/>
    <w:rsid w:val="00720570"/>
    <w:rsid w:val="007205E4"/>
    <w:rsid w:val="00720784"/>
    <w:rsid w:val="007208CE"/>
    <w:rsid w:val="007208DF"/>
    <w:rsid w:val="00720B0B"/>
    <w:rsid w:val="00720B4B"/>
    <w:rsid w:val="00720C18"/>
    <w:rsid w:val="00720CBD"/>
    <w:rsid w:val="0072126F"/>
    <w:rsid w:val="00721339"/>
    <w:rsid w:val="0072150E"/>
    <w:rsid w:val="00721566"/>
    <w:rsid w:val="007216EB"/>
    <w:rsid w:val="007217C2"/>
    <w:rsid w:val="0072181F"/>
    <w:rsid w:val="00721A5C"/>
    <w:rsid w:val="00721A87"/>
    <w:rsid w:val="00721C3C"/>
    <w:rsid w:val="00721E1F"/>
    <w:rsid w:val="00721F8A"/>
    <w:rsid w:val="00721FE3"/>
    <w:rsid w:val="00722508"/>
    <w:rsid w:val="0072250A"/>
    <w:rsid w:val="007227BB"/>
    <w:rsid w:val="007227C1"/>
    <w:rsid w:val="00722CA0"/>
    <w:rsid w:val="00723070"/>
    <w:rsid w:val="0072312F"/>
    <w:rsid w:val="007232C2"/>
    <w:rsid w:val="00723449"/>
    <w:rsid w:val="007234C0"/>
    <w:rsid w:val="0072350D"/>
    <w:rsid w:val="007237F1"/>
    <w:rsid w:val="00723CA3"/>
    <w:rsid w:val="00723E70"/>
    <w:rsid w:val="00723F10"/>
    <w:rsid w:val="00724056"/>
    <w:rsid w:val="00724602"/>
    <w:rsid w:val="007247BB"/>
    <w:rsid w:val="0072495B"/>
    <w:rsid w:val="00724AF1"/>
    <w:rsid w:val="00724CC7"/>
    <w:rsid w:val="00724DD1"/>
    <w:rsid w:val="00724DD8"/>
    <w:rsid w:val="00724E03"/>
    <w:rsid w:val="00724E12"/>
    <w:rsid w:val="00724E96"/>
    <w:rsid w:val="0072502D"/>
    <w:rsid w:val="007252C9"/>
    <w:rsid w:val="00725492"/>
    <w:rsid w:val="00725703"/>
    <w:rsid w:val="007258D8"/>
    <w:rsid w:val="00725CE0"/>
    <w:rsid w:val="00725DC1"/>
    <w:rsid w:val="007263A3"/>
    <w:rsid w:val="007264B3"/>
    <w:rsid w:val="007267BA"/>
    <w:rsid w:val="00726968"/>
    <w:rsid w:val="007270E3"/>
    <w:rsid w:val="0072710F"/>
    <w:rsid w:val="00727613"/>
    <w:rsid w:val="00727847"/>
    <w:rsid w:val="007279D9"/>
    <w:rsid w:val="00727B76"/>
    <w:rsid w:val="00727C95"/>
    <w:rsid w:val="00727FEE"/>
    <w:rsid w:val="007300DC"/>
    <w:rsid w:val="0073044B"/>
    <w:rsid w:val="00730578"/>
    <w:rsid w:val="007307EE"/>
    <w:rsid w:val="0073088C"/>
    <w:rsid w:val="00730AF0"/>
    <w:rsid w:val="00730BB2"/>
    <w:rsid w:val="00730EE5"/>
    <w:rsid w:val="007310DD"/>
    <w:rsid w:val="00731305"/>
    <w:rsid w:val="0073159E"/>
    <w:rsid w:val="00731A62"/>
    <w:rsid w:val="00731ABC"/>
    <w:rsid w:val="00731B84"/>
    <w:rsid w:val="00731ED0"/>
    <w:rsid w:val="007321A9"/>
    <w:rsid w:val="0073241F"/>
    <w:rsid w:val="007324C8"/>
    <w:rsid w:val="00732606"/>
    <w:rsid w:val="00732690"/>
    <w:rsid w:val="007326D7"/>
    <w:rsid w:val="00732899"/>
    <w:rsid w:val="00732A2F"/>
    <w:rsid w:val="00732A7D"/>
    <w:rsid w:val="00732EFC"/>
    <w:rsid w:val="00732F0D"/>
    <w:rsid w:val="007331BA"/>
    <w:rsid w:val="007332C0"/>
    <w:rsid w:val="00733453"/>
    <w:rsid w:val="007334B2"/>
    <w:rsid w:val="00733566"/>
    <w:rsid w:val="007335A5"/>
    <w:rsid w:val="0073368A"/>
    <w:rsid w:val="007338CF"/>
    <w:rsid w:val="00733FC9"/>
    <w:rsid w:val="007341A9"/>
    <w:rsid w:val="007341AF"/>
    <w:rsid w:val="0073423B"/>
    <w:rsid w:val="00734422"/>
    <w:rsid w:val="00734595"/>
    <w:rsid w:val="0073463D"/>
    <w:rsid w:val="0073481E"/>
    <w:rsid w:val="007349F0"/>
    <w:rsid w:val="00734AA0"/>
    <w:rsid w:val="00734ABA"/>
    <w:rsid w:val="00734B72"/>
    <w:rsid w:val="00734D21"/>
    <w:rsid w:val="00734E79"/>
    <w:rsid w:val="0073502D"/>
    <w:rsid w:val="007352C8"/>
    <w:rsid w:val="00735313"/>
    <w:rsid w:val="0073545B"/>
    <w:rsid w:val="00735687"/>
    <w:rsid w:val="0073574F"/>
    <w:rsid w:val="00735768"/>
    <w:rsid w:val="0073593C"/>
    <w:rsid w:val="00735A75"/>
    <w:rsid w:val="00735AA9"/>
    <w:rsid w:val="00735EA8"/>
    <w:rsid w:val="00735EF2"/>
    <w:rsid w:val="00735F44"/>
    <w:rsid w:val="0073628D"/>
    <w:rsid w:val="00736313"/>
    <w:rsid w:val="007363D3"/>
    <w:rsid w:val="0073652D"/>
    <w:rsid w:val="0073656B"/>
    <w:rsid w:val="007365CF"/>
    <w:rsid w:val="007366A8"/>
    <w:rsid w:val="0073689A"/>
    <w:rsid w:val="00736F20"/>
    <w:rsid w:val="007370E2"/>
    <w:rsid w:val="00737313"/>
    <w:rsid w:val="0073766B"/>
    <w:rsid w:val="007378A6"/>
    <w:rsid w:val="00737977"/>
    <w:rsid w:val="00737AC1"/>
    <w:rsid w:val="00737BF2"/>
    <w:rsid w:val="00737E64"/>
    <w:rsid w:val="00740143"/>
    <w:rsid w:val="0074031E"/>
    <w:rsid w:val="007403A9"/>
    <w:rsid w:val="007403BE"/>
    <w:rsid w:val="007404DD"/>
    <w:rsid w:val="0074060D"/>
    <w:rsid w:val="00740ADA"/>
    <w:rsid w:val="00740BB1"/>
    <w:rsid w:val="00740CB1"/>
    <w:rsid w:val="00740F54"/>
    <w:rsid w:val="00741288"/>
    <w:rsid w:val="00741490"/>
    <w:rsid w:val="00741524"/>
    <w:rsid w:val="007418E3"/>
    <w:rsid w:val="00741A37"/>
    <w:rsid w:val="00741ACB"/>
    <w:rsid w:val="00741B6A"/>
    <w:rsid w:val="00741B6F"/>
    <w:rsid w:val="00741C94"/>
    <w:rsid w:val="00741D7F"/>
    <w:rsid w:val="00741E36"/>
    <w:rsid w:val="0074210E"/>
    <w:rsid w:val="00742319"/>
    <w:rsid w:val="00742618"/>
    <w:rsid w:val="0074292E"/>
    <w:rsid w:val="0074295E"/>
    <w:rsid w:val="007429CF"/>
    <w:rsid w:val="00742D09"/>
    <w:rsid w:val="00742F93"/>
    <w:rsid w:val="00743198"/>
    <w:rsid w:val="00743265"/>
    <w:rsid w:val="0074366E"/>
    <w:rsid w:val="0074390C"/>
    <w:rsid w:val="00743D72"/>
    <w:rsid w:val="00743EAC"/>
    <w:rsid w:val="0074401E"/>
    <w:rsid w:val="0074405C"/>
    <w:rsid w:val="00744558"/>
    <w:rsid w:val="007446BA"/>
    <w:rsid w:val="007448C2"/>
    <w:rsid w:val="00744D0F"/>
    <w:rsid w:val="007458C6"/>
    <w:rsid w:val="0074592D"/>
    <w:rsid w:val="00745A37"/>
    <w:rsid w:val="00745A52"/>
    <w:rsid w:val="00745CAF"/>
    <w:rsid w:val="00745D77"/>
    <w:rsid w:val="00745D89"/>
    <w:rsid w:val="00745DB3"/>
    <w:rsid w:val="00745ECA"/>
    <w:rsid w:val="00745F3F"/>
    <w:rsid w:val="00746148"/>
    <w:rsid w:val="007461AF"/>
    <w:rsid w:val="007462C6"/>
    <w:rsid w:val="00746463"/>
    <w:rsid w:val="0074699A"/>
    <w:rsid w:val="00746AF2"/>
    <w:rsid w:val="00746CBA"/>
    <w:rsid w:val="00746D67"/>
    <w:rsid w:val="00746FF6"/>
    <w:rsid w:val="00747249"/>
    <w:rsid w:val="00747256"/>
    <w:rsid w:val="00747A5B"/>
    <w:rsid w:val="00747BCC"/>
    <w:rsid w:val="00747E72"/>
    <w:rsid w:val="00747F54"/>
    <w:rsid w:val="0075011E"/>
    <w:rsid w:val="0075028F"/>
    <w:rsid w:val="00750296"/>
    <w:rsid w:val="00750311"/>
    <w:rsid w:val="00750540"/>
    <w:rsid w:val="007509DE"/>
    <w:rsid w:val="00750A5B"/>
    <w:rsid w:val="00750B66"/>
    <w:rsid w:val="00750BDB"/>
    <w:rsid w:val="00750F08"/>
    <w:rsid w:val="00751158"/>
    <w:rsid w:val="00751634"/>
    <w:rsid w:val="007516B7"/>
    <w:rsid w:val="007517C7"/>
    <w:rsid w:val="0075185B"/>
    <w:rsid w:val="007518C6"/>
    <w:rsid w:val="00751B2F"/>
    <w:rsid w:val="00751C20"/>
    <w:rsid w:val="00751C53"/>
    <w:rsid w:val="00751C78"/>
    <w:rsid w:val="00751EA2"/>
    <w:rsid w:val="00751EBD"/>
    <w:rsid w:val="00751FFB"/>
    <w:rsid w:val="00752184"/>
    <w:rsid w:val="007521E1"/>
    <w:rsid w:val="0075220E"/>
    <w:rsid w:val="0075246D"/>
    <w:rsid w:val="00752977"/>
    <w:rsid w:val="00752998"/>
    <w:rsid w:val="00752BE9"/>
    <w:rsid w:val="00753042"/>
    <w:rsid w:val="0075305B"/>
    <w:rsid w:val="0075307D"/>
    <w:rsid w:val="0075314B"/>
    <w:rsid w:val="00753248"/>
    <w:rsid w:val="007533BA"/>
    <w:rsid w:val="007534E1"/>
    <w:rsid w:val="0075398F"/>
    <w:rsid w:val="007540BB"/>
    <w:rsid w:val="007540E4"/>
    <w:rsid w:val="007545F9"/>
    <w:rsid w:val="007546A4"/>
    <w:rsid w:val="0075476A"/>
    <w:rsid w:val="007548EB"/>
    <w:rsid w:val="00754E40"/>
    <w:rsid w:val="0075518F"/>
    <w:rsid w:val="007551B0"/>
    <w:rsid w:val="00755232"/>
    <w:rsid w:val="00755328"/>
    <w:rsid w:val="00755424"/>
    <w:rsid w:val="007556A1"/>
    <w:rsid w:val="007556B0"/>
    <w:rsid w:val="007556D0"/>
    <w:rsid w:val="007557E2"/>
    <w:rsid w:val="007557FA"/>
    <w:rsid w:val="00755A05"/>
    <w:rsid w:val="00755BF8"/>
    <w:rsid w:val="00755C6E"/>
    <w:rsid w:val="00755D32"/>
    <w:rsid w:val="00755E9C"/>
    <w:rsid w:val="00755F36"/>
    <w:rsid w:val="0075633E"/>
    <w:rsid w:val="007563BC"/>
    <w:rsid w:val="007568E0"/>
    <w:rsid w:val="007568E2"/>
    <w:rsid w:val="007568E7"/>
    <w:rsid w:val="00756A7F"/>
    <w:rsid w:val="00756A87"/>
    <w:rsid w:val="00756ACB"/>
    <w:rsid w:val="00756BCD"/>
    <w:rsid w:val="00756D7F"/>
    <w:rsid w:val="007576F9"/>
    <w:rsid w:val="0075770A"/>
    <w:rsid w:val="00757758"/>
    <w:rsid w:val="0075779A"/>
    <w:rsid w:val="00757A30"/>
    <w:rsid w:val="00757EDF"/>
    <w:rsid w:val="0076037E"/>
    <w:rsid w:val="00760BAA"/>
    <w:rsid w:val="00760C0E"/>
    <w:rsid w:val="00760F0C"/>
    <w:rsid w:val="00760F1E"/>
    <w:rsid w:val="0076114E"/>
    <w:rsid w:val="0076173F"/>
    <w:rsid w:val="0076179F"/>
    <w:rsid w:val="00761902"/>
    <w:rsid w:val="00761CC3"/>
    <w:rsid w:val="00761E50"/>
    <w:rsid w:val="00761E96"/>
    <w:rsid w:val="00761EFC"/>
    <w:rsid w:val="0076253B"/>
    <w:rsid w:val="0076254F"/>
    <w:rsid w:val="00762779"/>
    <w:rsid w:val="00762925"/>
    <w:rsid w:val="00762993"/>
    <w:rsid w:val="00762B05"/>
    <w:rsid w:val="00762C48"/>
    <w:rsid w:val="00762C56"/>
    <w:rsid w:val="00762CF2"/>
    <w:rsid w:val="00763293"/>
    <w:rsid w:val="0076330C"/>
    <w:rsid w:val="007635A2"/>
    <w:rsid w:val="00763603"/>
    <w:rsid w:val="0076367A"/>
    <w:rsid w:val="00763909"/>
    <w:rsid w:val="00763951"/>
    <w:rsid w:val="00763CF0"/>
    <w:rsid w:val="00763E12"/>
    <w:rsid w:val="00764130"/>
    <w:rsid w:val="0076440B"/>
    <w:rsid w:val="007645B3"/>
    <w:rsid w:val="00764760"/>
    <w:rsid w:val="007647AD"/>
    <w:rsid w:val="00764B7C"/>
    <w:rsid w:val="00764BD3"/>
    <w:rsid w:val="00764DD5"/>
    <w:rsid w:val="00764E41"/>
    <w:rsid w:val="00765225"/>
    <w:rsid w:val="0076552A"/>
    <w:rsid w:val="00765740"/>
    <w:rsid w:val="0076582D"/>
    <w:rsid w:val="00765960"/>
    <w:rsid w:val="0076596B"/>
    <w:rsid w:val="00765BC9"/>
    <w:rsid w:val="00765BCA"/>
    <w:rsid w:val="00765E6F"/>
    <w:rsid w:val="00766902"/>
    <w:rsid w:val="00766A31"/>
    <w:rsid w:val="00766AF5"/>
    <w:rsid w:val="00766B57"/>
    <w:rsid w:val="00766D1C"/>
    <w:rsid w:val="00766F5C"/>
    <w:rsid w:val="00766F8F"/>
    <w:rsid w:val="00767193"/>
    <w:rsid w:val="00767194"/>
    <w:rsid w:val="007671F7"/>
    <w:rsid w:val="00767C05"/>
    <w:rsid w:val="00767D35"/>
    <w:rsid w:val="00767DDE"/>
    <w:rsid w:val="00767FCE"/>
    <w:rsid w:val="007700AC"/>
    <w:rsid w:val="0077015D"/>
    <w:rsid w:val="00770188"/>
    <w:rsid w:val="007701C0"/>
    <w:rsid w:val="007702E2"/>
    <w:rsid w:val="0077034E"/>
    <w:rsid w:val="0077043F"/>
    <w:rsid w:val="0077046B"/>
    <w:rsid w:val="0077079F"/>
    <w:rsid w:val="00770BD7"/>
    <w:rsid w:val="00770F00"/>
    <w:rsid w:val="00771040"/>
    <w:rsid w:val="00771157"/>
    <w:rsid w:val="007711D7"/>
    <w:rsid w:val="007713E6"/>
    <w:rsid w:val="00771569"/>
    <w:rsid w:val="00771743"/>
    <w:rsid w:val="0077198F"/>
    <w:rsid w:val="00771AB7"/>
    <w:rsid w:val="00771C49"/>
    <w:rsid w:val="00771C9E"/>
    <w:rsid w:val="00771DED"/>
    <w:rsid w:val="00772125"/>
    <w:rsid w:val="0077236F"/>
    <w:rsid w:val="0077239D"/>
    <w:rsid w:val="00772709"/>
    <w:rsid w:val="00772763"/>
    <w:rsid w:val="00772DB9"/>
    <w:rsid w:val="00772F77"/>
    <w:rsid w:val="00772F98"/>
    <w:rsid w:val="007738D4"/>
    <w:rsid w:val="00773B19"/>
    <w:rsid w:val="00773C38"/>
    <w:rsid w:val="0077409E"/>
    <w:rsid w:val="007741B1"/>
    <w:rsid w:val="00774374"/>
    <w:rsid w:val="007745C3"/>
    <w:rsid w:val="0077473B"/>
    <w:rsid w:val="0077475D"/>
    <w:rsid w:val="0077476C"/>
    <w:rsid w:val="0077477C"/>
    <w:rsid w:val="00774976"/>
    <w:rsid w:val="00774A36"/>
    <w:rsid w:val="00774C76"/>
    <w:rsid w:val="00774F47"/>
    <w:rsid w:val="00774F7D"/>
    <w:rsid w:val="0077549B"/>
    <w:rsid w:val="00775C12"/>
    <w:rsid w:val="00775C27"/>
    <w:rsid w:val="00775CD8"/>
    <w:rsid w:val="00775D33"/>
    <w:rsid w:val="00775E5A"/>
    <w:rsid w:val="00776328"/>
    <w:rsid w:val="007765E5"/>
    <w:rsid w:val="007766E0"/>
    <w:rsid w:val="0077670F"/>
    <w:rsid w:val="00776A4A"/>
    <w:rsid w:val="00776D62"/>
    <w:rsid w:val="00776F3B"/>
    <w:rsid w:val="00776F81"/>
    <w:rsid w:val="00777175"/>
    <w:rsid w:val="00777209"/>
    <w:rsid w:val="007773F5"/>
    <w:rsid w:val="007774FA"/>
    <w:rsid w:val="00777713"/>
    <w:rsid w:val="0077780D"/>
    <w:rsid w:val="007800D8"/>
    <w:rsid w:val="00780359"/>
    <w:rsid w:val="007803FF"/>
    <w:rsid w:val="007804D8"/>
    <w:rsid w:val="0078076A"/>
    <w:rsid w:val="0078077C"/>
    <w:rsid w:val="007807B9"/>
    <w:rsid w:val="00780812"/>
    <w:rsid w:val="007809A2"/>
    <w:rsid w:val="00780AD4"/>
    <w:rsid w:val="00780B1F"/>
    <w:rsid w:val="00780B8C"/>
    <w:rsid w:val="00780CB0"/>
    <w:rsid w:val="00780D69"/>
    <w:rsid w:val="00780E62"/>
    <w:rsid w:val="007810C3"/>
    <w:rsid w:val="00781286"/>
    <w:rsid w:val="0078168D"/>
    <w:rsid w:val="007816B4"/>
    <w:rsid w:val="00781870"/>
    <w:rsid w:val="00781CC2"/>
    <w:rsid w:val="00781D37"/>
    <w:rsid w:val="00781EDD"/>
    <w:rsid w:val="00782082"/>
    <w:rsid w:val="00782618"/>
    <w:rsid w:val="00782791"/>
    <w:rsid w:val="007829F0"/>
    <w:rsid w:val="00782A3A"/>
    <w:rsid w:val="00782B3E"/>
    <w:rsid w:val="00782C4B"/>
    <w:rsid w:val="00782CC8"/>
    <w:rsid w:val="00782CE3"/>
    <w:rsid w:val="00782E2F"/>
    <w:rsid w:val="007830FF"/>
    <w:rsid w:val="00783185"/>
    <w:rsid w:val="00783693"/>
    <w:rsid w:val="00783AA8"/>
    <w:rsid w:val="00783ABA"/>
    <w:rsid w:val="00783D5B"/>
    <w:rsid w:val="00783F57"/>
    <w:rsid w:val="00783F6D"/>
    <w:rsid w:val="00783FFF"/>
    <w:rsid w:val="007840AA"/>
    <w:rsid w:val="007848A4"/>
    <w:rsid w:val="00784A1D"/>
    <w:rsid w:val="00784B0A"/>
    <w:rsid w:val="007850CF"/>
    <w:rsid w:val="00785237"/>
    <w:rsid w:val="0078535C"/>
    <w:rsid w:val="0078539E"/>
    <w:rsid w:val="00785441"/>
    <w:rsid w:val="007854FD"/>
    <w:rsid w:val="00785553"/>
    <w:rsid w:val="007855A2"/>
    <w:rsid w:val="00785845"/>
    <w:rsid w:val="0078587D"/>
    <w:rsid w:val="007858E3"/>
    <w:rsid w:val="007859A2"/>
    <w:rsid w:val="00785C94"/>
    <w:rsid w:val="00785CCB"/>
    <w:rsid w:val="00785D17"/>
    <w:rsid w:val="007860DE"/>
    <w:rsid w:val="0078649E"/>
    <w:rsid w:val="00786584"/>
    <w:rsid w:val="007866DF"/>
    <w:rsid w:val="007867A1"/>
    <w:rsid w:val="007869BB"/>
    <w:rsid w:val="00786BA2"/>
    <w:rsid w:val="00786F52"/>
    <w:rsid w:val="00787213"/>
    <w:rsid w:val="00787264"/>
    <w:rsid w:val="00787418"/>
    <w:rsid w:val="0078744C"/>
    <w:rsid w:val="007874A8"/>
    <w:rsid w:val="007877B4"/>
    <w:rsid w:val="007878ED"/>
    <w:rsid w:val="007879DF"/>
    <w:rsid w:val="00790058"/>
    <w:rsid w:val="0079032F"/>
    <w:rsid w:val="007903BF"/>
    <w:rsid w:val="00790495"/>
    <w:rsid w:val="00790588"/>
    <w:rsid w:val="007906E4"/>
    <w:rsid w:val="00790BDB"/>
    <w:rsid w:val="00790F85"/>
    <w:rsid w:val="00791112"/>
    <w:rsid w:val="00791119"/>
    <w:rsid w:val="007911D1"/>
    <w:rsid w:val="007913D8"/>
    <w:rsid w:val="00791508"/>
    <w:rsid w:val="007918F7"/>
    <w:rsid w:val="00791A55"/>
    <w:rsid w:val="00791F40"/>
    <w:rsid w:val="0079203C"/>
    <w:rsid w:val="00792110"/>
    <w:rsid w:val="00792588"/>
    <w:rsid w:val="0079265A"/>
    <w:rsid w:val="007926EE"/>
    <w:rsid w:val="00792977"/>
    <w:rsid w:val="00792D1B"/>
    <w:rsid w:val="00792DB0"/>
    <w:rsid w:val="00793348"/>
    <w:rsid w:val="0079358D"/>
    <w:rsid w:val="007935F9"/>
    <w:rsid w:val="00793927"/>
    <w:rsid w:val="00793A66"/>
    <w:rsid w:val="00793D04"/>
    <w:rsid w:val="00793D09"/>
    <w:rsid w:val="00794224"/>
    <w:rsid w:val="00794355"/>
    <w:rsid w:val="0079436A"/>
    <w:rsid w:val="007943F9"/>
    <w:rsid w:val="0079445D"/>
    <w:rsid w:val="007944AD"/>
    <w:rsid w:val="00794553"/>
    <w:rsid w:val="0079457C"/>
    <w:rsid w:val="007946C7"/>
    <w:rsid w:val="0079470B"/>
    <w:rsid w:val="00794839"/>
    <w:rsid w:val="007948E0"/>
    <w:rsid w:val="007948FA"/>
    <w:rsid w:val="00794C15"/>
    <w:rsid w:val="00794EC1"/>
    <w:rsid w:val="00794F45"/>
    <w:rsid w:val="00795109"/>
    <w:rsid w:val="00795438"/>
    <w:rsid w:val="0079545C"/>
    <w:rsid w:val="00795475"/>
    <w:rsid w:val="00795D2D"/>
    <w:rsid w:val="00795D5F"/>
    <w:rsid w:val="00795FCC"/>
    <w:rsid w:val="00796001"/>
    <w:rsid w:val="00796005"/>
    <w:rsid w:val="007960F9"/>
    <w:rsid w:val="007960FE"/>
    <w:rsid w:val="0079624E"/>
    <w:rsid w:val="0079642B"/>
    <w:rsid w:val="0079649E"/>
    <w:rsid w:val="007966D2"/>
    <w:rsid w:val="007966F8"/>
    <w:rsid w:val="00796713"/>
    <w:rsid w:val="007968A3"/>
    <w:rsid w:val="007968FC"/>
    <w:rsid w:val="007969CB"/>
    <w:rsid w:val="00796D40"/>
    <w:rsid w:val="00796FD1"/>
    <w:rsid w:val="00797098"/>
    <w:rsid w:val="0079717F"/>
    <w:rsid w:val="007971C8"/>
    <w:rsid w:val="007973D7"/>
    <w:rsid w:val="00797425"/>
    <w:rsid w:val="0079750A"/>
    <w:rsid w:val="007978DF"/>
    <w:rsid w:val="00797A87"/>
    <w:rsid w:val="00797B01"/>
    <w:rsid w:val="00797B63"/>
    <w:rsid w:val="00797BB7"/>
    <w:rsid w:val="00797D81"/>
    <w:rsid w:val="00797E4B"/>
    <w:rsid w:val="00797FB4"/>
    <w:rsid w:val="007A02F6"/>
    <w:rsid w:val="007A03BF"/>
    <w:rsid w:val="007A03E5"/>
    <w:rsid w:val="007A04A6"/>
    <w:rsid w:val="007A04F1"/>
    <w:rsid w:val="007A05AE"/>
    <w:rsid w:val="007A06C9"/>
    <w:rsid w:val="007A0855"/>
    <w:rsid w:val="007A09BD"/>
    <w:rsid w:val="007A0E37"/>
    <w:rsid w:val="007A10CF"/>
    <w:rsid w:val="007A133F"/>
    <w:rsid w:val="007A14E5"/>
    <w:rsid w:val="007A1543"/>
    <w:rsid w:val="007A1B24"/>
    <w:rsid w:val="007A1CA8"/>
    <w:rsid w:val="007A1CC1"/>
    <w:rsid w:val="007A1D45"/>
    <w:rsid w:val="007A1D62"/>
    <w:rsid w:val="007A1E87"/>
    <w:rsid w:val="007A1E93"/>
    <w:rsid w:val="007A20C1"/>
    <w:rsid w:val="007A2225"/>
    <w:rsid w:val="007A229F"/>
    <w:rsid w:val="007A246B"/>
    <w:rsid w:val="007A246D"/>
    <w:rsid w:val="007A253C"/>
    <w:rsid w:val="007A25F6"/>
    <w:rsid w:val="007A274B"/>
    <w:rsid w:val="007A29D0"/>
    <w:rsid w:val="007A2C30"/>
    <w:rsid w:val="007A2D62"/>
    <w:rsid w:val="007A2DBA"/>
    <w:rsid w:val="007A2DC8"/>
    <w:rsid w:val="007A2EB3"/>
    <w:rsid w:val="007A2EC5"/>
    <w:rsid w:val="007A2FAA"/>
    <w:rsid w:val="007A3037"/>
    <w:rsid w:val="007A311E"/>
    <w:rsid w:val="007A3572"/>
    <w:rsid w:val="007A3592"/>
    <w:rsid w:val="007A3663"/>
    <w:rsid w:val="007A3732"/>
    <w:rsid w:val="007A3829"/>
    <w:rsid w:val="007A3C8F"/>
    <w:rsid w:val="007A3E14"/>
    <w:rsid w:val="007A422C"/>
    <w:rsid w:val="007A4257"/>
    <w:rsid w:val="007A4287"/>
    <w:rsid w:val="007A4323"/>
    <w:rsid w:val="007A43EB"/>
    <w:rsid w:val="007A449B"/>
    <w:rsid w:val="007A460A"/>
    <w:rsid w:val="007A4969"/>
    <w:rsid w:val="007A4AE2"/>
    <w:rsid w:val="007A4DEB"/>
    <w:rsid w:val="007A4F27"/>
    <w:rsid w:val="007A5000"/>
    <w:rsid w:val="007A5339"/>
    <w:rsid w:val="007A5558"/>
    <w:rsid w:val="007A5618"/>
    <w:rsid w:val="007A5881"/>
    <w:rsid w:val="007A6072"/>
    <w:rsid w:val="007A63EF"/>
    <w:rsid w:val="007A6575"/>
    <w:rsid w:val="007A65D6"/>
    <w:rsid w:val="007A6647"/>
    <w:rsid w:val="007A6898"/>
    <w:rsid w:val="007A6905"/>
    <w:rsid w:val="007A6943"/>
    <w:rsid w:val="007A6ABF"/>
    <w:rsid w:val="007A6B65"/>
    <w:rsid w:val="007A6C94"/>
    <w:rsid w:val="007A6FBA"/>
    <w:rsid w:val="007A6FE3"/>
    <w:rsid w:val="007A720F"/>
    <w:rsid w:val="007A72D2"/>
    <w:rsid w:val="007A7498"/>
    <w:rsid w:val="007A74B1"/>
    <w:rsid w:val="007A7A20"/>
    <w:rsid w:val="007A7A4E"/>
    <w:rsid w:val="007A7F29"/>
    <w:rsid w:val="007B0375"/>
    <w:rsid w:val="007B03C8"/>
    <w:rsid w:val="007B0650"/>
    <w:rsid w:val="007B0794"/>
    <w:rsid w:val="007B08E5"/>
    <w:rsid w:val="007B0BBC"/>
    <w:rsid w:val="007B0C3A"/>
    <w:rsid w:val="007B0E76"/>
    <w:rsid w:val="007B107B"/>
    <w:rsid w:val="007B125F"/>
    <w:rsid w:val="007B1832"/>
    <w:rsid w:val="007B1D2F"/>
    <w:rsid w:val="007B1DC0"/>
    <w:rsid w:val="007B1EB8"/>
    <w:rsid w:val="007B1F38"/>
    <w:rsid w:val="007B20E6"/>
    <w:rsid w:val="007B25BA"/>
    <w:rsid w:val="007B276A"/>
    <w:rsid w:val="007B289E"/>
    <w:rsid w:val="007B2976"/>
    <w:rsid w:val="007B2A38"/>
    <w:rsid w:val="007B2DDA"/>
    <w:rsid w:val="007B2E71"/>
    <w:rsid w:val="007B2E7E"/>
    <w:rsid w:val="007B2FCC"/>
    <w:rsid w:val="007B30AD"/>
    <w:rsid w:val="007B3122"/>
    <w:rsid w:val="007B3192"/>
    <w:rsid w:val="007B32A7"/>
    <w:rsid w:val="007B34DC"/>
    <w:rsid w:val="007B3731"/>
    <w:rsid w:val="007B378F"/>
    <w:rsid w:val="007B4139"/>
    <w:rsid w:val="007B4309"/>
    <w:rsid w:val="007B45DB"/>
    <w:rsid w:val="007B4617"/>
    <w:rsid w:val="007B48C3"/>
    <w:rsid w:val="007B4946"/>
    <w:rsid w:val="007B49CD"/>
    <w:rsid w:val="007B4D0D"/>
    <w:rsid w:val="007B5138"/>
    <w:rsid w:val="007B53BE"/>
    <w:rsid w:val="007B542F"/>
    <w:rsid w:val="007B54FC"/>
    <w:rsid w:val="007B561C"/>
    <w:rsid w:val="007B56ED"/>
    <w:rsid w:val="007B5907"/>
    <w:rsid w:val="007B59DB"/>
    <w:rsid w:val="007B5A54"/>
    <w:rsid w:val="007B5ED0"/>
    <w:rsid w:val="007B60E3"/>
    <w:rsid w:val="007B633B"/>
    <w:rsid w:val="007B6669"/>
    <w:rsid w:val="007B6B11"/>
    <w:rsid w:val="007B6BCE"/>
    <w:rsid w:val="007B6C1B"/>
    <w:rsid w:val="007B743A"/>
    <w:rsid w:val="007B756D"/>
    <w:rsid w:val="007B759B"/>
    <w:rsid w:val="007B75F0"/>
    <w:rsid w:val="007B7619"/>
    <w:rsid w:val="007B7AF5"/>
    <w:rsid w:val="007B7CF8"/>
    <w:rsid w:val="007B7FD3"/>
    <w:rsid w:val="007C0122"/>
    <w:rsid w:val="007C0197"/>
    <w:rsid w:val="007C0261"/>
    <w:rsid w:val="007C0526"/>
    <w:rsid w:val="007C07BB"/>
    <w:rsid w:val="007C0816"/>
    <w:rsid w:val="007C096C"/>
    <w:rsid w:val="007C0A3B"/>
    <w:rsid w:val="007C0DC5"/>
    <w:rsid w:val="007C0EC6"/>
    <w:rsid w:val="007C0FF4"/>
    <w:rsid w:val="007C10F1"/>
    <w:rsid w:val="007C1476"/>
    <w:rsid w:val="007C150D"/>
    <w:rsid w:val="007C1592"/>
    <w:rsid w:val="007C1A0F"/>
    <w:rsid w:val="007C1AC0"/>
    <w:rsid w:val="007C1BDE"/>
    <w:rsid w:val="007C233B"/>
    <w:rsid w:val="007C242C"/>
    <w:rsid w:val="007C246D"/>
    <w:rsid w:val="007C24EA"/>
    <w:rsid w:val="007C2533"/>
    <w:rsid w:val="007C2A1B"/>
    <w:rsid w:val="007C2C0E"/>
    <w:rsid w:val="007C2CD6"/>
    <w:rsid w:val="007C2DBE"/>
    <w:rsid w:val="007C3095"/>
    <w:rsid w:val="007C30C3"/>
    <w:rsid w:val="007C326C"/>
    <w:rsid w:val="007C337C"/>
    <w:rsid w:val="007C33F0"/>
    <w:rsid w:val="007C34BA"/>
    <w:rsid w:val="007C3660"/>
    <w:rsid w:val="007C3800"/>
    <w:rsid w:val="007C3AFE"/>
    <w:rsid w:val="007C3B82"/>
    <w:rsid w:val="007C3C0B"/>
    <w:rsid w:val="007C3F09"/>
    <w:rsid w:val="007C405A"/>
    <w:rsid w:val="007C408D"/>
    <w:rsid w:val="007C4243"/>
    <w:rsid w:val="007C450D"/>
    <w:rsid w:val="007C4865"/>
    <w:rsid w:val="007C4A58"/>
    <w:rsid w:val="007C4B1B"/>
    <w:rsid w:val="007C4D9D"/>
    <w:rsid w:val="007C4E42"/>
    <w:rsid w:val="007C4F14"/>
    <w:rsid w:val="007C507C"/>
    <w:rsid w:val="007C5141"/>
    <w:rsid w:val="007C5513"/>
    <w:rsid w:val="007C5597"/>
    <w:rsid w:val="007C57B6"/>
    <w:rsid w:val="007C57CD"/>
    <w:rsid w:val="007C5950"/>
    <w:rsid w:val="007C5998"/>
    <w:rsid w:val="007C5A92"/>
    <w:rsid w:val="007C5ACD"/>
    <w:rsid w:val="007C5C13"/>
    <w:rsid w:val="007C5C2A"/>
    <w:rsid w:val="007C5C5F"/>
    <w:rsid w:val="007C608D"/>
    <w:rsid w:val="007C617A"/>
    <w:rsid w:val="007C619C"/>
    <w:rsid w:val="007C6268"/>
    <w:rsid w:val="007C636F"/>
    <w:rsid w:val="007C6387"/>
    <w:rsid w:val="007C6412"/>
    <w:rsid w:val="007C671D"/>
    <w:rsid w:val="007C67E7"/>
    <w:rsid w:val="007C689D"/>
    <w:rsid w:val="007C6959"/>
    <w:rsid w:val="007C69F0"/>
    <w:rsid w:val="007C6A39"/>
    <w:rsid w:val="007C6D5C"/>
    <w:rsid w:val="007C6E57"/>
    <w:rsid w:val="007C6F9C"/>
    <w:rsid w:val="007C70CE"/>
    <w:rsid w:val="007C710A"/>
    <w:rsid w:val="007C74A2"/>
    <w:rsid w:val="007C75CF"/>
    <w:rsid w:val="007C7779"/>
    <w:rsid w:val="007C7881"/>
    <w:rsid w:val="007C7A19"/>
    <w:rsid w:val="007C7AA5"/>
    <w:rsid w:val="007C7CF8"/>
    <w:rsid w:val="007C7D0D"/>
    <w:rsid w:val="007C7DA1"/>
    <w:rsid w:val="007C7DDA"/>
    <w:rsid w:val="007C7EAC"/>
    <w:rsid w:val="007C7EEC"/>
    <w:rsid w:val="007C7F0E"/>
    <w:rsid w:val="007D026B"/>
    <w:rsid w:val="007D02EA"/>
    <w:rsid w:val="007D069C"/>
    <w:rsid w:val="007D06FA"/>
    <w:rsid w:val="007D0AB3"/>
    <w:rsid w:val="007D117F"/>
    <w:rsid w:val="007D13DD"/>
    <w:rsid w:val="007D158E"/>
    <w:rsid w:val="007D16AF"/>
    <w:rsid w:val="007D18D6"/>
    <w:rsid w:val="007D18F0"/>
    <w:rsid w:val="007D1B00"/>
    <w:rsid w:val="007D1C38"/>
    <w:rsid w:val="007D1F5E"/>
    <w:rsid w:val="007D2318"/>
    <w:rsid w:val="007D23B1"/>
    <w:rsid w:val="007D23F4"/>
    <w:rsid w:val="007D2549"/>
    <w:rsid w:val="007D27AE"/>
    <w:rsid w:val="007D2962"/>
    <w:rsid w:val="007D29FE"/>
    <w:rsid w:val="007D2CE8"/>
    <w:rsid w:val="007D2D12"/>
    <w:rsid w:val="007D2DF4"/>
    <w:rsid w:val="007D2EE5"/>
    <w:rsid w:val="007D2F67"/>
    <w:rsid w:val="007D347C"/>
    <w:rsid w:val="007D34BD"/>
    <w:rsid w:val="007D3B55"/>
    <w:rsid w:val="007D3B80"/>
    <w:rsid w:val="007D3BAF"/>
    <w:rsid w:val="007D4061"/>
    <w:rsid w:val="007D406A"/>
    <w:rsid w:val="007D436E"/>
    <w:rsid w:val="007D4517"/>
    <w:rsid w:val="007D4743"/>
    <w:rsid w:val="007D48C5"/>
    <w:rsid w:val="007D4D24"/>
    <w:rsid w:val="007D4F36"/>
    <w:rsid w:val="007D506A"/>
    <w:rsid w:val="007D5565"/>
    <w:rsid w:val="007D5600"/>
    <w:rsid w:val="007D58A0"/>
    <w:rsid w:val="007D58BF"/>
    <w:rsid w:val="007D597C"/>
    <w:rsid w:val="007D5984"/>
    <w:rsid w:val="007D5B80"/>
    <w:rsid w:val="007D5C47"/>
    <w:rsid w:val="007D5CBC"/>
    <w:rsid w:val="007D5D30"/>
    <w:rsid w:val="007D5F4D"/>
    <w:rsid w:val="007D5F64"/>
    <w:rsid w:val="007D5FAB"/>
    <w:rsid w:val="007D6011"/>
    <w:rsid w:val="007D60D4"/>
    <w:rsid w:val="007D62DA"/>
    <w:rsid w:val="007D65B8"/>
    <w:rsid w:val="007D65EB"/>
    <w:rsid w:val="007D666E"/>
    <w:rsid w:val="007D668D"/>
    <w:rsid w:val="007D681C"/>
    <w:rsid w:val="007D683A"/>
    <w:rsid w:val="007D68B8"/>
    <w:rsid w:val="007D6BCD"/>
    <w:rsid w:val="007D6E61"/>
    <w:rsid w:val="007D7095"/>
    <w:rsid w:val="007D70D4"/>
    <w:rsid w:val="007D7158"/>
    <w:rsid w:val="007D7484"/>
    <w:rsid w:val="007D752A"/>
    <w:rsid w:val="007D781E"/>
    <w:rsid w:val="007D7903"/>
    <w:rsid w:val="007D7A10"/>
    <w:rsid w:val="007D7C0E"/>
    <w:rsid w:val="007D7D4D"/>
    <w:rsid w:val="007D7FA4"/>
    <w:rsid w:val="007E006A"/>
    <w:rsid w:val="007E047E"/>
    <w:rsid w:val="007E0484"/>
    <w:rsid w:val="007E0528"/>
    <w:rsid w:val="007E0534"/>
    <w:rsid w:val="007E06A9"/>
    <w:rsid w:val="007E0832"/>
    <w:rsid w:val="007E0C1D"/>
    <w:rsid w:val="007E0D37"/>
    <w:rsid w:val="007E12BE"/>
    <w:rsid w:val="007E12DF"/>
    <w:rsid w:val="007E147B"/>
    <w:rsid w:val="007E1509"/>
    <w:rsid w:val="007E1542"/>
    <w:rsid w:val="007E15F7"/>
    <w:rsid w:val="007E161F"/>
    <w:rsid w:val="007E1936"/>
    <w:rsid w:val="007E19B4"/>
    <w:rsid w:val="007E1BA5"/>
    <w:rsid w:val="007E1BD4"/>
    <w:rsid w:val="007E1D02"/>
    <w:rsid w:val="007E1F9C"/>
    <w:rsid w:val="007E205C"/>
    <w:rsid w:val="007E21ED"/>
    <w:rsid w:val="007E229B"/>
    <w:rsid w:val="007E2343"/>
    <w:rsid w:val="007E2598"/>
    <w:rsid w:val="007E25B3"/>
    <w:rsid w:val="007E25D3"/>
    <w:rsid w:val="007E2650"/>
    <w:rsid w:val="007E284D"/>
    <w:rsid w:val="007E2927"/>
    <w:rsid w:val="007E2CFB"/>
    <w:rsid w:val="007E2DE1"/>
    <w:rsid w:val="007E3208"/>
    <w:rsid w:val="007E3209"/>
    <w:rsid w:val="007E346C"/>
    <w:rsid w:val="007E34AA"/>
    <w:rsid w:val="007E353B"/>
    <w:rsid w:val="007E35C6"/>
    <w:rsid w:val="007E35DD"/>
    <w:rsid w:val="007E3699"/>
    <w:rsid w:val="007E3BF7"/>
    <w:rsid w:val="007E3D1A"/>
    <w:rsid w:val="007E420D"/>
    <w:rsid w:val="007E441A"/>
    <w:rsid w:val="007E4542"/>
    <w:rsid w:val="007E45DE"/>
    <w:rsid w:val="007E460F"/>
    <w:rsid w:val="007E46EE"/>
    <w:rsid w:val="007E47C3"/>
    <w:rsid w:val="007E4C6F"/>
    <w:rsid w:val="007E4CAA"/>
    <w:rsid w:val="007E5010"/>
    <w:rsid w:val="007E505F"/>
    <w:rsid w:val="007E50A9"/>
    <w:rsid w:val="007E510D"/>
    <w:rsid w:val="007E529E"/>
    <w:rsid w:val="007E534D"/>
    <w:rsid w:val="007E5451"/>
    <w:rsid w:val="007E5596"/>
    <w:rsid w:val="007E58A0"/>
    <w:rsid w:val="007E598A"/>
    <w:rsid w:val="007E5BD4"/>
    <w:rsid w:val="007E5CA6"/>
    <w:rsid w:val="007E5DDD"/>
    <w:rsid w:val="007E5F17"/>
    <w:rsid w:val="007E649A"/>
    <w:rsid w:val="007E66B0"/>
    <w:rsid w:val="007E6723"/>
    <w:rsid w:val="007E6742"/>
    <w:rsid w:val="007E690E"/>
    <w:rsid w:val="007E69F1"/>
    <w:rsid w:val="007E6A3A"/>
    <w:rsid w:val="007E6A42"/>
    <w:rsid w:val="007E6AFA"/>
    <w:rsid w:val="007E6FDF"/>
    <w:rsid w:val="007E6FE0"/>
    <w:rsid w:val="007E70F9"/>
    <w:rsid w:val="007E71F2"/>
    <w:rsid w:val="007E7578"/>
    <w:rsid w:val="007E7677"/>
    <w:rsid w:val="007E77BD"/>
    <w:rsid w:val="007E77CD"/>
    <w:rsid w:val="007E7BDA"/>
    <w:rsid w:val="007E7C2D"/>
    <w:rsid w:val="007E7DD2"/>
    <w:rsid w:val="007E7E9A"/>
    <w:rsid w:val="007E7EF5"/>
    <w:rsid w:val="007F00FC"/>
    <w:rsid w:val="007F02AB"/>
    <w:rsid w:val="007F067C"/>
    <w:rsid w:val="007F06C0"/>
    <w:rsid w:val="007F0757"/>
    <w:rsid w:val="007F0BAC"/>
    <w:rsid w:val="007F0C89"/>
    <w:rsid w:val="007F0DCA"/>
    <w:rsid w:val="007F100F"/>
    <w:rsid w:val="007F1155"/>
    <w:rsid w:val="007F11AD"/>
    <w:rsid w:val="007F1314"/>
    <w:rsid w:val="007F17FC"/>
    <w:rsid w:val="007F18B1"/>
    <w:rsid w:val="007F19A0"/>
    <w:rsid w:val="007F1BDF"/>
    <w:rsid w:val="007F1C66"/>
    <w:rsid w:val="007F1EDB"/>
    <w:rsid w:val="007F1FAD"/>
    <w:rsid w:val="007F1FB3"/>
    <w:rsid w:val="007F1FC4"/>
    <w:rsid w:val="007F213E"/>
    <w:rsid w:val="007F250F"/>
    <w:rsid w:val="007F255F"/>
    <w:rsid w:val="007F2825"/>
    <w:rsid w:val="007F2876"/>
    <w:rsid w:val="007F28C5"/>
    <w:rsid w:val="007F2C17"/>
    <w:rsid w:val="007F2C25"/>
    <w:rsid w:val="007F2E79"/>
    <w:rsid w:val="007F3180"/>
    <w:rsid w:val="007F31B8"/>
    <w:rsid w:val="007F33B6"/>
    <w:rsid w:val="007F33DB"/>
    <w:rsid w:val="007F38FD"/>
    <w:rsid w:val="007F3991"/>
    <w:rsid w:val="007F3D05"/>
    <w:rsid w:val="007F402D"/>
    <w:rsid w:val="007F40AC"/>
    <w:rsid w:val="007F40B6"/>
    <w:rsid w:val="007F42FB"/>
    <w:rsid w:val="007F438A"/>
    <w:rsid w:val="007F44A5"/>
    <w:rsid w:val="007F4596"/>
    <w:rsid w:val="007F4B6C"/>
    <w:rsid w:val="007F4BE6"/>
    <w:rsid w:val="007F4F48"/>
    <w:rsid w:val="007F4F6C"/>
    <w:rsid w:val="007F52D0"/>
    <w:rsid w:val="007F5528"/>
    <w:rsid w:val="007F5531"/>
    <w:rsid w:val="007F555A"/>
    <w:rsid w:val="007F57D3"/>
    <w:rsid w:val="007F59A2"/>
    <w:rsid w:val="007F5C49"/>
    <w:rsid w:val="007F5CFB"/>
    <w:rsid w:val="007F5FE5"/>
    <w:rsid w:val="007F6A7F"/>
    <w:rsid w:val="007F6C24"/>
    <w:rsid w:val="007F6E12"/>
    <w:rsid w:val="007F73F6"/>
    <w:rsid w:val="007F7570"/>
    <w:rsid w:val="007F767A"/>
    <w:rsid w:val="007F77E8"/>
    <w:rsid w:val="007F78BE"/>
    <w:rsid w:val="007F79C8"/>
    <w:rsid w:val="007F7A20"/>
    <w:rsid w:val="007F7D9C"/>
    <w:rsid w:val="007F7E0F"/>
    <w:rsid w:val="007F7EA5"/>
    <w:rsid w:val="007F7EE6"/>
    <w:rsid w:val="008001FB"/>
    <w:rsid w:val="00800349"/>
    <w:rsid w:val="00800770"/>
    <w:rsid w:val="008008D3"/>
    <w:rsid w:val="008009E6"/>
    <w:rsid w:val="00800A3A"/>
    <w:rsid w:val="00800DC1"/>
    <w:rsid w:val="00800F09"/>
    <w:rsid w:val="0080109A"/>
    <w:rsid w:val="008011A2"/>
    <w:rsid w:val="008012B8"/>
    <w:rsid w:val="0080131A"/>
    <w:rsid w:val="0080139C"/>
    <w:rsid w:val="00801423"/>
    <w:rsid w:val="008016B1"/>
    <w:rsid w:val="008016C4"/>
    <w:rsid w:val="00801965"/>
    <w:rsid w:val="00801D9D"/>
    <w:rsid w:val="00801DF3"/>
    <w:rsid w:val="00801E45"/>
    <w:rsid w:val="00801F3F"/>
    <w:rsid w:val="00801FC0"/>
    <w:rsid w:val="0080215A"/>
    <w:rsid w:val="008021E5"/>
    <w:rsid w:val="008022BC"/>
    <w:rsid w:val="00802326"/>
    <w:rsid w:val="008023ED"/>
    <w:rsid w:val="008023EE"/>
    <w:rsid w:val="008026F6"/>
    <w:rsid w:val="00802918"/>
    <w:rsid w:val="008029AE"/>
    <w:rsid w:val="008029CD"/>
    <w:rsid w:val="00802B1E"/>
    <w:rsid w:val="00802BCE"/>
    <w:rsid w:val="00802E7D"/>
    <w:rsid w:val="00802F55"/>
    <w:rsid w:val="00803350"/>
    <w:rsid w:val="0080344F"/>
    <w:rsid w:val="008034E7"/>
    <w:rsid w:val="008035AA"/>
    <w:rsid w:val="008035FF"/>
    <w:rsid w:val="00803AA1"/>
    <w:rsid w:val="00803BCD"/>
    <w:rsid w:val="00803C68"/>
    <w:rsid w:val="00803FE4"/>
    <w:rsid w:val="00804174"/>
    <w:rsid w:val="00804489"/>
    <w:rsid w:val="0080454D"/>
    <w:rsid w:val="008046D3"/>
    <w:rsid w:val="00804838"/>
    <w:rsid w:val="00804A92"/>
    <w:rsid w:val="00804B39"/>
    <w:rsid w:val="00804CF8"/>
    <w:rsid w:val="00804D02"/>
    <w:rsid w:val="0080531C"/>
    <w:rsid w:val="00805550"/>
    <w:rsid w:val="00805619"/>
    <w:rsid w:val="00805851"/>
    <w:rsid w:val="008059B3"/>
    <w:rsid w:val="008059B8"/>
    <w:rsid w:val="00805FD1"/>
    <w:rsid w:val="0080608E"/>
    <w:rsid w:val="008060F4"/>
    <w:rsid w:val="008061FA"/>
    <w:rsid w:val="0080632A"/>
    <w:rsid w:val="00806374"/>
    <w:rsid w:val="008067C0"/>
    <w:rsid w:val="0080693B"/>
    <w:rsid w:val="00806E3E"/>
    <w:rsid w:val="00807074"/>
    <w:rsid w:val="008070E6"/>
    <w:rsid w:val="0080716F"/>
    <w:rsid w:val="008071A7"/>
    <w:rsid w:val="008072F6"/>
    <w:rsid w:val="00807454"/>
    <w:rsid w:val="008076D9"/>
    <w:rsid w:val="0080773E"/>
    <w:rsid w:val="00807EEB"/>
    <w:rsid w:val="00807EF8"/>
    <w:rsid w:val="00807FDA"/>
    <w:rsid w:val="008100C3"/>
    <w:rsid w:val="0081037A"/>
    <w:rsid w:val="00810410"/>
    <w:rsid w:val="00810565"/>
    <w:rsid w:val="00810740"/>
    <w:rsid w:val="008108B0"/>
    <w:rsid w:val="00810BAA"/>
    <w:rsid w:val="00810C6C"/>
    <w:rsid w:val="00811197"/>
    <w:rsid w:val="008111EA"/>
    <w:rsid w:val="00811483"/>
    <w:rsid w:val="008114E0"/>
    <w:rsid w:val="008116CE"/>
    <w:rsid w:val="008118A5"/>
    <w:rsid w:val="00811999"/>
    <w:rsid w:val="00811D34"/>
    <w:rsid w:val="00811DFF"/>
    <w:rsid w:val="0081203F"/>
    <w:rsid w:val="008120E2"/>
    <w:rsid w:val="00812229"/>
    <w:rsid w:val="00812721"/>
    <w:rsid w:val="008129B5"/>
    <w:rsid w:val="00812B1D"/>
    <w:rsid w:val="00812E76"/>
    <w:rsid w:val="00812EEA"/>
    <w:rsid w:val="008131F4"/>
    <w:rsid w:val="00813342"/>
    <w:rsid w:val="008135A7"/>
    <w:rsid w:val="0081366C"/>
    <w:rsid w:val="008136AB"/>
    <w:rsid w:val="00813925"/>
    <w:rsid w:val="00813931"/>
    <w:rsid w:val="00813CF7"/>
    <w:rsid w:val="00813D24"/>
    <w:rsid w:val="00813F3E"/>
    <w:rsid w:val="008147CC"/>
    <w:rsid w:val="008149CF"/>
    <w:rsid w:val="00814A28"/>
    <w:rsid w:val="00814A91"/>
    <w:rsid w:val="00814C0B"/>
    <w:rsid w:val="00814C66"/>
    <w:rsid w:val="00814FC2"/>
    <w:rsid w:val="00815273"/>
    <w:rsid w:val="00815316"/>
    <w:rsid w:val="008153D5"/>
    <w:rsid w:val="00815A9B"/>
    <w:rsid w:val="00815D09"/>
    <w:rsid w:val="00815D37"/>
    <w:rsid w:val="00815EAA"/>
    <w:rsid w:val="00815FEC"/>
    <w:rsid w:val="00816029"/>
    <w:rsid w:val="008162CB"/>
    <w:rsid w:val="008162DA"/>
    <w:rsid w:val="0081634B"/>
    <w:rsid w:val="0081651B"/>
    <w:rsid w:val="00816621"/>
    <w:rsid w:val="0081671A"/>
    <w:rsid w:val="00816A8E"/>
    <w:rsid w:val="00816D23"/>
    <w:rsid w:val="00816ECE"/>
    <w:rsid w:val="00817003"/>
    <w:rsid w:val="00817032"/>
    <w:rsid w:val="00817095"/>
    <w:rsid w:val="0081711D"/>
    <w:rsid w:val="00817216"/>
    <w:rsid w:val="0081735A"/>
    <w:rsid w:val="008174FC"/>
    <w:rsid w:val="0081755D"/>
    <w:rsid w:val="0081765B"/>
    <w:rsid w:val="00817738"/>
    <w:rsid w:val="008177B6"/>
    <w:rsid w:val="00817975"/>
    <w:rsid w:val="00817BD6"/>
    <w:rsid w:val="00817CB3"/>
    <w:rsid w:val="00817DCC"/>
    <w:rsid w:val="008202AA"/>
    <w:rsid w:val="0082065C"/>
    <w:rsid w:val="008208A6"/>
    <w:rsid w:val="00820917"/>
    <w:rsid w:val="00820BC4"/>
    <w:rsid w:val="008211A5"/>
    <w:rsid w:val="00821463"/>
    <w:rsid w:val="00821631"/>
    <w:rsid w:val="0082166C"/>
    <w:rsid w:val="008216B5"/>
    <w:rsid w:val="00821766"/>
    <w:rsid w:val="00821A36"/>
    <w:rsid w:val="00821B57"/>
    <w:rsid w:val="00821D1E"/>
    <w:rsid w:val="00821F2E"/>
    <w:rsid w:val="00822108"/>
    <w:rsid w:val="00822396"/>
    <w:rsid w:val="00822CBA"/>
    <w:rsid w:val="00822D2E"/>
    <w:rsid w:val="00823067"/>
    <w:rsid w:val="008232A5"/>
    <w:rsid w:val="00823368"/>
    <w:rsid w:val="0082373B"/>
    <w:rsid w:val="00823A62"/>
    <w:rsid w:val="00823E02"/>
    <w:rsid w:val="00823FAA"/>
    <w:rsid w:val="00824209"/>
    <w:rsid w:val="00824213"/>
    <w:rsid w:val="00824685"/>
    <w:rsid w:val="008249A4"/>
    <w:rsid w:val="00824ABF"/>
    <w:rsid w:val="00824E26"/>
    <w:rsid w:val="00825027"/>
    <w:rsid w:val="00825268"/>
    <w:rsid w:val="00825347"/>
    <w:rsid w:val="008253D5"/>
    <w:rsid w:val="0082553A"/>
    <w:rsid w:val="0082562C"/>
    <w:rsid w:val="00825687"/>
    <w:rsid w:val="00825D23"/>
    <w:rsid w:val="00825FA3"/>
    <w:rsid w:val="0082612A"/>
    <w:rsid w:val="0082613E"/>
    <w:rsid w:val="0082617D"/>
    <w:rsid w:val="00826320"/>
    <w:rsid w:val="00826775"/>
    <w:rsid w:val="0082699D"/>
    <w:rsid w:val="00826B94"/>
    <w:rsid w:val="00826D2D"/>
    <w:rsid w:val="00826D73"/>
    <w:rsid w:val="00826E2B"/>
    <w:rsid w:val="00826F02"/>
    <w:rsid w:val="008270FA"/>
    <w:rsid w:val="00827564"/>
    <w:rsid w:val="00827727"/>
    <w:rsid w:val="00827985"/>
    <w:rsid w:val="00827B07"/>
    <w:rsid w:val="00827EFB"/>
    <w:rsid w:val="0083015F"/>
    <w:rsid w:val="008301D4"/>
    <w:rsid w:val="00830201"/>
    <w:rsid w:val="00830504"/>
    <w:rsid w:val="008305BD"/>
    <w:rsid w:val="008305D5"/>
    <w:rsid w:val="008307A5"/>
    <w:rsid w:val="008307FA"/>
    <w:rsid w:val="0083092A"/>
    <w:rsid w:val="00830AD2"/>
    <w:rsid w:val="00830BA3"/>
    <w:rsid w:val="00830CE1"/>
    <w:rsid w:val="00830D3C"/>
    <w:rsid w:val="00830D78"/>
    <w:rsid w:val="00830E1B"/>
    <w:rsid w:val="00830E5B"/>
    <w:rsid w:val="00830FD5"/>
    <w:rsid w:val="00831215"/>
    <w:rsid w:val="008313A5"/>
    <w:rsid w:val="008314CE"/>
    <w:rsid w:val="0083150C"/>
    <w:rsid w:val="0083186D"/>
    <w:rsid w:val="00831A83"/>
    <w:rsid w:val="00831B2F"/>
    <w:rsid w:val="00831C49"/>
    <w:rsid w:val="00831E4D"/>
    <w:rsid w:val="00832469"/>
    <w:rsid w:val="0083249A"/>
    <w:rsid w:val="00832677"/>
    <w:rsid w:val="00832693"/>
    <w:rsid w:val="008326A4"/>
    <w:rsid w:val="00832791"/>
    <w:rsid w:val="00832DE5"/>
    <w:rsid w:val="00832E41"/>
    <w:rsid w:val="00833124"/>
    <w:rsid w:val="008335DE"/>
    <w:rsid w:val="00833681"/>
    <w:rsid w:val="008336C4"/>
    <w:rsid w:val="008338E6"/>
    <w:rsid w:val="00833DC2"/>
    <w:rsid w:val="00833F48"/>
    <w:rsid w:val="00834035"/>
    <w:rsid w:val="008340C0"/>
    <w:rsid w:val="00834141"/>
    <w:rsid w:val="00834546"/>
    <w:rsid w:val="008345F0"/>
    <w:rsid w:val="008347C8"/>
    <w:rsid w:val="00834824"/>
    <w:rsid w:val="0083482D"/>
    <w:rsid w:val="00834937"/>
    <w:rsid w:val="00834953"/>
    <w:rsid w:val="00834A2E"/>
    <w:rsid w:val="00834CEA"/>
    <w:rsid w:val="00834DCB"/>
    <w:rsid w:val="00835513"/>
    <w:rsid w:val="00835552"/>
    <w:rsid w:val="008355AA"/>
    <w:rsid w:val="008355C3"/>
    <w:rsid w:val="008355E8"/>
    <w:rsid w:val="00835646"/>
    <w:rsid w:val="00835654"/>
    <w:rsid w:val="00835668"/>
    <w:rsid w:val="008359C9"/>
    <w:rsid w:val="00835A21"/>
    <w:rsid w:val="00835A86"/>
    <w:rsid w:val="00835AEA"/>
    <w:rsid w:val="00835C91"/>
    <w:rsid w:val="00835D48"/>
    <w:rsid w:val="00835FCB"/>
    <w:rsid w:val="0083605C"/>
    <w:rsid w:val="00836098"/>
    <w:rsid w:val="00836240"/>
    <w:rsid w:val="00836654"/>
    <w:rsid w:val="008368BF"/>
    <w:rsid w:val="00836B25"/>
    <w:rsid w:val="00836C54"/>
    <w:rsid w:val="00836EFC"/>
    <w:rsid w:val="00837077"/>
    <w:rsid w:val="008376DB"/>
    <w:rsid w:val="008376E9"/>
    <w:rsid w:val="0083780D"/>
    <w:rsid w:val="00837859"/>
    <w:rsid w:val="00837860"/>
    <w:rsid w:val="00837B0E"/>
    <w:rsid w:val="00837C8B"/>
    <w:rsid w:val="00837D56"/>
    <w:rsid w:val="00837E14"/>
    <w:rsid w:val="00837F7F"/>
    <w:rsid w:val="0084011F"/>
    <w:rsid w:val="00840252"/>
    <w:rsid w:val="00840374"/>
    <w:rsid w:val="00840420"/>
    <w:rsid w:val="00840422"/>
    <w:rsid w:val="00840504"/>
    <w:rsid w:val="00840F72"/>
    <w:rsid w:val="0084113A"/>
    <w:rsid w:val="008412A6"/>
    <w:rsid w:val="00841838"/>
    <w:rsid w:val="00841863"/>
    <w:rsid w:val="008418F0"/>
    <w:rsid w:val="008419EC"/>
    <w:rsid w:val="00841B5B"/>
    <w:rsid w:val="00841C84"/>
    <w:rsid w:val="00841CA6"/>
    <w:rsid w:val="0084200F"/>
    <w:rsid w:val="0084235A"/>
    <w:rsid w:val="0084236D"/>
    <w:rsid w:val="00842470"/>
    <w:rsid w:val="0084265C"/>
    <w:rsid w:val="008428CF"/>
    <w:rsid w:val="008428E1"/>
    <w:rsid w:val="008428FA"/>
    <w:rsid w:val="00842CB4"/>
    <w:rsid w:val="00842DA5"/>
    <w:rsid w:val="00842DF8"/>
    <w:rsid w:val="0084309D"/>
    <w:rsid w:val="00843724"/>
    <w:rsid w:val="00843860"/>
    <w:rsid w:val="00843893"/>
    <w:rsid w:val="00844125"/>
    <w:rsid w:val="00844509"/>
    <w:rsid w:val="008446FC"/>
    <w:rsid w:val="00844918"/>
    <w:rsid w:val="00844E93"/>
    <w:rsid w:val="00844FA9"/>
    <w:rsid w:val="008451DF"/>
    <w:rsid w:val="008451F1"/>
    <w:rsid w:val="008452A3"/>
    <w:rsid w:val="008456FC"/>
    <w:rsid w:val="008458A4"/>
    <w:rsid w:val="00845949"/>
    <w:rsid w:val="00845B63"/>
    <w:rsid w:val="00845D6F"/>
    <w:rsid w:val="00845EF6"/>
    <w:rsid w:val="008461DA"/>
    <w:rsid w:val="00846584"/>
    <w:rsid w:val="00846BB0"/>
    <w:rsid w:val="00846E7B"/>
    <w:rsid w:val="00846F2B"/>
    <w:rsid w:val="0084720B"/>
    <w:rsid w:val="0084722F"/>
    <w:rsid w:val="0084732A"/>
    <w:rsid w:val="008474EA"/>
    <w:rsid w:val="008476A6"/>
    <w:rsid w:val="008476FE"/>
    <w:rsid w:val="00847AED"/>
    <w:rsid w:val="00847F88"/>
    <w:rsid w:val="00847FB9"/>
    <w:rsid w:val="0085048E"/>
    <w:rsid w:val="008506FB"/>
    <w:rsid w:val="00850B76"/>
    <w:rsid w:val="00850DBC"/>
    <w:rsid w:val="0085108F"/>
    <w:rsid w:val="008511AE"/>
    <w:rsid w:val="008511DB"/>
    <w:rsid w:val="008515C0"/>
    <w:rsid w:val="008518CD"/>
    <w:rsid w:val="0085198C"/>
    <w:rsid w:val="00851ABB"/>
    <w:rsid w:val="00851F23"/>
    <w:rsid w:val="00852042"/>
    <w:rsid w:val="00852238"/>
    <w:rsid w:val="008522D2"/>
    <w:rsid w:val="0085230F"/>
    <w:rsid w:val="00852743"/>
    <w:rsid w:val="00852ECE"/>
    <w:rsid w:val="00853247"/>
    <w:rsid w:val="0085365A"/>
    <w:rsid w:val="00853846"/>
    <w:rsid w:val="00853853"/>
    <w:rsid w:val="0085397E"/>
    <w:rsid w:val="00853C8D"/>
    <w:rsid w:val="00853D79"/>
    <w:rsid w:val="00853F1A"/>
    <w:rsid w:val="0085438E"/>
    <w:rsid w:val="00854701"/>
    <w:rsid w:val="00854759"/>
    <w:rsid w:val="00854765"/>
    <w:rsid w:val="008549A5"/>
    <w:rsid w:val="00854C2B"/>
    <w:rsid w:val="00854C5E"/>
    <w:rsid w:val="00854CEC"/>
    <w:rsid w:val="00854D27"/>
    <w:rsid w:val="00854F6F"/>
    <w:rsid w:val="00854F76"/>
    <w:rsid w:val="0085521E"/>
    <w:rsid w:val="008553E0"/>
    <w:rsid w:val="008553E7"/>
    <w:rsid w:val="008554F4"/>
    <w:rsid w:val="008555AD"/>
    <w:rsid w:val="00855682"/>
    <w:rsid w:val="0085575B"/>
    <w:rsid w:val="0085580C"/>
    <w:rsid w:val="00855975"/>
    <w:rsid w:val="00855CF3"/>
    <w:rsid w:val="00855D11"/>
    <w:rsid w:val="00855DDD"/>
    <w:rsid w:val="00855F11"/>
    <w:rsid w:val="00855FC6"/>
    <w:rsid w:val="008560ED"/>
    <w:rsid w:val="008562FE"/>
    <w:rsid w:val="008564D2"/>
    <w:rsid w:val="008565C3"/>
    <w:rsid w:val="008566E2"/>
    <w:rsid w:val="00856826"/>
    <w:rsid w:val="00856832"/>
    <w:rsid w:val="008569B8"/>
    <w:rsid w:val="00856AF8"/>
    <w:rsid w:val="00856C3C"/>
    <w:rsid w:val="00856C77"/>
    <w:rsid w:val="00856D46"/>
    <w:rsid w:val="00856E60"/>
    <w:rsid w:val="008570E2"/>
    <w:rsid w:val="00857420"/>
    <w:rsid w:val="00857459"/>
    <w:rsid w:val="0085757A"/>
    <w:rsid w:val="0085761B"/>
    <w:rsid w:val="008577E6"/>
    <w:rsid w:val="008577F1"/>
    <w:rsid w:val="00857E5E"/>
    <w:rsid w:val="00857E73"/>
    <w:rsid w:val="00857F05"/>
    <w:rsid w:val="00857F39"/>
    <w:rsid w:val="008600EE"/>
    <w:rsid w:val="008601F3"/>
    <w:rsid w:val="008602A8"/>
    <w:rsid w:val="0086045D"/>
    <w:rsid w:val="0086079F"/>
    <w:rsid w:val="008609E6"/>
    <w:rsid w:val="008609FA"/>
    <w:rsid w:val="00860ACA"/>
    <w:rsid w:val="00860B19"/>
    <w:rsid w:val="00860BD6"/>
    <w:rsid w:val="00860C58"/>
    <w:rsid w:val="00860CF5"/>
    <w:rsid w:val="00860D6B"/>
    <w:rsid w:val="008611A0"/>
    <w:rsid w:val="0086145A"/>
    <w:rsid w:val="008614DD"/>
    <w:rsid w:val="00861B02"/>
    <w:rsid w:val="00861B12"/>
    <w:rsid w:val="00861C32"/>
    <w:rsid w:val="00861C92"/>
    <w:rsid w:val="00861D6C"/>
    <w:rsid w:val="00861F96"/>
    <w:rsid w:val="0086211C"/>
    <w:rsid w:val="0086213C"/>
    <w:rsid w:val="00862318"/>
    <w:rsid w:val="0086232D"/>
    <w:rsid w:val="00862363"/>
    <w:rsid w:val="008628CD"/>
    <w:rsid w:val="008629CF"/>
    <w:rsid w:val="00862BED"/>
    <w:rsid w:val="00862D41"/>
    <w:rsid w:val="00862D7E"/>
    <w:rsid w:val="00862F1E"/>
    <w:rsid w:val="0086356B"/>
    <w:rsid w:val="008636F4"/>
    <w:rsid w:val="00863769"/>
    <w:rsid w:val="008637A7"/>
    <w:rsid w:val="0086394D"/>
    <w:rsid w:val="00863D2A"/>
    <w:rsid w:val="00863EAA"/>
    <w:rsid w:val="008640AD"/>
    <w:rsid w:val="008641F3"/>
    <w:rsid w:val="00864253"/>
    <w:rsid w:val="00864270"/>
    <w:rsid w:val="0086472C"/>
    <w:rsid w:val="00864B59"/>
    <w:rsid w:val="00864C7F"/>
    <w:rsid w:val="008651BF"/>
    <w:rsid w:val="00865613"/>
    <w:rsid w:val="00865681"/>
    <w:rsid w:val="00865736"/>
    <w:rsid w:val="0086600F"/>
    <w:rsid w:val="008663A4"/>
    <w:rsid w:val="008666A8"/>
    <w:rsid w:val="008667B3"/>
    <w:rsid w:val="00866A64"/>
    <w:rsid w:val="00866AF6"/>
    <w:rsid w:val="00866D4B"/>
    <w:rsid w:val="00866ECA"/>
    <w:rsid w:val="008670B6"/>
    <w:rsid w:val="00867436"/>
    <w:rsid w:val="00867883"/>
    <w:rsid w:val="008678D7"/>
    <w:rsid w:val="00867949"/>
    <w:rsid w:val="00867B51"/>
    <w:rsid w:val="00867EFE"/>
    <w:rsid w:val="00867F6B"/>
    <w:rsid w:val="00867F9F"/>
    <w:rsid w:val="00870158"/>
    <w:rsid w:val="00870612"/>
    <w:rsid w:val="00870629"/>
    <w:rsid w:val="008707DF"/>
    <w:rsid w:val="00870A28"/>
    <w:rsid w:val="00870BDB"/>
    <w:rsid w:val="00870CB5"/>
    <w:rsid w:val="00870D5F"/>
    <w:rsid w:val="008712E7"/>
    <w:rsid w:val="008712E8"/>
    <w:rsid w:val="00871701"/>
    <w:rsid w:val="0087193E"/>
    <w:rsid w:val="00871A27"/>
    <w:rsid w:val="00871A96"/>
    <w:rsid w:val="00871D55"/>
    <w:rsid w:val="00871DF2"/>
    <w:rsid w:val="00871FCC"/>
    <w:rsid w:val="00871FD0"/>
    <w:rsid w:val="00872194"/>
    <w:rsid w:val="0087219C"/>
    <w:rsid w:val="0087223B"/>
    <w:rsid w:val="00872244"/>
    <w:rsid w:val="00872277"/>
    <w:rsid w:val="008725B1"/>
    <w:rsid w:val="00872742"/>
    <w:rsid w:val="008728BF"/>
    <w:rsid w:val="0087296B"/>
    <w:rsid w:val="00872B6A"/>
    <w:rsid w:val="00872C4F"/>
    <w:rsid w:val="00872CC8"/>
    <w:rsid w:val="00872FD0"/>
    <w:rsid w:val="008731B8"/>
    <w:rsid w:val="008732D1"/>
    <w:rsid w:val="00873419"/>
    <w:rsid w:val="00873458"/>
    <w:rsid w:val="00873475"/>
    <w:rsid w:val="00873640"/>
    <w:rsid w:val="008736EC"/>
    <w:rsid w:val="00873873"/>
    <w:rsid w:val="00873972"/>
    <w:rsid w:val="008739FD"/>
    <w:rsid w:val="00873DBD"/>
    <w:rsid w:val="0087402E"/>
    <w:rsid w:val="0087407D"/>
    <w:rsid w:val="008743B8"/>
    <w:rsid w:val="008746F4"/>
    <w:rsid w:val="0087474F"/>
    <w:rsid w:val="00874B02"/>
    <w:rsid w:val="00874BA5"/>
    <w:rsid w:val="00874E60"/>
    <w:rsid w:val="00874F70"/>
    <w:rsid w:val="00875119"/>
    <w:rsid w:val="00875270"/>
    <w:rsid w:val="008752D7"/>
    <w:rsid w:val="008752FE"/>
    <w:rsid w:val="0087535E"/>
    <w:rsid w:val="00875376"/>
    <w:rsid w:val="0087544F"/>
    <w:rsid w:val="0087546B"/>
    <w:rsid w:val="00875522"/>
    <w:rsid w:val="008755D4"/>
    <w:rsid w:val="00875847"/>
    <w:rsid w:val="00875869"/>
    <w:rsid w:val="008758E5"/>
    <w:rsid w:val="00875AD4"/>
    <w:rsid w:val="00875B29"/>
    <w:rsid w:val="00875C68"/>
    <w:rsid w:val="00875E1D"/>
    <w:rsid w:val="00875E3F"/>
    <w:rsid w:val="00875F85"/>
    <w:rsid w:val="00875F94"/>
    <w:rsid w:val="0087605F"/>
    <w:rsid w:val="00876307"/>
    <w:rsid w:val="008764D7"/>
    <w:rsid w:val="00876537"/>
    <w:rsid w:val="008765A0"/>
    <w:rsid w:val="00876680"/>
    <w:rsid w:val="0087676B"/>
    <w:rsid w:val="008767C4"/>
    <w:rsid w:val="00876D05"/>
    <w:rsid w:val="008778DC"/>
    <w:rsid w:val="00877C28"/>
    <w:rsid w:val="00877D8E"/>
    <w:rsid w:val="00877F13"/>
    <w:rsid w:val="00877F25"/>
    <w:rsid w:val="00877F3C"/>
    <w:rsid w:val="00877F43"/>
    <w:rsid w:val="00880088"/>
    <w:rsid w:val="008801DE"/>
    <w:rsid w:val="00880517"/>
    <w:rsid w:val="0088079A"/>
    <w:rsid w:val="008808A0"/>
    <w:rsid w:val="008808C2"/>
    <w:rsid w:val="00880FB5"/>
    <w:rsid w:val="00881333"/>
    <w:rsid w:val="00881419"/>
    <w:rsid w:val="00881686"/>
    <w:rsid w:val="00881848"/>
    <w:rsid w:val="00881A09"/>
    <w:rsid w:val="00881BBC"/>
    <w:rsid w:val="00881E02"/>
    <w:rsid w:val="00881E99"/>
    <w:rsid w:val="00881F1F"/>
    <w:rsid w:val="00881F43"/>
    <w:rsid w:val="008820E7"/>
    <w:rsid w:val="008822B9"/>
    <w:rsid w:val="008823D3"/>
    <w:rsid w:val="008823D9"/>
    <w:rsid w:val="008823E6"/>
    <w:rsid w:val="00882B9A"/>
    <w:rsid w:val="00882D5D"/>
    <w:rsid w:val="00882DEC"/>
    <w:rsid w:val="00883069"/>
    <w:rsid w:val="00883219"/>
    <w:rsid w:val="0088351F"/>
    <w:rsid w:val="0088364F"/>
    <w:rsid w:val="00883681"/>
    <w:rsid w:val="0088377E"/>
    <w:rsid w:val="008839D9"/>
    <w:rsid w:val="00883AF9"/>
    <w:rsid w:val="00883B97"/>
    <w:rsid w:val="00883BA5"/>
    <w:rsid w:val="00883C0E"/>
    <w:rsid w:val="00883CBF"/>
    <w:rsid w:val="00884219"/>
    <w:rsid w:val="008842A1"/>
    <w:rsid w:val="0088432A"/>
    <w:rsid w:val="0088445C"/>
    <w:rsid w:val="0088457E"/>
    <w:rsid w:val="00884604"/>
    <w:rsid w:val="00884808"/>
    <w:rsid w:val="00884BB7"/>
    <w:rsid w:val="008852B4"/>
    <w:rsid w:val="00885327"/>
    <w:rsid w:val="00885447"/>
    <w:rsid w:val="0088552B"/>
    <w:rsid w:val="008855B1"/>
    <w:rsid w:val="008856E1"/>
    <w:rsid w:val="0088574D"/>
    <w:rsid w:val="008857E2"/>
    <w:rsid w:val="00885807"/>
    <w:rsid w:val="00885ACE"/>
    <w:rsid w:val="00885E43"/>
    <w:rsid w:val="00885F12"/>
    <w:rsid w:val="00886184"/>
    <w:rsid w:val="008862C2"/>
    <w:rsid w:val="0088639B"/>
    <w:rsid w:val="00886439"/>
    <w:rsid w:val="00886A0E"/>
    <w:rsid w:val="00886A51"/>
    <w:rsid w:val="00886FBE"/>
    <w:rsid w:val="00887455"/>
    <w:rsid w:val="008874B0"/>
    <w:rsid w:val="0088750B"/>
    <w:rsid w:val="00887628"/>
    <w:rsid w:val="0088777E"/>
    <w:rsid w:val="00887965"/>
    <w:rsid w:val="008879F8"/>
    <w:rsid w:val="00887AAE"/>
    <w:rsid w:val="00887CE1"/>
    <w:rsid w:val="00887E7F"/>
    <w:rsid w:val="008900DB"/>
    <w:rsid w:val="008902E3"/>
    <w:rsid w:val="008902E7"/>
    <w:rsid w:val="008904B0"/>
    <w:rsid w:val="00890812"/>
    <w:rsid w:val="00890899"/>
    <w:rsid w:val="00890CD5"/>
    <w:rsid w:val="00890DD9"/>
    <w:rsid w:val="00890E57"/>
    <w:rsid w:val="008911DF"/>
    <w:rsid w:val="0089194B"/>
    <w:rsid w:val="00891977"/>
    <w:rsid w:val="008919D7"/>
    <w:rsid w:val="00891BCA"/>
    <w:rsid w:val="00892094"/>
    <w:rsid w:val="0089215F"/>
    <w:rsid w:val="008921C1"/>
    <w:rsid w:val="008923CD"/>
    <w:rsid w:val="0089292A"/>
    <w:rsid w:val="0089297D"/>
    <w:rsid w:val="00892A29"/>
    <w:rsid w:val="00892B80"/>
    <w:rsid w:val="00892BF5"/>
    <w:rsid w:val="00892C90"/>
    <w:rsid w:val="00892E8E"/>
    <w:rsid w:val="00892E98"/>
    <w:rsid w:val="00892FAF"/>
    <w:rsid w:val="00892FD3"/>
    <w:rsid w:val="0089303D"/>
    <w:rsid w:val="00893090"/>
    <w:rsid w:val="008930F0"/>
    <w:rsid w:val="0089317A"/>
    <w:rsid w:val="00893249"/>
    <w:rsid w:val="008935B4"/>
    <w:rsid w:val="00893768"/>
    <w:rsid w:val="0089399C"/>
    <w:rsid w:val="00893A82"/>
    <w:rsid w:val="00893B49"/>
    <w:rsid w:val="00893B54"/>
    <w:rsid w:val="00893C10"/>
    <w:rsid w:val="00893D11"/>
    <w:rsid w:val="00893EF4"/>
    <w:rsid w:val="008944D2"/>
    <w:rsid w:val="0089454C"/>
    <w:rsid w:val="008945E7"/>
    <w:rsid w:val="008948FC"/>
    <w:rsid w:val="00894A06"/>
    <w:rsid w:val="00894ADC"/>
    <w:rsid w:val="00894EBB"/>
    <w:rsid w:val="0089507E"/>
    <w:rsid w:val="008953E9"/>
    <w:rsid w:val="0089561F"/>
    <w:rsid w:val="0089565F"/>
    <w:rsid w:val="00895683"/>
    <w:rsid w:val="0089574C"/>
    <w:rsid w:val="00895789"/>
    <w:rsid w:val="008957A5"/>
    <w:rsid w:val="008957EA"/>
    <w:rsid w:val="00895A2A"/>
    <w:rsid w:val="00895B30"/>
    <w:rsid w:val="00895ECA"/>
    <w:rsid w:val="00895F19"/>
    <w:rsid w:val="008969E2"/>
    <w:rsid w:val="00896C69"/>
    <w:rsid w:val="00896CC2"/>
    <w:rsid w:val="00896FCB"/>
    <w:rsid w:val="00897073"/>
    <w:rsid w:val="00897083"/>
    <w:rsid w:val="0089708E"/>
    <w:rsid w:val="008970CC"/>
    <w:rsid w:val="0089728F"/>
    <w:rsid w:val="00897294"/>
    <w:rsid w:val="008974A9"/>
    <w:rsid w:val="0089758B"/>
    <w:rsid w:val="00897689"/>
    <w:rsid w:val="00897FE7"/>
    <w:rsid w:val="008A0394"/>
    <w:rsid w:val="008A0564"/>
    <w:rsid w:val="008A0649"/>
    <w:rsid w:val="008A0749"/>
    <w:rsid w:val="008A0A87"/>
    <w:rsid w:val="008A0AD1"/>
    <w:rsid w:val="008A0C1D"/>
    <w:rsid w:val="008A0E10"/>
    <w:rsid w:val="008A0E69"/>
    <w:rsid w:val="008A0FB9"/>
    <w:rsid w:val="008A1209"/>
    <w:rsid w:val="008A1340"/>
    <w:rsid w:val="008A1398"/>
    <w:rsid w:val="008A158E"/>
    <w:rsid w:val="008A15D0"/>
    <w:rsid w:val="008A17EF"/>
    <w:rsid w:val="008A17F6"/>
    <w:rsid w:val="008A185C"/>
    <w:rsid w:val="008A18D4"/>
    <w:rsid w:val="008A19D4"/>
    <w:rsid w:val="008A19DC"/>
    <w:rsid w:val="008A1B1A"/>
    <w:rsid w:val="008A1B2E"/>
    <w:rsid w:val="008A1D0D"/>
    <w:rsid w:val="008A1D61"/>
    <w:rsid w:val="008A23D1"/>
    <w:rsid w:val="008A24DA"/>
    <w:rsid w:val="008A282E"/>
    <w:rsid w:val="008A297E"/>
    <w:rsid w:val="008A2EBE"/>
    <w:rsid w:val="008A2F11"/>
    <w:rsid w:val="008A31E2"/>
    <w:rsid w:val="008A338B"/>
    <w:rsid w:val="008A3471"/>
    <w:rsid w:val="008A36C7"/>
    <w:rsid w:val="008A3831"/>
    <w:rsid w:val="008A3BEA"/>
    <w:rsid w:val="008A3CB8"/>
    <w:rsid w:val="008A3E1C"/>
    <w:rsid w:val="008A3F1B"/>
    <w:rsid w:val="008A3F80"/>
    <w:rsid w:val="008A401E"/>
    <w:rsid w:val="008A4701"/>
    <w:rsid w:val="008A5010"/>
    <w:rsid w:val="008A50EE"/>
    <w:rsid w:val="008A52A5"/>
    <w:rsid w:val="008A5431"/>
    <w:rsid w:val="008A55AA"/>
    <w:rsid w:val="008A5651"/>
    <w:rsid w:val="008A57B8"/>
    <w:rsid w:val="008A5A24"/>
    <w:rsid w:val="008A5A62"/>
    <w:rsid w:val="008A5C3E"/>
    <w:rsid w:val="008A5D02"/>
    <w:rsid w:val="008A5D67"/>
    <w:rsid w:val="008A613A"/>
    <w:rsid w:val="008A62B6"/>
    <w:rsid w:val="008A6671"/>
    <w:rsid w:val="008A6689"/>
    <w:rsid w:val="008A6723"/>
    <w:rsid w:val="008A6874"/>
    <w:rsid w:val="008A6B12"/>
    <w:rsid w:val="008A6F69"/>
    <w:rsid w:val="008A6F92"/>
    <w:rsid w:val="008A7120"/>
    <w:rsid w:val="008A713F"/>
    <w:rsid w:val="008A7209"/>
    <w:rsid w:val="008A73A5"/>
    <w:rsid w:val="008A7448"/>
    <w:rsid w:val="008A74C7"/>
    <w:rsid w:val="008A755F"/>
    <w:rsid w:val="008A76AB"/>
    <w:rsid w:val="008A76D3"/>
    <w:rsid w:val="008A77B0"/>
    <w:rsid w:val="008A7AAD"/>
    <w:rsid w:val="008B0403"/>
    <w:rsid w:val="008B0529"/>
    <w:rsid w:val="008B0924"/>
    <w:rsid w:val="008B0BFE"/>
    <w:rsid w:val="008B0D89"/>
    <w:rsid w:val="008B1001"/>
    <w:rsid w:val="008B11CE"/>
    <w:rsid w:val="008B11F8"/>
    <w:rsid w:val="008B1256"/>
    <w:rsid w:val="008B13E0"/>
    <w:rsid w:val="008B143D"/>
    <w:rsid w:val="008B14DE"/>
    <w:rsid w:val="008B14DF"/>
    <w:rsid w:val="008B1B17"/>
    <w:rsid w:val="008B1C94"/>
    <w:rsid w:val="008B2240"/>
    <w:rsid w:val="008B2321"/>
    <w:rsid w:val="008B245A"/>
    <w:rsid w:val="008B27B5"/>
    <w:rsid w:val="008B2879"/>
    <w:rsid w:val="008B288C"/>
    <w:rsid w:val="008B2B91"/>
    <w:rsid w:val="008B2BA2"/>
    <w:rsid w:val="008B302B"/>
    <w:rsid w:val="008B31ED"/>
    <w:rsid w:val="008B34A3"/>
    <w:rsid w:val="008B3680"/>
    <w:rsid w:val="008B36A6"/>
    <w:rsid w:val="008B3887"/>
    <w:rsid w:val="008B3BE7"/>
    <w:rsid w:val="008B3C9E"/>
    <w:rsid w:val="008B3D5C"/>
    <w:rsid w:val="008B40CC"/>
    <w:rsid w:val="008B42E7"/>
    <w:rsid w:val="008B43B3"/>
    <w:rsid w:val="008B4660"/>
    <w:rsid w:val="008B4776"/>
    <w:rsid w:val="008B4990"/>
    <w:rsid w:val="008B4BDF"/>
    <w:rsid w:val="008B4CD5"/>
    <w:rsid w:val="008B4CF5"/>
    <w:rsid w:val="008B4E6D"/>
    <w:rsid w:val="008B5212"/>
    <w:rsid w:val="008B54AE"/>
    <w:rsid w:val="008B552B"/>
    <w:rsid w:val="008B5626"/>
    <w:rsid w:val="008B568E"/>
    <w:rsid w:val="008B5BEE"/>
    <w:rsid w:val="008B5CE8"/>
    <w:rsid w:val="008B5D59"/>
    <w:rsid w:val="008B5E0C"/>
    <w:rsid w:val="008B5EA9"/>
    <w:rsid w:val="008B60DC"/>
    <w:rsid w:val="008B6302"/>
    <w:rsid w:val="008B6570"/>
    <w:rsid w:val="008B65DE"/>
    <w:rsid w:val="008B66F2"/>
    <w:rsid w:val="008B6775"/>
    <w:rsid w:val="008B67B4"/>
    <w:rsid w:val="008B683F"/>
    <w:rsid w:val="008B68F9"/>
    <w:rsid w:val="008B69E1"/>
    <w:rsid w:val="008B6A1D"/>
    <w:rsid w:val="008B6B11"/>
    <w:rsid w:val="008B6BC4"/>
    <w:rsid w:val="008B6C42"/>
    <w:rsid w:val="008B6FA2"/>
    <w:rsid w:val="008B76AE"/>
    <w:rsid w:val="008B76B4"/>
    <w:rsid w:val="008B771D"/>
    <w:rsid w:val="008B7729"/>
    <w:rsid w:val="008B7BFB"/>
    <w:rsid w:val="008B7C8B"/>
    <w:rsid w:val="008B7D21"/>
    <w:rsid w:val="008B7D4C"/>
    <w:rsid w:val="008B7D52"/>
    <w:rsid w:val="008B7F45"/>
    <w:rsid w:val="008C003C"/>
    <w:rsid w:val="008C013A"/>
    <w:rsid w:val="008C01EC"/>
    <w:rsid w:val="008C0226"/>
    <w:rsid w:val="008C028A"/>
    <w:rsid w:val="008C0465"/>
    <w:rsid w:val="008C0590"/>
    <w:rsid w:val="008C079D"/>
    <w:rsid w:val="008C09E6"/>
    <w:rsid w:val="008C0BB8"/>
    <w:rsid w:val="008C0DA7"/>
    <w:rsid w:val="008C0DD3"/>
    <w:rsid w:val="008C0E00"/>
    <w:rsid w:val="008C0E9D"/>
    <w:rsid w:val="008C1036"/>
    <w:rsid w:val="008C147F"/>
    <w:rsid w:val="008C15DB"/>
    <w:rsid w:val="008C190F"/>
    <w:rsid w:val="008C1A3A"/>
    <w:rsid w:val="008C1B2A"/>
    <w:rsid w:val="008C1B6E"/>
    <w:rsid w:val="008C1D37"/>
    <w:rsid w:val="008C1DC0"/>
    <w:rsid w:val="008C1EBE"/>
    <w:rsid w:val="008C1F7F"/>
    <w:rsid w:val="008C25A6"/>
    <w:rsid w:val="008C27FD"/>
    <w:rsid w:val="008C2B01"/>
    <w:rsid w:val="008C2D9A"/>
    <w:rsid w:val="008C2DBD"/>
    <w:rsid w:val="008C2DDD"/>
    <w:rsid w:val="008C2FD7"/>
    <w:rsid w:val="008C318E"/>
    <w:rsid w:val="008C324C"/>
    <w:rsid w:val="008C3278"/>
    <w:rsid w:val="008C34CF"/>
    <w:rsid w:val="008C3632"/>
    <w:rsid w:val="008C377B"/>
    <w:rsid w:val="008C380E"/>
    <w:rsid w:val="008C3C10"/>
    <w:rsid w:val="008C3C2C"/>
    <w:rsid w:val="008C4267"/>
    <w:rsid w:val="008C4310"/>
    <w:rsid w:val="008C4429"/>
    <w:rsid w:val="008C44A9"/>
    <w:rsid w:val="008C4CE4"/>
    <w:rsid w:val="008C4D39"/>
    <w:rsid w:val="008C4F9D"/>
    <w:rsid w:val="008C5145"/>
    <w:rsid w:val="008C5243"/>
    <w:rsid w:val="008C54A0"/>
    <w:rsid w:val="008C55C8"/>
    <w:rsid w:val="008C5CBD"/>
    <w:rsid w:val="008C5FC0"/>
    <w:rsid w:val="008C602D"/>
    <w:rsid w:val="008C63DF"/>
    <w:rsid w:val="008C64AE"/>
    <w:rsid w:val="008C67CF"/>
    <w:rsid w:val="008C688B"/>
    <w:rsid w:val="008C6931"/>
    <w:rsid w:val="008C6BB5"/>
    <w:rsid w:val="008C6D62"/>
    <w:rsid w:val="008C6E12"/>
    <w:rsid w:val="008C6F11"/>
    <w:rsid w:val="008C6F3E"/>
    <w:rsid w:val="008C7066"/>
    <w:rsid w:val="008C70F0"/>
    <w:rsid w:val="008C7281"/>
    <w:rsid w:val="008C72BC"/>
    <w:rsid w:val="008C74B5"/>
    <w:rsid w:val="008C75E7"/>
    <w:rsid w:val="008C7680"/>
    <w:rsid w:val="008C76CA"/>
    <w:rsid w:val="008C770E"/>
    <w:rsid w:val="008C78A6"/>
    <w:rsid w:val="008C7984"/>
    <w:rsid w:val="008C7A45"/>
    <w:rsid w:val="008C7B33"/>
    <w:rsid w:val="008C7C16"/>
    <w:rsid w:val="008D0074"/>
    <w:rsid w:val="008D007A"/>
    <w:rsid w:val="008D00FD"/>
    <w:rsid w:val="008D0342"/>
    <w:rsid w:val="008D0413"/>
    <w:rsid w:val="008D041F"/>
    <w:rsid w:val="008D0564"/>
    <w:rsid w:val="008D076C"/>
    <w:rsid w:val="008D093A"/>
    <w:rsid w:val="008D0AD4"/>
    <w:rsid w:val="008D0F43"/>
    <w:rsid w:val="008D15BE"/>
    <w:rsid w:val="008D1731"/>
    <w:rsid w:val="008D173A"/>
    <w:rsid w:val="008D18F0"/>
    <w:rsid w:val="008D1B4F"/>
    <w:rsid w:val="008D1D6F"/>
    <w:rsid w:val="008D1DA6"/>
    <w:rsid w:val="008D2139"/>
    <w:rsid w:val="008D23FF"/>
    <w:rsid w:val="008D2423"/>
    <w:rsid w:val="008D2760"/>
    <w:rsid w:val="008D2A06"/>
    <w:rsid w:val="008D2BF5"/>
    <w:rsid w:val="008D2F94"/>
    <w:rsid w:val="008D3098"/>
    <w:rsid w:val="008D30D6"/>
    <w:rsid w:val="008D3106"/>
    <w:rsid w:val="008D32C9"/>
    <w:rsid w:val="008D32F3"/>
    <w:rsid w:val="008D33AA"/>
    <w:rsid w:val="008D357B"/>
    <w:rsid w:val="008D3902"/>
    <w:rsid w:val="008D39D3"/>
    <w:rsid w:val="008D3A61"/>
    <w:rsid w:val="008D402A"/>
    <w:rsid w:val="008D437D"/>
    <w:rsid w:val="008D43E6"/>
    <w:rsid w:val="008D44C1"/>
    <w:rsid w:val="008D44F3"/>
    <w:rsid w:val="008D4882"/>
    <w:rsid w:val="008D48FA"/>
    <w:rsid w:val="008D49B0"/>
    <w:rsid w:val="008D4ACD"/>
    <w:rsid w:val="008D4B69"/>
    <w:rsid w:val="008D4D5A"/>
    <w:rsid w:val="008D4DB9"/>
    <w:rsid w:val="008D4EF5"/>
    <w:rsid w:val="008D508F"/>
    <w:rsid w:val="008D522B"/>
    <w:rsid w:val="008D5259"/>
    <w:rsid w:val="008D545B"/>
    <w:rsid w:val="008D547A"/>
    <w:rsid w:val="008D556B"/>
    <w:rsid w:val="008D5616"/>
    <w:rsid w:val="008D5658"/>
    <w:rsid w:val="008D565E"/>
    <w:rsid w:val="008D575E"/>
    <w:rsid w:val="008D5768"/>
    <w:rsid w:val="008D58B0"/>
    <w:rsid w:val="008D5E6B"/>
    <w:rsid w:val="008D5EF5"/>
    <w:rsid w:val="008D60F6"/>
    <w:rsid w:val="008D61E9"/>
    <w:rsid w:val="008D6363"/>
    <w:rsid w:val="008D65AB"/>
    <w:rsid w:val="008D68FB"/>
    <w:rsid w:val="008D696D"/>
    <w:rsid w:val="008D6A83"/>
    <w:rsid w:val="008D6AAD"/>
    <w:rsid w:val="008D6B0D"/>
    <w:rsid w:val="008D6CEA"/>
    <w:rsid w:val="008D72F7"/>
    <w:rsid w:val="008D739E"/>
    <w:rsid w:val="008D7425"/>
    <w:rsid w:val="008D75C4"/>
    <w:rsid w:val="008D75E1"/>
    <w:rsid w:val="008D7751"/>
    <w:rsid w:val="008D7822"/>
    <w:rsid w:val="008D7ABA"/>
    <w:rsid w:val="008D7B08"/>
    <w:rsid w:val="008D7CE2"/>
    <w:rsid w:val="008D7F67"/>
    <w:rsid w:val="008E01A7"/>
    <w:rsid w:val="008E04A8"/>
    <w:rsid w:val="008E0644"/>
    <w:rsid w:val="008E06DD"/>
    <w:rsid w:val="008E0833"/>
    <w:rsid w:val="008E0A92"/>
    <w:rsid w:val="008E0BC9"/>
    <w:rsid w:val="008E0D32"/>
    <w:rsid w:val="008E0FCA"/>
    <w:rsid w:val="008E0FD6"/>
    <w:rsid w:val="008E1117"/>
    <w:rsid w:val="008E1131"/>
    <w:rsid w:val="008E116F"/>
    <w:rsid w:val="008E12AE"/>
    <w:rsid w:val="008E1309"/>
    <w:rsid w:val="008E138E"/>
    <w:rsid w:val="008E14D7"/>
    <w:rsid w:val="008E157B"/>
    <w:rsid w:val="008E159D"/>
    <w:rsid w:val="008E1611"/>
    <w:rsid w:val="008E1632"/>
    <w:rsid w:val="008E16E5"/>
    <w:rsid w:val="008E1714"/>
    <w:rsid w:val="008E171F"/>
    <w:rsid w:val="008E1DDE"/>
    <w:rsid w:val="008E1F65"/>
    <w:rsid w:val="008E21E2"/>
    <w:rsid w:val="008E2301"/>
    <w:rsid w:val="008E23CF"/>
    <w:rsid w:val="008E2825"/>
    <w:rsid w:val="008E2992"/>
    <w:rsid w:val="008E2A06"/>
    <w:rsid w:val="008E2BC2"/>
    <w:rsid w:val="008E3200"/>
    <w:rsid w:val="008E32E7"/>
    <w:rsid w:val="008E3659"/>
    <w:rsid w:val="008E376F"/>
    <w:rsid w:val="008E38D8"/>
    <w:rsid w:val="008E3A1E"/>
    <w:rsid w:val="008E3ABC"/>
    <w:rsid w:val="008E3ED2"/>
    <w:rsid w:val="008E4200"/>
    <w:rsid w:val="008E421C"/>
    <w:rsid w:val="008E4228"/>
    <w:rsid w:val="008E443F"/>
    <w:rsid w:val="008E4538"/>
    <w:rsid w:val="008E46CC"/>
    <w:rsid w:val="008E47CA"/>
    <w:rsid w:val="008E4A87"/>
    <w:rsid w:val="008E4B80"/>
    <w:rsid w:val="008E4CBF"/>
    <w:rsid w:val="008E4FCE"/>
    <w:rsid w:val="008E55FC"/>
    <w:rsid w:val="008E562B"/>
    <w:rsid w:val="008E57C5"/>
    <w:rsid w:val="008E585A"/>
    <w:rsid w:val="008E586E"/>
    <w:rsid w:val="008E5AEA"/>
    <w:rsid w:val="008E5FE6"/>
    <w:rsid w:val="008E607F"/>
    <w:rsid w:val="008E6188"/>
    <w:rsid w:val="008E61C8"/>
    <w:rsid w:val="008E62EE"/>
    <w:rsid w:val="008E64E2"/>
    <w:rsid w:val="008E650E"/>
    <w:rsid w:val="008E6625"/>
    <w:rsid w:val="008E66E9"/>
    <w:rsid w:val="008E67CA"/>
    <w:rsid w:val="008E68E3"/>
    <w:rsid w:val="008E6D7E"/>
    <w:rsid w:val="008E6E79"/>
    <w:rsid w:val="008E733C"/>
    <w:rsid w:val="008E7352"/>
    <w:rsid w:val="008E781F"/>
    <w:rsid w:val="008E7E6B"/>
    <w:rsid w:val="008E7EC0"/>
    <w:rsid w:val="008F0254"/>
    <w:rsid w:val="008F07A4"/>
    <w:rsid w:val="008F0972"/>
    <w:rsid w:val="008F0A81"/>
    <w:rsid w:val="008F0F6B"/>
    <w:rsid w:val="008F1111"/>
    <w:rsid w:val="008F12B5"/>
    <w:rsid w:val="008F12F8"/>
    <w:rsid w:val="008F134F"/>
    <w:rsid w:val="008F13B9"/>
    <w:rsid w:val="008F15C7"/>
    <w:rsid w:val="008F15F0"/>
    <w:rsid w:val="008F16C2"/>
    <w:rsid w:val="008F16E8"/>
    <w:rsid w:val="008F19D5"/>
    <w:rsid w:val="008F1BA5"/>
    <w:rsid w:val="008F1C84"/>
    <w:rsid w:val="008F1CA8"/>
    <w:rsid w:val="008F2123"/>
    <w:rsid w:val="008F2286"/>
    <w:rsid w:val="008F23AF"/>
    <w:rsid w:val="008F24A3"/>
    <w:rsid w:val="008F2646"/>
    <w:rsid w:val="008F2745"/>
    <w:rsid w:val="008F2850"/>
    <w:rsid w:val="008F287B"/>
    <w:rsid w:val="008F2A5E"/>
    <w:rsid w:val="008F2B5B"/>
    <w:rsid w:val="008F2C27"/>
    <w:rsid w:val="008F2CA4"/>
    <w:rsid w:val="008F2EF7"/>
    <w:rsid w:val="008F32F3"/>
    <w:rsid w:val="008F341A"/>
    <w:rsid w:val="008F383A"/>
    <w:rsid w:val="008F3C0E"/>
    <w:rsid w:val="008F3D32"/>
    <w:rsid w:val="008F3EB2"/>
    <w:rsid w:val="008F4361"/>
    <w:rsid w:val="008F43FE"/>
    <w:rsid w:val="008F4414"/>
    <w:rsid w:val="008F47AA"/>
    <w:rsid w:val="008F4827"/>
    <w:rsid w:val="008F48F1"/>
    <w:rsid w:val="008F4908"/>
    <w:rsid w:val="008F4CB8"/>
    <w:rsid w:val="008F4CC2"/>
    <w:rsid w:val="008F4CFC"/>
    <w:rsid w:val="008F4FEA"/>
    <w:rsid w:val="008F5048"/>
    <w:rsid w:val="008F50E5"/>
    <w:rsid w:val="008F529F"/>
    <w:rsid w:val="008F553D"/>
    <w:rsid w:val="008F5955"/>
    <w:rsid w:val="008F59E5"/>
    <w:rsid w:val="008F5D39"/>
    <w:rsid w:val="008F5E01"/>
    <w:rsid w:val="008F5E3B"/>
    <w:rsid w:val="008F5E4B"/>
    <w:rsid w:val="008F5F30"/>
    <w:rsid w:val="008F6309"/>
    <w:rsid w:val="008F6468"/>
    <w:rsid w:val="008F648B"/>
    <w:rsid w:val="008F685C"/>
    <w:rsid w:val="008F6C29"/>
    <w:rsid w:val="008F6E65"/>
    <w:rsid w:val="008F6F1B"/>
    <w:rsid w:val="008F70C7"/>
    <w:rsid w:val="008F750F"/>
    <w:rsid w:val="008F763D"/>
    <w:rsid w:val="008F7697"/>
    <w:rsid w:val="008F7881"/>
    <w:rsid w:val="008F790C"/>
    <w:rsid w:val="008F7961"/>
    <w:rsid w:val="008F7BC8"/>
    <w:rsid w:val="008F7CF3"/>
    <w:rsid w:val="008F7E07"/>
    <w:rsid w:val="008F7E82"/>
    <w:rsid w:val="0090013E"/>
    <w:rsid w:val="00900148"/>
    <w:rsid w:val="00900290"/>
    <w:rsid w:val="0090032C"/>
    <w:rsid w:val="00900AA9"/>
    <w:rsid w:val="00900DCB"/>
    <w:rsid w:val="00900E3B"/>
    <w:rsid w:val="0090145E"/>
    <w:rsid w:val="00901597"/>
    <w:rsid w:val="009015C8"/>
    <w:rsid w:val="0090166E"/>
    <w:rsid w:val="00901897"/>
    <w:rsid w:val="009018ED"/>
    <w:rsid w:val="00901B42"/>
    <w:rsid w:val="00901EB5"/>
    <w:rsid w:val="0090215E"/>
    <w:rsid w:val="0090243D"/>
    <w:rsid w:val="0090258B"/>
    <w:rsid w:val="00902622"/>
    <w:rsid w:val="00902655"/>
    <w:rsid w:val="009027F4"/>
    <w:rsid w:val="0090295D"/>
    <w:rsid w:val="00902998"/>
    <w:rsid w:val="00902C36"/>
    <w:rsid w:val="00902D5E"/>
    <w:rsid w:val="00903048"/>
    <w:rsid w:val="00903396"/>
    <w:rsid w:val="00903634"/>
    <w:rsid w:val="009037A4"/>
    <w:rsid w:val="00903864"/>
    <w:rsid w:val="00903953"/>
    <w:rsid w:val="00903C0F"/>
    <w:rsid w:val="00903D18"/>
    <w:rsid w:val="00903ED1"/>
    <w:rsid w:val="00903F36"/>
    <w:rsid w:val="009040F4"/>
    <w:rsid w:val="00904142"/>
    <w:rsid w:val="00904A38"/>
    <w:rsid w:val="00904A9D"/>
    <w:rsid w:val="00904C58"/>
    <w:rsid w:val="00904C84"/>
    <w:rsid w:val="009050CA"/>
    <w:rsid w:val="00905235"/>
    <w:rsid w:val="00905354"/>
    <w:rsid w:val="009054F6"/>
    <w:rsid w:val="00905538"/>
    <w:rsid w:val="00905998"/>
    <w:rsid w:val="00905D61"/>
    <w:rsid w:val="009060CD"/>
    <w:rsid w:val="00906116"/>
    <w:rsid w:val="0090619C"/>
    <w:rsid w:val="0090625E"/>
    <w:rsid w:val="0090696C"/>
    <w:rsid w:val="00906C77"/>
    <w:rsid w:val="009071E0"/>
    <w:rsid w:val="009072CD"/>
    <w:rsid w:val="0090740C"/>
    <w:rsid w:val="00907431"/>
    <w:rsid w:val="0090754C"/>
    <w:rsid w:val="0090764C"/>
    <w:rsid w:val="00907D50"/>
    <w:rsid w:val="00907EA4"/>
    <w:rsid w:val="0091003A"/>
    <w:rsid w:val="00910183"/>
    <w:rsid w:val="00910245"/>
    <w:rsid w:val="009103FA"/>
    <w:rsid w:val="0091047A"/>
    <w:rsid w:val="0091055C"/>
    <w:rsid w:val="00910791"/>
    <w:rsid w:val="00910853"/>
    <w:rsid w:val="0091095A"/>
    <w:rsid w:val="00910A26"/>
    <w:rsid w:val="00911111"/>
    <w:rsid w:val="0091113B"/>
    <w:rsid w:val="009112E1"/>
    <w:rsid w:val="00911738"/>
    <w:rsid w:val="00911DB5"/>
    <w:rsid w:val="00912730"/>
    <w:rsid w:val="00912B6A"/>
    <w:rsid w:val="00912BC0"/>
    <w:rsid w:val="00912C9D"/>
    <w:rsid w:val="00912CDC"/>
    <w:rsid w:val="00912D5C"/>
    <w:rsid w:val="00912DF9"/>
    <w:rsid w:val="00912FF8"/>
    <w:rsid w:val="00913414"/>
    <w:rsid w:val="009135F1"/>
    <w:rsid w:val="009137F8"/>
    <w:rsid w:val="009138D7"/>
    <w:rsid w:val="0091394A"/>
    <w:rsid w:val="00913A6E"/>
    <w:rsid w:val="00913B00"/>
    <w:rsid w:val="00913C0A"/>
    <w:rsid w:val="00913CB8"/>
    <w:rsid w:val="00913D99"/>
    <w:rsid w:val="00914025"/>
    <w:rsid w:val="009141E7"/>
    <w:rsid w:val="009145C6"/>
    <w:rsid w:val="0091485B"/>
    <w:rsid w:val="009148FC"/>
    <w:rsid w:val="00914AE8"/>
    <w:rsid w:val="00914C40"/>
    <w:rsid w:val="00914D3A"/>
    <w:rsid w:val="00914EC7"/>
    <w:rsid w:val="009158AC"/>
    <w:rsid w:val="009160A9"/>
    <w:rsid w:val="009160EA"/>
    <w:rsid w:val="0091623A"/>
    <w:rsid w:val="0091624E"/>
    <w:rsid w:val="0091630F"/>
    <w:rsid w:val="00916850"/>
    <w:rsid w:val="00916B03"/>
    <w:rsid w:val="00916D15"/>
    <w:rsid w:val="00916DDD"/>
    <w:rsid w:val="00916EFB"/>
    <w:rsid w:val="00917126"/>
    <w:rsid w:val="009173BE"/>
    <w:rsid w:val="009177D3"/>
    <w:rsid w:val="009177D6"/>
    <w:rsid w:val="009178B2"/>
    <w:rsid w:val="009178DF"/>
    <w:rsid w:val="00917AD6"/>
    <w:rsid w:val="00917CC2"/>
    <w:rsid w:val="00917CEE"/>
    <w:rsid w:val="00917F31"/>
    <w:rsid w:val="009203CA"/>
    <w:rsid w:val="009203D4"/>
    <w:rsid w:val="009203F3"/>
    <w:rsid w:val="00920627"/>
    <w:rsid w:val="00920670"/>
    <w:rsid w:val="009206DA"/>
    <w:rsid w:val="009209B6"/>
    <w:rsid w:val="00920B27"/>
    <w:rsid w:val="00920BCE"/>
    <w:rsid w:val="00920F51"/>
    <w:rsid w:val="00920F63"/>
    <w:rsid w:val="00920F73"/>
    <w:rsid w:val="00921081"/>
    <w:rsid w:val="009210F4"/>
    <w:rsid w:val="009211E1"/>
    <w:rsid w:val="0092136B"/>
    <w:rsid w:val="009213CA"/>
    <w:rsid w:val="0092152F"/>
    <w:rsid w:val="0092178A"/>
    <w:rsid w:val="0092185F"/>
    <w:rsid w:val="00921B85"/>
    <w:rsid w:val="00921D56"/>
    <w:rsid w:val="00921F08"/>
    <w:rsid w:val="009222C7"/>
    <w:rsid w:val="00922364"/>
    <w:rsid w:val="009223AD"/>
    <w:rsid w:val="00922522"/>
    <w:rsid w:val="00922576"/>
    <w:rsid w:val="00922826"/>
    <w:rsid w:val="00922EF5"/>
    <w:rsid w:val="00923264"/>
    <w:rsid w:val="0092338C"/>
    <w:rsid w:val="009233E7"/>
    <w:rsid w:val="00923513"/>
    <w:rsid w:val="009238A1"/>
    <w:rsid w:val="009238E0"/>
    <w:rsid w:val="009239CE"/>
    <w:rsid w:val="009239D4"/>
    <w:rsid w:val="00923E28"/>
    <w:rsid w:val="00923E7B"/>
    <w:rsid w:val="00924063"/>
    <w:rsid w:val="009240B5"/>
    <w:rsid w:val="00924233"/>
    <w:rsid w:val="009242B3"/>
    <w:rsid w:val="00924418"/>
    <w:rsid w:val="0092442B"/>
    <w:rsid w:val="00924452"/>
    <w:rsid w:val="009246A8"/>
    <w:rsid w:val="00924914"/>
    <w:rsid w:val="00924CFE"/>
    <w:rsid w:val="00924D44"/>
    <w:rsid w:val="00924ED5"/>
    <w:rsid w:val="0092518D"/>
    <w:rsid w:val="009253C8"/>
    <w:rsid w:val="009256DA"/>
    <w:rsid w:val="0092589B"/>
    <w:rsid w:val="009258C6"/>
    <w:rsid w:val="0092591C"/>
    <w:rsid w:val="009259A9"/>
    <w:rsid w:val="00925A88"/>
    <w:rsid w:val="00925BBD"/>
    <w:rsid w:val="00925BEF"/>
    <w:rsid w:val="00925E91"/>
    <w:rsid w:val="0092619D"/>
    <w:rsid w:val="009263C3"/>
    <w:rsid w:val="0092655A"/>
    <w:rsid w:val="00926570"/>
    <w:rsid w:val="00926874"/>
    <w:rsid w:val="00926971"/>
    <w:rsid w:val="009269C2"/>
    <w:rsid w:val="00926B8E"/>
    <w:rsid w:val="00926C0D"/>
    <w:rsid w:val="00926C17"/>
    <w:rsid w:val="00926D33"/>
    <w:rsid w:val="00926EB5"/>
    <w:rsid w:val="00926FC8"/>
    <w:rsid w:val="009270D0"/>
    <w:rsid w:val="00927185"/>
    <w:rsid w:val="00927193"/>
    <w:rsid w:val="00927276"/>
    <w:rsid w:val="00927302"/>
    <w:rsid w:val="009273CF"/>
    <w:rsid w:val="00927538"/>
    <w:rsid w:val="009276B1"/>
    <w:rsid w:val="009278A7"/>
    <w:rsid w:val="009278C9"/>
    <w:rsid w:val="009278D2"/>
    <w:rsid w:val="009278D7"/>
    <w:rsid w:val="009279C4"/>
    <w:rsid w:val="00927ACD"/>
    <w:rsid w:val="00927AD7"/>
    <w:rsid w:val="00927E95"/>
    <w:rsid w:val="00927EFE"/>
    <w:rsid w:val="00927F93"/>
    <w:rsid w:val="0093006B"/>
    <w:rsid w:val="0093011E"/>
    <w:rsid w:val="00930160"/>
    <w:rsid w:val="009301FD"/>
    <w:rsid w:val="0093020D"/>
    <w:rsid w:val="0093025B"/>
    <w:rsid w:val="00930354"/>
    <w:rsid w:val="009304D6"/>
    <w:rsid w:val="009304FB"/>
    <w:rsid w:val="009306AA"/>
    <w:rsid w:val="009306E0"/>
    <w:rsid w:val="00930706"/>
    <w:rsid w:val="00930FBF"/>
    <w:rsid w:val="00930FF2"/>
    <w:rsid w:val="009310C7"/>
    <w:rsid w:val="0093116E"/>
    <w:rsid w:val="009311B5"/>
    <w:rsid w:val="0093136F"/>
    <w:rsid w:val="009315D9"/>
    <w:rsid w:val="00931634"/>
    <w:rsid w:val="00931687"/>
    <w:rsid w:val="009317B0"/>
    <w:rsid w:val="00931971"/>
    <w:rsid w:val="00931AA9"/>
    <w:rsid w:val="009322C3"/>
    <w:rsid w:val="009322E3"/>
    <w:rsid w:val="0093235C"/>
    <w:rsid w:val="0093236A"/>
    <w:rsid w:val="0093240E"/>
    <w:rsid w:val="009324EC"/>
    <w:rsid w:val="00932513"/>
    <w:rsid w:val="0093270E"/>
    <w:rsid w:val="0093274F"/>
    <w:rsid w:val="00932759"/>
    <w:rsid w:val="00932767"/>
    <w:rsid w:val="0093291B"/>
    <w:rsid w:val="00932ABA"/>
    <w:rsid w:val="00932CBD"/>
    <w:rsid w:val="00932F38"/>
    <w:rsid w:val="00933298"/>
    <w:rsid w:val="00933330"/>
    <w:rsid w:val="009333B0"/>
    <w:rsid w:val="009336CA"/>
    <w:rsid w:val="0093370B"/>
    <w:rsid w:val="00933A91"/>
    <w:rsid w:val="00933ABB"/>
    <w:rsid w:val="00933FAF"/>
    <w:rsid w:val="00934010"/>
    <w:rsid w:val="009341A9"/>
    <w:rsid w:val="00934266"/>
    <w:rsid w:val="0093456F"/>
    <w:rsid w:val="00934999"/>
    <w:rsid w:val="00934E09"/>
    <w:rsid w:val="00934E7F"/>
    <w:rsid w:val="00935167"/>
    <w:rsid w:val="009353F2"/>
    <w:rsid w:val="0093541D"/>
    <w:rsid w:val="009354E9"/>
    <w:rsid w:val="00935511"/>
    <w:rsid w:val="009357CE"/>
    <w:rsid w:val="0093589A"/>
    <w:rsid w:val="009358A1"/>
    <w:rsid w:val="009358D2"/>
    <w:rsid w:val="009358F7"/>
    <w:rsid w:val="00935971"/>
    <w:rsid w:val="00935B7F"/>
    <w:rsid w:val="00935C62"/>
    <w:rsid w:val="00935DA1"/>
    <w:rsid w:val="00935E1A"/>
    <w:rsid w:val="00936063"/>
    <w:rsid w:val="0093615D"/>
    <w:rsid w:val="00936488"/>
    <w:rsid w:val="0093657A"/>
    <w:rsid w:val="00936583"/>
    <w:rsid w:val="00936AFC"/>
    <w:rsid w:val="00936CA0"/>
    <w:rsid w:val="0093743F"/>
    <w:rsid w:val="00937449"/>
    <w:rsid w:val="00937910"/>
    <w:rsid w:val="00937A36"/>
    <w:rsid w:val="00937DE7"/>
    <w:rsid w:val="00940064"/>
    <w:rsid w:val="00940101"/>
    <w:rsid w:val="00940214"/>
    <w:rsid w:val="00940451"/>
    <w:rsid w:val="009404BA"/>
    <w:rsid w:val="0094057A"/>
    <w:rsid w:val="0094090C"/>
    <w:rsid w:val="009409FA"/>
    <w:rsid w:val="00940ACE"/>
    <w:rsid w:val="00940E9E"/>
    <w:rsid w:val="0094136D"/>
    <w:rsid w:val="009413CC"/>
    <w:rsid w:val="009414F4"/>
    <w:rsid w:val="00941658"/>
    <w:rsid w:val="009416FB"/>
    <w:rsid w:val="00941A14"/>
    <w:rsid w:val="00941CA4"/>
    <w:rsid w:val="00941E96"/>
    <w:rsid w:val="00941F09"/>
    <w:rsid w:val="00942152"/>
    <w:rsid w:val="00942364"/>
    <w:rsid w:val="0094275F"/>
    <w:rsid w:val="00942977"/>
    <w:rsid w:val="0094298E"/>
    <w:rsid w:val="00942A1E"/>
    <w:rsid w:val="00942ADE"/>
    <w:rsid w:val="00942D9F"/>
    <w:rsid w:val="00942EE1"/>
    <w:rsid w:val="00942F7F"/>
    <w:rsid w:val="0094365A"/>
    <w:rsid w:val="009438FE"/>
    <w:rsid w:val="00943A72"/>
    <w:rsid w:val="00943D44"/>
    <w:rsid w:val="00944233"/>
    <w:rsid w:val="0094438F"/>
    <w:rsid w:val="009443A1"/>
    <w:rsid w:val="0094452D"/>
    <w:rsid w:val="009445F7"/>
    <w:rsid w:val="00944B06"/>
    <w:rsid w:val="0094507C"/>
    <w:rsid w:val="0094510D"/>
    <w:rsid w:val="009451F7"/>
    <w:rsid w:val="00945324"/>
    <w:rsid w:val="00945337"/>
    <w:rsid w:val="009453A8"/>
    <w:rsid w:val="0094555D"/>
    <w:rsid w:val="009457B8"/>
    <w:rsid w:val="009457DE"/>
    <w:rsid w:val="00945A3F"/>
    <w:rsid w:val="00945A5B"/>
    <w:rsid w:val="00945BD9"/>
    <w:rsid w:val="00945D12"/>
    <w:rsid w:val="00945D5B"/>
    <w:rsid w:val="00945D9B"/>
    <w:rsid w:val="009463FE"/>
    <w:rsid w:val="00946428"/>
    <w:rsid w:val="00946507"/>
    <w:rsid w:val="009466FC"/>
    <w:rsid w:val="0094692E"/>
    <w:rsid w:val="00946993"/>
    <w:rsid w:val="00946B89"/>
    <w:rsid w:val="00946F1F"/>
    <w:rsid w:val="00946FD9"/>
    <w:rsid w:val="0094720F"/>
    <w:rsid w:val="009472AE"/>
    <w:rsid w:val="009472F6"/>
    <w:rsid w:val="0094733D"/>
    <w:rsid w:val="009476A1"/>
    <w:rsid w:val="00947806"/>
    <w:rsid w:val="009478DF"/>
    <w:rsid w:val="00947DEF"/>
    <w:rsid w:val="00947F96"/>
    <w:rsid w:val="009501AA"/>
    <w:rsid w:val="00950299"/>
    <w:rsid w:val="009502ED"/>
    <w:rsid w:val="009504B4"/>
    <w:rsid w:val="0095055E"/>
    <w:rsid w:val="00950655"/>
    <w:rsid w:val="00950795"/>
    <w:rsid w:val="009507D7"/>
    <w:rsid w:val="00950C70"/>
    <w:rsid w:val="00950DEC"/>
    <w:rsid w:val="00950F89"/>
    <w:rsid w:val="0095124D"/>
    <w:rsid w:val="00951286"/>
    <w:rsid w:val="009512DF"/>
    <w:rsid w:val="00951630"/>
    <w:rsid w:val="00951754"/>
    <w:rsid w:val="00951806"/>
    <w:rsid w:val="009519D0"/>
    <w:rsid w:val="00951B53"/>
    <w:rsid w:val="00951B62"/>
    <w:rsid w:val="00951E47"/>
    <w:rsid w:val="00951EB4"/>
    <w:rsid w:val="00952193"/>
    <w:rsid w:val="00952290"/>
    <w:rsid w:val="009524F6"/>
    <w:rsid w:val="0095299C"/>
    <w:rsid w:val="00952FEF"/>
    <w:rsid w:val="009531AE"/>
    <w:rsid w:val="00953346"/>
    <w:rsid w:val="00953432"/>
    <w:rsid w:val="00953467"/>
    <w:rsid w:val="009534D7"/>
    <w:rsid w:val="00953637"/>
    <w:rsid w:val="00953719"/>
    <w:rsid w:val="00953936"/>
    <w:rsid w:val="0095394A"/>
    <w:rsid w:val="009539B7"/>
    <w:rsid w:val="00953B50"/>
    <w:rsid w:val="00953D09"/>
    <w:rsid w:val="00954135"/>
    <w:rsid w:val="0095429B"/>
    <w:rsid w:val="00954482"/>
    <w:rsid w:val="009546E6"/>
    <w:rsid w:val="00954710"/>
    <w:rsid w:val="00954924"/>
    <w:rsid w:val="00954B16"/>
    <w:rsid w:val="00954BE5"/>
    <w:rsid w:val="00954CA5"/>
    <w:rsid w:val="00954CE6"/>
    <w:rsid w:val="00954E86"/>
    <w:rsid w:val="00954EB7"/>
    <w:rsid w:val="00954F95"/>
    <w:rsid w:val="009551A1"/>
    <w:rsid w:val="009553D0"/>
    <w:rsid w:val="00955488"/>
    <w:rsid w:val="009554F4"/>
    <w:rsid w:val="009556E4"/>
    <w:rsid w:val="00955766"/>
    <w:rsid w:val="00955856"/>
    <w:rsid w:val="0095588D"/>
    <w:rsid w:val="00955B43"/>
    <w:rsid w:val="00955C9D"/>
    <w:rsid w:val="00955CF7"/>
    <w:rsid w:val="00955D0E"/>
    <w:rsid w:val="00955E12"/>
    <w:rsid w:val="00955EA6"/>
    <w:rsid w:val="00956149"/>
    <w:rsid w:val="00956352"/>
    <w:rsid w:val="009569F3"/>
    <w:rsid w:val="00956BAF"/>
    <w:rsid w:val="00956D4F"/>
    <w:rsid w:val="00956E14"/>
    <w:rsid w:val="00957061"/>
    <w:rsid w:val="00957077"/>
    <w:rsid w:val="00957261"/>
    <w:rsid w:val="0095730C"/>
    <w:rsid w:val="0095735A"/>
    <w:rsid w:val="0095745D"/>
    <w:rsid w:val="00957500"/>
    <w:rsid w:val="00957648"/>
    <w:rsid w:val="00957873"/>
    <w:rsid w:val="00957948"/>
    <w:rsid w:val="009600A3"/>
    <w:rsid w:val="009602F5"/>
    <w:rsid w:val="00960314"/>
    <w:rsid w:val="00960326"/>
    <w:rsid w:val="00960344"/>
    <w:rsid w:val="0096043D"/>
    <w:rsid w:val="009604A3"/>
    <w:rsid w:val="009605E7"/>
    <w:rsid w:val="0096094A"/>
    <w:rsid w:val="009609AD"/>
    <w:rsid w:val="00960FB4"/>
    <w:rsid w:val="00961011"/>
    <w:rsid w:val="0096104F"/>
    <w:rsid w:val="00961166"/>
    <w:rsid w:val="0096162D"/>
    <w:rsid w:val="00961696"/>
    <w:rsid w:val="00961746"/>
    <w:rsid w:val="00961A2F"/>
    <w:rsid w:val="00961B79"/>
    <w:rsid w:val="00961CBB"/>
    <w:rsid w:val="00962012"/>
    <w:rsid w:val="009620DC"/>
    <w:rsid w:val="00962205"/>
    <w:rsid w:val="009623AC"/>
    <w:rsid w:val="009624BF"/>
    <w:rsid w:val="00962640"/>
    <w:rsid w:val="00962C7A"/>
    <w:rsid w:val="00962DE0"/>
    <w:rsid w:val="00962E4C"/>
    <w:rsid w:val="00963102"/>
    <w:rsid w:val="009632C0"/>
    <w:rsid w:val="00963331"/>
    <w:rsid w:val="00963487"/>
    <w:rsid w:val="00963621"/>
    <w:rsid w:val="00963721"/>
    <w:rsid w:val="00963727"/>
    <w:rsid w:val="009637BD"/>
    <w:rsid w:val="00963A85"/>
    <w:rsid w:val="00963CD3"/>
    <w:rsid w:val="00963F04"/>
    <w:rsid w:val="0096406E"/>
    <w:rsid w:val="009640B0"/>
    <w:rsid w:val="00964107"/>
    <w:rsid w:val="0096466D"/>
    <w:rsid w:val="00964720"/>
    <w:rsid w:val="00964A1D"/>
    <w:rsid w:val="00964CFA"/>
    <w:rsid w:val="0096504C"/>
    <w:rsid w:val="00965250"/>
    <w:rsid w:val="00965339"/>
    <w:rsid w:val="009653A6"/>
    <w:rsid w:val="0096599F"/>
    <w:rsid w:val="00965ACF"/>
    <w:rsid w:val="00965B5E"/>
    <w:rsid w:val="00965D3C"/>
    <w:rsid w:val="00965E77"/>
    <w:rsid w:val="00965F39"/>
    <w:rsid w:val="00965F43"/>
    <w:rsid w:val="0096622C"/>
    <w:rsid w:val="00966324"/>
    <w:rsid w:val="00966552"/>
    <w:rsid w:val="0096663A"/>
    <w:rsid w:val="00966935"/>
    <w:rsid w:val="00967087"/>
    <w:rsid w:val="00967095"/>
    <w:rsid w:val="0096759F"/>
    <w:rsid w:val="009676EA"/>
    <w:rsid w:val="00967A46"/>
    <w:rsid w:val="00967C09"/>
    <w:rsid w:val="00967F6B"/>
    <w:rsid w:val="009701CB"/>
    <w:rsid w:val="009702C0"/>
    <w:rsid w:val="00970330"/>
    <w:rsid w:val="00970481"/>
    <w:rsid w:val="0097067E"/>
    <w:rsid w:val="00970789"/>
    <w:rsid w:val="009707FB"/>
    <w:rsid w:val="00970B61"/>
    <w:rsid w:val="00970BF9"/>
    <w:rsid w:val="00970C7A"/>
    <w:rsid w:val="00971040"/>
    <w:rsid w:val="00971125"/>
    <w:rsid w:val="00971154"/>
    <w:rsid w:val="009712F7"/>
    <w:rsid w:val="0097154A"/>
    <w:rsid w:val="009715A4"/>
    <w:rsid w:val="00971694"/>
    <w:rsid w:val="009718E3"/>
    <w:rsid w:val="0097195D"/>
    <w:rsid w:val="00971A2D"/>
    <w:rsid w:val="00971AE5"/>
    <w:rsid w:val="00971B22"/>
    <w:rsid w:val="00971D14"/>
    <w:rsid w:val="00971F23"/>
    <w:rsid w:val="0097206F"/>
    <w:rsid w:val="00972816"/>
    <w:rsid w:val="009728EF"/>
    <w:rsid w:val="00972A54"/>
    <w:rsid w:val="00972FA9"/>
    <w:rsid w:val="00973172"/>
    <w:rsid w:val="00973450"/>
    <w:rsid w:val="00973643"/>
    <w:rsid w:val="00973839"/>
    <w:rsid w:val="0097383E"/>
    <w:rsid w:val="00973C56"/>
    <w:rsid w:val="00973CAA"/>
    <w:rsid w:val="00973D31"/>
    <w:rsid w:val="00973D46"/>
    <w:rsid w:val="00973E70"/>
    <w:rsid w:val="00973FB9"/>
    <w:rsid w:val="009740D2"/>
    <w:rsid w:val="009745F3"/>
    <w:rsid w:val="00974663"/>
    <w:rsid w:val="00974974"/>
    <w:rsid w:val="009749CC"/>
    <w:rsid w:val="00974DA6"/>
    <w:rsid w:val="00974E2B"/>
    <w:rsid w:val="009756BE"/>
    <w:rsid w:val="009756F9"/>
    <w:rsid w:val="00975A2E"/>
    <w:rsid w:val="00975B6C"/>
    <w:rsid w:val="00975B72"/>
    <w:rsid w:val="00975BB0"/>
    <w:rsid w:val="009760D4"/>
    <w:rsid w:val="00976379"/>
    <w:rsid w:val="009763F2"/>
    <w:rsid w:val="00976468"/>
    <w:rsid w:val="009765DC"/>
    <w:rsid w:val="0097666F"/>
    <w:rsid w:val="00976793"/>
    <w:rsid w:val="0097699A"/>
    <w:rsid w:val="00976AF2"/>
    <w:rsid w:val="00976B09"/>
    <w:rsid w:val="00976B39"/>
    <w:rsid w:val="00976BCD"/>
    <w:rsid w:val="00976BF1"/>
    <w:rsid w:val="00976FB1"/>
    <w:rsid w:val="00977327"/>
    <w:rsid w:val="00977410"/>
    <w:rsid w:val="0097771F"/>
    <w:rsid w:val="00977EAE"/>
    <w:rsid w:val="009803B7"/>
    <w:rsid w:val="00980679"/>
    <w:rsid w:val="009806E2"/>
    <w:rsid w:val="00980887"/>
    <w:rsid w:val="00980CBF"/>
    <w:rsid w:val="00980F25"/>
    <w:rsid w:val="00980FE1"/>
    <w:rsid w:val="00981053"/>
    <w:rsid w:val="0098140A"/>
    <w:rsid w:val="009815FD"/>
    <w:rsid w:val="0098178B"/>
    <w:rsid w:val="009825AE"/>
    <w:rsid w:val="0098263A"/>
    <w:rsid w:val="009828C8"/>
    <w:rsid w:val="00982B66"/>
    <w:rsid w:val="00982D7A"/>
    <w:rsid w:val="00982DF2"/>
    <w:rsid w:val="00983020"/>
    <w:rsid w:val="009831DF"/>
    <w:rsid w:val="009835D2"/>
    <w:rsid w:val="009836A6"/>
    <w:rsid w:val="00983708"/>
    <w:rsid w:val="009839C6"/>
    <w:rsid w:val="00983A4F"/>
    <w:rsid w:val="00983B29"/>
    <w:rsid w:val="00983BA4"/>
    <w:rsid w:val="00983BAA"/>
    <w:rsid w:val="00983E79"/>
    <w:rsid w:val="00983ED1"/>
    <w:rsid w:val="00983FD8"/>
    <w:rsid w:val="009843B9"/>
    <w:rsid w:val="0098451C"/>
    <w:rsid w:val="0098452E"/>
    <w:rsid w:val="00984CC6"/>
    <w:rsid w:val="009850F9"/>
    <w:rsid w:val="009852BE"/>
    <w:rsid w:val="009854AF"/>
    <w:rsid w:val="009855CC"/>
    <w:rsid w:val="009855D1"/>
    <w:rsid w:val="0098573E"/>
    <w:rsid w:val="00985966"/>
    <w:rsid w:val="00985B6B"/>
    <w:rsid w:val="00985EBB"/>
    <w:rsid w:val="00985F8F"/>
    <w:rsid w:val="0098608A"/>
    <w:rsid w:val="009861DA"/>
    <w:rsid w:val="00986367"/>
    <w:rsid w:val="00986558"/>
    <w:rsid w:val="0098656E"/>
    <w:rsid w:val="009866CE"/>
    <w:rsid w:val="0098688B"/>
    <w:rsid w:val="00986CF2"/>
    <w:rsid w:val="009870B8"/>
    <w:rsid w:val="009870D8"/>
    <w:rsid w:val="009870E7"/>
    <w:rsid w:val="00987188"/>
    <w:rsid w:val="009877B7"/>
    <w:rsid w:val="00987AC7"/>
    <w:rsid w:val="00987CAE"/>
    <w:rsid w:val="00987DA6"/>
    <w:rsid w:val="00987EBA"/>
    <w:rsid w:val="0099023C"/>
    <w:rsid w:val="00990288"/>
    <w:rsid w:val="009903C9"/>
    <w:rsid w:val="0099048E"/>
    <w:rsid w:val="0099061C"/>
    <w:rsid w:val="00990665"/>
    <w:rsid w:val="0099074B"/>
    <w:rsid w:val="0099078A"/>
    <w:rsid w:val="009909E0"/>
    <w:rsid w:val="00990B94"/>
    <w:rsid w:val="00990ED7"/>
    <w:rsid w:val="00990EEA"/>
    <w:rsid w:val="009912D8"/>
    <w:rsid w:val="00991446"/>
    <w:rsid w:val="0099149D"/>
    <w:rsid w:val="00991937"/>
    <w:rsid w:val="00991EAE"/>
    <w:rsid w:val="00991EE7"/>
    <w:rsid w:val="009920D3"/>
    <w:rsid w:val="00992279"/>
    <w:rsid w:val="00992760"/>
    <w:rsid w:val="0099291D"/>
    <w:rsid w:val="00992B63"/>
    <w:rsid w:val="00992DFD"/>
    <w:rsid w:val="00993045"/>
    <w:rsid w:val="009934EE"/>
    <w:rsid w:val="00993564"/>
    <w:rsid w:val="0099391F"/>
    <w:rsid w:val="00993AFE"/>
    <w:rsid w:val="00993C58"/>
    <w:rsid w:val="00993CBE"/>
    <w:rsid w:val="00993D89"/>
    <w:rsid w:val="00993F0E"/>
    <w:rsid w:val="00993FD7"/>
    <w:rsid w:val="00994242"/>
    <w:rsid w:val="00994966"/>
    <w:rsid w:val="00994987"/>
    <w:rsid w:val="00994A9C"/>
    <w:rsid w:val="00994AC5"/>
    <w:rsid w:val="00994DAE"/>
    <w:rsid w:val="00995458"/>
    <w:rsid w:val="0099578B"/>
    <w:rsid w:val="009957AC"/>
    <w:rsid w:val="009957D4"/>
    <w:rsid w:val="009958D4"/>
    <w:rsid w:val="009958F7"/>
    <w:rsid w:val="00995C53"/>
    <w:rsid w:val="00995E16"/>
    <w:rsid w:val="00995E2D"/>
    <w:rsid w:val="00995EC2"/>
    <w:rsid w:val="00995ED2"/>
    <w:rsid w:val="00996091"/>
    <w:rsid w:val="009962F5"/>
    <w:rsid w:val="009966CF"/>
    <w:rsid w:val="00996714"/>
    <w:rsid w:val="0099672F"/>
    <w:rsid w:val="00996B9D"/>
    <w:rsid w:val="00996C86"/>
    <w:rsid w:val="00997005"/>
    <w:rsid w:val="009970C2"/>
    <w:rsid w:val="00997100"/>
    <w:rsid w:val="009972B8"/>
    <w:rsid w:val="00997321"/>
    <w:rsid w:val="00997323"/>
    <w:rsid w:val="009973AE"/>
    <w:rsid w:val="0099748F"/>
    <w:rsid w:val="009975AD"/>
    <w:rsid w:val="00997849"/>
    <w:rsid w:val="00997898"/>
    <w:rsid w:val="00997A4C"/>
    <w:rsid w:val="00997B2D"/>
    <w:rsid w:val="00997C96"/>
    <w:rsid w:val="00997CA7"/>
    <w:rsid w:val="00997DD7"/>
    <w:rsid w:val="00997E22"/>
    <w:rsid w:val="00997E85"/>
    <w:rsid w:val="00997FC8"/>
    <w:rsid w:val="009A02AA"/>
    <w:rsid w:val="009A02E8"/>
    <w:rsid w:val="009A0366"/>
    <w:rsid w:val="009A059C"/>
    <w:rsid w:val="009A0733"/>
    <w:rsid w:val="009A08E2"/>
    <w:rsid w:val="009A0AF5"/>
    <w:rsid w:val="009A0BEE"/>
    <w:rsid w:val="009A0F1F"/>
    <w:rsid w:val="009A103B"/>
    <w:rsid w:val="009A13F1"/>
    <w:rsid w:val="009A13F2"/>
    <w:rsid w:val="009A1773"/>
    <w:rsid w:val="009A182E"/>
    <w:rsid w:val="009A195D"/>
    <w:rsid w:val="009A1986"/>
    <w:rsid w:val="009A1B50"/>
    <w:rsid w:val="009A1B53"/>
    <w:rsid w:val="009A1D8F"/>
    <w:rsid w:val="009A1F11"/>
    <w:rsid w:val="009A2134"/>
    <w:rsid w:val="009A2363"/>
    <w:rsid w:val="009A2598"/>
    <w:rsid w:val="009A2677"/>
    <w:rsid w:val="009A26B1"/>
    <w:rsid w:val="009A26C8"/>
    <w:rsid w:val="009A2714"/>
    <w:rsid w:val="009A2A35"/>
    <w:rsid w:val="009A2EA4"/>
    <w:rsid w:val="009A35E3"/>
    <w:rsid w:val="009A37B6"/>
    <w:rsid w:val="009A3D2C"/>
    <w:rsid w:val="009A3DCD"/>
    <w:rsid w:val="009A3E89"/>
    <w:rsid w:val="009A3E8A"/>
    <w:rsid w:val="009A3F60"/>
    <w:rsid w:val="009A3FD6"/>
    <w:rsid w:val="009A419F"/>
    <w:rsid w:val="009A4282"/>
    <w:rsid w:val="009A437C"/>
    <w:rsid w:val="009A4452"/>
    <w:rsid w:val="009A4477"/>
    <w:rsid w:val="009A4854"/>
    <w:rsid w:val="009A49D0"/>
    <w:rsid w:val="009A4D0A"/>
    <w:rsid w:val="009A4F8D"/>
    <w:rsid w:val="009A4F9F"/>
    <w:rsid w:val="009A4FCC"/>
    <w:rsid w:val="009A504C"/>
    <w:rsid w:val="009A522F"/>
    <w:rsid w:val="009A52D8"/>
    <w:rsid w:val="009A5522"/>
    <w:rsid w:val="009A556B"/>
    <w:rsid w:val="009A557F"/>
    <w:rsid w:val="009A5795"/>
    <w:rsid w:val="009A6139"/>
    <w:rsid w:val="009A61E8"/>
    <w:rsid w:val="009A621C"/>
    <w:rsid w:val="009A64E1"/>
    <w:rsid w:val="009A6528"/>
    <w:rsid w:val="009A68B3"/>
    <w:rsid w:val="009A6950"/>
    <w:rsid w:val="009A6CC1"/>
    <w:rsid w:val="009A6E36"/>
    <w:rsid w:val="009A709C"/>
    <w:rsid w:val="009A73C6"/>
    <w:rsid w:val="009A74E9"/>
    <w:rsid w:val="009A758E"/>
    <w:rsid w:val="009A7627"/>
    <w:rsid w:val="009A793C"/>
    <w:rsid w:val="009A79B5"/>
    <w:rsid w:val="009A7EBD"/>
    <w:rsid w:val="009A7F75"/>
    <w:rsid w:val="009B0031"/>
    <w:rsid w:val="009B00E6"/>
    <w:rsid w:val="009B013E"/>
    <w:rsid w:val="009B054E"/>
    <w:rsid w:val="009B0567"/>
    <w:rsid w:val="009B089D"/>
    <w:rsid w:val="009B0E89"/>
    <w:rsid w:val="009B0EA4"/>
    <w:rsid w:val="009B0EF3"/>
    <w:rsid w:val="009B0F24"/>
    <w:rsid w:val="009B1091"/>
    <w:rsid w:val="009B12BC"/>
    <w:rsid w:val="009B12BD"/>
    <w:rsid w:val="009B1401"/>
    <w:rsid w:val="009B1488"/>
    <w:rsid w:val="009B16C9"/>
    <w:rsid w:val="009B1846"/>
    <w:rsid w:val="009B1BE5"/>
    <w:rsid w:val="009B1E47"/>
    <w:rsid w:val="009B200E"/>
    <w:rsid w:val="009B2070"/>
    <w:rsid w:val="009B209B"/>
    <w:rsid w:val="009B20AD"/>
    <w:rsid w:val="009B20B0"/>
    <w:rsid w:val="009B2227"/>
    <w:rsid w:val="009B2235"/>
    <w:rsid w:val="009B22F4"/>
    <w:rsid w:val="009B235A"/>
    <w:rsid w:val="009B2604"/>
    <w:rsid w:val="009B26D4"/>
    <w:rsid w:val="009B27C2"/>
    <w:rsid w:val="009B29FF"/>
    <w:rsid w:val="009B2B42"/>
    <w:rsid w:val="009B300D"/>
    <w:rsid w:val="009B3190"/>
    <w:rsid w:val="009B319A"/>
    <w:rsid w:val="009B338B"/>
    <w:rsid w:val="009B362C"/>
    <w:rsid w:val="009B37FA"/>
    <w:rsid w:val="009B39C2"/>
    <w:rsid w:val="009B3BC5"/>
    <w:rsid w:val="009B3C56"/>
    <w:rsid w:val="009B3DEA"/>
    <w:rsid w:val="009B3F62"/>
    <w:rsid w:val="009B3FE9"/>
    <w:rsid w:val="009B414A"/>
    <w:rsid w:val="009B41D0"/>
    <w:rsid w:val="009B42D5"/>
    <w:rsid w:val="009B42ED"/>
    <w:rsid w:val="009B4359"/>
    <w:rsid w:val="009B43BF"/>
    <w:rsid w:val="009B4467"/>
    <w:rsid w:val="009B4744"/>
    <w:rsid w:val="009B4763"/>
    <w:rsid w:val="009B4AE0"/>
    <w:rsid w:val="009B4B1F"/>
    <w:rsid w:val="009B4D1F"/>
    <w:rsid w:val="009B4FA0"/>
    <w:rsid w:val="009B4FD9"/>
    <w:rsid w:val="009B4FF4"/>
    <w:rsid w:val="009B5147"/>
    <w:rsid w:val="009B529E"/>
    <w:rsid w:val="009B5339"/>
    <w:rsid w:val="009B561F"/>
    <w:rsid w:val="009B5695"/>
    <w:rsid w:val="009B5840"/>
    <w:rsid w:val="009B5A78"/>
    <w:rsid w:val="009B5A9D"/>
    <w:rsid w:val="009B5D12"/>
    <w:rsid w:val="009B63C3"/>
    <w:rsid w:val="009B649C"/>
    <w:rsid w:val="009B68B7"/>
    <w:rsid w:val="009B6DCD"/>
    <w:rsid w:val="009B73A4"/>
    <w:rsid w:val="009B75C3"/>
    <w:rsid w:val="009B79BA"/>
    <w:rsid w:val="009B7AF3"/>
    <w:rsid w:val="009B7BE2"/>
    <w:rsid w:val="009B7EA0"/>
    <w:rsid w:val="009C0036"/>
    <w:rsid w:val="009C015F"/>
    <w:rsid w:val="009C04B3"/>
    <w:rsid w:val="009C070E"/>
    <w:rsid w:val="009C07B0"/>
    <w:rsid w:val="009C09D1"/>
    <w:rsid w:val="009C0BCD"/>
    <w:rsid w:val="009C0DE1"/>
    <w:rsid w:val="009C0E4A"/>
    <w:rsid w:val="009C12BE"/>
    <w:rsid w:val="009C1643"/>
    <w:rsid w:val="009C166C"/>
    <w:rsid w:val="009C1814"/>
    <w:rsid w:val="009C1C26"/>
    <w:rsid w:val="009C1CCE"/>
    <w:rsid w:val="009C1F36"/>
    <w:rsid w:val="009C2367"/>
    <w:rsid w:val="009C250C"/>
    <w:rsid w:val="009C26F3"/>
    <w:rsid w:val="009C2815"/>
    <w:rsid w:val="009C2A46"/>
    <w:rsid w:val="009C2B51"/>
    <w:rsid w:val="009C2BFF"/>
    <w:rsid w:val="009C2E04"/>
    <w:rsid w:val="009C3396"/>
    <w:rsid w:val="009C358E"/>
    <w:rsid w:val="009C38AB"/>
    <w:rsid w:val="009C3B36"/>
    <w:rsid w:val="009C3C72"/>
    <w:rsid w:val="009C3C75"/>
    <w:rsid w:val="009C3D59"/>
    <w:rsid w:val="009C3EE2"/>
    <w:rsid w:val="009C43A6"/>
    <w:rsid w:val="009C4430"/>
    <w:rsid w:val="009C4479"/>
    <w:rsid w:val="009C47CD"/>
    <w:rsid w:val="009C482A"/>
    <w:rsid w:val="009C484A"/>
    <w:rsid w:val="009C49E2"/>
    <w:rsid w:val="009C4B3A"/>
    <w:rsid w:val="009C4D50"/>
    <w:rsid w:val="009C4F81"/>
    <w:rsid w:val="009C4F89"/>
    <w:rsid w:val="009C50FA"/>
    <w:rsid w:val="009C594C"/>
    <w:rsid w:val="009C64BA"/>
    <w:rsid w:val="009C64D4"/>
    <w:rsid w:val="009C65B3"/>
    <w:rsid w:val="009C6608"/>
    <w:rsid w:val="009C6940"/>
    <w:rsid w:val="009C6A70"/>
    <w:rsid w:val="009C6A83"/>
    <w:rsid w:val="009C6C17"/>
    <w:rsid w:val="009C6D3A"/>
    <w:rsid w:val="009C6D80"/>
    <w:rsid w:val="009C6E67"/>
    <w:rsid w:val="009C6E98"/>
    <w:rsid w:val="009C6F70"/>
    <w:rsid w:val="009C726F"/>
    <w:rsid w:val="009C738F"/>
    <w:rsid w:val="009C76C7"/>
    <w:rsid w:val="009C79A0"/>
    <w:rsid w:val="009C7F6D"/>
    <w:rsid w:val="009C7FD9"/>
    <w:rsid w:val="009D0029"/>
    <w:rsid w:val="009D0435"/>
    <w:rsid w:val="009D058A"/>
    <w:rsid w:val="009D0717"/>
    <w:rsid w:val="009D080E"/>
    <w:rsid w:val="009D08EE"/>
    <w:rsid w:val="009D0A4F"/>
    <w:rsid w:val="009D0AA6"/>
    <w:rsid w:val="009D0ACC"/>
    <w:rsid w:val="009D0BCB"/>
    <w:rsid w:val="009D0BDF"/>
    <w:rsid w:val="009D0E87"/>
    <w:rsid w:val="009D0F24"/>
    <w:rsid w:val="009D0FD2"/>
    <w:rsid w:val="009D1537"/>
    <w:rsid w:val="009D177E"/>
    <w:rsid w:val="009D1814"/>
    <w:rsid w:val="009D2227"/>
    <w:rsid w:val="009D279A"/>
    <w:rsid w:val="009D291B"/>
    <w:rsid w:val="009D2B77"/>
    <w:rsid w:val="009D2BC0"/>
    <w:rsid w:val="009D2BC7"/>
    <w:rsid w:val="009D2E14"/>
    <w:rsid w:val="009D2FF8"/>
    <w:rsid w:val="009D3053"/>
    <w:rsid w:val="009D31EF"/>
    <w:rsid w:val="009D3287"/>
    <w:rsid w:val="009D350A"/>
    <w:rsid w:val="009D36A2"/>
    <w:rsid w:val="009D3C25"/>
    <w:rsid w:val="009D3E54"/>
    <w:rsid w:val="009D403D"/>
    <w:rsid w:val="009D4181"/>
    <w:rsid w:val="009D4195"/>
    <w:rsid w:val="009D41D8"/>
    <w:rsid w:val="009D42A0"/>
    <w:rsid w:val="009D42B5"/>
    <w:rsid w:val="009D4348"/>
    <w:rsid w:val="009D4524"/>
    <w:rsid w:val="009D4547"/>
    <w:rsid w:val="009D4626"/>
    <w:rsid w:val="009D4B03"/>
    <w:rsid w:val="009D4B71"/>
    <w:rsid w:val="009D4C8E"/>
    <w:rsid w:val="009D4D92"/>
    <w:rsid w:val="009D524E"/>
    <w:rsid w:val="009D5456"/>
    <w:rsid w:val="009D55A4"/>
    <w:rsid w:val="009D55D8"/>
    <w:rsid w:val="009D562C"/>
    <w:rsid w:val="009D568C"/>
    <w:rsid w:val="009D57F3"/>
    <w:rsid w:val="009D585B"/>
    <w:rsid w:val="009D59D1"/>
    <w:rsid w:val="009D59DE"/>
    <w:rsid w:val="009D5B10"/>
    <w:rsid w:val="009D5B7E"/>
    <w:rsid w:val="009D5C34"/>
    <w:rsid w:val="009D5D89"/>
    <w:rsid w:val="009D5DA2"/>
    <w:rsid w:val="009D60E2"/>
    <w:rsid w:val="009D60FC"/>
    <w:rsid w:val="009D6183"/>
    <w:rsid w:val="009D648E"/>
    <w:rsid w:val="009D64CC"/>
    <w:rsid w:val="009D6580"/>
    <w:rsid w:val="009D6720"/>
    <w:rsid w:val="009D6904"/>
    <w:rsid w:val="009D6BDA"/>
    <w:rsid w:val="009D6EBA"/>
    <w:rsid w:val="009D7347"/>
    <w:rsid w:val="009D74AC"/>
    <w:rsid w:val="009D7522"/>
    <w:rsid w:val="009D79B7"/>
    <w:rsid w:val="009D7FC0"/>
    <w:rsid w:val="009E0100"/>
    <w:rsid w:val="009E01F7"/>
    <w:rsid w:val="009E050B"/>
    <w:rsid w:val="009E0534"/>
    <w:rsid w:val="009E0574"/>
    <w:rsid w:val="009E09BA"/>
    <w:rsid w:val="009E0E73"/>
    <w:rsid w:val="009E0ECD"/>
    <w:rsid w:val="009E0F09"/>
    <w:rsid w:val="009E1126"/>
    <w:rsid w:val="009E11E5"/>
    <w:rsid w:val="009E139A"/>
    <w:rsid w:val="009E13D2"/>
    <w:rsid w:val="009E1468"/>
    <w:rsid w:val="009E172B"/>
    <w:rsid w:val="009E1A1C"/>
    <w:rsid w:val="009E1DFD"/>
    <w:rsid w:val="009E1E8C"/>
    <w:rsid w:val="009E1F8E"/>
    <w:rsid w:val="009E2127"/>
    <w:rsid w:val="009E2135"/>
    <w:rsid w:val="009E2270"/>
    <w:rsid w:val="009E2384"/>
    <w:rsid w:val="009E24AA"/>
    <w:rsid w:val="009E24C7"/>
    <w:rsid w:val="009E28D7"/>
    <w:rsid w:val="009E2A96"/>
    <w:rsid w:val="009E2B06"/>
    <w:rsid w:val="009E2B63"/>
    <w:rsid w:val="009E2C7A"/>
    <w:rsid w:val="009E2DFC"/>
    <w:rsid w:val="009E32C0"/>
    <w:rsid w:val="009E32DD"/>
    <w:rsid w:val="009E32E0"/>
    <w:rsid w:val="009E34C2"/>
    <w:rsid w:val="009E362B"/>
    <w:rsid w:val="009E3656"/>
    <w:rsid w:val="009E3823"/>
    <w:rsid w:val="009E3978"/>
    <w:rsid w:val="009E432F"/>
    <w:rsid w:val="009E43A5"/>
    <w:rsid w:val="009E446A"/>
    <w:rsid w:val="009E456B"/>
    <w:rsid w:val="009E4714"/>
    <w:rsid w:val="009E47A4"/>
    <w:rsid w:val="009E4B2B"/>
    <w:rsid w:val="009E4DC6"/>
    <w:rsid w:val="009E4E4A"/>
    <w:rsid w:val="009E5050"/>
    <w:rsid w:val="009E50C6"/>
    <w:rsid w:val="009E585E"/>
    <w:rsid w:val="009E590B"/>
    <w:rsid w:val="009E5CE6"/>
    <w:rsid w:val="009E5F1A"/>
    <w:rsid w:val="009E5FFC"/>
    <w:rsid w:val="009E6090"/>
    <w:rsid w:val="009E629B"/>
    <w:rsid w:val="009E6373"/>
    <w:rsid w:val="009E65D4"/>
    <w:rsid w:val="009E683B"/>
    <w:rsid w:val="009E6ADD"/>
    <w:rsid w:val="009E6C64"/>
    <w:rsid w:val="009E6CFD"/>
    <w:rsid w:val="009E6DF1"/>
    <w:rsid w:val="009E7298"/>
    <w:rsid w:val="009E74FE"/>
    <w:rsid w:val="009E75D4"/>
    <w:rsid w:val="009E76B4"/>
    <w:rsid w:val="009E7729"/>
    <w:rsid w:val="009E79C3"/>
    <w:rsid w:val="009E7E1A"/>
    <w:rsid w:val="009E7E6E"/>
    <w:rsid w:val="009E7F03"/>
    <w:rsid w:val="009E7F6B"/>
    <w:rsid w:val="009F03BC"/>
    <w:rsid w:val="009F0743"/>
    <w:rsid w:val="009F075A"/>
    <w:rsid w:val="009F0764"/>
    <w:rsid w:val="009F099B"/>
    <w:rsid w:val="009F0A04"/>
    <w:rsid w:val="009F0E1E"/>
    <w:rsid w:val="009F0E29"/>
    <w:rsid w:val="009F0E2B"/>
    <w:rsid w:val="009F0FCA"/>
    <w:rsid w:val="009F11A3"/>
    <w:rsid w:val="009F13E5"/>
    <w:rsid w:val="009F1537"/>
    <w:rsid w:val="009F1A23"/>
    <w:rsid w:val="009F1AF2"/>
    <w:rsid w:val="009F1C30"/>
    <w:rsid w:val="009F2027"/>
    <w:rsid w:val="009F2149"/>
    <w:rsid w:val="009F24F1"/>
    <w:rsid w:val="009F2503"/>
    <w:rsid w:val="009F29DD"/>
    <w:rsid w:val="009F2A3D"/>
    <w:rsid w:val="009F2B87"/>
    <w:rsid w:val="009F2DCE"/>
    <w:rsid w:val="009F302D"/>
    <w:rsid w:val="009F30D0"/>
    <w:rsid w:val="009F3207"/>
    <w:rsid w:val="009F376F"/>
    <w:rsid w:val="009F3786"/>
    <w:rsid w:val="009F3BAE"/>
    <w:rsid w:val="009F3CC3"/>
    <w:rsid w:val="009F3D9D"/>
    <w:rsid w:val="009F3F49"/>
    <w:rsid w:val="009F40DC"/>
    <w:rsid w:val="009F413C"/>
    <w:rsid w:val="009F44CE"/>
    <w:rsid w:val="009F4505"/>
    <w:rsid w:val="009F45C3"/>
    <w:rsid w:val="009F4770"/>
    <w:rsid w:val="009F47C4"/>
    <w:rsid w:val="009F4910"/>
    <w:rsid w:val="009F4B11"/>
    <w:rsid w:val="009F4B7C"/>
    <w:rsid w:val="009F4F74"/>
    <w:rsid w:val="009F5049"/>
    <w:rsid w:val="009F51C9"/>
    <w:rsid w:val="009F558F"/>
    <w:rsid w:val="009F5A3B"/>
    <w:rsid w:val="009F5B33"/>
    <w:rsid w:val="009F5D52"/>
    <w:rsid w:val="009F65AA"/>
    <w:rsid w:val="009F6745"/>
    <w:rsid w:val="009F6C48"/>
    <w:rsid w:val="009F6DE4"/>
    <w:rsid w:val="009F6EF6"/>
    <w:rsid w:val="009F7004"/>
    <w:rsid w:val="009F729E"/>
    <w:rsid w:val="009F7659"/>
    <w:rsid w:val="009F78D5"/>
    <w:rsid w:val="009F79E1"/>
    <w:rsid w:val="009F7ABF"/>
    <w:rsid w:val="00A0022D"/>
    <w:rsid w:val="00A002DA"/>
    <w:rsid w:val="00A002DD"/>
    <w:rsid w:val="00A0082B"/>
    <w:rsid w:val="00A00960"/>
    <w:rsid w:val="00A009BA"/>
    <w:rsid w:val="00A00AE9"/>
    <w:rsid w:val="00A00ECD"/>
    <w:rsid w:val="00A00F36"/>
    <w:rsid w:val="00A00FF0"/>
    <w:rsid w:val="00A0128A"/>
    <w:rsid w:val="00A01428"/>
    <w:rsid w:val="00A01840"/>
    <w:rsid w:val="00A01956"/>
    <w:rsid w:val="00A024C2"/>
    <w:rsid w:val="00A025B2"/>
    <w:rsid w:val="00A026C0"/>
    <w:rsid w:val="00A030CC"/>
    <w:rsid w:val="00A03207"/>
    <w:rsid w:val="00A03234"/>
    <w:rsid w:val="00A033A7"/>
    <w:rsid w:val="00A03438"/>
    <w:rsid w:val="00A03608"/>
    <w:rsid w:val="00A037C4"/>
    <w:rsid w:val="00A038AB"/>
    <w:rsid w:val="00A039DC"/>
    <w:rsid w:val="00A03B13"/>
    <w:rsid w:val="00A03B38"/>
    <w:rsid w:val="00A03BCB"/>
    <w:rsid w:val="00A03BD5"/>
    <w:rsid w:val="00A03E7B"/>
    <w:rsid w:val="00A03FAB"/>
    <w:rsid w:val="00A043C5"/>
    <w:rsid w:val="00A043EB"/>
    <w:rsid w:val="00A04530"/>
    <w:rsid w:val="00A045C3"/>
    <w:rsid w:val="00A047AD"/>
    <w:rsid w:val="00A049A6"/>
    <w:rsid w:val="00A049D0"/>
    <w:rsid w:val="00A049DB"/>
    <w:rsid w:val="00A04B65"/>
    <w:rsid w:val="00A04B87"/>
    <w:rsid w:val="00A04F7F"/>
    <w:rsid w:val="00A0514F"/>
    <w:rsid w:val="00A051E5"/>
    <w:rsid w:val="00A05260"/>
    <w:rsid w:val="00A053EF"/>
    <w:rsid w:val="00A0548C"/>
    <w:rsid w:val="00A0562C"/>
    <w:rsid w:val="00A057FA"/>
    <w:rsid w:val="00A059F4"/>
    <w:rsid w:val="00A05A40"/>
    <w:rsid w:val="00A05BD8"/>
    <w:rsid w:val="00A05C42"/>
    <w:rsid w:val="00A05E5C"/>
    <w:rsid w:val="00A05F29"/>
    <w:rsid w:val="00A060D7"/>
    <w:rsid w:val="00A06369"/>
    <w:rsid w:val="00A06542"/>
    <w:rsid w:val="00A065B1"/>
    <w:rsid w:val="00A0670B"/>
    <w:rsid w:val="00A06747"/>
    <w:rsid w:val="00A068B8"/>
    <w:rsid w:val="00A07189"/>
    <w:rsid w:val="00A0720E"/>
    <w:rsid w:val="00A0721D"/>
    <w:rsid w:val="00A074E1"/>
    <w:rsid w:val="00A07869"/>
    <w:rsid w:val="00A07C3B"/>
    <w:rsid w:val="00A07E3C"/>
    <w:rsid w:val="00A07EC2"/>
    <w:rsid w:val="00A100C7"/>
    <w:rsid w:val="00A10491"/>
    <w:rsid w:val="00A104C7"/>
    <w:rsid w:val="00A105A9"/>
    <w:rsid w:val="00A10647"/>
    <w:rsid w:val="00A1089E"/>
    <w:rsid w:val="00A10AA4"/>
    <w:rsid w:val="00A10C94"/>
    <w:rsid w:val="00A10EDB"/>
    <w:rsid w:val="00A10F1B"/>
    <w:rsid w:val="00A10F78"/>
    <w:rsid w:val="00A110B0"/>
    <w:rsid w:val="00A11106"/>
    <w:rsid w:val="00A111FF"/>
    <w:rsid w:val="00A1121E"/>
    <w:rsid w:val="00A1173A"/>
    <w:rsid w:val="00A118C1"/>
    <w:rsid w:val="00A11B76"/>
    <w:rsid w:val="00A11D9D"/>
    <w:rsid w:val="00A11F7B"/>
    <w:rsid w:val="00A122BA"/>
    <w:rsid w:val="00A122FA"/>
    <w:rsid w:val="00A13351"/>
    <w:rsid w:val="00A133E5"/>
    <w:rsid w:val="00A1352C"/>
    <w:rsid w:val="00A136EB"/>
    <w:rsid w:val="00A13703"/>
    <w:rsid w:val="00A138A9"/>
    <w:rsid w:val="00A13947"/>
    <w:rsid w:val="00A13B4C"/>
    <w:rsid w:val="00A13BC1"/>
    <w:rsid w:val="00A13CFF"/>
    <w:rsid w:val="00A13E69"/>
    <w:rsid w:val="00A14245"/>
    <w:rsid w:val="00A142A1"/>
    <w:rsid w:val="00A14379"/>
    <w:rsid w:val="00A14539"/>
    <w:rsid w:val="00A145B6"/>
    <w:rsid w:val="00A14B7E"/>
    <w:rsid w:val="00A14DCE"/>
    <w:rsid w:val="00A1507C"/>
    <w:rsid w:val="00A153EA"/>
    <w:rsid w:val="00A1564A"/>
    <w:rsid w:val="00A159AD"/>
    <w:rsid w:val="00A15C0D"/>
    <w:rsid w:val="00A15C10"/>
    <w:rsid w:val="00A15DFE"/>
    <w:rsid w:val="00A15ED6"/>
    <w:rsid w:val="00A16061"/>
    <w:rsid w:val="00A160E0"/>
    <w:rsid w:val="00A1621A"/>
    <w:rsid w:val="00A16290"/>
    <w:rsid w:val="00A16400"/>
    <w:rsid w:val="00A16AC4"/>
    <w:rsid w:val="00A16B03"/>
    <w:rsid w:val="00A16B7C"/>
    <w:rsid w:val="00A16D4D"/>
    <w:rsid w:val="00A16ED1"/>
    <w:rsid w:val="00A16F17"/>
    <w:rsid w:val="00A172B2"/>
    <w:rsid w:val="00A173CB"/>
    <w:rsid w:val="00A17461"/>
    <w:rsid w:val="00A17648"/>
    <w:rsid w:val="00A17973"/>
    <w:rsid w:val="00A17AF1"/>
    <w:rsid w:val="00A17B03"/>
    <w:rsid w:val="00A17FC1"/>
    <w:rsid w:val="00A17FCD"/>
    <w:rsid w:val="00A20377"/>
    <w:rsid w:val="00A20384"/>
    <w:rsid w:val="00A203E8"/>
    <w:rsid w:val="00A204B1"/>
    <w:rsid w:val="00A20691"/>
    <w:rsid w:val="00A20762"/>
    <w:rsid w:val="00A20F5E"/>
    <w:rsid w:val="00A21170"/>
    <w:rsid w:val="00A212EB"/>
    <w:rsid w:val="00A2140A"/>
    <w:rsid w:val="00A21473"/>
    <w:rsid w:val="00A21476"/>
    <w:rsid w:val="00A21725"/>
    <w:rsid w:val="00A21788"/>
    <w:rsid w:val="00A2182D"/>
    <w:rsid w:val="00A218AD"/>
    <w:rsid w:val="00A219F4"/>
    <w:rsid w:val="00A21E4E"/>
    <w:rsid w:val="00A221BE"/>
    <w:rsid w:val="00A222BB"/>
    <w:rsid w:val="00A222E0"/>
    <w:rsid w:val="00A22371"/>
    <w:rsid w:val="00A225F5"/>
    <w:rsid w:val="00A226BE"/>
    <w:rsid w:val="00A22754"/>
    <w:rsid w:val="00A22965"/>
    <w:rsid w:val="00A22C36"/>
    <w:rsid w:val="00A22CCF"/>
    <w:rsid w:val="00A22D0D"/>
    <w:rsid w:val="00A22DDC"/>
    <w:rsid w:val="00A23630"/>
    <w:rsid w:val="00A23697"/>
    <w:rsid w:val="00A238C8"/>
    <w:rsid w:val="00A23955"/>
    <w:rsid w:val="00A23A52"/>
    <w:rsid w:val="00A23CAA"/>
    <w:rsid w:val="00A23CEE"/>
    <w:rsid w:val="00A23E75"/>
    <w:rsid w:val="00A23E8F"/>
    <w:rsid w:val="00A24045"/>
    <w:rsid w:val="00A2406B"/>
    <w:rsid w:val="00A2406D"/>
    <w:rsid w:val="00A242B5"/>
    <w:rsid w:val="00A2440A"/>
    <w:rsid w:val="00A24443"/>
    <w:rsid w:val="00A244D7"/>
    <w:rsid w:val="00A244E3"/>
    <w:rsid w:val="00A245EE"/>
    <w:rsid w:val="00A2481C"/>
    <w:rsid w:val="00A24A28"/>
    <w:rsid w:val="00A24CE3"/>
    <w:rsid w:val="00A24E0B"/>
    <w:rsid w:val="00A24E8C"/>
    <w:rsid w:val="00A24FD0"/>
    <w:rsid w:val="00A2511A"/>
    <w:rsid w:val="00A252DC"/>
    <w:rsid w:val="00A25408"/>
    <w:rsid w:val="00A256BE"/>
    <w:rsid w:val="00A258BB"/>
    <w:rsid w:val="00A25942"/>
    <w:rsid w:val="00A25A6E"/>
    <w:rsid w:val="00A25AFC"/>
    <w:rsid w:val="00A25ECF"/>
    <w:rsid w:val="00A26517"/>
    <w:rsid w:val="00A26621"/>
    <w:rsid w:val="00A266B3"/>
    <w:rsid w:val="00A266E9"/>
    <w:rsid w:val="00A266ED"/>
    <w:rsid w:val="00A269A4"/>
    <w:rsid w:val="00A26CE9"/>
    <w:rsid w:val="00A26FA0"/>
    <w:rsid w:val="00A26FDE"/>
    <w:rsid w:val="00A27128"/>
    <w:rsid w:val="00A2769B"/>
    <w:rsid w:val="00A2773B"/>
    <w:rsid w:val="00A278F7"/>
    <w:rsid w:val="00A279DD"/>
    <w:rsid w:val="00A279E1"/>
    <w:rsid w:val="00A27C63"/>
    <w:rsid w:val="00A27D13"/>
    <w:rsid w:val="00A3009B"/>
    <w:rsid w:val="00A30683"/>
    <w:rsid w:val="00A30956"/>
    <w:rsid w:val="00A30CFE"/>
    <w:rsid w:val="00A30F1E"/>
    <w:rsid w:val="00A310A6"/>
    <w:rsid w:val="00A310AA"/>
    <w:rsid w:val="00A310CF"/>
    <w:rsid w:val="00A3111C"/>
    <w:rsid w:val="00A311F7"/>
    <w:rsid w:val="00A312C2"/>
    <w:rsid w:val="00A3130C"/>
    <w:rsid w:val="00A31482"/>
    <w:rsid w:val="00A3150F"/>
    <w:rsid w:val="00A317A5"/>
    <w:rsid w:val="00A31BAE"/>
    <w:rsid w:val="00A31D60"/>
    <w:rsid w:val="00A31F99"/>
    <w:rsid w:val="00A3204A"/>
    <w:rsid w:val="00A321B8"/>
    <w:rsid w:val="00A321F3"/>
    <w:rsid w:val="00A324F3"/>
    <w:rsid w:val="00A326DF"/>
    <w:rsid w:val="00A3276D"/>
    <w:rsid w:val="00A327E6"/>
    <w:rsid w:val="00A32837"/>
    <w:rsid w:val="00A328F7"/>
    <w:rsid w:val="00A3299C"/>
    <w:rsid w:val="00A329F6"/>
    <w:rsid w:val="00A32B0A"/>
    <w:rsid w:val="00A32B36"/>
    <w:rsid w:val="00A32D7A"/>
    <w:rsid w:val="00A32DCA"/>
    <w:rsid w:val="00A32E4E"/>
    <w:rsid w:val="00A32F3B"/>
    <w:rsid w:val="00A32FAB"/>
    <w:rsid w:val="00A33078"/>
    <w:rsid w:val="00A33496"/>
    <w:rsid w:val="00A336CA"/>
    <w:rsid w:val="00A33832"/>
    <w:rsid w:val="00A338E6"/>
    <w:rsid w:val="00A33EB7"/>
    <w:rsid w:val="00A33FF8"/>
    <w:rsid w:val="00A340B3"/>
    <w:rsid w:val="00A340BF"/>
    <w:rsid w:val="00A34453"/>
    <w:rsid w:val="00A34457"/>
    <w:rsid w:val="00A344EF"/>
    <w:rsid w:val="00A34551"/>
    <w:rsid w:val="00A34670"/>
    <w:rsid w:val="00A34683"/>
    <w:rsid w:val="00A34A2F"/>
    <w:rsid w:val="00A34A62"/>
    <w:rsid w:val="00A34CDB"/>
    <w:rsid w:val="00A34CE4"/>
    <w:rsid w:val="00A35321"/>
    <w:rsid w:val="00A35442"/>
    <w:rsid w:val="00A35801"/>
    <w:rsid w:val="00A35A4B"/>
    <w:rsid w:val="00A35ABA"/>
    <w:rsid w:val="00A35BBC"/>
    <w:rsid w:val="00A35CDD"/>
    <w:rsid w:val="00A35D54"/>
    <w:rsid w:val="00A36163"/>
    <w:rsid w:val="00A36242"/>
    <w:rsid w:val="00A3631E"/>
    <w:rsid w:val="00A36569"/>
    <w:rsid w:val="00A36619"/>
    <w:rsid w:val="00A36BF5"/>
    <w:rsid w:val="00A36D98"/>
    <w:rsid w:val="00A36E9B"/>
    <w:rsid w:val="00A36EFD"/>
    <w:rsid w:val="00A37058"/>
    <w:rsid w:val="00A37157"/>
    <w:rsid w:val="00A371CE"/>
    <w:rsid w:val="00A3727D"/>
    <w:rsid w:val="00A377CA"/>
    <w:rsid w:val="00A378F2"/>
    <w:rsid w:val="00A3796A"/>
    <w:rsid w:val="00A379EB"/>
    <w:rsid w:val="00A37C5F"/>
    <w:rsid w:val="00A37C8E"/>
    <w:rsid w:val="00A37D4F"/>
    <w:rsid w:val="00A400B8"/>
    <w:rsid w:val="00A400E1"/>
    <w:rsid w:val="00A403DC"/>
    <w:rsid w:val="00A40461"/>
    <w:rsid w:val="00A405CC"/>
    <w:rsid w:val="00A406CE"/>
    <w:rsid w:val="00A40B4A"/>
    <w:rsid w:val="00A40C61"/>
    <w:rsid w:val="00A41298"/>
    <w:rsid w:val="00A41492"/>
    <w:rsid w:val="00A415A7"/>
    <w:rsid w:val="00A4181B"/>
    <w:rsid w:val="00A41AFC"/>
    <w:rsid w:val="00A41DA8"/>
    <w:rsid w:val="00A4233F"/>
    <w:rsid w:val="00A42448"/>
    <w:rsid w:val="00A4274A"/>
    <w:rsid w:val="00A42823"/>
    <w:rsid w:val="00A42A27"/>
    <w:rsid w:val="00A42CB7"/>
    <w:rsid w:val="00A42F6F"/>
    <w:rsid w:val="00A42FC9"/>
    <w:rsid w:val="00A4309C"/>
    <w:rsid w:val="00A430E7"/>
    <w:rsid w:val="00A431E2"/>
    <w:rsid w:val="00A43294"/>
    <w:rsid w:val="00A4337F"/>
    <w:rsid w:val="00A43395"/>
    <w:rsid w:val="00A43543"/>
    <w:rsid w:val="00A43A15"/>
    <w:rsid w:val="00A43C95"/>
    <w:rsid w:val="00A43DE7"/>
    <w:rsid w:val="00A43ED7"/>
    <w:rsid w:val="00A43FA0"/>
    <w:rsid w:val="00A43FF9"/>
    <w:rsid w:val="00A4431C"/>
    <w:rsid w:val="00A44399"/>
    <w:rsid w:val="00A444EC"/>
    <w:rsid w:val="00A4475C"/>
    <w:rsid w:val="00A447BE"/>
    <w:rsid w:val="00A447C8"/>
    <w:rsid w:val="00A447E7"/>
    <w:rsid w:val="00A4485F"/>
    <w:rsid w:val="00A44937"/>
    <w:rsid w:val="00A449AC"/>
    <w:rsid w:val="00A44AA9"/>
    <w:rsid w:val="00A44B06"/>
    <w:rsid w:val="00A44B6A"/>
    <w:rsid w:val="00A44D0A"/>
    <w:rsid w:val="00A44E08"/>
    <w:rsid w:val="00A44F35"/>
    <w:rsid w:val="00A44F87"/>
    <w:rsid w:val="00A44FF2"/>
    <w:rsid w:val="00A45078"/>
    <w:rsid w:val="00A451B5"/>
    <w:rsid w:val="00A4569D"/>
    <w:rsid w:val="00A456BF"/>
    <w:rsid w:val="00A4573D"/>
    <w:rsid w:val="00A45790"/>
    <w:rsid w:val="00A45C7A"/>
    <w:rsid w:val="00A46276"/>
    <w:rsid w:val="00A4637B"/>
    <w:rsid w:val="00A464ED"/>
    <w:rsid w:val="00A466A5"/>
    <w:rsid w:val="00A46A0C"/>
    <w:rsid w:val="00A46C87"/>
    <w:rsid w:val="00A46D5A"/>
    <w:rsid w:val="00A46D72"/>
    <w:rsid w:val="00A46F68"/>
    <w:rsid w:val="00A4715E"/>
    <w:rsid w:val="00A47207"/>
    <w:rsid w:val="00A47285"/>
    <w:rsid w:val="00A47543"/>
    <w:rsid w:val="00A475DC"/>
    <w:rsid w:val="00A47D0D"/>
    <w:rsid w:val="00A47DD2"/>
    <w:rsid w:val="00A501A0"/>
    <w:rsid w:val="00A5037A"/>
    <w:rsid w:val="00A503E3"/>
    <w:rsid w:val="00A505C8"/>
    <w:rsid w:val="00A5066B"/>
    <w:rsid w:val="00A50BA6"/>
    <w:rsid w:val="00A50D03"/>
    <w:rsid w:val="00A50FE3"/>
    <w:rsid w:val="00A51050"/>
    <w:rsid w:val="00A51128"/>
    <w:rsid w:val="00A51298"/>
    <w:rsid w:val="00A51444"/>
    <w:rsid w:val="00A514AA"/>
    <w:rsid w:val="00A5160B"/>
    <w:rsid w:val="00A51630"/>
    <w:rsid w:val="00A5166B"/>
    <w:rsid w:val="00A516AC"/>
    <w:rsid w:val="00A5198C"/>
    <w:rsid w:val="00A519B4"/>
    <w:rsid w:val="00A51A5D"/>
    <w:rsid w:val="00A51BF9"/>
    <w:rsid w:val="00A51C4D"/>
    <w:rsid w:val="00A51CB3"/>
    <w:rsid w:val="00A51F1A"/>
    <w:rsid w:val="00A520BF"/>
    <w:rsid w:val="00A5222A"/>
    <w:rsid w:val="00A52387"/>
    <w:rsid w:val="00A52665"/>
    <w:rsid w:val="00A52706"/>
    <w:rsid w:val="00A529FB"/>
    <w:rsid w:val="00A52C9C"/>
    <w:rsid w:val="00A52F28"/>
    <w:rsid w:val="00A52F87"/>
    <w:rsid w:val="00A53007"/>
    <w:rsid w:val="00A5304A"/>
    <w:rsid w:val="00A5306B"/>
    <w:rsid w:val="00A530B1"/>
    <w:rsid w:val="00A53228"/>
    <w:rsid w:val="00A53463"/>
    <w:rsid w:val="00A534AC"/>
    <w:rsid w:val="00A5378B"/>
    <w:rsid w:val="00A53B5F"/>
    <w:rsid w:val="00A53BAF"/>
    <w:rsid w:val="00A53E73"/>
    <w:rsid w:val="00A5420E"/>
    <w:rsid w:val="00A5438F"/>
    <w:rsid w:val="00A5454F"/>
    <w:rsid w:val="00A547AB"/>
    <w:rsid w:val="00A547B4"/>
    <w:rsid w:val="00A548C3"/>
    <w:rsid w:val="00A54D69"/>
    <w:rsid w:val="00A54D77"/>
    <w:rsid w:val="00A54E78"/>
    <w:rsid w:val="00A54EAC"/>
    <w:rsid w:val="00A54FF0"/>
    <w:rsid w:val="00A550DD"/>
    <w:rsid w:val="00A5533B"/>
    <w:rsid w:val="00A55714"/>
    <w:rsid w:val="00A5590B"/>
    <w:rsid w:val="00A55983"/>
    <w:rsid w:val="00A55B01"/>
    <w:rsid w:val="00A55F33"/>
    <w:rsid w:val="00A5688D"/>
    <w:rsid w:val="00A56CB3"/>
    <w:rsid w:val="00A56D5D"/>
    <w:rsid w:val="00A56E8D"/>
    <w:rsid w:val="00A56F6C"/>
    <w:rsid w:val="00A57228"/>
    <w:rsid w:val="00A572D6"/>
    <w:rsid w:val="00A574D0"/>
    <w:rsid w:val="00A57881"/>
    <w:rsid w:val="00A579E4"/>
    <w:rsid w:val="00A57B5C"/>
    <w:rsid w:val="00A57B8B"/>
    <w:rsid w:val="00A57CDC"/>
    <w:rsid w:val="00A57D2B"/>
    <w:rsid w:val="00A601BC"/>
    <w:rsid w:val="00A60259"/>
    <w:rsid w:val="00A6057A"/>
    <w:rsid w:val="00A607C5"/>
    <w:rsid w:val="00A609C6"/>
    <w:rsid w:val="00A60BDD"/>
    <w:rsid w:val="00A60CC2"/>
    <w:rsid w:val="00A60CD7"/>
    <w:rsid w:val="00A60CDD"/>
    <w:rsid w:val="00A60D26"/>
    <w:rsid w:val="00A60F98"/>
    <w:rsid w:val="00A61344"/>
    <w:rsid w:val="00A6136B"/>
    <w:rsid w:val="00A61373"/>
    <w:rsid w:val="00A61461"/>
    <w:rsid w:val="00A61497"/>
    <w:rsid w:val="00A6182C"/>
    <w:rsid w:val="00A6185C"/>
    <w:rsid w:val="00A619C0"/>
    <w:rsid w:val="00A61ACF"/>
    <w:rsid w:val="00A61ECD"/>
    <w:rsid w:val="00A6206E"/>
    <w:rsid w:val="00A6214E"/>
    <w:rsid w:val="00A6228F"/>
    <w:rsid w:val="00A6249C"/>
    <w:rsid w:val="00A624A3"/>
    <w:rsid w:val="00A62867"/>
    <w:rsid w:val="00A62B0A"/>
    <w:rsid w:val="00A62BE6"/>
    <w:rsid w:val="00A62E5A"/>
    <w:rsid w:val="00A62EC2"/>
    <w:rsid w:val="00A62FF3"/>
    <w:rsid w:val="00A631E6"/>
    <w:rsid w:val="00A635F9"/>
    <w:rsid w:val="00A63713"/>
    <w:rsid w:val="00A637E4"/>
    <w:rsid w:val="00A63A0B"/>
    <w:rsid w:val="00A64116"/>
    <w:rsid w:val="00A64161"/>
    <w:rsid w:val="00A643A7"/>
    <w:rsid w:val="00A644D9"/>
    <w:rsid w:val="00A647DF"/>
    <w:rsid w:val="00A64ACC"/>
    <w:rsid w:val="00A64D2F"/>
    <w:rsid w:val="00A64D5C"/>
    <w:rsid w:val="00A64EEA"/>
    <w:rsid w:val="00A64F3F"/>
    <w:rsid w:val="00A650BB"/>
    <w:rsid w:val="00A651C3"/>
    <w:rsid w:val="00A65256"/>
    <w:rsid w:val="00A65282"/>
    <w:rsid w:val="00A65438"/>
    <w:rsid w:val="00A6548B"/>
    <w:rsid w:val="00A6550D"/>
    <w:rsid w:val="00A655A7"/>
    <w:rsid w:val="00A65739"/>
    <w:rsid w:val="00A65933"/>
    <w:rsid w:val="00A659C7"/>
    <w:rsid w:val="00A65B6D"/>
    <w:rsid w:val="00A65D1B"/>
    <w:rsid w:val="00A65DFF"/>
    <w:rsid w:val="00A65F76"/>
    <w:rsid w:val="00A662F7"/>
    <w:rsid w:val="00A662F8"/>
    <w:rsid w:val="00A662FB"/>
    <w:rsid w:val="00A66358"/>
    <w:rsid w:val="00A66454"/>
    <w:rsid w:val="00A665A4"/>
    <w:rsid w:val="00A667C9"/>
    <w:rsid w:val="00A669FB"/>
    <w:rsid w:val="00A66E48"/>
    <w:rsid w:val="00A66E4D"/>
    <w:rsid w:val="00A66EA4"/>
    <w:rsid w:val="00A6712A"/>
    <w:rsid w:val="00A673A1"/>
    <w:rsid w:val="00A67930"/>
    <w:rsid w:val="00A67AD9"/>
    <w:rsid w:val="00A67BF1"/>
    <w:rsid w:val="00A67E15"/>
    <w:rsid w:val="00A67E35"/>
    <w:rsid w:val="00A7008D"/>
    <w:rsid w:val="00A7028F"/>
    <w:rsid w:val="00A704C6"/>
    <w:rsid w:val="00A70559"/>
    <w:rsid w:val="00A706F3"/>
    <w:rsid w:val="00A70862"/>
    <w:rsid w:val="00A70A68"/>
    <w:rsid w:val="00A70C14"/>
    <w:rsid w:val="00A70CA7"/>
    <w:rsid w:val="00A70D73"/>
    <w:rsid w:val="00A71114"/>
    <w:rsid w:val="00A7133F"/>
    <w:rsid w:val="00A71357"/>
    <w:rsid w:val="00A71456"/>
    <w:rsid w:val="00A71646"/>
    <w:rsid w:val="00A71E52"/>
    <w:rsid w:val="00A71FF9"/>
    <w:rsid w:val="00A7200B"/>
    <w:rsid w:val="00A72052"/>
    <w:rsid w:val="00A720E8"/>
    <w:rsid w:val="00A72229"/>
    <w:rsid w:val="00A72353"/>
    <w:rsid w:val="00A724BC"/>
    <w:rsid w:val="00A727FF"/>
    <w:rsid w:val="00A72AC1"/>
    <w:rsid w:val="00A72BDB"/>
    <w:rsid w:val="00A72CAA"/>
    <w:rsid w:val="00A72ECD"/>
    <w:rsid w:val="00A7323C"/>
    <w:rsid w:val="00A733D7"/>
    <w:rsid w:val="00A738D3"/>
    <w:rsid w:val="00A73BB1"/>
    <w:rsid w:val="00A73BD6"/>
    <w:rsid w:val="00A73CF5"/>
    <w:rsid w:val="00A73FDB"/>
    <w:rsid w:val="00A7409F"/>
    <w:rsid w:val="00A742DB"/>
    <w:rsid w:val="00A74439"/>
    <w:rsid w:val="00A74547"/>
    <w:rsid w:val="00A74557"/>
    <w:rsid w:val="00A745EA"/>
    <w:rsid w:val="00A74924"/>
    <w:rsid w:val="00A74E4C"/>
    <w:rsid w:val="00A74F78"/>
    <w:rsid w:val="00A75322"/>
    <w:rsid w:val="00A7534E"/>
    <w:rsid w:val="00A753D7"/>
    <w:rsid w:val="00A7547D"/>
    <w:rsid w:val="00A75639"/>
    <w:rsid w:val="00A756E7"/>
    <w:rsid w:val="00A758EB"/>
    <w:rsid w:val="00A758F6"/>
    <w:rsid w:val="00A759D6"/>
    <w:rsid w:val="00A75A32"/>
    <w:rsid w:val="00A75AF3"/>
    <w:rsid w:val="00A75C45"/>
    <w:rsid w:val="00A76034"/>
    <w:rsid w:val="00A762AC"/>
    <w:rsid w:val="00A7653C"/>
    <w:rsid w:val="00A76A96"/>
    <w:rsid w:val="00A76BF6"/>
    <w:rsid w:val="00A76C36"/>
    <w:rsid w:val="00A76C57"/>
    <w:rsid w:val="00A76F37"/>
    <w:rsid w:val="00A77027"/>
    <w:rsid w:val="00A772E5"/>
    <w:rsid w:val="00A773E9"/>
    <w:rsid w:val="00A774BB"/>
    <w:rsid w:val="00A7753F"/>
    <w:rsid w:val="00A778F2"/>
    <w:rsid w:val="00A77A02"/>
    <w:rsid w:val="00A77DA5"/>
    <w:rsid w:val="00A77DEE"/>
    <w:rsid w:val="00A77F02"/>
    <w:rsid w:val="00A801FF"/>
    <w:rsid w:val="00A8026B"/>
    <w:rsid w:val="00A80280"/>
    <w:rsid w:val="00A80452"/>
    <w:rsid w:val="00A80502"/>
    <w:rsid w:val="00A8063B"/>
    <w:rsid w:val="00A80874"/>
    <w:rsid w:val="00A808FC"/>
    <w:rsid w:val="00A8093D"/>
    <w:rsid w:val="00A80A05"/>
    <w:rsid w:val="00A80BD3"/>
    <w:rsid w:val="00A80CA1"/>
    <w:rsid w:val="00A80CC9"/>
    <w:rsid w:val="00A812EF"/>
    <w:rsid w:val="00A818E9"/>
    <w:rsid w:val="00A81924"/>
    <w:rsid w:val="00A81BDD"/>
    <w:rsid w:val="00A81CB3"/>
    <w:rsid w:val="00A81DA4"/>
    <w:rsid w:val="00A81ED6"/>
    <w:rsid w:val="00A81FC5"/>
    <w:rsid w:val="00A8227E"/>
    <w:rsid w:val="00A82306"/>
    <w:rsid w:val="00A823B9"/>
    <w:rsid w:val="00A8255B"/>
    <w:rsid w:val="00A82661"/>
    <w:rsid w:val="00A82718"/>
    <w:rsid w:val="00A829C5"/>
    <w:rsid w:val="00A82B6F"/>
    <w:rsid w:val="00A82B91"/>
    <w:rsid w:val="00A82E86"/>
    <w:rsid w:val="00A83018"/>
    <w:rsid w:val="00A831FA"/>
    <w:rsid w:val="00A8327A"/>
    <w:rsid w:val="00A834B0"/>
    <w:rsid w:val="00A83744"/>
    <w:rsid w:val="00A837A6"/>
    <w:rsid w:val="00A8380A"/>
    <w:rsid w:val="00A83A50"/>
    <w:rsid w:val="00A83C38"/>
    <w:rsid w:val="00A83DB5"/>
    <w:rsid w:val="00A84221"/>
    <w:rsid w:val="00A8426F"/>
    <w:rsid w:val="00A84508"/>
    <w:rsid w:val="00A84540"/>
    <w:rsid w:val="00A84620"/>
    <w:rsid w:val="00A846EF"/>
    <w:rsid w:val="00A8486B"/>
    <w:rsid w:val="00A84B5A"/>
    <w:rsid w:val="00A84B8F"/>
    <w:rsid w:val="00A84F84"/>
    <w:rsid w:val="00A8527A"/>
    <w:rsid w:val="00A8536E"/>
    <w:rsid w:val="00A856C6"/>
    <w:rsid w:val="00A85775"/>
    <w:rsid w:val="00A85899"/>
    <w:rsid w:val="00A859DD"/>
    <w:rsid w:val="00A85B3E"/>
    <w:rsid w:val="00A8635A"/>
    <w:rsid w:val="00A86467"/>
    <w:rsid w:val="00A86496"/>
    <w:rsid w:val="00A864A2"/>
    <w:rsid w:val="00A86537"/>
    <w:rsid w:val="00A8691B"/>
    <w:rsid w:val="00A86965"/>
    <w:rsid w:val="00A86D21"/>
    <w:rsid w:val="00A86DB5"/>
    <w:rsid w:val="00A86F44"/>
    <w:rsid w:val="00A87033"/>
    <w:rsid w:val="00A874E2"/>
    <w:rsid w:val="00A875B2"/>
    <w:rsid w:val="00A87634"/>
    <w:rsid w:val="00A87A17"/>
    <w:rsid w:val="00A87C9B"/>
    <w:rsid w:val="00A87D1F"/>
    <w:rsid w:val="00A87EEB"/>
    <w:rsid w:val="00A900A1"/>
    <w:rsid w:val="00A90184"/>
    <w:rsid w:val="00A9020F"/>
    <w:rsid w:val="00A90322"/>
    <w:rsid w:val="00A903C5"/>
    <w:rsid w:val="00A903D0"/>
    <w:rsid w:val="00A90433"/>
    <w:rsid w:val="00A90573"/>
    <w:rsid w:val="00A905A2"/>
    <w:rsid w:val="00A905F0"/>
    <w:rsid w:val="00A9074A"/>
    <w:rsid w:val="00A909CC"/>
    <w:rsid w:val="00A90A23"/>
    <w:rsid w:val="00A90B06"/>
    <w:rsid w:val="00A90CBC"/>
    <w:rsid w:val="00A90E0E"/>
    <w:rsid w:val="00A90F79"/>
    <w:rsid w:val="00A910DC"/>
    <w:rsid w:val="00A910FD"/>
    <w:rsid w:val="00A91258"/>
    <w:rsid w:val="00A917F5"/>
    <w:rsid w:val="00A91ACB"/>
    <w:rsid w:val="00A91AFA"/>
    <w:rsid w:val="00A91B65"/>
    <w:rsid w:val="00A91B70"/>
    <w:rsid w:val="00A91C2E"/>
    <w:rsid w:val="00A91D46"/>
    <w:rsid w:val="00A92081"/>
    <w:rsid w:val="00A92216"/>
    <w:rsid w:val="00A92567"/>
    <w:rsid w:val="00A92619"/>
    <w:rsid w:val="00A926C6"/>
    <w:rsid w:val="00A92925"/>
    <w:rsid w:val="00A92B4B"/>
    <w:rsid w:val="00A92CF0"/>
    <w:rsid w:val="00A92D10"/>
    <w:rsid w:val="00A92D16"/>
    <w:rsid w:val="00A92D36"/>
    <w:rsid w:val="00A92EA9"/>
    <w:rsid w:val="00A92F91"/>
    <w:rsid w:val="00A92FE0"/>
    <w:rsid w:val="00A93319"/>
    <w:rsid w:val="00A938F7"/>
    <w:rsid w:val="00A93B58"/>
    <w:rsid w:val="00A93BD6"/>
    <w:rsid w:val="00A93D01"/>
    <w:rsid w:val="00A93E3F"/>
    <w:rsid w:val="00A93E4F"/>
    <w:rsid w:val="00A93EFE"/>
    <w:rsid w:val="00A94670"/>
    <w:rsid w:val="00A946BE"/>
    <w:rsid w:val="00A94C63"/>
    <w:rsid w:val="00A94F13"/>
    <w:rsid w:val="00A951CB"/>
    <w:rsid w:val="00A95577"/>
    <w:rsid w:val="00A955A5"/>
    <w:rsid w:val="00A956AD"/>
    <w:rsid w:val="00A956F4"/>
    <w:rsid w:val="00A956FC"/>
    <w:rsid w:val="00A95A82"/>
    <w:rsid w:val="00A95B4F"/>
    <w:rsid w:val="00A95C21"/>
    <w:rsid w:val="00A95F82"/>
    <w:rsid w:val="00A96086"/>
    <w:rsid w:val="00A960CA"/>
    <w:rsid w:val="00A96113"/>
    <w:rsid w:val="00A9613A"/>
    <w:rsid w:val="00A9642A"/>
    <w:rsid w:val="00A964EF"/>
    <w:rsid w:val="00A96527"/>
    <w:rsid w:val="00A96A80"/>
    <w:rsid w:val="00A96E3B"/>
    <w:rsid w:val="00A96F9E"/>
    <w:rsid w:val="00A97043"/>
    <w:rsid w:val="00A970A9"/>
    <w:rsid w:val="00A970C1"/>
    <w:rsid w:val="00A972BC"/>
    <w:rsid w:val="00A974B1"/>
    <w:rsid w:val="00A9782C"/>
    <w:rsid w:val="00A978AA"/>
    <w:rsid w:val="00AA022A"/>
    <w:rsid w:val="00AA0258"/>
    <w:rsid w:val="00AA030A"/>
    <w:rsid w:val="00AA0455"/>
    <w:rsid w:val="00AA085D"/>
    <w:rsid w:val="00AA0B10"/>
    <w:rsid w:val="00AA0B2D"/>
    <w:rsid w:val="00AA0BF4"/>
    <w:rsid w:val="00AA0CB5"/>
    <w:rsid w:val="00AA0E2E"/>
    <w:rsid w:val="00AA0F48"/>
    <w:rsid w:val="00AA0F4C"/>
    <w:rsid w:val="00AA1357"/>
    <w:rsid w:val="00AA14DC"/>
    <w:rsid w:val="00AA15DC"/>
    <w:rsid w:val="00AA17D2"/>
    <w:rsid w:val="00AA1A62"/>
    <w:rsid w:val="00AA1BD0"/>
    <w:rsid w:val="00AA1EBF"/>
    <w:rsid w:val="00AA2069"/>
    <w:rsid w:val="00AA2146"/>
    <w:rsid w:val="00AA2345"/>
    <w:rsid w:val="00AA2B05"/>
    <w:rsid w:val="00AA2D80"/>
    <w:rsid w:val="00AA2F08"/>
    <w:rsid w:val="00AA34C7"/>
    <w:rsid w:val="00AA35BD"/>
    <w:rsid w:val="00AA3657"/>
    <w:rsid w:val="00AA3992"/>
    <w:rsid w:val="00AA39C3"/>
    <w:rsid w:val="00AA39E5"/>
    <w:rsid w:val="00AA3E29"/>
    <w:rsid w:val="00AA41C8"/>
    <w:rsid w:val="00AA42F3"/>
    <w:rsid w:val="00AA4C78"/>
    <w:rsid w:val="00AA4CAE"/>
    <w:rsid w:val="00AA510A"/>
    <w:rsid w:val="00AA52C8"/>
    <w:rsid w:val="00AA55B3"/>
    <w:rsid w:val="00AA568C"/>
    <w:rsid w:val="00AA58C0"/>
    <w:rsid w:val="00AA59CC"/>
    <w:rsid w:val="00AA5B28"/>
    <w:rsid w:val="00AA5C31"/>
    <w:rsid w:val="00AA5DC3"/>
    <w:rsid w:val="00AA5DD2"/>
    <w:rsid w:val="00AA60CE"/>
    <w:rsid w:val="00AA60D8"/>
    <w:rsid w:val="00AA61C2"/>
    <w:rsid w:val="00AA66C7"/>
    <w:rsid w:val="00AA685F"/>
    <w:rsid w:val="00AA6934"/>
    <w:rsid w:val="00AA6B36"/>
    <w:rsid w:val="00AA6CCB"/>
    <w:rsid w:val="00AA72D5"/>
    <w:rsid w:val="00AA77BC"/>
    <w:rsid w:val="00AA77FA"/>
    <w:rsid w:val="00AA7962"/>
    <w:rsid w:val="00AA7985"/>
    <w:rsid w:val="00AA7A52"/>
    <w:rsid w:val="00AA7D16"/>
    <w:rsid w:val="00AA7DCF"/>
    <w:rsid w:val="00AA7E7B"/>
    <w:rsid w:val="00AA7E88"/>
    <w:rsid w:val="00AA7F52"/>
    <w:rsid w:val="00AA7F89"/>
    <w:rsid w:val="00AB0349"/>
    <w:rsid w:val="00AB04FE"/>
    <w:rsid w:val="00AB0621"/>
    <w:rsid w:val="00AB0680"/>
    <w:rsid w:val="00AB06F6"/>
    <w:rsid w:val="00AB077E"/>
    <w:rsid w:val="00AB0B65"/>
    <w:rsid w:val="00AB0F49"/>
    <w:rsid w:val="00AB0FE0"/>
    <w:rsid w:val="00AB1016"/>
    <w:rsid w:val="00AB101C"/>
    <w:rsid w:val="00AB1157"/>
    <w:rsid w:val="00AB1B7B"/>
    <w:rsid w:val="00AB1F2A"/>
    <w:rsid w:val="00AB21F1"/>
    <w:rsid w:val="00AB24AA"/>
    <w:rsid w:val="00AB26D9"/>
    <w:rsid w:val="00AB2733"/>
    <w:rsid w:val="00AB2745"/>
    <w:rsid w:val="00AB275B"/>
    <w:rsid w:val="00AB2BD6"/>
    <w:rsid w:val="00AB30D2"/>
    <w:rsid w:val="00AB324C"/>
    <w:rsid w:val="00AB32E5"/>
    <w:rsid w:val="00AB33AF"/>
    <w:rsid w:val="00AB3496"/>
    <w:rsid w:val="00AB354E"/>
    <w:rsid w:val="00AB3605"/>
    <w:rsid w:val="00AB38D8"/>
    <w:rsid w:val="00AB393C"/>
    <w:rsid w:val="00AB3961"/>
    <w:rsid w:val="00AB3A3F"/>
    <w:rsid w:val="00AB3A74"/>
    <w:rsid w:val="00AB3CB3"/>
    <w:rsid w:val="00AB3DE6"/>
    <w:rsid w:val="00AB4233"/>
    <w:rsid w:val="00AB4259"/>
    <w:rsid w:val="00AB426C"/>
    <w:rsid w:val="00AB4472"/>
    <w:rsid w:val="00AB44E3"/>
    <w:rsid w:val="00AB4557"/>
    <w:rsid w:val="00AB4680"/>
    <w:rsid w:val="00AB4741"/>
    <w:rsid w:val="00AB478C"/>
    <w:rsid w:val="00AB4808"/>
    <w:rsid w:val="00AB4905"/>
    <w:rsid w:val="00AB4A99"/>
    <w:rsid w:val="00AB4ABF"/>
    <w:rsid w:val="00AB4D1B"/>
    <w:rsid w:val="00AB4D3B"/>
    <w:rsid w:val="00AB4DD6"/>
    <w:rsid w:val="00AB4F97"/>
    <w:rsid w:val="00AB50E7"/>
    <w:rsid w:val="00AB50FB"/>
    <w:rsid w:val="00AB53F5"/>
    <w:rsid w:val="00AB5683"/>
    <w:rsid w:val="00AB56F8"/>
    <w:rsid w:val="00AB5723"/>
    <w:rsid w:val="00AB5A4C"/>
    <w:rsid w:val="00AB5AE6"/>
    <w:rsid w:val="00AB5BB5"/>
    <w:rsid w:val="00AB5BBB"/>
    <w:rsid w:val="00AB5BC1"/>
    <w:rsid w:val="00AB5C0A"/>
    <w:rsid w:val="00AB6064"/>
    <w:rsid w:val="00AB618A"/>
    <w:rsid w:val="00AB62F7"/>
    <w:rsid w:val="00AB6400"/>
    <w:rsid w:val="00AB64DC"/>
    <w:rsid w:val="00AB66C1"/>
    <w:rsid w:val="00AB6736"/>
    <w:rsid w:val="00AB69ED"/>
    <w:rsid w:val="00AB6B65"/>
    <w:rsid w:val="00AB6D21"/>
    <w:rsid w:val="00AB709F"/>
    <w:rsid w:val="00AB713F"/>
    <w:rsid w:val="00AB7306"/>
    <w:rsid w:val="00AB751C"/>
    <w:rsid w:val="00AB7682"/>
    <w:rsid w:val="00AB7BB4"/>
    <w:rsid w:val="00AB7D8E"/>
    <w:rsid w:val="00AB7F37"/>
    <w:rsid w:val="00AC0429"/>
    <w:rsid w:val="00AC05E1"/>
    <w:rsid w:val="00AC081B"/>
    <w:rsid w:val="00AC0A2B"/>
    <w:rsid w:val="00AC0A3A"/>
    <w:rsid w:val="00AC0C46"/>
    <w:rsid w:val="00AC0D70"/>
    <w:rsid w:val="00AC0DA9"/>
    <w:rsid w:val="00AC1B1F"/>
    <w:rsid w:val="00AC1EB7"/>
    <w:rsid w:val="00AC212D"/>
    <w:rsid w:val="00AC2220"/>
    <w:rsid w:val="00AC23C4"/>
    <w:rsid w:val="00AC25BD"/>
    <w:rsid w:val="00AC2620"/>
    <w:rsid w:val="00AC2710"/>
    <w:rsid w:val="00AC2764"/>
    <w:rsid w:val="00AC2841"/>
    <w:rsid w:val="00AC28A7"/>
    <w:rsid w:val="00AC29DA"/>
    <w:rsid w:val="00AC2B10"/>
    <w:rsid w:val="00AC2B57"/>
    <w:rsid w:val="00AC320F"/>
    <w:rsid w:val="00AC3481"/>
    <w:rsid w:val="00AC3AB6"/>
    <w:rsid w:val="00AC3AE5"/>
    <w:rsid w:val="00AC3C7F"/>
    <w:rsid w:val="00AC3FF5"/>
    <w:rsid w:val="00AC404B"/>
    <w:rsid w:val="00AC4379"/>
    <w:rsid w:val="00AC44AD"/>
    <w:rsid w:val="00AC4560"/>
    <w:rsid w:val="00AC472C"/>
    <w:rsid w:val="00AC48FD"/>
    <w:rsid w:val="00AC4944"/>
    <w:rsid w:val="00AC4A30"/>
    <w:rsid w:val="00AC4CB6"/>
    <w:rsid w:val="00AC5036"/>
    <w:rsid w:val="00AC52E7"/>
    <w:rsid w:val="00AC55F6"/>
    <w:rsid w:val="00AC5905"/>
    <w:rsid w:val="00AC5C94"/>
    <w:rsid w:val="00AC5EBA"/>
    <w:rsid w:val="00AC5F42"/>
    <w:rsid w:val="00AC6139"/>
    <w:rsid w:val="00AC61A1"/>
    <w:rsid w:val="00AC64BA"/>
    <w:rsid w:val="00AC67EC"/>
    <w:rsid w:val="00AC6BAE"/>
    <w:rsid w:val="00AC6DFF"/>
    <w:rsid w:val="00AC6F15"/>
    <w:rsid w:val="00AC6F8A"/>
    <w:rsid w:val="00AC7007"/>
    <w:rsid w:val="00AC70CE"/>
    <w:rsid w:val="00AC7155"/>
    <w:rsid w:val="00AC7170"/>
    <w:rsid w:val="00AC74C3"/>
    <w:rsid w:val="00AC74FD"/>
    <w:rsid w:val="00AC763F"/>
    <w:rsid w:val="00AC76EE"/>
    <w:rsid w:val="00AC7899"/>
    <w:rsid w:val="00AC7A55"/>
    <w:rsid w:val="00AC7B40"/>
    <w:rsid w:val="00AC7DA6"/>
    <w:rsid w:val="00AD01F2"/>
    <w:rsid w:val="00AD01FC"/>
    <w:rsid w:val="00AD042A"/>
    <w:rsid w:val="00AD0547"/>
    <w:rsid w:val="00AD06C4"/>
    <w:rsid w:val="00AD09EF"/>
    <w:rsid w:val="00AD0B65"/>
    <w:rsid w:val="00AD0CE9"/>
    <w:rsid w:val="00AD0CF3"/>
    <w:rsid w:val="00AD1491"/>
    <w:rsid w:val="00AD1745"/>
    <w:rsid w:val="00AD1894"/>
    <w:rsid w:val="00AD1ABC"/>
    <w:rsid w:val="00AD1BA1"/>
    <w:rsid w:val="00AD1D54"/>
    <w:rsid w:val="00AD2030"/>
    <w:rsid w:val="00AD209D"/>
    <w:rsid w:val="00AD2131"/>
    <w:rsid w:val="00AD22D6"/>
    <w:rsid w:val="00AD2390"/>
    <w:rsid w:val="00AD26AF"/>
    <w:rsid w:val="00AD27EA"/>
    <w:rsid w:val="00AD2834"/>
    <w:rsid w:val="00AD2A4E"/>
    <w:rsid w:val="00AD2BD3"/>
    <w:rsid w:val="00AD2BEF"/>
    <w:rsid w:val="00AD2FDD"/>
    <w:rsid w:val="00AD3259"/>
    <w:rsid w:val="00AD3351"/>
    <w:rsid w:val="00AD338D"/>
    <w:rsid w:val="00AD33B4"/>
    <w:rsid w:val="00AD3489"/>
    <w:rsid w:val="00AD367F"/>
    <w:rsid w:val="00AD3681"/>
    <w:rsid w:val="00AD36E9"/>
    <w:rsid w:val="00AD382A"/>
    <w:rsid w:val="00AD382D"/>
    <w:rsid w:val="00AD3B85"/>
    <w:rsid w:val="00AD3E2D"/>
    <w:rsid w:val="00AD3FB7"/>
    <w:rsid w:val="00AD405F"/>
    <w:rsid w:val="00AD40E9"/>
    <w:rsid w:val="00AD4321"/>
    <w:rsid w:val="00AD4396"/>
    <w:rsid w:val="00AD448B"/>
    <w:rsid w:val="00AD4506"/>
    <w:rsid w:val="00AD466A"/>
    <w:rsid w:val="00AD4790"/>
    <w:rsid w:val="00AD4973"/>
    <w:rsid w:val="00AD4B58"/>
    <w:rsid w:val="00AD4B8A"/>
    <w:rsid w:val="00AD4E7F"/>
    <w:rsid w:val="00AD523D"/>
    <w:rsid w:val="00AD57F0"/>
    <w:rsid w:val="00AD58DA"/>
    <w:rsid w:val="00AD5C86"/>
    <w:rsid w:val="00AD5FA3"/>
    <w:rsid w:val="00AD61A5"/>
    <w:rsid w:val="00AD658B"/>
    <w:rsid w:val="00AD65D7"/>
    <w:rsid w:val="00AD6636"/>
    <w:rsid w:val="00AD66C8"/>
    <w:rsid w:val="00AD69CD"/>
    <w:rsid w:val="00AD7153"/>
    <w:rsid w:val="00AD7681"/>
    <w:rsid w:val="00AD7A00"/>
    <w:rsid w:val="00AD7D9D"/>
    <w:rsid w:val="00AE03ED"/>
    <w:rsid w:val="00AE069A"/>
    <w:rsid w:val="00AE06AE"/>
    <w:rsid w:val="00AE0DC9"/>
    <w:rsid w:val="00AE10C9"/>
    <w:rsid w:val="00AE130F"/>
    <w:rsid w:val="00AE16C6"/>
    <w:rsid w:val="00AE171E"/>
    <w:rsid w:val="00AE1730"/>
    <w:rsid w:val="00AE1801"/>
    <w:rsid w:val="00AE1969"/>
    <w:rsid w:val="00AE1D53"/>
    <w:rsid w:val="00AE24F5"/>
    <w:rsid w:val="00AE25C3"/>
    <w:rsid w:val="00AE25CC"/>
    <w:rsid w:val="00AE268B"/>
    <w:rsid w:val="00AE2807"/>
    <w:rsid w:val="00AE283C"/>
    <w:rsid w:val="00AE290B"/>
    <w:rsid w:val="00AE2C55"/>
    <w:rsid w:val="00AE2D06"/>
    <w:rsid w:val="00AE2E1C"/>
    <w:rsid w:val="00AE2EC9"/>
    <w:rsid w:val="00AE356D"/>
    <w:rsid w:val="00AE3578"/>
    <w:rsid w:val="00AE375F"/>
    <w:rsid w:val="00AE39EE"/>
    <w:rsid w:val="00AE3B30"/>
    <w:rsid w:val="00AE3DC2"/>
    <w:rsid w:val="00AE3E13"/>
    <w:rsid w:val="00AE3F71"/>
    <w:rsid w:val="00AE4013"/>
    <w:rsid w:val="00AE4376"/>
    <w:rsid w:val="00AE45EE"/>
    <w:rsid w:val="00AE462F"/>
    <w:rsid w:val="00AE4A18"/>
    <w:rsid w:val="00AE4A28"/>
    <w:rsid w:val="00AE4A59"/>
    <w:rsid w:val="00AE4B1F"/>
    <w:rsid w:val="00AE4C45"/>
    <w:rsid w:val="00AE5103"/>
    <w:rsid w:val="00AE51AE"/>
    <w:rsid w:val="00AE53CC"/>
    <w:rsid w:val="00AE540A"/>
    <w:rsid w:val="00AE5590"/>
    <w:rsid w:val="00AE57EE"/>
    <w:rsid w:val="00AE5DC5"/>
    <w:rsid w:val="00AE5E4E"/>
    <w:rsid w:val="00AE5E8F"/>
    <w:rsid w:val="00AE5FDF"/>
    <w:rsid w:val="00AE600C"/>
    <w:rsid w:val="00AE60FF"/>
    <w:rsid w:val="00AE62CF"/>
    <w:rsid w:val="00AE632E"/>
    <w:rsid w:val="00AE64AE"/>
    <w:rsid w:val="00AE66EA"/>
    <w:rsid w:val="00AE67C6"/>
    <w:rsid w:val="00AE6B6F"/>
    <w:rsid w:val="00AE6BB2"/>
    <w:rsid w:val="00AE6C86"/>
    <w:rsid w:val="00AE6D57"/>
    <w:rsid w:val="00AE74E3"/>
    <w:rsid w:val="00AE76A0"/>
    <w:rsid w:val="00AE780D"/>
    <w:rsid w:val="00AE7CCD"/>
    <w:rsid w:val="00AF02B5"/>
    <w:rsid w:val="00AF0672"/>
    <w:rsid w:val="00AF076F"/>
    <w:rsid w:val="00AF098D"/>
    <w:rsid w:val="00AF0A3A"/>
    <w:rsid w:val="00AF0E4A"/>
    <w:rsid w:val="00AF117F"/>
    <w:rsid w:val="00AF13E6"/>
    <w:rsid w:val="00AF14E7"/>
    <w:rsid w:val="00AF15AC"/>
    <w:rsid w:val="00AF176C"/>
    <w:rsid w:val="00AF1813"/>
    <w:rsid w:val="00AF182C"/>
    <w:rsid w:val="00AF194E"/>
    <w:rsid w:val="00AF1A08"/>
    <w:rsid w:val="00AF1A73"/>
    <w:rsid w:val="00AF1C4D"/>
    <w:rsid w:val="00AF1DB7"/>
    <w:rsid w:val="00AF1FDA"/>
    <w:rsid w:val="00AF21CA"/>
    <w:rsid w:val="00AF22CD"/>
    <w:rsid w:val="00AF254D"/>
    <w:rsid w:val="00AF25AF"/>
    <w:rsid w:val="00AF264F"/>
    <w:rsid w:val="00AF26AA"/>
    <w:rsid w:val="00AF2A85"/>
    <w:rsid w:val="00AF2AD3"/>
    <w:rsid w:val="00AF2B57"/>
    <w:rsid w:val="00AF2B8D"/>
    <w:rsid w:val="00AF2BA9"/>
    <w:rsid w:val="00AF2C70"/>
    <w:rsid w:val="00AF2E7A"/>
    <w:rsid w:val="00AF348C"/>
    <w:rsid w:val="00AF35F7"/>
    <w:rsid w:val="00AF3648"/>
    <w:rsid w:val="00AF37F0"/>
    <w:rsid w:val="00AF39A3"/>
    <w:rsid w:val="00AF3B72"/>
    <w:rsid w:val="00AF3DD0"/>
    <w:rsid w:val="00AF3DDE"/>
    <w:rsid w:val="00AF3EB0"/>
    <w:rsid w:val="00AF3EDA"/>
    <w:rsid w:val="00AF46F4"/>
    <w:rsid w:val="00AF4894"/>
    <w:rsid w:val="00AF48D2"/>
    <w:rsid w:val="00AF4933"/>
    <w:rsid w:val="00AF4A4D"/>
    <w:rsid w:val="00AF4BC3"/>
    <w:rsid w:val="00AF4BEB"/>
    <w:rsid w:val="00AF4C81"/>
    <w:rsid w:val="00AF4D3B"/>
    <w:rsid w:val="00AF5020"/>
    <w:rsid w:val="00AF50E2"/>
    <w:rsid w:val="00AF5299"/>
    <w:rsid w:val="00AF58A5"/>
    <w:rsid w:val="00AF5EDC"/>
    <w:rsid w:val="00AF669C"/>
    <w:rsid w:val="00AF6708"/>
    <w:rsid w:val="00AF6717"/>
    <w:rsid w:val="00AF6811"/>
    <w:rsid w:val="00AF6A47"/>
    <w:rsid w:val="00AF6AC4"/>
    <w:rsid w:val="00AF6E18"/>
    <w:rsid w:val="00AF71E6"/>
    <w:rsid w:val="00AF72C1"/>
    <w:rsid w:val="00AF74B2"/>
    <w:rsid w:val="00AF76C3"/>
    <w:rsid w:val="00AF77A8"/>
    <w:rsid w:val="00B000F0"/>
    <w:rsid w:val="00B00111"/>
    <w:rsid w:val="00B0013F"/>
    <w:rsid w:val="00B001B9"/>
    <w:rsid w:val="00B00398"/>
    <w:rsid w:val="00B00640"/>
    <w:rsid w:val="00B00865"/>
    <w:rsid w:val="00B0089D"/>
    <w:rsid w:val="00B00D60"/>
    <w:rsid w:val="00B00E57"/>
    <w:rsid w:val="00B01011"/>
    <w:rsid w:val="00B011C7"/>
    <w:rsid w:val="00B012A0"/>
    <w:rsid w:val="00B01432"/>
    <w:rsid w:val="00B0151E"/>
    <w:rsid w:val="00B0193F"/>
    <w:rsid w:val="00B01981"/>
    <w:rsid w:val="00B01AE1"/>
    <w:rsid w:val="00B01E23"/>
    <w:rsid w:val="00B01F04"/>
    <w:rsid w:val="00B020A3"/>
    <w:rsid w:val="00B020FC"/>
    <w:rsid w:val="00B02192"/>
    <w:rsid w:val="00B02397"/>
    <w:rsid w:val="00B02D00"/>
    <w:rsid w:val="00B02E78"/>
    <w:rsid w:val="00B02FC6"/>
    <w:rsid w:val="00B0365A"/>
    <w:rsid w:val="00B0394B"/>
    <w:rsid w:val="00B03950"/>
    <w:rsid w:val="00B03A28"/>
    <w:rsid w:val="00B03E74"/>
    <w:rsid w:val="00B040C6"/>
    <w:rsid w:val="00B044E5"/>
    <w:rsid w:val="00B0459E"/>
    <w:rsid w:val="00B045BD"/>
    <w:rsid w:val="00B04782"/>
    <w:rsid w:val="00B04A91"/>
    <w:rsid w:val="00B04B3C"/>
    <w:rsid w:val="00B04B49"/>
    <w:rsid w:val="00B04B8C"/>
    <w:rsid w:val="00B04C11"/>
    <w:rsid w:val="00B04CE5"/>
    <w:rsid w:val="00B053A8"/>
    <w:rsid w:val="00B054F3"/>
    <w:rsid w:val="00B05584"/>
    <w:rsid w:val="00B056D5"/>
    <w:rsid w:val="00B05730"/>
    <w:rsid w:val="00B05733"/>
    <w:rsid w:val="00B05AAA"/>
    <w:rsid w:val="00B05CE0"/>
    <w:rsid w:val="00B05D6F"/>
    <w:rsid w:val="00B05D7B"/>
    <w:rsid w:val="00B05E28"/>
    <w:rsid w:val="00B060D3"/>
    <w:rsid w:val="00B063BD"/>
    <w:rsid w:val="00B06851"/>
    <w:rsid w:val="00B06975"/>
    <w:rsid w:val="00B06ABD"/>
    <w:rsid w:val="00B06C51"/>
    <w:rsid w:val="00B0710D"/>
    <w:rsid w:val="00B07168"/>
    <w:rsid w:val="00B078D5"/>
    <w:rsid w:val="00B078D8"/>
    <w:rsid w:val="00B07D4D"/>
    <w:rsid w:val="00B07DC0"/>
    <w:rsid w:val="00B07E06"/>
    <w:rsid w:val="00B07E49"/>
    <w:rsid w:val="00B07F1C"/>
    <w:rsid w:val="00B07F71"/>
    <w:rsid w:val="00B10142"/>
    <w:rsid w:val="00B1016C"/>
    <w:rsid w:val="00B104FF"/>
    <w:rsid w:val="00B1055E"/>
    <w:rsid w:val="00B10708"/>
    <w:rsid w:val="00B107C4"/>
    <w:rsid w:val="00B10BBB"/>
    <w:rsid w:val="00B11085"/>
    <w:rsid w:val="00B113D4"/>
    <w:rsid w:val="00B11554"/>
    <w:rsid w:val="00B11D47"/>
    <w:rsid w:val="00B11E17"/>
    <w:rsid w:val="00B11EEE"/>
    <w:rsid w:val="00B12093"/>
    <w:rsid w:val="00B12128"/>
    <w:rsid w:val="00B121E2"/>
    <w:rsid w:val="00B123C6"/>
    <w:rsid w:val="00B1245B"/>
    <w:rsid w:val="00B124C5"/>
    <w:rsid w:val="00B125B5"/>
    <w:rsid w:val="00B12C33"/>
    <w:rsid w:val="00B130A7"/>
    <w:rsid w:val="00B13146"/>
    <w:rsid w:val="00B13BCA"/>
    <w:rsid w:val="00B13C7F"/>
    <w:rsid w:val="00B13D19"/>
    <w:rsid w:val="00B13DDD"/>
    <w:rsid w:val="00B13E4F"/>
    <w:rsid w:val="00B13E90"/>
    <w:rsid w:val="00B13F2F"/>
    <w:rsid w:val="00B142C4"/>
    <w:rsid w:val="00B1461A"/>
    <w:rsid w:val="00B148A1"/>
    <w:rsid w:val="00B14A76"/>
    <w:rsid w:val="00B14AE3"/>
    <w:rsid w:val="00B14CC4"/>
    <w:rsid w:val="00B14D7D"/>
    <w:rsid w:val="00B14F17"/>
    <w:rsid w:val="00B156A3"/>
    <w:rsid w:val="00B156A5"/>
    <w:rsid w:val="00B1589C"/>
    <w:rsid w:val="00B159E8"/>
    <w:rsid w:val="00B15AA4"/>
    <w:rsid w:val="00B16039"/>
    <w:rsid w:val="00B1628F"/>
    <w:rsid w:val="00B16306"/>
    <w:rsid w:val="00B1643E"/>
    <w:rsid w:val="00B1645B"/>
    <w:rsid w:val="00B1658A"/>
    <w:rsid w:val="00B16610"/>
    <w:rsid w:val="00B167E1"/>
    <w:rsid w:val="00B1687D"/>
    <w:rsid w:val="00B16A79"/>
    <w:rsid w:val="00B16B82"/>
    <w:rsid w:val="00B16B96"/>
    <w:rsid w:val="00B16BA5"/>
    <w:rsid w:val="00B16BE9"/>
    <w:rsid w:val="00B16FB4"/>
    <w:rsid w:val="00B170FC"/>
    <w:rsid w:val="00B173C5"/>
    <w:rsid w:val="00B17732"/>
    <w:rsid w:val="00B1796D"/>
    <w:rsid w:val="00B179A3"/>
    <w:rsid w:val="00B17BF4"/>
    <w:rsid w:val="00B17C7C"/>
    <w:rsid w:val="00B2001C"/>
    <w:rsid w:val="00B2005F"/>
    <w:rsid w:val="00B20064"/>
    <w:rsid w:val="00B204E9"/>
    <w:rsid w:val="00B20815"/>
    <w:rsid w:val="00B2094F"/>
    <w:rsid w:val="00B2097B"/>
    <w:rsid w:val="00B209B3"/>
    <w:rsid w:val="00B209D9"/>
    <w:rsid w:val="00B20B66"/>
    <w:rsid w:val="00B20E4E"/>
    <w:rsid w:val="00B213D1"/>
    <w:rsid w:val="00B215DB"/>
    <w:rsid w:val="00B217BB"/>
    <w:rsid w:val="00B218E7"/>
    <w:rsid w:val="00B21E7D"/>
    <w:rsid w:val="00B22069"/>
    <w:rsid w:val="00B22202"/>
    <w:rsid w:val="00B222D1"/>
    <w:rsid w:val="00B224F1"/>
    <w:rsid w:val="00B22B2F"/>
    <w:rsid w:val="00B22E5C"/>
    <w:rsid w:val="00B2304B"/>
    <w:rsid w:val="00B2309B"/>
    <w:rsid w:val="00B233F5"/>
    <w:rsid w:val="00B23546"/>
    <w:rsid w:val="00B23712"/>
    <w:rsid w:val="00B23825"/>
    <w:rsid w:val="00B2397C"/>
    <w:rsid w:val="00B23A16"/>
    <w:rsid w:val="00B23AC5"/>
    <w:rsid w:val="00B23B00"/>
    <w:rsid w:val="00B23B1E"/>
    <w:rsid w:val="00B23B7A"/>
    <w:rsid w:val="00B23B97"/>
    <w:rsid w:val="00B23CFB"/>
    <w:rsid w:val="00B23DA1"/>
    <w:rsid w:val="00B23DEA"/>
    <w:rsid w:val="00B23EE4"/>
    <w:rsid w:val="00B23F03"/>
    <w:rsid w:val="00B23F32"/>
    <w:rsid w:val="00B23FB7"/>
    <w:rsid w:val="00B2419E"/>
    <w:rsid w:val="00B243CD"/>
    <w:rsid w:val="00B244A0"/>
    <w:rsid w:val="00B24655"/>
    <w:rsid w:val="00B24756"/>
    <w:rsid w:val="00B2476E"/>
    <w:rsid w:val="00B24FA5"/>
    <w:rsid w:val="00B24FF3"/>
    <w:rsid w:val="00B2501B"/>
    <w:rsid w:val="00B25044"/>
    <w:rsid w:val="00B25081"/>
    <w:rsid w:val="00B251C3"/>
    <w:rsid w:val="00B25489"/>
    <w:rsid w:val="00B2551A"/>
    <w:rsid w:val="00B257FD"/>
    <w:rsid w:val="00B25B0A"/>
    <w:rsid w:val="00B25CC3"/>
    <w:rsid w:val="00B25CEF"/>
    <w:rsid w:val="00B25D69"/>
    <w:rsid w:val="00B25F86"/>
    <w:rsid w:val="00B25FAE"/>
    <w:rsid w:val="00B262A5"/>
    <w:rsid w:val="00B263FC"/>
    <w:rsid w:val="00B2643B"/>
    <w:rsid w:val="00B265C8"/>
    <w:rsid w:val="00B26E1C"/>
    <w:rsid w:val="00B26E71"/>
    <w:rsid w:val="00B26F42"/>
    <w:rsid w:val="00B2737B"/>
    <w:rsid w:val="00B2743E"/>
    <w:rsid w:val="00B274AC"/>
    <w:rsid w:val="00B27A1B"/>
    <w:rsid w:val="00B30101"/>
    <w:rsid w:val="00B30111"/>
    <w:rsid w:val="00B30211"/>
    <w:rsid w:val="00B3023A"/>
    <w:rsid w:val="00B30426"/>
    <w:rsid w:val="00B30428"/>
    <w:rsid w:val="00B30898"/>
    <w:rsid w:val="00B309E5"/>
    <w:rsid w:val="00B30BD0"/>
    <w:rsid w:val="00B30CE4"/>
    <w:rsid w:val="00B30D89"/>
    <w:rsid w:val="00B31119"/>
    <w:rsid w:val="00B311A1"/>
    <w:rsid w:val="00B31296"/>
    <w:rsid w:val="00B313F8"/>
    <w:rsid w:val="00B317E8"/>
    <w:rsid w:val="00B31877"/>
    <w:rsid w:val="00B31E7B"/>
    <w:rsid w:val="00B32196"/>
    <w:rsid w:val="00B32212"/>
    <w:rsid w:val="00B32420"/>
    <w:rsid w:val="00B32435"/>
    <w:rsid w:val="00B324C5"/>
    <w:rsid w:val="00B32872"/>
    <w:rsid w:val="00B328B5"/>
    <w:rsid w:val="00B32C6E"/>
    <w:rsid w:val="00B331F4"/>
    <w:rsid w:val="00B33273"/>
    <w:rsid w:val="00B33379"/>
    <w:rsid w:val="00B334ED"/>
    <w:rsid w:val="00B33A79"/>
    <w:rsid w:val="00B33BFD"/>
    <w:rsid w:val="00B33C32"/>
    <w:rsid w:val="00B33EB0"/>
    <w:rsid w:val="00B342EE"/>
    <w:rsid w:val="00B342FB"/>
    <w:rsid w:val="00B343A2"/>
    <w:rsid w:val="00B347C8"/>
    <w:rsid w:val="00B349D2"/>
    <w:rsid w:val="00B34A7C"/>
    <w:rsid w:val="00B34D56"/>
    <w:rsid w:val="00B34FD2"/>
    <w:rsid w:val="00B35287"/>
    <w:rsid w:val="00B35311"/>
    <w:rsid w:val="00B3551E"/>
    <w:rsid w:val="00B35648"/>
    <w:rsid w:val="00B356BA"/>
    <w:rsid w:val="00B35756"/>
    <w:rsid w:val="00B35838"/>
    <w:rsid w:val="00B35A0A"/>
    <w:rsid w:val="00B35DFB"/>
    <w:rsid w:val="00B35FF6"/>
    <w:rsid w:val="00B361D9"/>
    <w:rsid w:val="00B365EC"/>
    <w:rsid w:val="00B36A8F"/>
    <w:rsid w:val="00B36C48"/>
    <w:rsid w:val="00B36D57"/>
    <w:rsid w:val="00B36D7E"/>
    <w:rsid w:val="00B3720A"/>
    <w:rsid w:val="00B37273"/>
    <w:rsid w:val="00B3744E"/>
    <w:rsid w:val="00B37839"/>
    <w:rsid w:val="00B379B3"/>
    <w:rsid w:val="00B37A43"/>
    <w:rsid w:val="00B37B75"/>
    <w:rsid w:val="00B37BBD"/>
    <w:rsid w:val="00B37DC2"/>
    <w:rsid w:val="00B37FAC"/>
    <w:rsid w:val="00B400DF"/>
    <w:rsid w:val="00B4054F"/>
    <w:rsid w:val="00B40618"/>
    <w:rsid w:val="00B407D1"/>
    <w:rsid w:val="00B408C9"/>
    <w:rsid w:val="00B409BA"/>
    <w:rsid w:val="00B40B37"/>
    <w:rsid w:val="00B413BA"/>
    <w:rsid w:val="00B413ED"/>
    <w:rsid w:val="00B414A9"/>
    <w:rsid w:val="00B41757"/>
    <w:rsid w:val="00B417DC"/>
    <w:rsid w:val="00B41903"/>
    <w:rsid w:val="00B41C07"/>
    <w:rsid w:val="00B41D5C"/>
    <w:rsid w:val="00B42320"/>
    <w:rsid w:val="00B423BA"/>
    <w:rsid w:val="00B423C2"/>
    <w:rsid w:val="00B4254D"/>
    <w:rsid w:val="00B4256D"/>
    <w:rsid w:val="00B425AE"/>
    <w:rsid w:val="00B425BC"/>
    <w:rsid w:val="00B42935"/>
    <w:rsid w:val="00B42A1A"/>
    <w:rsid w:val="00B42AD2"/>
    <w:rsid w:val="00B42AE6"/>
    <w:rsid w:val="00B42C58"/>
    <w:rsid w:val="00B42C61"/>
    <w:rsid w:val="00B42C74"/>
    <w:rsid w:val="00B42D9B"/>
    <w:rsid w:val="00B42E35"/>
    <w:rsid w:val="00B42EB1"/>
    <w:rsid w:val="00B43015"/>
    <w:rsid w:val="00B4305C"/>
    <w:rsid w:val="00B432ED"/>
    <w:rsid w:val="00B4356C"/>
    <w:rsid w:val="00B43589"/>
    <w:rsid w:val="00B43691"/>
    <w:rsid w:val="00B4389B"/>
    <w:rsid w:val="00B43A00"/>
    <w:rsid w:val="00B43D02"/>
    <w:rsid w:val="00B43D79"/>
    <w:rsid w:val="00B43E81"/>
    <w:rsid w:val="00B43F80"/>
    <w:rsid w:val="00B4413C"/>
    <w:rsid w:val="00B4420D"/>
    <w:rsid w:val="00B443F3"/>
    <w:rsid w:val="00B44404"/>
    <w:rsid w:val="00B4440B"/>
    <w:rsid w:val="00B44715"/>
    <w:rsid w:val="00B4472E"/>
    <w:rsid w:val="00B447B0"/>
    <w:rsid w:val="00B4489D"/>
    <w:rsid w:val="00B44B7E"/>
    <w:rsid w:val="00B44BFF"/>
    <w:rsid w:val="00B450BA"/>
    <w:rsid w:val="00B455BF"/>
    <w:rsid w:val="00B45623"/>
    <w:rsid w:val="00B458FC"/>
    <w:rsid w:val="00B45B7B"/>
    <w:rsid w:val="00B45BAB"/>
    <w:rsid w:val="00B45D5F"/>
    <w:rsid w:val="00B45DBF"/>
    <w:rsid w:val="00B45DDC"/>
    <w:rsid w:val="00B45E14"/>
    <w:rsid w:val="00B461F6"/>
    <w:rsid w:val="00B462CF"/>
    <w:rsid w:val="00B46327"/>
    <w:rsid w:val="00B46639"/>
    <w:rsid w:val="00B46CA4"/>
    <w:rsid w:val="00B46E8C"/>
    <w:rsid w:val="00B46F96"/>
    <w:rsid w:val="00B47037"/>
    <w:rsid w:val="00B47049"/>
    <w:rsid w:val="00B472D9"/>
    <w:rsid w:val="00B47453"/>
    <w:rsid w:val="00B47512"/>
    <w:rsid w:val="00B475AE"/>
    <w:rsid w:val="00B476CD"/>
    <w:rsid w:val="00B47B16"/>
    <w:rsid w:val="00B47CD4"/>
    <w:rsid w:val="00B47F92"/>
    <w:rsid w:val="00B50184"/>
    <w:rsid w:val="00B50466"/>
    <w:rsid w:val="00B50CB5"/>
    <w:rsid w:val="00B51412"/>
    <w:rsid w:val="00B51EA9"/>
    <w:rsid w:val="00B5201C"/>
    <w:rsid w:val="00B521D2"/>
    <w:rsid w:val="00B523FC"/>
    <w:rsid w:val="00B5245B"/>
    <w:rsid w:val="00B528D3"/>
    <w:rsid w:val="00B528E4"/>
    <w:rsid w:val="00B52990"/>
    <w:rsid w:val="00B52A84"/>
    <w:rsid w:val="00B52CBA"/>
    <w:rsid w:val="00B52DB8"/>
    <w:rsid w:val="00B531AD"/>
    <w:rsid w:val="00B531CB"/>
    <w:rsid w:val="00B5327B"/>
    <w:rsid w:val="00B5354C"/>
    <w:rsid w:val="00B536D4"/>
    <w:rsid w:val="00B53852"/>
    <w:rsid w:val="00B53884"/>
    <w:rsid w:val="00B53CFA"/>
    <w:rsid w:val="00B53F51"/>
    <w:rsid w:val="00B54235"/>
    <w:rsid w:val="00B5425A"/>
    <w:rsid w:val="00B54360"/>
    <w:rsid w:val="00B545BB"/>
    <w:rsid w:val="00B548F2"/>
    <w:rsid w:val="00B54917"/>
    <w:rsid w:val="00B54B18"/>
    <w:rsid w:val="00B54E59"/>
    <w:rsid w:val="00B54FBF"/>
    <w:rsid w:val="00B5512E"/>
    <w:rsid w:val="00B55186"/>
    <w:rsid w:val="00B55794"/>
    <w:rsid w:val="00B55C0B"/>
    <w:rsid w:val="00B55D7D"/>
    <w:rsid w:val="00B55E0C"/>
    <w:rsid w:val="00B560B7"/>
    <w:rsid w:val="00B5644B"/>
    <w:rsid w:val="00B56486"/>
    <w:rsid w:val="00B56AC6"/>
    <w:rsid w:val="00B56B95"/>
    <w:rsid w:val="00B56BD4"/>
    <w:rsid w:val="00B56D1E"/>
    <w:rsid w:val="00B56D64"/>
    <w:rsid w:val="00B56FD3"/>
    <w:rsid w:val="00B57439"/>
    <w:rsid w:val="00B5760C"/>
    <w:rsid w:val="00B57748"/>
    <w:rsid w:val="00B57C59"/>
    <w:rsid w:val="00B57E7F"/>
    <w:rsid w:val="00B57EAD"/>
    <w:rsid w:val="00B57F2D"/>
    <w:rsid w:val="00B60011"/>
    <w:rsid w:val="00B60021"/>
    <w:rsid w:val="00B60239"/>
    <w:rsid w:val="00B60260"/>
    <w:rsid w:val="00B60428"/>
    <w:rsid w:val="00B60550"/>
    <w:rsid w:val="00B60552"/>
    <w:rsid w:val="00B605B3"/>
    <w:rsid w:val="00B605C9"/>
    <w:rsid w:val="00B605D8"/>
    <w:rsid w:val="00B606BD"/>
    <w:rsid w:val="00B609FE"/>
    <w:rsid w:val="00B60A89"/>
    <w:rsid w:val="00B60AB6"/>
    <w:rsid w:val="00B60B6F"/>
    <w:rsid w:val="00B60C00"/>
    <w:rsid w:val="00B60EAC"/>
    <w:rsid w:val="00B61401"/>
    <w:rsid w:val="00B61713"/>
    <w:rsid w:val="00B6196A"/>
    <w:rsid w:val="00B619D4"/>
    <w:rsid w:val="00B61A52"/>
    <w:rsid w:val="00B61DC5"/>
    <w:rsid w:val="00B6237A"/>
    <w:rsid w:val="00B6249D"/>
    <w:rsid w:val="00B624D1"/>
    <w:rsid w:val="00B62710"/>
    <w:rsid w:val="00B629F7"/>
    <w:rsid w:val="00B62A44"/>
    <w:rsid w:val="00B62B2C"/>
    <w:rsid w:val="00B62D9C"/>
    <w:rsid w:val="00B62ECE"/>
    <w:rsid w:val="00B63005"/>
    <w:rsid w:val="00B63244"/>
    <w:rsid w:val="00B63588"/>
    <w:rsid w:val="00B6369C"/>
    <w:rsid w:val="00B638B8"/>
    <w:rsid w:val="00B63A7D"/>
    <w:rsid w:val="00B63C77"/>
    <w:rsid w:val="00B63E11"/>
    <w:rsid w:val="00B63FF2"/>
    <w:rsid w:val="00B64BA6"/>
    <w:rsid w:val="00B64D97"/>
    <w:rsid w:val="00B65210"/>
    <w:rsid w:val="00B652D6"/>
    <w:rsid w:val="00B65523"/>
    <w:rsid w:val="00B6554B"/>
    <w:rsid w:val="00B65550"/>
    <w:rsid w:val="00B658BD"/>
    <w:rsid w:val="00B659B0"/>
    <w:rsid w:val="00B65A8E"/>
    <w:rsid w:val="00B65B2A"/>
    <w:rsid w:val="00B65B58"/>
    <w:rsid w:val="00B65B82"/>
    <w:rsid w:val="00B65BBF"/>
    <w:rsid w:val="00B65C1C"/>
    <w:rsid w:val="00B65C3F"/>
    <w:rsid w:val="00B65D28"/>
    <w:rsid w:val="00B65D85"/>
    <w:rsid w:val="00B66022"/>
    <w:rsid w:val="00B6620C"/>
    <w:rsid w:val="00B665ED"/>
    <w:rsid w:val="00B6663B"/>
    <w:rsid w:val="00B666B1"/>
    <w:rsid w:val="00B66D67"/>
    <w:rsid w:val="00B66F05"/>
    <w:rsid w:val="00B670D1"/>
    <w:rsid w:val="00B6712C"/>
    <w:rsid w:val="00B673A8"/>
    <w:rsid w:val="00B677A7"/>
    <w:rsid w:val="00B678BA"/>
    <w:rsid w:val="00B6798F"/>
    <w:rsid w:val="00B67995"/>
    <w:rsid w:val="00B67A37"/>
    <w:rsid w:val="00B67AFF"/>
    <w:rsid w:val="00B67DDB"/>
    <w:rsid w:val="00B67FA5"/>
    <w:rsid w:val="00B700D4"/>
    <w:rsid w:val="00B70535"/>
    <w:rsid w:val="00B7069D"/>
    <w:rsid w:val="00B70878"/>
    <w:rsid w:val="00B708ED"/>
    <w:rsid w:val="00B7096D"/>
    <w:rsid w:val="00B70AD3"/>
    <w:rsid w:val="00B70AE0"/>
    <w:rsid w:val="00B70BFB"/>
    <w:rsid w:val="00B70CF3"/>
    <w:rsid w:val="00B713D7"/>
    <w:rsid w:val="00B7143D"/>
    <w:rsid w:val="00B71596"/>
    <w:rsid w:val="00B715A9"/>
    <w:rsid w:val="00B7166D"/>
    <w:rsid w:val="00B717AA"/>
    <w:rsid w:val="00B71A21"/>
    <w:rsid w:val="00B71C2F"/>
    <w:rsid w:val="00B71EE7"/>
    <w:rsid w:val="00B71F3D"/>
    <w:rsid w:val="00B721A6"/>
    <w:rsid w:val="00B722AE"/>
    <w:rsid w:val="00B72381"/>
    <w:rsid w:val="00B72499"/>
    <w:rsid w:val="00B7253B"/>
    <w:rsid w:val="00B725BD"/>
    <w:rsid w:val="00B72621"/>
    <w:rsid w:val="00B72841"/>
    <w:rsid w:val="00B729BD"/>
    <w:rsid w:val="00B72DF9"/>
    <w:rsid w:val="00B72F22"/>
    <w:rsid w:val="00B72FDA"/>
    <w:rsid w:val="00B730D8"/>
    <w:rsid w:val="00B73114"/>
    <w:rsid w:val="00B732CB"/>
    <w:rsid w:val="00B734D7"/>
    <w:rsid w:val="00B735BC"/>
    <w:rsid w:val="00B73915"/>
    <w:rsid w:val="00B73B7E"/>
    <w:rsid w:val="00B73B86"/>
    <w:rsid w:val="00B73CB2"/>
    <w:rsid w:val="00B73DE0"/>
    <w:rsid w:val="00B740D4"/>
    <w:rsid w:val="00B74410"/>
    <w:rsid w:val="00B747A1"/>
    <w:rsid w:val="00B7495A"/>
    <w:rsid w:val="00B74A9B"/>
    <w:rsid w:val="00B74BBE"/>
    <w:rsid w:val="00B74D7D"/>
    <w:rsid w:val="00B74E14"/>
    <w:rsid w:val="00B75001"/>
    <w:rsid w:val="00B750D5"/>
    <w:rsid w:val="00B75119"/>
    <w:rsid w:val="00B75358"/>
    <w:rsid w:val="00B756B3"/>
    <w:rsid w:val="00B756B9"/>
    <w:rsid w:val="00B756F8"/>
    <w:rsid w:val="00B75751"/>
    <w:rsid w:val="00B758A4"/>
    <w:rsid w:val="00B75BA3"/>
    <w:rsid w:val="00B75D71"/>
    <w:rsid w:val="00B75DE5"/>
    <w:rsid w:val="00B76039"/>
    <w:rsid w:val="00B7616D"/>
    <w:rsid w:val="00B7632A"/>
    <w:rsid w:val="00B766A0"/>
    <w:rsid w:val="00B76765"/>
    <w:rsid w:val="00B768AF"/>
    <w:rsid w:val="00B76914"/>
    <w:rsid w:val="00B76B9B"/>
    <w:rsid w:val="00B76D19"/>
    <w:rsid w:val="00B76DCD"/>
    <w:rsid w:val="00B76E7B"/>
    <w:rsid w:val="00B76EAB"/>
    <w:rsid w:val="00B76F85"/>
    <w:rsid w:val="00B7728B"/>
    <w:rsid w:val="00B77338"/>
    <w:rsid w:val="00B773BB"/>
    <w:rsid w:val="00B773F6"/>
    <w:rsid w:val="00B77530"/>
    <w:rsid w:val="00B778FB"/>
    <w:rsid w:val="00B77A03"/>
    <w:rsid w:val="00B77BAC"/>
    <w:rsid w:val="00B77CF3"/>
    <w:rsid w:val="00B77D81"/>
    <w:rsid w:val="00B77E63"/>
    <w:rsid w:val="00B806FA"/>
    <w:rsid w:val="00B80848"/>
    <w:rsid w:val="00B80B47"/>
    <w:rsid w:val="00B80E14"/>
    <w:rsid w:val="00B80F95"/>
    <w:rsid w:val="00B8110A"/>
    <w:rsid w:val="00B8116C"/>
    <w:rsid w:val="00B81541"/>
    <w:rsid w:val="00B81691"/>
    <w:rsid w:val="00B818AF"/>
    <w:rsid w:val="00B81A8D"/>
    <w:rsid w:val="00B81FB6"/>
    <w:rsid w:val="00B82199"/>
    <w:rsid w:val="00B82552"/>
    <w:rsid w:val="00B825C1"/>
    <w:rsid w:val="00B8267C"/>
    <w:rsid w:val="00B82818"/>
    <w:rsid w:val="00B82903"/>
    <w:rsid w:val="00B82D3F"/>
    <w:rsid w:val="00B82DFE"/>
    <w:rsid w:val="00B82E93"/>
    <w:rsid w:val="00B83045"/>
    <w:rsid w:val="00B830A5"/>
    <w:rsid w:val="00B83191"/>
    <w:rsid w:val="00B83254"/>
    <w:rsid w:val="00B83310"/>
    <w:rsid w:val="00B83462"/>
    <w:rsid w:val="00B836F4"/>
    <w:rsid w:val="00B838E1"/>
    <w:rsid w:val="00B83979"/>
    <w:rsid w:val="00B83A35"/>
    <w:rsid w:val="00B83D62"/>
    <w:rsid w:val="00B84080"/>
    <w:rsid w:val="00B8414E"/>
    <w:rsid w:val="00B842A7"/>
    <w:rsid w:val="00B84498"/>
    <w:rsid w:val="00B84713"/>
    <w:rsid w:val="00B84765"/>
    <w:rsid w:val="00B84892"/>
    <w:rsid w:val="00B848AB"/>
    <w:rsid w:val="00B84960"/>
    <w:rsid w:val="00B84C21"/>
    <w:rsid w:val="00B84D5F"/>
    <w:rsid w:val="00B85006"/>
    <w:rsid w:val="00B851B8"/>
    <w:rsid w:val="00B853F0"/>
    <w:rsid w:val="00B85578"/>
    <w:rsid w:val="00B855BE"/>
    <w:rsid w:val="00B85700"/>
    <w:rsid w:val="00B8585A"/>
    <w:rsid w:val="00B85AA0"/>
    <w:rsid w:val="00B85AEB"/>
    <w:rsid w:val="00B85C22"/>
    <w:rsid w:val="00B85C62"/>
    <w:rsid w:val="00B85DEB"/>
    <w:rsid w:val="00B85F0A"/>
    <w:rsid w:val="00B8602D"/>
    <w:rsid w:val="00B8632D"/>
    <w:rsid w:val="00B86501"/>
    <w:rsid w:val="00B8650A"/>
    <w:rsid w:val="00B86510"/>
    <w:rsid w:val="00B86526"/>
    <w:rsid w:val="00B86861"/>
    <w:rsid w:val="00B868FB"/>
    <w:rsid w:val="00B8691C"/>
    <w:rsid w:val="00B86CB1"/>
    <w:rsid w:val="00B872DC"/>
    <w:rsid w:val="00B87316"/>
    <w:rsid w:val="00B873D0"/>
    <w:rsid w:val="00B87463"/>
    <w:rsid w:val="00B874CF"/>
    <w:rsid w:val="00B875DD"/>
    <w:rsid w:val="00B87654"/>
    <w:rsid w:val="00B8793B"/>
    <w:rsid w:val="00B87A67"/>
    <w:rsid w:val="00B87B98"/>
    <w:rsid w:val="00B87BC5"/>
    <w:rsid w:val="00B87E3E"/>
    <w:rsid w:val="00B87FA3"/>
    <w:rsid w:val="00B90030"/>
    <w:rsid w:val="00B9023D"/>
    <w:rsid w:val="00B9024D"/>
    <w:rsid w:val="00B9027D"/>
    <w:rsid w:val="00B9059C"/>
    <w:rsid w:val="00B905BB"/>
    <w:rsid w:val="00B9063A"/>
    <w:rsid w:val="00B9072B"/>
    <w:rsid w:val="00B907C5"/>
    <w:rsid w:val="00B908B6"/>
    <w:rsid w:val="00B908E5"/>
    <w:rsid w:val="00B90A01"/>
    <w:rsid w:val="00B910C4"/>
    <w:rsid w:val="00B912F4"/>
    <w:rsid w:val="00B91321"/>
    <w:rsid w:val="00B913C0"/>
    <w:rsid w:val="00B9145E"/>
    <w:rsid w:val="00B914BB"/>
    <w:rsid w:val="00B91660"/>
    <w:rsid w:val="00B91A5B"/>
    <w:rsid w:val="00B91BAC"/>
    <w:rsid w:val="00B91D2E"/>
    <w:rsid w:val="00B91D89"/>
    <w:rsid w:val="00B91F4A"/>
    <w:rsid w:val="00B9216B"/>
    <w:rsid w:val="00B921F9"/>
    <w:rsid w:val="00B922B2"/>
    <w:rsid w:val="00B9281F"/>
    <w:rsid w:val="00B92880"/>
    <w:rsid w:val="00B92A29"/>
    <w:rsid w:val="00B92ECF"/>
    <w:rsid w:val="00B93294"/>
    <w:rsid w:val="00B93447"/>
    <w:rsid w:val="00B937C7"/>
    <w:rsid w:val="00B938B0"/>
    <w:rsid w:val="00B93A61"/>
    <w:rsid w:val="00B93AD2"/>
    <w:rsid w:val="00B93AEC"/>
    <w:rsid w:val="00B93CBF"/>
    <w:rsid w:val="00B9401B"/>
    <w:rsid w:val="00B94045"/>
    <w:rsid w:val="00B94164"/>
    <w:rsid w:val="00B942A3"/>
    <w:rsid w:val="00B942F6"/>
    <w:rsid w:val="00B94519"/>
    <w:rsid w:val="00B945A9"/>
    <w:rsid w:val="00B947B6"/>
    <w:rsid w:val="00B94BAE"/>
    <w:rsid w:val="00B94E44"/>
    <w:rsid w:val="00B94EAA"/>
    <w:rsid w:val="00B952EC"/>
    <w:rsid w:val="00B953ED"/>
    <w:rsid w:val="00B954CF"/>
    <w:rsid w:val="00B9554E"/>
    <w:rsid w:val="00B955F6"/>
    <w:rsid w:val="00B95814"/>
    <w:rsid w:val="00B95A65"/>
    <w:rsid w:val="00B95AAE"/>
    <w:rsid w:val="00B96194"/>
    <w:rsid w:val="00B96238"/>
    <w:rsid w:val="00B9635B"/>
    <w:rsid w:val="00B963FF"/>
    <w:rsid w:val="00B96730"/>
    <w:rsid w:val="00B96AF5"/>
    <w:rsid w:val="00B96C0C"/>
    <w:rsid w:val="00B96C21"/>
    <w:rsid w:val="00B96CF8"/>
    <w:rsid w:val="00B96E9E"/>
    <w:rsid w:val="00B97268"/>
    <w:rsid w:val="00B97437"/>
    <w:rsid w:val="00B97528"/>
    <w:rsid w:val="00B9799C"/>
    <w:rsid w:val="00B97BB9"/>
    <w:rsid w:val="00B97C15"/>
    <w:rsid w:val="00B97F00"/>
    <w:rsid w:val="00BA044A"/>
    <w:rsid w:val="00BA0585"/>
    <w:rsid w:val="00BA061C"/>
    <w:rsid w:val="00BA0662"/>
    <w:rsid w:val="00BA0B1A"/>
    <w:rsid w:val="00BA0DB5"/>
    <w:rsid w:val="00BA0DF4"/>
    <w:rsid w:val="00BA0E1E"/>
    <w:rsid w:val="00BA1462"/>
    <w:rsid w:val="00BA1504"/>
    <w:rsid w:val="00BA1529"/>
    <w:rsid w:val="00BA162A"/>
    <w:rsid w:val="00BA17AB"/>
    <w:rsid w:val="00BA1A30"/>
    <w:rsid w:val="00BA1A5E"/>
    <w:rsid w:val="00BA1A7D"/>
    <w:rsid w:val="00BA1BF7"/>
    <w:rsid w:val="00BA1D32"/>
    <w:rsid w:val="00BA1DD1"/>
    <w:rsid w:val="00BA1ED3"/>
    <w:rsid w:val="00BA22FA"/>
    <w:rsid w:val="00BA2590"/>
    <w:rsid w:val="00BA2827"/>
    <w:rsid w:val="00BA2D83"/>
    <w:rsid w:val="00BA2DED"/>
    <w:rsid w:val="00BA3134"/>
    <w:rsid w:val="00BA33E4"/>
    <w:rsid w:val="00BA34E2"/>
    <w:rsid w:val="00BA3527"/>
    <w:rsid w:val="00BA3559"/>
    <w:rsid w:val="00BA3949"/>
    <w:rsid w:val="00BA3C0B"/>
    <w:rsid w:val="00BA3F3E"/>
    <w:rsid w:val="00BA3F4A"/>
    <w:rsid w:val="00BA411F"/>
    <w:rsid w:val="00BA423D"/>
    <w:rsid w:val="00BA42FB"/>
    <w:rsid w:val="00BA4573"/>
    <w:rsid w:val="00BA45D1"/>
    <w:rsid w:val="00BA46E2"/>
    <w:rsid w:val="00BA47E0"/>
    <w:rsid w:val="00BA49B1"/>
    <w:rsid w:val="00BA4B1F"/>
    <w:rsid w:val="00BA4DA4"/>
    <w:rsid w:val="00BA4E32"/>
    <w:rsid w:val="00BA4E4B"/>
    <w:rsid w:val="00BA4FFF"/>
    <w:rsid w:val="00BA5006"/>
    <w:rsid w:val="00BA50DE"/>
    <w:rsid w:val="00BA5232"/>
    <w:rsid w:val="00BA52D9"/>
    <w:rsid w:val="00BA531C"/>
    <w:rsid w:val="00BA53CE"/>
    <w:rsid w:val="00BA59D4"/>
    <w:rsid w:val="00BA5B51"/>
    <w:rsid w:val="00BA5CA0"/>
    <w:rsid w:val="00BA5D03"/>
    <w:rsid w:val="00BA610D"/>
    <w:rsid w:val="00BA6CDE"/>
    <w:rsid w:val="00BA6D70"/>
    <w:rsid w:val="00BA6E49"/>
    <w:rsid w:val="00BA709A"/>
    <w:rsid w:val="00BA70EB"/>
    <w:rsid w:val="00BA7189"/>
    <w:rsid w:val="00BA72A2"/>
    <w:rsid w:val="00BA72CA"/>
    <w:rsid w:val="00BA731D"/>
    <w:rsid w:val="00BA7345"/>
    <w:rsid w:val="00BA7488"/>
    <w:rsid w:val="00BA74D0"/>
    <w:rsid w:val="00BA758D"/>
    <w:rsid w:val="00BA76B2"/>
    <w:rsid w:val="00BA7819"/>
    <w:rsid w:val="00BA7868"/>
    <w:rsid w:val="00BA7AFE"/>
    <w:rsid w:val="00BA7B95"/>
    <w:rsid w:val="00BA7E16"/>
    <w:rsid w:val="00BB00F5"/>
    <w:rsid w:val="00BB0167"/>
    <w:rsid w:val="00BB01F4"/>
    <w:rsid w:val="00BB038F"/>
    <w:rsid w:val="00BB0516"/>
    <w:rsid w:val="00BB052D"/>
    <w:rsid w:val="00BB0B72"/>
    <w:rsid w:val="00BB0BB3"/>
    <w:rsid w:val="00BB0D6D"/>
    <w:rsid w:val="00BB0E73"/>
    <w:rsid w:val="00BB1024"/>
    <w:rsid w:val="00BB143F"/>
    <w:rsid w:val="00BB1641"/>
    <w:rsid w:val="00BB1709"/>
    <w:rsid w:val="00BB19C0"/>
    <w:rsid w:val="00BB1B21"/>
    <w:rsid w:val="00BB1B29"/>
    <w:rsid w:val="00BB1E11"/>
    <w:rsid w:val="00BB219F"/>
    <w:rsid w:val="00BB2207"/>
    <w:rsid w:val="00BB2255"/>
    <w:rsid w:val="00BB253F"/>
    <w:rsid w:val="00BB2572"/>
    <w:rsid w:val="00BB2654"/>
    <w:rsid w:val="00BB2824"/>
    <w:rsid w:val="00BB2B54"/>
    <w:rsid w:val="00BB2CF5"/>
    <w:rsid w:val="00BB30C7"/>
    <w:rsid w:val="00BB30E8"/>
    <w:rsid w:val="00BB325C"/>
    <w:rsid w:val="00BB342E"/>
    <w:rsid w:val="00BB36BC"/>
    <w:rsid w:val="00BB371F"/>
    <w:rsid w:val="00BB3929"/>
    <w:rsid w:val="00BB3DB7"/>
    <w:rsid w:val="00BB3F0C"/>
    <w:rsid w:val="00BB3F74"/>
    <w:rsid w:val="00BB42BD"/>
    <w:rsid w:val="00BB4491"/>
    <w:rsid w:val="00BB4808"/>
    <w:rsid w:val="00BB48E5"/>
    <w:rsid w:val="00BB4D65"/>
    <w:rsid w:val="00BB510C"/>
    <w:rsid w:val="00BB5168"/>
    <w:rsid w:val="00BB5234"/>
    <w:rsid w:val="00BB57E3"/>
    <w:rsid w:val="00BB5A38"/>
    <w:rsid w:val="00BB5D4E"/>
    <w:rsid w:val="00BB5DCE"/>
    <w:rsid w:val="00BB5EED"/>
    <w:rsid w:val="00BB5FF6"/>
    <w:rsid w:val="00BB669A"/>
    <w:rsid w:val="00BB6747"/>
    <w:rsid w:val="00BB67C2"/>
    <w:rsid w:val="00BB681E"/>
    <w:rsid w:val="00BB687C"/>
    <w:rsid w:val="00BB6928"/>
    <w:rsid w:val="00BB6BAD"/>
    <w:rsid w:val="00BB700D"/>
    <w:rsid w:val="00BB712F"/>
    <w:rsid w:val="00BB72A1"/>
    <w:rsid w:val="00BB73CB"/>
    <w:rsid w:val="00BB7489"/>
    <w:rsid w:val="00BB74BC"/>
    <w:rsid w:val="00BB7596"/>
    <w:rsid w:val="00BB76C4"/>
    <w:rsid w:val="00BB7725"/>
    <w:rsid w:val="00BB786C"/>
    <w:rsid w:val="00BB786F"/>
    <w:rsid w:val="00BB78DD"/>
    <w:rsid w:val="00BB7A47"/>
    <w:rsid w:val="00BB7AF3"/>
    <w:rsid w:val="00BB7D7D"/>
    <w:rsid w:val="00BB7F9B"/>
    <w:rsid w:val="00BC0117"/>
    <w:rsid w:val="00BC0173"/>
    <w:rsid w:val="00BC0263"/>
    <w:rsid w:val="00BC02C0"/>
    <w:rsid w:val="00BC0482"/>
    <w:rsid w:val="00BC055C"/>
    <w:rsid w:val="00BC05B4"/>
    <w:rsid w:val="00BC05EA"/>
    <w:rsid w:val="00BC0726"/>
    <w:rsid w:val="00BC0B47"/>
    <w:rsid w:val="00BC0D5C"/>
    <w:rsid w:val="00BC0E32"/>
    <w:rsid w:val="00BC1043"/>
    <w:rsid w:val="00BC1116"/>
    <w:rsid w:val="00BC1270"/>
    <w:rsid w:val="00BC1447"/>
    <w:rsid w:val="00BC1900"/>
    <w:rsid w:val="00BC1A87"/>
    <w:rsid w:val="00BC1B4F"/>
    <w:rsid w:val="00BC22D4"/>
    <w:rsid w:val="00BC23DB"/>
    <w:rsid w:val="00BC2445"/>
    <w:rsid w:val="00BC2798"/>
    <w:rsid w:val="00BC2941"/>
    <w:rsid w:val="00BC2ACE"/>
    <w:rsid w:val="00BC2DE6"/>
    <w:rsid w:val="00BC2E1C"/>
    <w:rsid w:val="00BC33AF"/>
    <w:rsid w:val="00BC3562"/>
    <w:rsid w:val="00BC35ED"/>
    <w:rsid w:val="00BC3619"/>
    <w:rsid w:val="00BC36B8"/>
    <w:rsid w:val="00BC39F1"/>
    <w:rsid w:val="00BC3C88"/>
    <w:rsid w:val="00BC3D4B"/>
    <w:rsid w:val="00BC3FB0"/>
    <w:rsid w:val="00BC410A"/>
    <w:rsid w:val="00BC4250"/>
    <w:rsid w:val="00BC4284"/>
    <w:rsid w:val="00BC45A4"/>
    <w:rsid w:val="00BC45D5"/>
    <w:rsid w:val="00BC4880"/>
    <w:rsid w:val="00BC50C5"/>
    <w:rsid w:val="00BC50CC"/>
    <w:rsid w:val="00BC5238"/>
    <w:rsid w:val="00BC527F"/>
    <w:rsid w:val="00BC53AC"/>
    <w:rsid w:val="00BC54C1"/>
    <w:rsid w:val="00BC59EE"/>
    <w:rsid w:val="00BC5E71"/>
    <w:rsid w:val="00BC5E79"/>
    <w:rsid w:val="00BC5E85"/>
    <w:rsid w:val="00BC6272"/>
    <w:rsid w:val="00BC6326"/>
    <w:rsid w:val="00BC650D"/>
    <w:rsid w:val="00BC6608"/>
    <w:rsid w:val="00BC6629"/>
    <w:rsid w:val="00BC6640"/>
    <w:rsid w:val="00BC6919"/>
    <w:rsid w:val="00BC6C0A"/>
    <w:rsid w:val="00BC6DE9"/>
    <w:rsid w:val="00BC6EE2"/>
    <w:rsid w:val="00BC70E6"/>
    <w:rsid w:val="00BC72CF"/>
    <w:rsid w:val="00BC74AE"/>
    <w:rsid w:val="00BC76EA"/>
    <w:rsid w:val="00BC7709"/>
    <w:rsid w:val="00BC77ED"/>
    <w:rsid w:val="00BC7860"/>
    <w:rsid w:val="00BC7A73"/>
    <w:rsid w:val="00BC7CBD"/>
    <w:rsid w:val="00BD0052"/>
    <w:rsid w:val="00BD01F0"/>
    <w:rsid w:val="00BD0247"/>
    <w:rsid w:val="00BD0334"/>
    <w:rsid w:val="00BD0389"/>
    <w:rsid w:val="00BD04A9"/>
    <w:rsid w:val="00BD0524"/>
    <w:rsid w:val="00BD05DB"/>
    <w:rsid w:val="00BD073D"/>
    <w:rsid w:val="00BD0A4B"/>
    <w:rsid w:val="00BD0B17"/>
    <w:rsid w:val="00BD0B47"/>
    <w:rsid w:val="00BD0BFF"/>
    <w:rsid w:val="00BD0C3D"/>
    <w:rsid w:val="00BD11F5"/>
    <w:rsid w:val="00BD1227"/>
    <w:rsid w:val="00BD1262"/>
    <w:rsid w:val="00BD154C"/>
    <w:rsid w:val="00BD1656"/>
    <w:rsid w:val="00BD166A"/>
    <w:rsid w:val="00BD183C"/>
    <w:rsid w:val="00BD193B"/>
    <w:rsid w:val="00BD1976"/>
    <w:rsid w:val="00BD1B5E"/>
    <w:rsid w:val="00BD2005"/>
    <w:rsid w:val="00BD2265"/>
    <w:rsid w:val="00BD240A"/>
    <w:rsid w:val="00BD2452"/>
    <w:rsid w:val="00BD269C"/>
    <w:rsid w:val="00BD2763"/>
    <w:rsid w:val="00BD2ACD"/>
    <w:rsid w:val="00BD313A"/>
    <w:rsid w:val="00BD314D"/>
    <w:rsid w:val="00BD32B6"/>
    <w:rsid w:val="00BD362D"/>
    <w:rsid w:val="00BD3920"/>
    <w:rsid w:val="00BD3C5C"/>
    <w:rsid w:val="00BD3CD3"/>
    <w:rsid w:val="00BD3E3B"/>
    <w:rsid w:val="00BD3F5C"/>
    <w:rsid w:val="00BD409D"/>
    <w:rsid w:val="00BD4265"/>
    <w:rsid w:val="00BD45A4"/>
    <w:rsid w:val="00BD4725"/>
    <w:rsid w:val="00BD4802"/>
    <w:rsid w:val="00BD4DC5"/>
    <w:rsid w:val="00BD5150"/>
    <w:rsid w:val="00BD51B6"/>
    <w:rsid w:val="00BD534E"/>
    <w:rsid w:val="00BD5605"/>
    <w:rsid w:val="00BD5942"/>
    <w:rsid w:val="00BD5C74"/>
    <w:rsid w:val="00BD5D74"/>
    <w:rsid w:val="00BD5F8B"/>
    <w:rsid w:val="00BD5FFB"/>
    <w:rsid w:val="00BD6027"/>
    <w:rsid w:val="00BD6215"/>
    <w:rsid w:val="00BD639E"/>
    <w:rsid w:val="00BD641D"/>
    <w:rsid w:val="00BD6557"/>
    <w:rsid w:val="00BD67D5"/>
    <w:rsid w:val="00BD6875"/>
    <w:rsid w:val="00BD6A46"/>
    <w:rsid w:val="00BD6A48"/>
    <w:rsid w:val="00BD6AB8"/>
    <w:rsid w:val="00BD6B71"/>
    <w:rsid w:val="00BD6C74"/>
    <w:rsid w:val="00BD6E27"/>
    <w:rsid w:val="00BD6F18"/>
    <w:rsid w:val="00BD6F55"/>
    <w:rsid w:val="00BD6F73"/>
    <w:rsid w:val="00BD6FA8"/>
    <w:rsid w:val="00BD70D4"/>
    <w:rsid w:val="00BD7279"/>
    <w:rsid w:val="00BD728F"/>
    <w:rsid w:val="00BD72B6"/>
    <w:rsid w:val="00BD76E8"/>
    <w:rsid w:val="00BD7731"/>
    <w:rsid w:val="00BD7A97"/>
    <w:rsid w:val="00BD7CE1"/>
    <w:rsid w:val="00BD7E34"/>
    <w:rsid w:val="00BD7FA2"/>
    <w:rsid w:val="00BD7FB1"/>
    <w:rsid w:val="00BD7FB6"/>
    <w:rsid w:val="00BD7FBA"/>
    <w:rsid w:val="00BD7FF0"/>
    <w:rsid w:val="00BE002E"/>
    <w:rsid w:val="00BE00ED"/>
    <w:rsid w:val="00BE02BB"/>
    <w:rsid w:val="00BE064F"/>
    <w:rsid w:val="00BE0659"/>
    <w:rsid w:val="00BE0AEA"/>
    <w:rsid w:val="00BE0B3B"/>
    <w:rsid w:val="00BE0D12"/>
    <w:rsid w:val="00BE0D18"/>
    <w:rsid w:val="00BE0D2D"/>
    <w:rsid w:val="00BE0E4A"/>
    <w:rsid w:val="00BE13D1"/>
    <w:rsid w:val="00BE1574"/>
    <w:rsid w:val="00BE1A29"/>
    <w:rsid w:val="00BE1B86"/>
    <w:rsid w:val="00BE1C7D"/>
    <w:rsid w:val="00BE1D0C"/>
    <w:rsid w:val="00BE1D2C"/>
    <w:rsid w:val="00BE1D34"/>
    <w:rsid w:val="00BE2167"/>
    <w:rsid w:val="00BE216E"/>
    <w:rsid w:val="00BE22CD"/>
    <w:rsid w:val="00BE259E"/>
    <w:rsid w:val="00BE27E3"/>
    <w:rsid w:val="00BE283A"/>
    <w:rsid w:val="00BE291A"/>
    <w:rsid w:val="00BE2B02"/>
    <w:rsid w:val="00BE2C2D"/>
    <w:rsid w:val="00BE2C35"/>
    <w:rsid w:val="00BE2C68"/>
    <w:rsid w:val="00BE2C93"/>
    <w:rsid w:val="00BE2D7E"/>
    <w:rsid w:val="00BE2ED7"/>
    <w:rsid w:val="00BE332C"/>
    <w:rsid w:val="00BE3434"/>
    <w:rsid w:val="00BE344C"/>
    <w:rsid w:val="00BE3600"/>
    <w:rsid w:val="00BE376C"/>
    <w:rsid w:val="00BE3B78"/>
    <w:rsid w:val="00BE4096"/>
    <w:rsid w:val="00BE420E"/>
    <w:rsid w:val="00BE4723"/>
    <w:rsid w:val="00BE4A6B"/>
    <w:rsid w:val="00BE4AF9"/>
    <w:rsid w:val="00BE4B9A"/>
    <w:rsid w:val="00BE4BA5"/>
    <w:rsid w:val="00BE4F01"/>
    <w:rsid w:val="00BE5361"/>
    <w:rsid w:val="00BE5601"/>
    <w:rsid w:val="00BE5666"/>
    <w:rsid w:val="00BE5C25"/>
    <w:rsid w:val="00BE5C9C"/>
    <w:rsid w:val="00BE5DB7"/>
    <w:rsid w:val="00BE5E78"/>
    <w:rsid w:val="00BE617F"/>
    <w:rsid w:val="00BE64A2"/>
    <w:rsid w:val="00BE64D3"/>
    <w:rsid w:val="00BE67E9"/>
    <w:rsid w:val="00BE6806"/>
    <w:rsid w:val="00BE6940"/>
    <w:rsid w:val="00BE6C27"/>
    <w:rsid w:val="00BE6C3A"/>
    <w:rsid w:val="00BE6EA8"/>
    <w:rsid w:val="00BE6EF1"/>
    <w:rsid w:val="00BE6F67"/>
    <w:rsid w:val="00BE7067"/>
    <w:rsid w:val="00BE707E"/>
    <w:rsid w:val="00BE71C3"/>
    <w:rsid w:val="00BE71CD"/>
    <w:rsid w:val="00BE7242"/>
    <w:rsid w:val="00BE72C7"/>
    <w:rsid w:val="00BE75CC"/>
    <w:rsid w:val="00BE7859"/>
    <w:rsid w:val="00BE7E1F"/>
    <w:rsid w:val="00BE7EA3"/>
    <w:rsid w:val="00BF00A9"/>
    <w:rsid w:val="00BF00BA"/>
    <w:rsid w:val="00BF01D2"/>
    <w:rsid w:val="00BF02D1"/>
    <w:rsid w:val="00BF0790"/>
    <w:rsid w:val="00BF07B1"/>
    <w:rsid w:val="00BF08C2"/>
    <w:rsid w:val="00BF0C3B"/>
    <w:rsid w:val="00BF0C44"/>
    <w:rsid w:val="00BF0D1A"/>
    <w:rsid w:val="00BF0D6A"/>
    <w:rsid w:val="00BF0FFD"/>
    <w:rsid w:val="00BF1016"/>
    <w:rsid w:val="00BF1042"/>
    <w:rsid w:val="00BF11C3"/>
    <w:rsid w:val="00BF120F"/>
    <w:rsid w:val="00BF16A6"/>
    <w:rsid w:val="00BF207B"/>
    <w:rsid w:val="00BF21B1"/>
    <w:rsid w:val="00BF21EB"/>
    <w:rsid w:val="00BF22E1"/>
    <w:rsid w:val="00BF23CF"/>
    <w:rsid w:val="00BF24D9"/>
    <w:rsid w:val="00BF24E9"/>
    <w:rsid w:val="00BF2728"/>
    <w:rsid w:val="00BF2B3A"/>
    <w:rsid w:val="00BF2B6B"/>
    <w:rsid w:val="00BF2D70"/>
    <w:rsid w:val="00BF2DD7"/>
    <w:rsid w:val="00BF2DDB"/>
    <w:rsid w:val="00BF2E5E"/>
    <w:rsid w:val="00BF2E93"/>
    <w:rsid w:val="00BF3028"/>
    <w:rsid w:val="00BF319E"/>
    <w:rsid w:val="00BF3225"/>
    <w:rsid w:val="00BF33C0"/>
    <w:rsid w:val="00BF33C1"/>
    <w:rsid w:val="00BF3500"/>
    <w:rsid w:val="00BF36B1"/>
    <w:rsid w:val="00BF370A"/>
    <w:rsid w:val="00BF3888"/>
    <w:rsid w:val="00BF3C5C"/>
    <w:rsid w:val="00BF3DC0"/>
    <w:rsid w:val="00BF4017"/>
    <w:rsid w:val="00BF423D"/>
    <w:rsid w:val="00BF42A8"/>
    <w:rsid w:val="00BF468C"/>
    <w:rsid w:val="00BF48E7"/>
    <w:rsid w:val="00BF4945"/>
    <w:rsid w:val="00BF4A34"/>
    <w:rsid w:val="00BF4AE5"/>
    <w:rsid w:val="00BF4B79"/>
    <w:rsid w:val="00BF4C7E"/>
    <w:rsid w:val="00BF4F11"/>
    <w:rsid w:val="00BF540F"/>
    <w:rsid w:val="00BF550A"/>
    <w:rsid w:val="00BF5571"/>
    <w:rsid w:val="00BF5580"/>
    <w:rsid w:val="00BF5744"/>
    <w:rsid w:val="00BF57B1"/>
    <w:rsid w:val="00BF5867"/>
    <w:rsid w:val="00BF5A56"/>
    <w:rsid w:val="00BF5D6D"/>
    <w:rsid w:val="00BF6126"/>
    <w:rsid w:val="00BF618D"/>
    <w:rsid w:val="00BF6355"/>
    <w:rsid w:val="00BF63FA"/>
    <w:rsid w:val="00BF65B9"/>
    <w:rsid w:val="00BF667E"/>
    <w:rsid w:val="00BF68C7"/>
    <w:rsid w:val="00BF6AD8"/>
    <w:rsid w:val="00BF6AE2"/>
    <w:rsid w:val="00BF6AF5"/>
    <w:rsid w:val="00BF6CFF"/>
    <w:rsid w:val="00BF6D78"/>
    <w:rsid w:val="00BF791B"/>
    <w:rsid w:val="00BF796B"/>
    <w:rsid w:val="00BF7BC9"/>
    <w:rsid w:val="00BF7BCF"/>
    <w:rsid w:val="00BF7EAF"/>
    <w:rsid w:val="00BF7EC8"/>
    <w:rsid w:val="00BF7F7A"/>
    <w:rsid w:val="00BF7FD3"/>
    <w:rsid w:val="00C0007F"/>
    <w:rsid w:val="00C000FB"/>
    <w:rsid w:val="00C007CC"/>
    <w:rsid w:val="00C007CF"/>
    <w:rsid w:val="00C00A91"/>
    <w:rsid w:val="00C00C0B"/>
    <w:rsid w:val="00C00CBC"/>
    <w:rsid w:val="00C00ED6"/>
    <w:rsid w:val="00C00F61"/>
    <w:rsid w:val="00C01036"/>
    <w:rsid w:val="00C01114"/>
    <w:rsid w:val="00C013AD"/>
    <w:rsid w:val="00C01448"/>
    <w:rsid w:val="00C01475"/>
    <w:rsid w:val="00C0163B"/>
    <w:rsid w:val="00C017E3"/>
    <w:rsid w:val="00C01844"/>
    <w:rsid w:val="00C01A09"/>
    <w:rsid w:val="00C01A3D"/>
    <w:rsid w:val="00C01B8C"/>
    <w:rsid w:val="00C01D4B"/>
    <w:rsid w:val="00C01E25"/>
    <w:rsid w:val="00C01E27"/>
    <w:rsid w:val="00C02262"/>
    <w:rsid w:val="00C0226D"/>
    <w:rsid w:val="00C022BE"/>
    <w:rsid w:val="00C02494"/>
    <w:rsid w:val="00C02636"/>
    <w:rsid w:val="00C029E0"/>
    <w:rsid w:val="00C02C9D"/>
    <w:rsid w:val="00C02CDE"/>
    <w:rsid w:val="00C02CEF"/>
    <w:rsid w:val="00C02D5D"/>
    <w:rsid w:val="00C02E23"/>
    <w:rsid w:val="00C02FA2"/>
    <w:rsid w:val="00C03375"/>
    <w:rsid w:val="00C0348A"/>
    <w:rsid w:val="00C03594"/>
    <w:rsid w:val="00C0363A"/>
    <w:rsid w:val="00C036D0"/>
    <w:rsid w:val="00C036F8"/>
    <w:rsid w:val="00C0371B"/>
    <w:rsid w:val="00C03734"/>
    <w:rsid w:val="00C03ABC"/>
    <w:rsid w:val="00C03B36"/>
    <w:rsid w:val="00C03ECF"/>
    <w:rsid w:val="00C03EE5"/>
    <w:rsid w:val="00C04043"/>
    <w:rsid w:val="00C04473"/>
    <w:rsid w:val="00C049A8"/>
    <w:rsid w:val="00C049CC"/>
    <w:rsid w:val="00C04B98"/>
    <w:rsid w:val="00C04DA0"/>
    <w:rsid w:val="00C05186"/>
    <w:rsid w:val="00C051BB"/>
    <w:rsid w:val="00C05341"/>
    <w:rsid w:val="00C053F2"/>
    <w:rsid w:val="00C0549B"/>
    <w:rsid w:val="00C06058"/>
    <w:rsid w:val="00C060EB"/>
    <w:rsid w:val="00C06138"/>
    <w:rsid w:val="00C0626E"/>
    <w:rsid w:val="00C0631A"/>
    <w:rsid w:val="00C06363"/>
    <w:rsid w:val="00C063CC"/>
    <w:rsid w:val="00C06763"/>
    <w:rsid w:val="00C06878"/>
    <w:rsid w:val="00C06968"/>
    <w:rsid w:val="00C069D6"/>
    <w:rsid w:val="00C06A06"/>
    <w:rsid w:val="00C06AED"/>
    <w:rsid w:val="00C06D5F"/>
    <w:rsid w:val="00C07103"/>
    <w:rsid w:val="00C07202"/>
    <w:rsid w:val="00C075BD"/>
    <w:rsid w:val="00C07C78"/>
    <w:rsid w:val="00C07D39"/>
    <w:rsid w:val="00C07DBA"/>
    <w:rsid w:val="00C07DCD"/>
    <w:rsid w:val="00C07E8B"/>
    <w:rsid w:val="00C100DD"/>
    <w:rsid w:val="00C103C9"/>
    <w:rsid w:val="00C1053D"/>
    <w:rsid w:val="00C10724"/>
    <w:rsid w:val="00C108C8"/>
    <w:rsid w:val="00C109F8"/>
    <w:rsid w:val="00C10B1A"/>
    <w:rsid w:val="00C10C33"/>
    <w:rsid w:val="00C10DED"/>
    <w:rsid w:val="00C10F0E"/>
    <w:rsid w:val="00C10F54"/>
    <w:rsid w:val="00C111D3"/>
    <w:rsid w:val="00C111DB"/>
    <w:rsid w:val="00C1123B"/>
    <w:rsid w:val="00C113D5"/>
    <w:rsid w:val="00C11474"/>
    <w:rsid w:val="00C114DF"/>
    <w:rsid w:val="00C11726"/>
    <w:rsid w:val="00C119A9"/>
    <w:rsid w:val="00C11A0D"/>
    <w:rsid w:val="00C11ABF"/>
    <w:rsid w:val="00C11C10"/>
    <w:rsid w:val="00C11F33"/>
    <w:rsid w:val="00C11F7C"/>
    <w:rsid w:val="00C12134"/>
    <w:rsid w:val="00C1217D"/>
    <w:rsid w:val="00C12367"/>
    <w:rsid w:val="00C12562"/>
    <w:rsid w:val="00C1268D"/>
    <w:rsid w:val="00C12BBA"/>
    <w:rsid w:val="00C13016"/>
    <w:rsid w:val="00C13018"/>
    <w:rsid w:val="00C1329B"/>
    <w:rsid w:val="00C134AE"/>
    <w:rsid w:val="00C134DE"/>
    <w:rsid w:val="00C136C8"/>
    <w:rsid w:val="00C1375F"/>
    <w:rsid w:val="00C137C8"/>
    <w:rsid w:val="00C13C32"/>
    <w:rsid w:val="00C13C8F"/>
    <w:rsid w:val="00C13CE1"/>
    <w:rsid w:val="00C14079"/>
    <w:rsid w:val="00C14499"/>
    <w:rsid w:val="00C1468B"/>
    <w:rsid w:val="00C146D5"/>
    <w:rsid w:val="00C1476F"/>
    <w:rsid w:val="00C14890"/>
    <w:rsid w:val="00C14B3D"/>
    <w:rsid w:val="00C14BAD"/>
    <w:rsid w:val="00C14C33"/>
    <w:rsid w:val="00C14E0C"/>
    <w:rsid w:val="00C158C5"/>
    <w:rsid w:val="00C1591E"/>
    <w:rsid w:val="00C162EB"/>
    <w:rsid w:val="00C1653B"/>
    <w:rsid w:val="00C1663E"/>
    <w:rsid w:val="00C166A5"/>
    <w:rsid w:val="00C166EF"/>
    <w:rsid w:val="00C16706"/>
    <w:rsid w:val="00C16B66"/>
    <w:rsid w:val="00C16BA1"/>
    <w:rsid w:val="00C16C21"/>
    <w:rsid w:val="00C16E5D"/>
    <w:rsid w:val="00C1753F"/>
    <w:rsid w:val="00C17ABE"/>
    <w:rsid w:val="00C17B9E"/>
    <w:rsid w:val="00C17CC2"/>
    <w:rsid w:val="00C2027D"/>
    <w:rsid w:val="00C20D2F"/>
    <w:rsid w:val="00C20FD4"/>
    <w:rsid w:val="00C21029"/>
    <w:rsid w:val="00C21076"/>
    <w:rsid w:val="00C21221"/>
    <w:rsid w:val="00C2177A"/>
    <w:rsid w:val="00C21817"/>
    <w:rsid w:val="00C21896"/>
    <w:rsid w:val="00C21989"/>
    <w:rsid w:val="00C21AE1"/>
    <w:rsid w:val="00C21B0D"/>
    <w:rsid w:val="00C21B46"/>
    <w:rsid w:val="00C21CF9"/>
    <w:rsid w:val="00C21DD0"/>
    <w:rsid w:val="00C221A2"/>
    <w:rsid w:val="00C221A6"/>
    <w:rsid w:val="00C2228E"/>
    <w:rsid w:val="00C22463"/>
    <w:rsid w:val="00C224E8"/>
    <w:rsid w:val="00C2252D"/>
    <w:rsid w:val="00C22581"/>
    <w:rsid w:val="00C228B3"/>
    <w:rsid w:val="00C229D8"/>
    <w:rsid w:val="00C22D56"/>
    <w:rsid w:val="00C22D82"/>
    <w:rsid w:val="00C22F8F"/>
    <w:rsid w:val="00C2304E"/>
    <w:rsid w:val="00C230A5"/>
    <w:rsid w:val="00C232EE"/>
    <w:rsid w:val="00C23371"/>
    <w:rsid w:val="00C23613"/>
    <w:rsid w:val="00C2363C"/>
    <w:rsid w:val="00C23765"/>
    <w:rsid w:val="00C23783"/>
    <w:rsid w:val="00C239FE"/>
    <w:rsid w:val="00C23AC7"/>
    <w:rsid w:val="00C23B65"/>
    <w:rsid w:val="00C2410D"/>
    <w:rsid w:val="00C24340"/>
    <w:rsid w:val="00C244E7"/>
    <w:rsid w:val="00C24625"/>
    <w:rsid w:val="00C2472F"/>
    <w:rsid w:val="00C2473D"/>
    <w:rsid w:val="00C24DB0"/>
    <w:rsid w:val="00C24E7E"/>
    <w:rsid w:val="00C24F6D"/>
    <w:rsid w:val="00C25007"/>
    <w:rsid w:val="00C25161"/>
    <w:rsid w:val="00C253FC"/>
    <w:rsid w:val="00C25424"/>
    <w:rsid w:val="00C254F2"/>
    <w:rsid w:val="00C255B5"/>
    <w:rsid w:val="00C2560C"/>
    <w:rsid w:val="00C25ADA"/>
    <w:rsid w:val="00C26171"/>
    <w:rsid w:val="00C26208"/>
    <w:rsid w:val="00C262B1"/>
    <w:rsid w:val="00C262B2"/>
    <w:rsid w:val="00C2638F"/>
    <w:rsid w:val="00C265F0"/>
    <w:rsid w:val="00C266E8"/>
    <w:rsid w:val="00C266F2"/>
    <w:rsid w:val="00C26AEA"/>
    <w:rsid w:val="00C26D58"/>
    <w:rsid w:val="00C26F54"/>
    <w:rsid w:val="00C27356"/>
    <w:rsid w:val="00C2772F"/>
    <w:rsid w:val="00C27EDF"/>
    <w:rsid w:val="00C27F3D"/>
    <w:rsid w:val="00C300E1"/>
    <w:rsid w:val="00C301E0"/>
    <w:rsid w:val="00C301E1"/>
    <w:rsid w:val="00C301FA"/>
    <w:rsid w:val="00C30409"/>
    <w:rsid w:val="00C304BC"/>
    <w:rsid w:val="00C3059B"/>
    <w:rsid w:val="00C30646"/>
    <w:rsid w:val="00C309D7"/>
    <w:rsid w:val="00C30A12"/>
    <w:rsid w:val="00C30B65"/>
    <w:rsid w:val="00C31563"/>
    <w:rsid w:val="00C31576"/>
    <w:rsid w:val="00C31910"/>
    <w:rsid w:val="00C31931"/>
    <w:rsid w:val="00C31BFB"/>
    <w:rsid w:val="00C320B1"/>
    <w:rsid w:val="00C32188"/>
    <w:rsid w:val="00C325CA"/>
    <w:rsid w:val="00C327B0"/>
    <w:rsid w:val="00C32958"/>
    <w:rsid w:val="00C32BDE"/>
    <w:rsid w:val="00C32F1F"/>
    <w:rsid w:val="00C32F96"/>
    <w:rsid w:val="00C32FCE"/>
    <w:rsid w:val="00C330FD"/>
    <w:rsid w:val="00C33125"/>
    <w:rsid w:val="00C33194"/>
    <w:rsid w:val="00C33414"/>
    <w:rsid w:val="00C334ED"/>
    <w:rsid w:val="00C335E9"/>
    <w:rsid w:val="00C33641"/>
    <w:rsid w:val="00C3392F"/>
    <w:rsid w:val="00C33A92"/>
    <w:rsid w:val="00C33B93"/>
    <w:rsid w:val="00C33C3A"/>
    <w:rsid w:val="00C33CCB"/>
    <w:rsid w:val="00C33DE3"/>
    <w:rsid w:val="00C33DE7"/>
    <w:rsid w:val="00C33ED5"/>
    <w:rsid w:val="00C33F84"/>
    <w:rsid w:val="00C33F89"/>
    <w:rsid w:val="00C33FDA"/>
    <w:rsid w:val="00C34130"/>
    <w:rsid w:val="00C346AA"/>
    <w:rsid w:val="00C346BF"/>
    <w:rsid w:val="00C349AE"/>
    <w:rsid w:val="00C34D22"/>
    <w:rsid w:val="00C34D85"/>
    <w:rsid w:val="00C34EEC"/>
    <w:rsid w:val="00C350A6"/>
    <w:rsid w:val="00C3510C"/>
    <w:rsid w:val="00C35277"/>
    <w:rsid w:val="00C352AF"/>
    <w:rsid w:val="00C35311"/>
    <w:rsid w:val="00C3540E"/>
    <w:rsid w:val="00C35533"/>
    <w:rsid w:val="00C356EF"/>
    <w:rsid w:val="00C35724"/>
    <w:rsid w:val="00C3578F"/>
    <w:rsid w:val="00C357B4"/>
    <w:rsid w:val="00C359DE"/>
    <w:rsid w:val="00C35AAC"/>
    <w:rsid w:val="00C35D69"/>
    <w:rsid w:val="00C35F2E"/>
    <w:rsid w:val="00C3619D"/>
    <w:rsid w:val="00C36273"/>
    <w:rsid w:val="00C363BA"/>
    <w:rsid w:val="00C363CE"/>
    <w:rsid w:val="00C36686"/>
    <w:rsid w:val="00C3674E"/>
    <w:rsid w:val="00C367F6"/>
    <w:rsid w:val="00C368F8"/>
    <w:rsid w:val="00C36A09"/>
    <w:rsid w:val="00C36B65"/>
    <w:rsid w:val="00C36BC7"/>
    <w:rsid w:val="00C36C17"/>
    <w:rsid w:val="00C37083"/>
    <w:rsid w:val="00C373E6"/>
    <w:rsid w:val="00C37568"/>
    <w:rsid w:val="00C3759C"/>
    <w:rsid w:val="00C37880"/>
    <w:rsid w:val="00C3798A"/>
    <w:rsid w:val="00C37A29"/>
    <w:rsid w:val="00C37F5E"/>
    <w:rsid w:val="00C37F7B"/>
    <w:rsid w:val="00C400B7"/>
    <w:rsid w:val="00C40492"/>
    <w:rsid w:val="00C404E9"/>
    <w:rsid w:val="00C4064F"/>
    <w:rsid w:val="00C40660"/>
    <w:rsid w:val="00C4073C"/>
    <w:rsid w:val="00C40DA4"/>
    <w:rsid w:val="00C40E42"/>
    <w:rsid w:val="00C41394"/>
    <w:rsid w:val="00C416B8"/>
    <w:rsid w:val="00C41800"/>
    <w:rsid w:val="00C41C24"/>
    <w:rsid w:val="00C41C50"/>
    <w:rsid w:val="00C41D2C"/>
    <w:rsid w:val="00C41D59"/>
    <w:rsid w:val="00C41E36"/>
    <w:rsid w:val="00C41EDD"/>
    <w:rsid w:val="00C422EC"/>
    <w:rsid w:val="00C42DAF"/>
    <w:rsid w:val="00C4308E"/>
    <w:rsid w:val="00C43096"/>
    <w:rsid w:val="00C431F9"/>
    <w:rsid w:val="00C4344B"/>
    <w:rsid w:val="00C43504"/>
    <w:rsid w:val="00C436A1"/>
    <w:rsid w:val="00C4378F"/>
    <w:rsid w:val="00C4390F"/>
    <w:rsid w:val="00C43A27"/>
    <w:rsid w:val="00C43A36"/>
    <w:rsid w:val="00C43C04"/>
    <w:rsid w:val="00C43CC2"/>
    <w:rsid w:val="00C43E62"/>
    <w:rsid w:val="00C4429C"/>
    <w:rsid w:val="00C44378"/>
    <w:rsid w:val="00C443D4"/>
    <w:rsid w:val="00C4459B"/>
    <w:rsid w:val="00C446AE"/>
    <w:rsid w:val="00C446CF"/>
    <w:rsid w:val="00C446E0"/>
    <w:rsid w:val="00C448B9"/>
    <w:rsid w:val="00C449AF"/>
    <w:rsid w:val="00C449BC"/>
    <w:rsid w:val="00C44A16"/>
    <w:rsid w:val="00C44CDF"/>
    <w:rsid w:val="00C45074"/>
    <w:rsid w:val="00C450E2"/>
    <w:rsid w:val="00C4512C"/>
    <w:rsid w:val="00C455DE"/>
    <w:rsid w:val="00C458DC"/>
    <w:rsid w:val="00C45A70"/>
    <w:rsid w:val="00C45BF3"/>
    <w:rsid w:val="00C45CE3"/>
    <w:rsid w:val="00C45D6D"/>
    <w:rsid w:val="00C45E95"/>
    <w:rsid w:val="00C46025"/>
    <w:rsid w:val="00C463A0"/>
    <w:rsid w:val="00C46409"/>
    <w:rsid w:val="00C4643D"/>
    <w:rsid w:val="00C46504"/>
    <w:rsid w:val="00C4669C"/>
    <w:rsid w:val="00C466BC"/>
    <w:rsid w:val="00C468AE"/>
    <w:rsid w:val="00C4697B"/>
    <w:rsid w:val="00C46EF9"/>
    <w:rsid w:val="00C4703C"/>
    <w:rsid w:val="00C47076"/>
    <w:rsid w:val="00C470AF"/>
    <w:rsid w:val="00C470C7"/>
    <w:rsid w:val="00C47174"/>
    <w:rsid w:val="00C47320"/>
    <w:rsid w:val="00C4733D"/>
    <w:rsid w:val="00C47714"/>
    <w:rsid w:val="00C4771D"/>
    <w:rsid w:val="00C4796F"/>
    <w:rsid w:val="00C47B22"/>
    <w:rsid w:val="00C47CA4"/>
    <w:rsid w:val="00C47D51"/>
    <w:rsid w:val="00C47DA5"/>
    <w:rsid w:val="00C50507"/>
    <w:rsid w:val="00C50628"/>
    <w:rsid w:val="00C50A67"/>
    <w:rsid w:val="00C50AFE"/>
    <w:rsid w:val="00C50CF4"/>
    <w:rsid w:val="00C50D2B"/>
    <w:rsid w:val="00C50D63"/>
    <w:rsid w:val="00C50EE0"/>
    <w:rsid w:val="00C50FAA"/>
    <w:rsid w:val="00C50FAC"/>
    <w:rsid w:val="00C50FB2"/>
    <w:rsid w:val="00C515E4"/>
    <w:rsid w:val="00C51799"/>
    <w:rsid w:val="00C51C2B"/>
    <w:rsid w:val="00C51F1B"/>
    <w:rsid w:val="00C522E5"/>
    <w:rsid w:val="00C52584"/>
    <w:rsid w:val="00C52913"/>
    <w:rsid w:val="00C52DFA"/>
    <w:rsid w:val="00C5390B"/>
    <w:rsid w:val="00C53A3E"/>
    <w:rsid w:val="00C53AC1"/>
    <w:rsid w:val="00C53E26"/>
    <w:rsid w:val="00C541B7"/>
    <w:rsid w:val="00C541BF"/>
    <w:rsid w:val="00C54238"/>
    <w:rsid w:val="00C543D8"/>
    <w:rsid w:val="00C54461"/>
    <w:rsid w:val="00C544B3"/>
    <w:rsid w:val="00C54600"/>
    <w:rsid w:val="00C547B6"/>
    <w:rsid w:val="00C5488E"/>
    <w:rsid w:val="00C5497D"/>
    <w:rsid w:val="00C549A3"/>
    <w:rsid w:val="00C549D5"/>
    <w:rsid w:val="00C54D4D"/>
    <w:rsid w:val="00C54E1B"/>
    <w:rsid w:val="00C5528E"/>
    <w:rsid w:val="00C55529"/>
    <w:rsid w:val="00C555C8"/>
    <w:rsid w:val="00C55600"/>
    <w:rsid w:val="00C5576E"/>
    <w:rsid w:val="00C55A0C"/>
    <w:rsid w:val="00C55B9F"/>
    <w:rsid w:val="00C55FAA"/>
    <w:rsid w:val="00C560AC"/>
    <w:rsid w:val="00C567EA"/>
    <w:rsid w:val="00C56B78"/>
    <w:rsid w:val="00C56F63"/>
    <w:rsid w:val="00C56FAA"/>
    <w:rsid w:val="00C5707A"/>
    <w:rsid w:val="00C57181"/>
    <w:rsid w:val="00C5727C"/>
    <w:rsid w:val="00C573D0"/>
    <w:rsid w:val="00C5749F"/>
    <w:rsid w:val="00C57563"/>
    <w:rsid w:val="00C5783D"/>
    <w:rsid w:val="00C579E9"/>
    <w:rsid w:val="00C57D91"/>
    <w:rsid w:val="00C57E8D"/>
    <w:rsid w:val="00C57F8E"/>
    <w:rsid w:val="00C60093"/>
    <w:rsid w:val="00C60123"/>
    <w:rsid w:val="00C603FF"/>
    <w:rsid w:val="00C605E3"/>
    <w:rsid w:val="00C60608"/>
    <w:rsid w:val="00C6062C"/>
    <w:rsid w:val="00C607B2"/>
    <w:rsid w:val="00C607C3"/>
    <w:rsid w:val="00C60AD4"/>
    <w:rsid w:val="00C60E66"/>
    <w:rsid w:val="00C60F99"/>
    <w:rsid w:val="00C60FBB"/>
    <w:rsid w:val="00C610AD"/>
    <w:rsid w:val="00C6137B"/>
    <w:rsid w:val="00C615A9"/>
    <w:rsid w:val="00C617D9"/>
    <w:rsid w:val="00C61A83"/>
    <w:rsid w:val="00C61C0B"/>
    <w:rsid w:val="00C61C2F"/>
    <w:rsid w:val="00C61C7D"/>
    <w:rsid w:val="00C61CAF"/>
    <w:rsid w:val="00C61D11"/>
    <w:rsid w:val="00C61E2D"/>
    <w:rsid w:val="00C61E8D"/>
    <w:rsid w:val="00C61F91"/>
    <w:rsid w:val="00C62254"/>
    <w:rsid w:val="00C62372"/>
    <w:rsid w:val="00C624EA"/>
    <w:rsid w:val="00C62722"/>
    <w:rsid w:val="00C6289E"/>
    <w:rsid w:val="00C62A3A"/>
    <w:rsid w:val="00C62C82"/>
    <w:rsid w:val="00C62DC4"/>
    <w:rsid w:val="00C631F3"/>
    <w:rsid w:val="00C63669"/>
    <w:rsid w:val="00C63D77"/>
    <w:rsid w:val="00C63DE0"/>
    <w:rsid w:val="00C63E17"/>
    <w:rsid w:val="00C63EC0"/>
    <w:rsid w:val="00C6404B"/>
    <w:rsid w:val="00C64072"/>
    <w:rsid w:val="00C6425B"/>
    <w:rsid w:val="00C64312"/>
    <w:rsid w:val="00C64880"/>
    <w:rsid w:val="00C64884"/>
    <w:rsid w:val="00C64AE3"/>
    <w:rsid w:val="00C64B1E"/>
    <w:rsid w:val="00C64F39"/>
    <w:rsid w:val="00C64FBA"/>
    <w:rsid w:val="00C65059"/>
    <w:rsid w:val="00C65135"/>
    <w:rsid w:val="00C651BE"/>
    <w:rsid w:val="00C65A25"/>
    <w:rsid w:val="00C65A5E"/>
    <w:rsid w:val="00C65B9A"/>
    <w:rsid w:val="00C65C63"/>
    <w:rsid w:val="00C65DFE"/>
    <w:rsid w:val="00C65E01"/>
    <w:rsid w:val="00C65F0F"/>
    <w:rsid w:val="00C65F1B"/>
    <w:rsid w:val="00C660A2"/>
    <w:rsid w:val="00C660E6"/>
    <w:rsid w:val="00C661F6"/>
    <w:rsid w:val="00C6642D"/>
    <w:rsid w:val="00C665AF"/>
    <w:rsid w:val="00C6660A"/>
    <w:rsid w:val="00C66624"/>
    <w:rsid w:val="00C6665C"/>
    <w:rsid w:val="00C667C2"/>
    <w:rsid w:val="00C66823"/>
    <w:rsid w:val="00C66A87"/>
    <w:rsid w:val="00C66D5B"/>
    <w:rsid w:val="00C66D64"/>
    <w:rsid w:val="00C66E3B"/>
    <w:rsid w:val="00C67036"/>
    <w:rsid w:val="00C67309"/>
    <w:rsid w:val="00C6734B"/>
    <w:rsid w:val="00C67A01"/>
    <w:rsid w:val="00C67B89"/>
    <w:rsid w:val="00C67CFF"/>
    <w:rsid w:val="00C703E3"/>
    <w:rsid w:val="00C7041E"/>
    <w:rsid w:val="00C704A4"/>
    <w:rsid w:val="00C70598"/>
    <w:rsid w:val="00C70E79"/>
    <w:rsid w:val="00C70FD5"/>
    <w:rsid w:val="00C710BE"/>
    <w:rsid w:val="00C71192"/>
    <w:rsid w:val="00C712BF"/>
    <w:rsid w:val="00C71307"/>
    <w:rsid w:val="00C71980"/>
    <w:rsid w:val="00C71A91"/>
    <w:rsid w:val="00C71CF3"/>
    <w:rsid w:val="00C71FAC"/>
    <w:rsid w:val="00C72157"/>
    <w:rsid w:val="00C7224D"/>
    <w:rsid w:val="00C7230D"/>
    <w:rsid w:val="00C72592"/>
    <w:rsid w:val="00C728CA"/>
    <w:rsid w:val="00C72EA9"/>
    <w:rsid w:val="00C73152"/>
    <w:rsid w:val="00C7323C"/>
    <w:rsid w:val="00C73443"/>
    <w:rsid w:val="00C73455"/>
    <w:rsid w:val="00C7370D"/>
    <w:rsid w:val="00C739D9"/>
    <w:rsid w:val="00C73A68"/>
    <w:rsid w:val="00C73B92"/>
    <w:rsid w:val="00C73C9D"/>
    <w:rsid w:val="00C73D0D"/>
    <w:rsid w:val="00C73E0F"/>
    <w:rsid w:val="00C73EDF"/>
    <w:rsid w:val="00C74438"/>
    <w:rsid w:val="00C7457F"/>
    <w:rsid w:val="00C74D6D"/>
    <w:rsid w:val="00C74E51"/>
    <w:rsid w:val="00C74FE6"/>
    <w:rsid w:val="00C75185"/>
    <w:rsid w:val="00C751AE"/>
    <w:rsid w:val="00C75275"/>
    <w:rsid w:val="00C752EE"/>
    <w:rsid w:val="00C7591B"/>
    <w:rsid w:val="00C7598E"/>
    <w:rsid w:val="00C75ACC"/>
    <w:rsid w:val="00C76039"/>
    <w:rsid w:val="00C761BC"/>
    <w:rsid w:val="00C7645C"/>
    <w:rsid w:val="00C766D9"/>
    <w:rsid w:val="00C7691F"/>
    <w:rsid w:val="00C76C37"/>
    <w:rsid w:val="00C76C7D"/>
    <w:rsid w:val="00C76DF6"/>
    <w:rsid w:val="00C76EF7"/>
    <w:rsid w:val="00C77019"/>
    <w:rsid w:val="00C775FB"/>
    <w:rsid w:val="00C77615"/>
    <w:rsid w:val="00C77712"/>
    <w:rsid w:val="00C777D0"/>
    <w:rsid w:val="00C77A6D"/>
    <w:rsid w:val="00C77BE6"/>
    <w:rsid w:val="00C77C10"/>
    <w:rsid w:val="00C77EB5"/>
    <w:rsid w:val="00C800DF"/>
    <w:rsid w:val="00C80261"/>
    <w:rsid w:val="00C804AC"/>
    <w:rsid w:val="00C8055E"/>
    <w:rsid w:val="00C805E7"/>
    <w:rsid w:val="00C806E9"/>
    <w:rsid w:val="00C8095B"/>
    <w:rsid w:val="00C80999"/>
    <w:rsid w:val="00C80A1C"/>
    <w:rsid w:val="00C80A87"/>
    <w:rsid w:val="00C80B29"/>
    <w:rsid w:val="00C80BB9"/>
    <w:rsid w:val="00C80C33"/>
    <w:rsid w:val="00C80CF4"/>
    <w:rsid w:val="00C80D28"/>
    <w:rsid w:val="00C80DE0"/>
    <w:rsid w:val="00C80F48"/>
    <w:rsid w:val="00C81330"/>
    <w:rsid w:val="00C81365"/>
    <w:rsid w:val="00C81406"/>
    <w:rsid w:val="00C8155F"/>
    <w:rsid w:val="00C81C05"/>
    <w:rsid w:val="00C81DE9"/>
    <w:rsid w:val="00C81E26"/>
    <w:rsid w:val="00C8202E"/>
    <w:rsid w:val="00C820E4"/>
    <w:rsid w:val="00C82481"/>
    <w:rsid w:val="00C824F0"/>
    <w:rsid w:val="00C8263B"/>
    <w:rsid w:val="00C826C0"/>
    <w:rsid w:val="00C8291C"/>
    <w:rsid w:val="00C82E9A"/>
    <w:rsid w:val="00C82EC7"/>
    <w:rsid w:val="00C82ECC"/>
    <w:rsid w:val="00C82F24"/>
    <w:rsid w:val="00C83177"/>
    <w:rsid w:val="00C83243"/>
    <w:rsid w:val="00C83274"/>
    <w:rsid w:val="00C83323"/>
    <w:rsid w:val="00C83537"/>
    <w:rsid w:val="00C837E1"/>
    <w:rsid w:val="00C83901"/>
    <w:rsid w:val="00C83C57"/>
    <w:rsid w:val="00C83CA5"/>
    <w:rsid w:val="00C83CB2"/>
    <w:rsid w:val="00C83DB6"/>
    <w:rsid w:val="00C83E75"/>
    <w:rsid w:val="00C83EC7"/>
    <w:rsid w:val="00C849C0"/>
    <w:rsid w:val="00C84A1A"/>
    <w:rsid w:val="00C84B90"/>
    <w:rsid w:val="00C84C82"/>
    <w:rsid w:val="00C84FF1"/>
    <w:rsid w:val="00C85029"/>
    <w:rsid w:val="00C8508F"/>
    <w:rsid w:val="00C851F5"/>
    <w:rsid w:val="00C85313"/>
    <w:rsid w:val="00C8574E"/>
    <w:rsid w:val="00C8576D"/>
    <w:rsid w:val="00C85967"/>
    <w:rsid w:val="00C85991"/>
    <w:rsid w:val="00C859A6"/>
    <w:rsid w:val="00C85A64"/>
    <w:rsid w:val="00C85D01"/>
    <w:rsid w:val="00C85F84"/>
    <w:rsid w:val="00C85FEB"/>
    <w:rsid w:val="00C863A4"/>
    <w:rsid w:val="00C86836"/>
    <w:rsid w:val="00C86954"/>
    <w:rsid w:val="00C86B1C"/>
    <w:rsid w:val="00C86C25"/>
    <w:rsid w:val="00C86E03"/>
    <w:rsid w:val="00C86FB6"/>
    <w:rsid w:val="00C871EB"/>
    <w:rsid w:val="00C874D2"/>
    <w:rsid w:val="00C87625"/>
    <w:rsid w:val="00C87739"/>
    <w:rsid w:val="00C878DF"/>
    <w:rsid w:val="00C878F2"/>
    <w:rsid w:val="00C878F6"/>
    <w:rsid w:val="00C879F7"/>
    <w:rsid w:val="00C87CBE"/>
    <w:rsid w:val="00C87CE7"/>
    <w:rsid w:val="00C87DD3"/>
    <w:rsid w:val="00C87E48"/>
    <w:rsid w:val="00C87EB6"/>
    <w:rsid w:val="00C900A1"/>
    <w:rsid w:val="00C90411"/>
    <w:rsid w:val="00C90462"/>
    <w:rsid w:val="00C905EF"/>
    <w:rsid w:val="00C907B8"/>
    <w:rsid w:val="00C90835"/>
    <w:rsid w:val="00C90C61"/>
    <w:rsid w:val="00C90D38"/>
    <w:rsid w:val="00C90ED6"/>
    <w:rsid w:val="00C91122"/>
    <w:rsid w:val="00C912AD"/>
    <w:rsid w:val="00C912E9"/>
    <w:rsid w:val="00C9163E"/>
    <w:rsid w:val="00C92071"/>
    <w:rsid w:val="00C920FF"/>
    <w:rsid w:val="00C9217E"/>
    <w:rsid w:val="00C92397"/>
    <w:rsid w:val="00C92425"/>
    <w:rsid w:val="00C924BD"/>
    <w:rsid w:val="00C92636"/>
    <w:rsid w:val="00C9292C"/>
    <w:rsid w:val="00C9297F"/>
    <w:rsid w:val="00C92AAD"/>
    <w:rsid w:val="00C92DF0"/>
    <w:rsid w:val="00C92DF7"/>
    <w:rsid w:val="00C93029"/>
    <w:rsid w:val="00C931CB"/>
    <w:rsid w:val="00C93400"/>
    <w:rsid w:val="00C936E6"/>
    <w:rsid w:val="00C9374F"/>
    <w:rsid w:val="00C937B7"/>
    <w:rsid w:val="00C938C3"/>
    <w:rsid w:val="00C93A1A"/>
    <w:rsid w:val="00C93A49"/>
    <w:rsid w:val="00C93B12"/>
    <w:rsid w:val="00C93D5F"/>
    <w:rsid w:val="00C93DBC"/>
    <w:rsid w:val="00C93E44"/>
    <w:rsid w:val="00C94057"/>
    <w:rsid w:val="00C94084"/>
    <w:rsid w:val="00C941BC"/>
    <w:rsid w:val="00C9436C"/>
    <w:rsid w:val="00C945C4"/>
    <w:rsid w:val="00C9463C"/>
    <w:rsid w:val="00C94B16"/>
    <w:rsid w:val="00C951A7"/>
    <w:rsid w:val="00C951F0"/>
    <w:rsid w:val="00C95395"/>
    <w:rsid w:val="00C955D0"/>
    <w:rsid w:val="00C9562C"/>
    <w:rsid w:val="00C95647"/>
    <w:rsid w:val="00C956A5"/>
    <w:rsid w:val="00C9575B"/>
    <w:rsid w:val="00C95896"/>
    <w:rsid w:val="00C95C0E"/>
    <w:rsid w:val="00C960AC"/>
    <w:rsid w:val="00C965E8"/>
    <w:rsid w:val="00C968C2"/>
    <w:rsid w:val="00C968C9"/>
    <w:rsid w:val="00C96A68"/>
    <w:rsid w:val="00C96B7E"/>
    <w:rsid w:val="00C96EE7"/>
    <w:rsid w:val="00C97006"/>
    <w:rsid w:val="00C9728A"/>
    <w:rsid w:val="00C972B4"/>
    <w:rsid w:val="00C973D4"/>
    <w:rsid w:val="00C973F9"/>
    <w:rsid w:val="00C97519"/>
    <w:rsid w:val="00C97879"/>
    <w:rsid w:val="00C978B8"/>
    <w:rsid w:val="00C978E4"/>
    <w:rsid w:val="00C97BF6"/>
    <w:rsid w:val="00C97C65"/>
    <w:rsid w:val="00C97CBF"/>
    <w:rsid w:val="00C97D81"/>
    <w:rsid w:val="00C97FE2"/>
    <w:rsid w:val="00C97FEF"/>
    <w:rsid w:val="00CA02BB"/>
    <w:rsid w:val="00CA0424"/>
    <w:rsid w:val="00CA07B4"/>
    <w:rsid w:val="00CA083C"/>
    <w:rsid w:val="00CA08A9"/>
    <w:rsid w:val="00CA0A4F"/>
    <w:rsid w:val="00CA0B3D"/>
    <w:rsid w:val="00CA0F3E"/>
    <w:rsid w:val="00CA0FEC"/>
    <w:rsid w:val="00CA1039"/>
    <w:rsid w:val="00CA110D"/>
    <w:rsid w:val="00CA1163"/>
    <w:rsid w:val="00CA1171"/>
    <w:rsid w:val="00CA11D0"/>
    <w:rsid w:val="00CA1681"/>
    <w:rsid w:val="00CA1745"/>
    <w:rsid w:val="00CA186A"/>
    <w:rsid w:val="00CA1939"/>
    <w:rsid w:val="00CA1992"/>
    <w:rsid w:val="00CA1997"/>
    <w:rsid w:val="00CA1A08"/>
    <w:rsid w:val="00CA1AA3"/>
    <w:rsid w:val="00CA1B6F"/>
    <w:rsid w:val="00CA1BBB"/>
    <w:rsid w:val="00CA1BE3"/>
    <w:rsid w:val="00CA1D69"/>
    <w:rsid w:val="00CA1E0F"/>
    <w:rsid w:val="00CA1F57"/>
    <w:rsid w:val="00CA2030"/>
    <w:rsid w:val="00CA2B78"/>
    <w:rsid w:val="00CA2B9B"/>
    <w:rsid w:val="00CA2E84"/>
    <w:rsid w:val="00CA336C"/>
    <w:rsid w:val="00CA3427"/>
    <w:rsid w:val="00CA345D"/>
    <w:rsid w:val="00CA375E"/>
    <w:rsid w:val="00CA3845"/>
    <w:rsid w:val="00CA3BA4"/>
    <w:rsid w:val="00CA3C29"/>
    <w:rsid w:val="00CA3CD3"/>
    <w:rsid w:val="00CA3D9F"/>
    <w:rsid w:val="00CA3ED8"/>
    <w:rsid w:val="00CA4066"/>
    <w:rsid w:val="00CA40B9"/>
    <w:rsid w:val="00CA4303"/>
    <w:rsid w:val="00CA434F"/>
    <w:rsid w:val="00CA44E9"/>
    <w:rsid w:val="00CA4837"/>
    <w:rsid w:val="00CA483D"/>
    <w:rsid w:val="00CA4843"/>
    <w:rsid w:val="00CA4BFA"/>
    <w:rsid w:val="00CA4C8D"/>
    <w:rsid w:val="00CA4CB8"/>
    <w:rsid w:val="00CA4DC4"/>
    <w:rsid w:val="00CA4E80"/>
    <w:rsid w:val="00CA5006"/>
    <w:rsid w:val="00CA50BF"/>
    <w:rsid w:val="00CA5278"/>
    <w:rsid w:val="00CA52C1"/>
    <w:rsid w:val="00CA533E"/>
    <w:rsid w:val="00CA5524"/>
    <w:rsid w:val="00CA55EE"/>
    <w:rsid w:val="00CA5638"/>
    <w:rsid w:val="00CA5956"/>
    <w:rsid w:val="00CA5AC5"/>
    <w:rsid w:val="00CA5B5C"/>
    <w:rsid w:val="00CA5BF4"/>
    <w:rsid w:val="00CA5C3A"/>
    <w:rsid w:val="00CA5D8B"/>
    <w:rsid w:val="00CA5DBF"/>
    <w:rsid w:val="00CA609C"/>
    <w:rsid w:val="00CA64E6"/>
    <w:rsid w:val="00CA6603"/>
    <w:rsid w:val="00CA667E"/>
    <w:rsid w:val="00CA69D4"/>
    <w:rsid w:val="00CA69F3"/>
    <w:rsid w:val="00CA6C62"/>
    <w:rsid w:val="00CA6E4D"/>
    <w:rsid w:val="00CA6EC8"/>
    <w:rsid w:val="00CA6FB6"/>
    <w:rsid w:val="00CA7018"/>
    <w:rsid w:val="00CA7232"/>
    <w:rsid w:val="00CA735D"/>
    <w:rsid w:val="00CA75A0"/>
    <w:rsid w:val="00CA78D2"/>
    <w:rsid w:val="00CA7934"/>
    <w:rsid w:val="00CA7DD1"/>
    <w:rsid w:val="00CA7F94"/>
    <w:rsid w:val="00CB02A7"/>
    <w:rsid w:val="00CB03A8"/>
    <w:rsid w:val="00CB040E"/>
    <w:rsid w:val="00CB04BC"/>
    <w:rsid w:val="00CB04EC"/>
    <w:rsid w:val="00CB06B4"/>
    <w:rsid w:val="00CB0900"/>
    <w:rsid w:val="00CB0AED"/>
    <w:rsid w:val="00CB0D2C"/>
    <w:rsid w:val="00CB1469"/>
    <w:rsid w:val="00CB15CD"/>
    <w:rsid w:val="00CB1826"/>
    <w:rsid w:val="00CB1937"/>
    <w:rsid w:val="00CB202D"/>
    <w:rsid w:val="00CB2030"/>
    <w:rsid w:val="00CB2041"/>
    <w:rsid w:val="00CB2338"/>
    <w:rsid w:val="00CB28CA"/>
    <w:rsid w:val="00CB2A01"/>
    <w:rsid w:val="00CB2C30"/>
    <w:rsid w:val="00CB31E5"/>
    <w:rsid w:val="00CB32E9"/>
    <w:rsid w:val="00CB3528"/>
    <w:rsid w:val="00CB3723"/>
    <w:rsid w:val="00CB378C"/>
    <w:rsid w:val="00CB398E"/>
    <w:rsid w:val="00CB3A47"/>
    <w:rsid w:val="00CB3ABC"/>
    <w:rsid w:val="00CB3B1A"/>
    <w:rsid w:val="00CB3F1F"/>
    <w:rsid w:val="00CB3F5C"/>
    <w:rsid w:val="00CB3FA8"/>
    <w:rsid w:val="00CB4095"/>
    <w:rsid w:val="00CB4130"/>
    <w:rsid w:val="00CB4400"/>
    <w:rsid w:val="00CB4ABF"/>
    <w:rsid w:val="00CB4AF1"/>
    <w:rsid w:val="00CB4D5D"/>
    <w:rsid w:val="00CB505F"/>
    <w:rsid w:val="00CB53F7"/>
    <w:rsid w:val="00CB54D0"/>
    <w:rsid w:val="00CB56AB"/>
    <w:rsid w:val="00CB5C66"/>
    <w:rsid w:val="00CB5DC9"/>
    <w:rsid w:val="00CB6020"/>
    <w:rsid w:val="00CB621A"/>
    <w:rsid w:val="00CB63B4"/>
    <w:rsid w:val="00CB6D73"/>
    <w:rsid w:val="00CB6E98"/>
    <w:rsid w:val="00CB6EFD"/>
    <w:rsid w:val="00CB7176"/>
    <w:rsid w:val="00CB71C6"/>
    <w:rsid w:val="00CB71E1"/>
    <w:rsid w:val="00CB720C"/>
    <w:rsid w:val="00CB727E"/>
    <w:rsid w:val="00CB72BD"/>
    <w:rsid w:val="00CB7517"/>
    <w:rsid w:val="00CB752C"/>
    <w:rsid w:val="00CB7854"/>
    <w:rsid w:val="00CB7ADB"/>
    <w:rsid w:val="00CB7CE3"/>
    <w:rsid w:val="00CB7E19"/>
    <w:rsid w:val="00CB7FCF"/>
    <w:rsid w:val="00CC03BE"/>
    <w:rsid w:val="00CC0443"/>
    <w:rsid w:val="00CC047B"/>
    <w:rsid w:val="00CC0585"/>
    <w:rsid w:val="00CC0647"/>
    <w:rsid w:val="00CC0791"/>
    <w:rsid w:val="00CC0965"/>
    <w:rsid w:val="00CC0C04"/>
    <w:rsid w:val="00CC0E8A"/>
    <w:rsid w:val="00CC0FCE"/>
    <w:rsid w:val="00CC114F"/>
    <w:rsid w:val="00CC12C8"/>
    <w:rsid w:val="00CC14D7"/>
    <w:rsid w:val="00CC17C0"/>
    <w:rsid w:val="00CC189F"/>
    <w:rsid w:val="00CC1934"/>
    <w:rsid w:val="00CC1938"/>
    <w:rsid w:val="00CC1A9B"/>
    <w:rsid w:val="00CC1C47"/>
    <w:rsid w:val="00CC1DF0"/>
    <w:rsid w:val="00CC1E20"/>
    <w:rsid w:val="00CC25CC"/>
    <w:rsid w:val="00CC269A"/>
    <w:rsid w:val="00CC275D"/>
    <w:rsid w:val="00CC27A7"/>
    <w:rsid w:val="00CC27C1"/>
    <w:rsid w:val="00CC2943"/>
    <w:rsid w:val="00CC3192"/>
    <w:rsid w:val="00CC33E4"/>
    <w:rsid w:val="00CC34E8"/>
    <w:rsid w:val="00CC34FB"/>
    <w:rsid w:val="00CC35D2"/>
    <w:rsid w:val="00CC36AC"/>
    <w:rsid w:val="00CC3769"/>
    <w:rsid w:val="00CC39A4"/>
    <w:rsid w:val="00CC3B26"/>
    <w:rsid w:val="00CC3E67"/>
    <w:rsid w:val="00CC3E8D"/>
    <w:rsid w:val="00CC3FF9"/>
    <w:rsid w:val="00CC430F"/>
    <w:rsid w:val="00CC43B1"/>
    <w:rsid w:val="00CC478C"/>
    <w:rsid w:val="00CC49C5"/>
    <w:rsid w:val="00CC49EF"/>
    <w:rsid w:val="00CC4A46"/>
    <w:rsid w:val="00CC4B7F"/>
    <w:rsid w:val="00CC4E7E"/>
    <w:rsid w:val="00CC4F42"/>
    <w:rsid w:val="00CC4F7C"/>
    <w:rsid w:val="00CC508C"/>
    <w:rsid w:val="00CC52DC"/>
    <w:rsid w:val="00CC53A5"/>
    <w:rsid w:val="00CC557D"/>
    <w:rsid w:val="00CC569E"/>
    <w:rsid w:val="00CC58C9"/>
    <w:rsid w:val="00CC5930"/>
    <w:rsid w:val="00CC5B8E"/>
    <w:rsid w:val="00CC5BA9"/>
    <w:rsid w:val="00CC5BD2"/>
    <w:rsid w:val="00CC60B6"/>
    <w:rsid w:val="00CC6295"/>
    <w:rsid w:val="00CC62B0"/>
    <w:rsid w:val="00CC6324"/>
    <w:rsid w:val="00CC640B"/>
    <w:rsid w:val="00CC67E4"/>
    <w:rsid w:val="00CC6853"/>
    <w:rsid w:val="00CC688C"/>
    <w:rsid w:val="00CC6A9C"/>
    <w:rsid w:val="00CC6EFF"/>
    <w:rsid w:val="00CC707F"/>
    <w:rsid w:val="00CC7152"/>
    <w:rsid w:val="00CC71C2"/>
    <w:rsid w:val="00CC736E"/>
    <w:rsid w:val="00CC757D"/>
    <w:rsid w:val="00CC75ED"/>
    <w:rsid w:val="00CC78BC"/>
    <w:rsid w:val="00CC7FE7"/>
    <w:rsid w:val="00CD0083"/>
    <w:rsid w:val="00CD0194"/>
    <w:rsid w:val="00CD04DA"/>
    <w:rsid w:val="00CD06FA"/>
    <w:rsid w:val="00CD0762"/>
    <w:rsid w:val="00CD07CA"/>
    <w:rsid w:val="00CD09E6"/>
    <w:rsid w:val="00CD0BCB"/>
    <w:rsid w:val="00CD0D01"/>
    <w:rsid w:val="00CD0FDB"/>
    <w:rsid w:val="00CD1090"/>
    <w:rsid w:val="00CD1117"/>
    <w:rsid w:val="00CD1172"/>
    <w:rsid w:val="00CD118E"/>
    <w:rsid w:val="00CD1218"/>
    <w:rsid w:val="00CD1490"/>
    <w:rsid w:val="00CD14CD"/>
    <w:rsid w:val="00CD1CF3"/>
    <w:rsid w:val="00CD2054"/>
    <w:rsid w:val="00CD21B3"/>
    <w:rsid w:val="00CD2333"/>
    <w:rsid w:val="00CD241F"/>
    <w:rsid w:val="00CD272C"/>
    <w:rsid w:val="00CD2889"/>
    <w:rsid w:val="00CD2AF6"/>
    <w:rsid w:val="00CD2BF3"/>
    <w:rsid w:val="00CD2C06"/>
    <w:rsid w:val="00CD2C0F"/>
    <w:rsid w:val="00CD2D47"/>
    <w:rsid w:val="00CD2FA2"/>
    <w:rsid w:val="00CD30B4"/>
    <w:rsid w:val="00CD355C"/>
    <w:rsid w:val="00CD36AF"/>
    <w:rsid w:val="00CD37D8"/>
    <w:rsid w:val="00CD3A76"/>
    <w:rsid w:val="00CD3AD3"/>
    <w:rsid w:val="00CD3B95"/>
    <w:rsid w:val="00CD3BA0"/>
    <w:rsid w:val="00CD3E14"/>
    <w:rsid w:val="00CD407E"/>
    <w:rsid w:val="00CD4106"/>
    <w:rsid w:val="00CD4263"/>
    <w:rsid w:val="00CD452B"/>
    <w:rsid w:val="00CD47ED"/>
    <w:rsid w:val="00CD4979"/>
    <w:rsid w:val="00CD4B06"/>
    <w:rsid w:val="00CD4D3A"/>
    <w:rsid w:val="00CD4D48"/>
    <w:rsid w:val="00CD4D4C"/>
    <w:rsid w:val="00CD4E0E"/>
    <w:rsid w:val="00CD53D2"/>
    <w:rsid w:val="00CD5B4E"/>
    <w:rsid w:val="00CD5C4E"/>
    <w:rsid w:val="00CD5EE6"/>
    <w:rsid w:val="00CD6369"/>
    <w:rsid w:val="00CD64DE"/>
    <w:rsid w:val="00CD64E3"/>
    <w:rsid w:val="00CD64E6"/>
    <w:rsid w:val="00CD6519"/>
    <w:rsid w:val="00CD66AF"/>
    <w:rsid w:val="00CD6751"/>
    <w:rsid w:val="00CD68E7"/>
    <w:rsid w:val="00CD6974"/>
    <w:rsid w:val="00CD6BF4"/>
    <w:rsid w:val="00CD6DA5"/>
    <w:rsid w:val="00CD6E35"/>
    <w:rsid w:val="00CD702D"/>
    <w:rsid w:val="00CD72B5"/>
    <w:rsid w:val="00CD72EE"/>
    <w:rsid w:val="00CD73C1"/>
    <w:rsid w:val="00CD7686"/>
    <w:rsid w:val="00CD779D"/>
    <w:rsid w:val="00CD783B"/>
    <w:rsid w:val="00CD7B22"/>
    <w:rsid w:val="00CD7B7E"/>
    <w:rsid w:val="00CD7E18"/>
    <w:rsid w:val="00CE0058"/>
    <w:rsid w:val="00CE01B7"/>
    <w:rsid w:val="00CE0335"/>
    <w:rsid w:val="00CE036E"/>
    <w:rsid w:val="00CE0485"/>
    <w:rsid w:val="00CE065B"/>
    <w:rsid w:val="00CE0840"/>
    <w:rsid w:val="00CE0FD8"/>
    <w:rsid w:val="00CE11CA"/>
    <w:rsid w:val="00CE16A7"/>
    <w:rsid w:val="00CE17D7"/>
    <w:rsid w:val="00CE1904"/>
    <w:rsid w:val="00CE1A3B"/>
    <w:rsid w:val="00CE1A9E"/>
    <w:rsid w:val="00CE1CB5"/>
    <w:rsid w:val="00CE1E59"/>
    <w:rsid w:val="00CE1F4C"/>
    <w:rsid w:val="00CE1FB3"/>
    <w:rsid w:val="00CE2050"/>
    <w:rsid w:val="00CE226D"/>
    <w:rsid w:val="00CE236E"/>
    <w:rsid w:val="00CE23AC"/>
    <w:rsid w:val="00CE25BF"/>
    <w:rsid w:val="00CE26E7"/>
    <w:rsid w:val="00CE2788"/>
    <w:rsid w:val="00CE287F"/>
    <w:rsid w:val="00CE2903"/>
    <w:rsid w:val="00CE2F89"/>
    <w:rsid w:val="00CE3141"/>
    <w:rsid w:val="00CE3569"/>
    <w:rsid w:val="00CE3579"/>
    <w:rsid w:val="00CE361E"/>
    <w:rsid w:val="00CE396C"/>
    <w:rsid w:val="00CE3CBF"/>
    <w:rsid w:val="00CE3D08"/>
    <w:rsid w:val="00CE40BB"/>
    <w:rsid w:val="00CE41E5"/>
    <w:rsid w:val="00CE41EE"/>
    <w:rsid w:val="00CE44AE"/>
    <w:rsid w:val="00CE4524"/>
    <w:rsid w:val="00CE456F"/>
    <w:rsid w:val="00CE45CF"/>
    <w:rsid w:val="00CE4676"/>
    <w:rsid w:val="00CE47F4"/>
    <w:rsid w:val="00CE4BA7"/>
    <w:rsid w:val="00CE4D21"/>
    <w:rsid w:val="00CE4EDE"/>
    <w:rsid w:val="00CE4F7A"/>
    <w:rsid w:val="00CE4FD2"/>
    <w:rsid w:val="00CE4FD9"/>
    <w:rsid w:val="00CE504F"/>
    <w:rsid w:val="00CE51AA"/>
    <w:rsid w:val="00CE5419"/>
    <w:rsid w:val="00CE5431"/>
    <w:rsid w:val="00CE565F"/>
    <w:rsid w:val="00CE5AAA"/>
    <w:rsid w:val="00CE5ACD"/>
    <w:rsid w:val="00CE5BF8"/>
    <w:rsid w:val="00CE667C"/>
    <w:rsid w:val="00CE66E7"/>
    <w:rsid w:val="00CE6713"/>
    <w:rsid w:val="00CE69B5"/>
    <w:rsid w:val="00CE6DB0"/>
    <w:rsid w:val="00CE6E36"/>
    <w:rsid w:val="00CE709D"/>
    <w:rsid w:val="00CE70EA"/>
    <w:rsid w:val="00CE71CE"/>
    <w:rsid w:val="00CE725F"/>
    <w:rsid w:val="00CE745C"/>
    <w:rsid w:val="00CE794B"/>
    <w:rsid w:val="00CE7D44"/>
    <w:rsid w:val="00CE7EA2"/>
    <w:rsid w:val="00CE7FB0"/>
    <w:rsid w:val="00CF014B"/>
    <w:rsid w:val="00CF078C"/>
    <w:rsid w:val="00CF0B5E"/>
    <w:rsid w:val="00CF0EC1"/>
    <w:rsid w:val="00CF0F4E"/>
    <w:rsid w:val="00CF0F77"/>
    <w:rsid w:val="00CF120F"/>
    <w:rsid w:val="00CF128C"/>
    <w:rsid w:val="00CF129F"/>
    <w:rsid w:val="00CF12D6"/>
    <w:rsid w:val="00CF13FE"/>
    <w:rsid w:val="00CF142E"/>
    <w:rsid w:val="00CF15EE"/>
    <w:rsid w:val="00CF1729"/>
    <w:rsid w:val="00CF1FE8"/>
    <w:rsid w:val="00CF2577"/>
    <w:rsid w:val="00CF28AF"/>
    <w:rsid w:val="00CF2B38"/>
    <w:rsid w:val="00CF2B64"/>
    <w:rsid w:val="00CF2B6D"/>
    <w:rsid w:val="00CF2C33"/>
    <w:rsid w:val="00CF2C99"/>
    <w:rsid w:val="00CF2FDC"/>
    <w:rsid w:val="00CF310D"/>
    <w:rsid w:val="00CF31A0"/>
    <w:rsid w:val="00CF3218"/>
    <w:rsid w:val="00CF3333"/>
    <w:rsid w:val="00CF3512"/>
    <w:rsid w:val="00CF3582"/>
    <w:rsid w:val="00CF3589"/>
    <w:rsid w:val="00CF3671"/>
    <w:rsid w:val="00CF36E4"/>
    <w:rsid w:val="00CF3720"/>
    <w:rsid w:val="00CF38FC"/>
    <w:rsid w:val="00CF3977"/>
    <w:rsid w:val="00CF3A2C"/>
    <w:rsid w:val="00CF3B38"/>
    <w:rsid w:val="00CF3E39"/>
    <w:rsid w:val="00CF3EC3"/>
    <w:rsid w:val="00CF402C"/>
    <w:rsid w:val="00CF42C2"/>
    <w:rsid w:val="00CF4497"/>
    <w:rsid w:val="00CF46AB"/>
    <w:rsid w:val="00CF4705"/>
    <w:rsid w:val="00CF493C"/>
    <w:rsid w:val="00CF4B4C"/>
    <w:rsid w:val="00CF4C74"/>
    <w:rsid w:val="00CF4DCA"/>
    <w:rsid w:val="00CF4E49"/>
    <w:rsid w:val="00CF506D"/>
    <w:rsid w:val="00CF5166"/>
    <w:rsid w:val="00CF5474"/>
    <w:rsid w:val="00CF5662"/>
    <w:rsid w:val="00CF56F3"/>
    <w:rsid w:val="00CF5A17"/>
    <w:rsid w:val="00CF5D05"/>
    <w:rsid w:val="00CF5FA8"/>
    <w:rsid w:val="00CF617D"/>
    <w:rsid w:val="00CF6280"/>
    <w:rsid w:val="00CF6448"/>
    <w:rsid w:val="00CF6498"/>
    <w:rsid w:val="00CF64B2"/>
    <w:rsid w:val="00CF64B3"/>
    <w:rsid w:val="00CF68F9"/>
    <w:rsid w:val="00CF698F"/>
    <w:rsid w:val="00CF70DD"/>
    <w:rsid w:val="00CF713C"/>
    <w:rsid w:val="00CF714F"/>
    <w:rsid w:val="00CF765C"/>
    <w:rsid w:val="00CF78D7"/>
    <w:rsid w:val="00CF7B2A"/>
    <w:rsid w:val="00CF7BBB"/>
    <w:rsid w:val="00CF7D2C"/>
    <w:rsid w:val="00CF7EB6"/>
    <w:rsid w:val="00CF7EC9"/>
    <w:rsid w:val="00D00036"/>
    <w:rsid w:val="00D000CC"/>
    <w:rsid w:val="00D0039F"/>
    <w:rsid w:val="00D0048B"/>
    <w:rsid w:val="00D004AE"/>
    <w:rsid w:val="00D0079F"/>
    <w:rsid w:val="00D007D2"/>
    <w:rsid w:val="00D00834"/>
    <w:rsid w:val="00D00BA3"/>
    <w:rsid w:val="00D00CFC"/>
    <w:rsid w:val="00D01180"/>
    <w:rsid w:val="00D014D9"/>
    <w:rsid w:val="00D0158F"/>
    <w:rsid w:val="00D01859"/>
    <w:rsid w:val="00D018B2"/>
    <w:rsid w:val="00D019EC"/>
    <w:rsid w:val="00D01B48"/>
    <w:rsid w:val="00D01DD3"/>
    <w:rsid w:val="00D01E17"/>
    <w:rsid w:val="00D01E55"/>
    <w:rsid w:val="00D02020"/>
    <w:rsid w:val="00D02416"/>
    <w:rsid w:val="00D026C7"/>
    <w:rsid w:val="00D026CF"/>
    <w:rsid w:val="00D02732"/>
    <w:rsid w:val="00D02817"/>
    <w:rsid w:val="00D02A00"/>
    <w:rsid w:val="00D02FAA"/>
    <w:rsid w:val="00D03029"/>
    <w:rsid w:val="00D03115"/>
    <w:rsid w:val="00D032A3"/>
    <w:rsid w:val="00D03705"/>
    <w:rsid w:val="00D03D12"/>
    <w:rsid w:val="00D03ED4"/>
    <w:rsid w:val="00D043AE"/>
    <w:rsid w:val="00D04ACB"/>
    <w:rsid w:val="00D04D4D"/>
    <w:rsid w:val="00D05413"/>
    <w:rsid w:val="00D0547E"/>
    <w:rsid w:val="00D0549B"/>
    <w:rsid w:val="00D05679"/>
    <w:rsid w:val="00D05863"/>
    <w:rsid w:val="00D05C7A"/>
    <w:rsid w:val="00D06097"/>
    <w:rsid w:val="00D060CA"/>
    <w:rsid w:val="00D060E4"/>
    <w:rsid w:val="00D0621D"/>
    <w:rsid w:val="00D06508"/>
    <w:rsid w:val="00D067A2"/>
    <w:rsid w:val="00D069EF"/>
    <w:rsid w:val="00D06A76"/>
    <w:rsid w:val="00D06B13"/>
    <w:rsid w:val="00D06C8D"/>
    <w:rsid w:val="00D06D10"/>
    <w:rsid w:val="00D06D4A"/>
    <w:rsid w:val="00D07371"/>
    <w:rsid w:val="00D075BB"/>
    <w:rsid w:val="00D078EB"/>
    <w:rsid w:val="00D07A86"/>
    <w:rsid w:val="00D07A8A"/>
    <w:rsid w:val="00D07C55"/>
    <w:rsid w:val="00D07CF4"/>
    <w:rsid w:val="00D07D90"/>
    <w:rsid w:val="00D07EEF"/>
    <w:rsid w:val="00D07F47"/>
    <w:rsid w:val="00D10337"/>
    <w:rsid w:val="00D10890"/>
    <w:rsid w:val="00D10E67"/>
    <w:rsid w:val="00D10EFE"/>
    <w:rsid w:val="00D11390"/>
    <w:rsid w:val="00D114D0"/>
    <w:rsid w:val="00D11570"/>
    <w:rsid w:val="00D117A9"/>
    <w:rsid w:val="00D1183B"/>
    <w:rsid w:val="00D118A7"/>
    <w:rsid w:val="00D11954"/>
    <w:rsid w:val="00D119FA"/>
    <w:rsid w:val="00D11B67"/>
    <w:rsid w:val="00D11CFC"/>
    <w:rsid w:val="00D11D8C"/>
    <w:rsid w:val="00D12019"/>
    <w:rsid w:val="00D1220E"/>
    <w:rsid w:val="00D12319"/>
    <w:rsid w:val="00D1233F"/>
    <w:rsid w:val="00D12675"/>
    <w:rsid w:val="00D1275B"/>
    <w:rsid w:val="00D1277C"/>
    <w:rsid w:val="00D12E2A"/>
    <w:rsid w:val="00D1365A"/>
    <w:rsid w:val="00D13840"/>
    <w:rsid w:val="00D13AE2"/>
    <w:rsid w:val="00D13CE3"/>
    <w:rsid w:val="00D14149"/>
    <w:rsid w:val="00D1434E"/>
    <w:rsid w:val="00D14413"/>
    <w:rsid w:val="00D144DB"/>
    <w:rsid w:val="00D1457A"/>
    <w:rsid w:val="00D145C1"/>
    <w:rsid w:val="00D14CD1"/>
    <w:rsid w:val="00D14CF4"/>
    <w:rsid w:val="00D14F10"/>
    <w:rsid w:val="00D15068"/>
    <w:rsid w:val="00D150C0"/>
    <w:rsid w:val="00D151F9"/>
    <w:rsid w:val="00D15481"/>
    <w:rsid w:val="00D15797"/>
    <w:rsid w:val="00D157B9"/>
    <w:rsid w:val="00D15821"/>
    <w:rsid w:val="00D15897"/>
    <w:rsid w:val="00D15990"/>
    <w:rsid w:val="00D15D04"/>
    <w:rsid w:val="00D163DE"/>
    <w:rsid w:val="00D16471"/>
    <w:rsid w:val="00D164E6"/>
    <w:rsid w:val="00D164EF"/>
    <w:rsid w:val="00D1653C"/>
    <w:rsid w:val="00D1670C"/>
    <w:rsid w:val="00D1696E"/>
    <w:rsid w:val="00D16E53"/>
    <w:rsid w:val="00D16FFF"/>
    <w:rsid w:val="00D170FC"/>
    <w:rsid w:val="00D177AF"/>
    <w:rsid w:val="00D17BD9"/>
    <w:rsid w:val="00D17C33"/>
    <w:rsid w:val="00D17D61"/>
    <w:rsid w:val="00D17DC8"/>
    <w:rsid w:val="00D17E11"/>
    <w:rsid w:val="00D17EAD"/>
    <w:rsid w:val="00D17F1C"/>
    <w:rsid w:val="00D17FAF"/>
    <w:rsid w:val="00D202AE"/>
    <w:rsid w:val="00D20328"/>
    <w:rsid w:val="00D2034A"/>
    <w:rsid w:val="00D203E0"/>
    <w:rsid w:val="00D20523"/>
    <w:rsid w:val="00D2076A"/>
    <w:rsid w:val="00D2097F"/>
    <w:rsid w:val="00D20ED1"/>
    <w:rsid w:val="00D2123D"/>
    <w:rsid w:val="00D21253"/>
    <w:rsid w:val="00D215B0"/>
    <w:rsid w:val="00D216DB"/>
    <w:rsid w:val="00D21A29"/>
    <w:rsid w:val="00D21B36"/>
    <w:rsid w:val="00D21EEC"/>
    <w:rsid w:val="00D2251B"/>
    <w:rsid w:val="00D22814"/>
    <w:rsid w:val="00D228A6"/>
    <w:rsid w:val="00D228B0"/>
    <w:rsid w:val="00D22942"/>
    <w:rsid w:val="00D22D55"/>
    <w:rsid w:val="00D22D56"/>
    <w:rsid w:val="00D2308B"/>
    <w:rsid w:val="00D231D9"/>
    <w:rsid w:val="00D2327C"/>
    <w:rsid w:val="00D23608"/>
    <w:rsid w:val="00D23E6B"/>
    <w:rsid w:val="00D23EA5"/>
    <w:rsid w:val="00D23FD1"/>
    <w:rsid w:val="00D243EB"/>
    <w:rsid w:val="00D24492"/>
    <w:rsid w:val="00D24782"/>
    <w:rsid w:val="00D2487B"/>
    <w:rsid w:val="00D24A69"/>
    <w:rsid w:val="00D24B18"/>
    <w:rsid w:val="00D24B79"/>
    <w:rsid w:val="00D2521F"/>
    <w:rsid w:val="00D25536"/>
    <w:rsid w:val="00D25CCD"/>
    <w:rsid w:val="00D25E9E"/>
    <w:rsid w:val="00D263E9"/>
    <w:rsid w:val="00D26470"/>
    <w:rsid w:val="00D265F3"/>
    <w:rsid w:val="00D26AEB"/>
    <w:rsid w:val="00D26CC7"/>
    <w:rsid w:val="00D26F14"/>
    <w:rsid w:val="00D27030"/>
    <w:rsid w:val="00D270E4"/>
    <w:rsid w:val="00D275CD"/>
    <w:rsid w:val="00D2764F"/>
    <w:rsid w:val="00D27A0B"/>
    <w:rsid w:val="00D27AAD"/>
    <w:rsid w:val="00D27ED2"/>
    <w:rsid w:val="00D27FB6"/>
    <w:rsid w:val="00D27FDA"/>
    <w:rsid w:val="00D30069"/>
    <w:rsid w:val="00D300F2"/>
    <w:rsid w:val="00D30249"/>
    <w:rsid w:val="00D305AA"/>
    <w:rsid w:val="00D30630"/>
    <w:rsid w:val="00D306D1"/>
    <w:rsid w:val="00D306E2"/>
    <w:rsid w:val="00D30D3E"/>
    <w:rsid w:val="00D30D56"/>
    <w:rsid w:val="00D30D60"/>
    <w:rsid w:val="00D30EFA"/>
    <w:rsid w:val="00D30FF5"/>
    <w:rsid w:val="00D310E6"/>
    <w:rsid w:val="00D311C6"/>
    <w:rsid w:val="00D31237"/>
    <w:rsid w:val="00D3146B"/>
    <w:rsid w:val="00D317B9"/>
    <w:rsid w:val="00D31F13"/>
    <w:rsid w:val="00D321DF"/>
    <w:rsid w:val="00D325D3"/>
    <w:rsid w:val="00D3264A"/>
    <w:rsid w:val="00D3266A"/>
    <w:rsid w:val="00D32D05"/>
    <w:rsid w:val="00D32D73"/>
    <w:rsid w:val="00D32DC8"/>
    <w:rsid w:val="00D33054"/>
    <w:rsid w:val="00D334CA"/>
    <w:rsid w:val="00D335AD"/>
    <w:rsid w:val="00D3386E"/>
    <w:rsid w:val="00D33AC9"/>
    <w:rsid w:val="00D33C43"/>
    <w:rsid w:val="00D34266"/>
    <w:rsid w:val="00D342CD"/>
    <w:rsid w:val="00D3431A"/>
    <w:rsid w:val="00D34664"/>
    <w:rsid w:val="00D3466F"/>
    <w:rsid w:val="00D34732"/>
    <w:rsid w:val="00D347EC"/>
    <w:rsid w:val="00D3490F"/>
    <w:rsid w:val="00D34A70"/>
    <w:rsid w:val="00D34AE0"/>
    <w:rsid w:val="00D34BE8"/>
    <w:rsid w:val="00D34D6C"/>
    <w:rsid w:val="00D34F8F"/>
    <w:rsid w:val="00D3518C"/>
    <w:rsid w:val="00D35302"/>
    <w:rsid w:val="00D35359"/>
    <w:rsid w:val="00D356D2"/>
    <w:rsid w:val="00D357CF"/>
    <w:rsid w:val="00D35BFF"/>
    <w:rsid w:val="00D35D02"/>
    <w:rsid w:val="00D35EB1"/>
    <w:rsid w:val="00D3656F"/>
    <w:rsid w:val="00D3681F"/>
    <w:rsid w:val="00D3695C"/>
    <w:rsid w:val="00D369E3"/>
    <w:rsid w:val="00D371B8"/>
    <w:rsid w:val="00D3723D"/>
    <w:rsid w:val="00D3727F"/>
    <w:rsid w:val="00D37288"/>
    <w:rsid w:val="00D372B0"/>
    <w:rsid w:val="00D37327"/>
    <w:rsid w:val="00D3769E"/>
    <w:rsid w:val="00D377C6"/>
    <w:rsid w:val="00D37A3C"/>
    <w:rsid w:val="00D37A46"/>
    <w:rsid w:val="00D37AF4"/>
    <w:rsid w:val="00D37B14"/>
    <w:rsid w:val="00D37C02"/>
    <w:rsid w:val="00D40282"/>
    <w:rsid w:val="00D40418"/>
    <w:rsid w:val="00D404B7"/>
    <w:rsid w:val="00D4057A"/>
    <w:rsid w:val="00D40608"/>
    <w:rsid w:val="00D40689"/>
    <w:rsid w:val="00D40869"/>
    <w:rsid w:val="00D4088E"/>
    <w:rsid w:val="00D40B47"/>
    <w:rsid w:val="00D40D8F"/>
    <w:rsid w:val="00D40F2B"/>
    <w:rsid w:val="00D41311"/>
    <w:rsid w:val="00D41626"/>
    <w:rsid w:val="00D4164D"/>
    <w:rsid w:val="00D41A11"/>
    <w:rsid w:val="00D41A29"/>
    <w:rsid w:val="00D41AEC"/>
    <w:rsid w:val="00D41CF8"/>
    <w:rsid w:val="00D41E4F"/>
    <w:rsid w:val="00D41EC2"/>
    <w:rsid w:val="00D41F01"/>
    <w:rsid w:val="00D41F28"/>
    <w:rsid w:val="00D42297"/>
    <w:rsid w:val="00D4254A"/>
    <w:rsid w:val="00D4277B"/>
    <w:rsid w:val="00D428D0"/>
    <w:rsid w:val="00D42AF7"/>
    <w:rsid w:val="00D42B59"/>
    <w:rsid w:val="00D42BB6"/>
    <w:rsid w:val="00D42EF8"/>
    <w:rsid w:val="00D4325C"/>
    <w:rsid w:val="00D433BA"/>
    <w:rsid w:val="00D43829"/>
    <w:rsid w:val="00D438EE"/>
    <w:rsid w:val="00D439CE"/>
    <w:rsid w:val="00D43B0C"/>
    <w:rsid w:val="00D43E35"/>
    <w:rsid w:val="00D44087"/>
    <w:rsid w:val="00D44525"/>
    <w:rsid w:val="00D446CD"/>
    <w:rsid w:val="00D44723"/>
    <w:rsid w:val="00D447A3"/>
    <w:rsid w:val="00D449AE"/>
    <w:rsid w:val="00D449ED"/>
    <w:rsid w:val="00D44C78"/>
    <w:rsid w:val="00D44CFD"/>
    <w:rsid w:val="00D44D51"/>
    <w:rsid w:val="00D44D91"/>
    <w:rsid w:val="00D44F18"/>
    <w:rsid w:val="00D450AB"/>
    <w:rsid w:val="00D45133"/>
    <w:rsid w:val="00D45234"/>
    <w:rsid w:val="00D454B6"/>
    <w:rsid w:val="00D45507"/>
    <w:rsid w:val="00D4563F"/>
    <w:rsid w:val="00D45645"/>
    <w:rsid w:val="00D45694"/>
    <w:rsid w:val="00D4573E"/>
    <w:rsid w:val="00D4583F"/>
    <w:rsid w:val="00D45905"/>
    <w:rsid w:val="00D459C8"/>
    <w:rsid w:val="00D45D48"/>
    <w:rsid w:val="00D45DD6"/>
    <w:rsid w:val="00D45FC6"/>
    <w:rsid w:val="00D46151"/>
    <w:rsid w:val="00D466D5"/>
    <w:rsid w:val="00D4679B"/>
    <w:rsid w:val="00D46896"/>
    <w:rsid w:val="00D4698C"/>
    <w:rsid w:val="00D46C82"/>
    <w:rsid w:val="00D46C9B"/>
    <w:rsid w:val="00D46D45"/>
    <w:rsid w:val="00D470A5"/>
    <w:rsid w:val="00D470F8"/>
    <w:rsid w:val="00D47102"/>
    <w:rsid w:val="00D471DD"/>
    <w:rsid w:val="00D47488"/>
    <w:rsid w:val="00D47587"/>
    <w:rsid w:val="00D478EF"/>
    <w:rsid w:val="00D47D98"/>
    <w:rsid w:val="00D50101"/>
    <w:rsid w:val="00D50277"/>
    <w:rsid w:val="00D5033E"/>
    <w:rsid w:val="00D50533"/>
    <w:rsid w:val="00D5073E"/>
    <w:rsid w:val="00D50816"/>
    <w:rsid w:val="00D50A35"/>
    <w:rsid w:val="00D50A43"/>
    <w:rsid w:val="00D50BAE"/>
    <w:rsid w:val="00D50F30"/>
    <w:rsid w:val="00D51074"/>
    <w:rsid w:val="00D51137"/>
    <w:rsid w:val="00D5151A"/>
    <w:rsid w:val="00D5188A"/>
    <w:rsid w:val="00D5191D"/>
    <w:rsid w:val="00D5197E"/>
    <w:rsid w:val="00D51AA5"/>
    <w:rsid w:val="00D51E1F"/>
    <w:rsid w:val="00D51E2D"/>
    <w:rsid w:val="00D51E7D"/>
    <w:rsid w:val="00D5201A"/>
    <w:rsid w:val="00D52060"/>
    <w:rsid w:val="00D521FC"/>
    <w:rsid w:val="00D522D8"/>
    <w:rsid w:val="00D523C4"/>
    <w:rsid w:val="00D5260F"/>
    <w:rsid w:val="00D52679"/>
    <w:rsid w:val="00D52AFF"/>
    <w:rsid w:val="00D52EA9"/>
    <w:rsid w:val="00D52F85"/>
    <w:rsid w:val="00D5353F"/>
    <w:rsid w:val="00D53605"/>
    <w:rsid w:val="00D53627"/>
    <w:rsid w:val="00D53A41"/>
    <w:rsid w:val="00D53AE5"/>
    <w:rsid w:val="00D53BCF"/>
    <w:rsid w:val="00D53E85"/>
    <w:rsid w:val="00D53FCC"/>
    <w:rsid w:val="00D542FA"/>
    <w:rsid w:val="00D54578"/>
    <w:rsid w:val="00D545B6"/>
    <w:rsid w:val="00D54D44"/>
    <w:rsid w:val="00D54E5B"/>
    <w:rsid w:val="00D54F5F"/>
    <w:rsid w:val="00D553BB"/>
    <w:rsid w:val="00D555AB"/>
    <w:rsid w:val="00D5587B"/>
    <w:rsid w:val="00D55AD0"/>
    <w:rsid w:val="00D55C14"/>
    <w:rsid w:val="00D55CFB"/>
    <w:rsid w:val="00D55DB9"/>
    <w:rsid w:val="00D562F4"/>
    <w:rsid w:val="00D56476"/>
    <w:rsid w:val="00D56930"/>
    <w:rsid w:val="00D56953"/>
    <w:rsid w:val="00D5698F"/>
    <w:rsid w:val="00D56C58"/>
    <w:rsid w:val="00D56C87"/>
    <w:rsid w:val="00D57367"/>
    <w:rsid w:val="00D573D9"/>
    <w:rsid w:val="00D5747D"/>
    <w:rsid w:val="00D57492"/>
    <w:rsid w:val="00D5779A"/>
    <w:rsid w:val="00D57802"/>
    <w:rsid w:val="00D57B19"/>
    <w:rsid w:val="00D57C17"/>
    <w:rsid w:val="00D57CE9"/>
    <w:rsid w:val="00D57EDA"/>
    <w:rsid w:val="00D600A5"/>
    <w:rsid w:val="00D6021A"/>
    <w:rsid w:val="00D60250"/>
    <w:rsid w:val="00D6053E"/>
    <w:rsid w:val="00D6083A"/>
    <w:rsid w:val="00D609C7"/>
    <w:rsid w:val="00D60A9E"/>
    <w:rsid w:val="00D60B4D"/>
    <w:rsid w:val="00D60C7E"/>
    <w:rsid w:val="00D60D5F"/>
    <w:rsid w:val="00D60EA7"/>
    <w:rsid w:val="00D6138D"/>
    <w:rsid w:val="00D615C9"/>
    <w:rsid w:val="00D61743"/>
    <w:rsid w:val="00D61866"/>
    <w:rsid w:val="00D618B6"/>
    <w:rsid w:val="00D61B60"/>
    <w:rsid w:val="00D61D37"/>
    <w:rsid w:val="00D61E23"/>
    <w:rsid w:val="00D62505"/>
    <w:rsid w:val="00D626E9"/>
    <w:rsid w:val="00D62AA0"/>
    <w:rsid w:val="00D62D5F"/>
    <w:rsid w:val="00D62F01"/>
    <w:rsid w:val="00D63112"/>
    <w:rsid w:val="00D6321C"/>
    <w:rsid w:val="00D63490"/>
    <w:rsid w:val="00D6358B"/>
    <w:rsid w:val="00D63C5A"/>
    <w:rsid w:val="00D63E8F"/>
    <w:rsid w:val="00D63FAE"/>
    <w:rsid w:val="00D64267"/>
    <w:rsid w:val="00D6426C"/>
    <w:rsid w:val="00D6428C"/>
    <w:rsid w:val="00D64B72"/>
    <w:rsid w:val="00D64F83"/>
    <w:rsid w:val="00D65303"/>
    <w:rsid w:val="00D65439"/>
    <w:rsid w:val="00D654E2"/>
    <w:rsid w:val="00D654E9"/>
    <w:rsid w:val="00D65677"/>
    <w:rsid w:val="00D65C7A"/>
    <w:rsid w:val="00D65D3F"/>
    <w:rsid w:val="00D660D5"/>
    <w:rsid w:val="00D665A9"/>
    <w:rsid w:val="00D66B13"/>
    <w:rsid w:val="00D66D0D"/>
    <w:rsid w:val="00D66EEC"/>
    <w:rsid w:val="00D66F7A"/>
    <w:rsid w:val="00D66FF4"/>
    <w:rsid w:val="00D671B3"/>
    <w:rsid w:val="00D67327"/>
    <w:rsid w:val="00D67566"/>
    <w:rsid w:val="00D676CB"/>
    <w:rsid w:val="00D67745"/>
    <w:rsid w:val="00D67BA7"/>
    <w:rsid w:val="00D67DF0"/>
    <w:rsid w:val="00D70112"/>
    <w:rsid w:val="00D70202"/>
    <w:rsid w:val="00D70A1C"/>
    <w:rsid w:val="00D70D87"/>
    <w:rsid w:val="00D70DBF"/>
    <w:rsid w:val="00D70DF4"/>
    <w:rsid w:val="00D70EC1"/>
    <w:rsid w:val="00D70F21"/>
    <w:rsid w:val="00D70F5F"/>
    <w:rsid w:val="00D7126B"/>
    <w:rsid w:val="00D7132B"/>
    <w:rsid w:val="00D7175C"/>
    <w:rsid w:val="00D71790"/>
    <w:rsid w:val="00D71A46"/>
    <w:rsid w:val="00D71D37"/>
    <w:rsid w:val="00D71EAF"/>
    <w:rsid w:val="00D71FB8"/>
    <w:rsid w:val="00D72000"/>
    <w:rsid w:val="00D720C6"/>
    <w:rsid w:val="00D721BB"/>
    <w:rsid w:val="00D722D2"/>
    <w:rsid w:val="00D72488"/>
    <w:rsid w:val="00D72B91"/>
    <w:rsid w:val="00D72BAD"/>
    <w:rsid w:val="00D72DF0"/>
    <w:rsid w:val="00D734ED"/>
    <w:rsid w:val="00D73922"/>
    <w:rsid w:val="00D739F0"/>
    <w:rsid w:val="00D73B24"/>
    <w:rsid w:val="00D73B51"/>
    <w:rsid w:val="00D73BC1"/>
    <w:rsid w:val="00D73BD7"/>
    <w:rsid w:val="00D73CCB"/>
    <w:rsid w:val="00D73E35"/>
    <w:rsid w:val="00D73E90"/>
    <w:rsid w:val="00D73EF9"/>
    <w:rsid w:val="00D73FCE"/>
    <w:rsid w:val="00D74761"/>
    <w:rsid w:val="00D74C1A"/>
    <w:rsid w:val="00D74F0C"/>
    <w:rsid w:val="00D7501A"/>
    <w:rsid w:val="00D7504B"/>
    <w:rsid w:val="00D75366"/>
    <w:rsid w:val="00D75541"/>
    <w:rsid w:val="00D757C7"/>
    <w:rsid w:val="00D75BB3"/>
    <w:rsid w:val="00D75D6B"/>
    <w:rsid w:val="00D75E99"/>
    <w:rsid w:val="00D75FC4"/>
    <w:rsid w:val="00D76045"/>
    <w:rsid w:val="00D76382"/>
    <w:rsid w:val="00D76471"/>
    <w:rsid w:val="00D76589"/>
    <w:rsid w:val="00D7659A"/>
    <w:rsid w:val="00D76762"/>
    <w:rsid w:val="00D76ACB"/>
    <w:rsid w:val="00D76EF3"/>
    <w:rsid w:val="00D7717D"/>
    <w:rsid w:val="00D77456"/>
    <w:rsid w:val="00D77525"/>
    <w:rsid w:val="00D77609"/>
    <w:rsid w:val="00D77631"/>
    <w:rsid w:val="00D776F4"/>
    <w:rsid w:val="00D7770B"/>
    <w:rsid w:val="00D77806"/>
    <w:rsid w:val="00D7783D"/>
    <w:rsid w:val="00D778E4"/>
    <w:rsid w:val="00D77926"/>
    <w:rsid w:val="00D77B55"/>
    <w:rsid w:val="00D77BA4"/>
    <w:rsid w:val="00D77C17"/>
    <w:rsid w:val="00D77E2F"/>
    <w:rsid w:val="00D803A1"/>
    <w:rsid w:val="00D803DA"/>
    <w:rsid w:val="00D803F1"/>
    <w:rsid w:val="00D8054A"/>
    <w:rsid w:val="00D80584"/>
    <w:rsid w:val="00D80932"/>
    <w:rsid w:val="00D80A92"/>
    <w:rsid w:val="00D80BC0"/>
    <w:rsid w:val="00D80D42"/>
    <w:rsid w:val="00D812AB"/>
    <w:rsid w:val="00D81477"/>
    <w:rsid w:val="00D81550"/>
    <w:rsid w:val="00D81594"/>
    <w:rsid w:val="00D81692"/>
    <w:rsid w:val="00D8172E"/>
    <w:rsid w:val="00D817FE"/>
    <w:rsid w:val="00D81871"/>
    <w:rsid w:val="00D81BB5"/>
    <w:rsid w:val="00D81C4D"/>
    <w:rsid w:val="00D82087"/>
    <w:rsid w:val="00D82148"/>
    <w:rsid w:val="00D82272"/>
    <w:rsid w:val="00D822CF"/>
    <w:rsid w:val="00D825FF"/>
    <w:rsid w:val="00D826E8"/>
    <w:rsid w:val="00D82936"/>
    <w:rsid w:val="00D829CB"/>
    <w:rsid w:val="00D829D8"/>
    <w:rsid w:val="00D82BD9"/>
    <w:rsid w:val="00D82E14"/>
    <w:rsid w:val="00D82E64"/>
    <w:rsid w:val="00D8305D"/>
    <w:rsid w:val="00D830BE"/>
    <w:rsid w:val="00D83178"/>
    <w:rsid w:val="00D83321"/>
    <w:rsid w:val="00D8337F"/>
    <w:rsid w:val="00D836C7"/>
    <w:rsid w:val="00D83743"/>
    <w:rsid w:val="00D83841"/>
    <w:rsid w:val="00D838D2"/>
    <w:rsid w:val="00D83940"/>
    <w:rsid w:val="00D83D1D"/>
    <w:rsid w:val="00D83E44"/>
    <w:rsid w:val="00D83F23"/>
    <w:rsid w:val="00D84183"/>
    <w:rsid w:val="00D842E6"/>
    <w:rsid w:val="00D8438A"/>
    <w:rsid w:val="00D845F8"/>
    <w:rsid w:val="00D84877"/>
    <w:rsid w:val="00D84ADE"/>
    <w:rsid w:val="00D84C3C"/>
    <w:rsid w:val="00D84E70"/>
    <w:rsid w:val="00D851A8"/>
    <w:rsid w:val="00D8530C"/>
    <w:rsid w:val="00D8553A"/>
    <w:rsid w:val="00D85843"/>
    <w:rsid w:val="00D85AD8"/>
    <w:rsid w:val="00D85E21"/>
    <w:rsid w:val="00D85EF0"/>
    <w:rsid w:val="00D8622D"/>
    <w:rsid w:val="00D8632E"/>
    <w:rsid w:val="00D865B2"/>
    <w:rsid w:val="00D8681C"/>
    <w:rsid w:val="00D86974"/>
    <w:rsid w:val="00D86B79"/>
    <w:rsid w:val="00D86BBD"/>
    <w:rsid w:val="00D86C32"/>
    <w:rsid w:val="00D86DCC"/>
    <w:rsid w:val="00D86E43"/>
    <w:rsid w:val="00D86FE2"/>
    <w:rsid w:val="00D8705B"/>
    <w:rsid w:val="00D8727C"/>
    <w:rsid w:val="00D87409"/>
    <w:rsid w:val="00D87496"/>
    <w:rsid w:val="00D8757F"/>
    <w:rsid w:val="00D87728"/>
    <w:rsid w:val="00D8784E"/>
    <w:rsid w:val="00D87978"/>
    <w:rsid w:val="00D879C6"/>
    <w:rsid w:val="00D879EB"/>
    <w:rsid w:val="00D87D29"/>
    <w:rsid w:val="00D87D5B"/>
    <w:rsid w:val="00D87F28"/>
    <w:rsid w:val="00D87F7E"/>
    <w:rsid w:val="00D90013"/>
    <w:rsid w:val="00D9013F"/>
    <w:rsid w:val="00D90344"/>
    <w:rsid w:val="00D903B1"/>
    <w:rsid w:val="00D9054F"/>
    <w:rsid w:val="00D9066D"/>
    <w:rsid w:val="00D90708"/>
    <w:rsid w:val="00D90881"/>
    <w:rsid w:val="00D90EEC"/>
    <w:rsid w:val="00D910E9"/>
    <w:rsid w:val="00D913F8"/>
    <w:rsid w:val="00D91614"/>
    <w:rsid w:val="00D916AE"/>
    <w:rsid w:val="00D91DB5"/>
    <w:rsid w:val="00D91E6A"/>
    <w:rsid w:val="00D91EC0"/>
    <w:rsid w:val="00D921A3"/>
    <w:rsid w:val="00D922DE"/>
    <w:rsid w:val="00D92421"/>
    <w:rsid w:val="00D9274E"/>
    <w:rsid w:val="00D92761"/>
    <w:rsid w:val="00D928C4"/>
    <w:rsid w:val="00D92A10"/>
    <w:rsid w:val="00D92A1E"/>
    <w:rsid w:val="00D92A24"/>
    <w:rsid w:val="00D92B46"/>
    <w:rsid w:val="00D92CD7"/>
    <w:rsid w:val="00D92CDE"/>
    <w:rsid w:val="00D92FDF"/>
    <w:rsid w:val="00D93080"/>
    <w:rsid w:val="00D93303"/>
    <w:rsid w:val="00D93474"/>
    <w:rsid w:val="00D93A88"/>
    <w:rsid w:val="00D93BAD"/>
    <w:rsid w:val="00D93BC3"/>
    <w:rsid w:val="00D93C07"/>
    <w:rsid w:val="00D93C61"/>
    <w:rsid w:val="00D94232"/>
    <w:rsid w:val="00D94424"/>
    <w:rsid w:val="00D944A7"/>
    <w:rsid w:val="00D944EF"/>
    <w:rsid w:val="00D94860"/>
    <w:rsid w:val="00D94932"/>
    <w:rsid w:val="00D94AAC"/>
    <w:rsid w:val="00D94AF9"/>
    <w:rsid w:val="00D94BC4"/>
    <w:rsid w:val="00D94D76"/>
    <w:rsid w:val="00D94DDA"/>
    <w:rsid w:val="00D94E75"/>
    <w:rsid w:val="00D94EBE"/>
    <w:rsid w:val="00D94EC9"/>
    <w:rsid w:val="00D94F46"/>
    <w:rsid w:val="00D94F88"/>
    <w:rsid w:val="00D953EC"/>
    <w:rsid w:val="00D95499"/>
    <w:rsid w:val="00D95666"/>
    <w:rsid w:val="00D956A9"/>
    <w:rsid w:val="00D95751"/>
    <w:rsid w:val="00D95959"/>
    <w:rsid w:val="00D95C7B"/>
    <w:rsid w:val="00D95E46"/>
    <w:rsid w:val="00D95FAE"/>
    <w:rsid w:val="00D96134"/>
    <w:rsid w:val="00D96553"/>
    <w:rsid w:val="00D966D0"/>
    <w:rsid w:val="00D96719"/>
    <w:rsid w:val="00D9684F"/>
    <w:rsid w:val="00D96E07"/>
    <w:rsid w:val="00D971EE"/>
    <w:rsid w:val="00D9769F"/>
    <w:rsid w:val="00D978D9"/>
    <w:rsid w:val="00D97952"/>
    <w:rsid w:val="00D97B2C"/>
    <w:rsid w:val="00D97B96"/>
    <w:rsid w:val="00D97BF6"/>
    <w:rsid w:val="00D97C1E"/>
    <w:rsid w:val="00D97D46"/>
    <w:rsid w:val="00D97E7E"/>
    <w:rsid w:val="00D97FE9"/>
    <w:rsid w:val="00DA00BC"/>
    <w:rsid w:val="00DA01EB"/>
    <w:rsid w:val="00DA02B4"/>
    <w:rsid w:val="00DA0510"/>
    <w:rsid w:val="00DA07DB"/>
    <w:rsid w:val="00DA087A"/>
    <w:rsid w:val="00DA0C83"/>
    <w:rsid w:val="00DA0E6F"/>
    <w:rsid w:val="00DA0F0A"/>
    <w:rsid w:val="00DA0FBB"/>
    <w:rsid w:val="00DA10D0"/>
    <w:rsid w:val="00DA1412"/>
    <w:rsid w:val="00DA1767"/>
    <w:rsid w:val="00DA17BF"/>
    <w:rsid w:val="00DA190C"/>
    <w:rsid w:val="00DA1A9D"/>
    <w:rsid w:val="00DA1CC1"/>
    <w:rsid w:val="00DA1CE2"/>
    <w:rsid w:val="00DA1D9F"/>
    <w:rsid w:val="00DA1E64"/>
    <w:rsid w:val="00DA1F7D"/>
    <w:rsid w:val="00DA2572"/>
    <w:rsid w:val="00DA266B"/>
    <w:rsid w:val="00DA28F3"/>
    <w:rsid w:val="00DA2965"/>
    <w:rsid w:val="00DA2A17"/>
    <w:rsid w:val="00DA2A74"/>
    <w:rsid w:val="00DA2B09"/>
    <w:rsid w:val="00DA2CC3"/>
    <w:rsid w:val="00DA300F"/>
    <w:rsid w:val="00DA31B8"/>
    <w:rsid w:val="00DA329A"/>
    <w:rsid w:val="00DA35C2"/>
    <w:rsid w:val="00DA38BB"/>
    <w:rsid w:val="00DA399D"/>
    <w:rsid w:val="00DA3BF7"/>
    <w:rsid w:val="00DA3D55"/>
    <w:rsid w:val="00DA3D57"/>
    <w:rsid w:val="00DA3F05"/>
    <w:rsid w:val="00DA401A"/>
    <w:rsid w:val="00DA4351"/>
    <w:rsid w:val="00DA43BE"/>
    <w:rsid w:val="00DA43DE"/>
    <w:rsid w:val="00DA4401"/>
    <w:rsid w:val="00DA472B"/>
    <w:rsid w:val="00DA4AF9"/>
    <w:rsid w:val="00DA4EE0"/>
    <w:rsid w:val="00DA4F13"/>
    <w:rsid w:val="00DA52C5"/>
    <w:rsid w:val="00DA52F5"/>
    <w:rsid w:val="00DA5458"/>
    <w:rsid w:val="00DA5708"/>
    <w:rsid w:val="00DA57F4"/>
    <w:rsid w:val="00DA57FA"/>
    <w:rsid w:val="00DA592E"/>
    <w:rsid w:val="00DA59BB"/>
    <w:rsid w:val="00DA5C21"/>
    <w:rsid w:val="00DA624B"/>
    <w:rsid w:val="00DA6620"/>
    <w:rsid w:val="00DA678E"/>
    <w:rsid w:val="00DA68DB"/>
    <w:rsid w:val="00DA6948"/>
    <w:rsid w:val="00DA69AB"/>
    <w:rsid w:val="00DA6AC6"/>
    <w:rsid w:val="00DA6B13"/>
    <w:rsid w:val="00DA6BD1"/>
    <w:rsid w:val="00DA6C30"/>
    <w:rsid w:val="00DA6DC8"/>
    <w:rsid w:val="00DA6DEC"/>
    <w:rsid w:val="00DA6EE6"/>
    <w:rsid w:val="00DA70D8"/>
    <w:rsid w:val="00DA720E"/>
    <w:rsid w:val="00DA74A8"/>
    <w:rsid w:val="00DA75DF"/>
    <w:rsid w:val="00DA765C"/>
    <w:rsid w:val="00DA7AEB"/>
    <w:rsid w:val="00DA7BDE"/>
    <w:rsid w:val="00DA7CB2"/>
    <w:rsid w:val="00DA7FDA"/>
    <w:rsid w:val="00DB01A7"/>
    <w:rsid w:val="00DB0464"/>
    <w:rsid w:val="00DB0508"/>
    <w:rsid w:val="00DB0541"/>
    <w:rsid w:val="00DB06FB"/>
    <w:rsid w:val="00DB08D7"/>
    <w:rsid w:val="00DB0924"/>
    <w:rsid w:val="00DB0D93"/>
    <w:rsid w:val="00DB0F3F"/>
    <w:rsid w:val="00DB1034"/>
    <w:rsid w:val="00DB1115"/>
    <w:rsid w:val="00DB12E9"/>
    <w:rsid w:val="00DB1546"/>
    <w:rsid w:val="00DB17AC"/>
    <w:rsid w:val="00DB1CCF"/>
    <w:rsid w:val="00DB1DAD"/>
    <w:rsid w:val="00DB1E96"/>
    <w:rsid w:val="00DB1EC5"/>
    <w:rsid w:val="00DB20A2"/>
    <w:rsid w:val="00DB20B1"/>
    <w:rsid w:val="00DB29ED"/>
    <w:rsid w:val="00DB2A3B"/>
    <w:rsid w:val="00DB2AB1"/>
    <w:rsid w:val="00DB2B36"/>
    <w:rsid w:val="00DB2D43"/>
    <w:rsid w:val="00DB2DA9"/>
    <w:rsid w:val="00DB2EBB"/>
    <w:rsid w:val="00DB2F37"/>
    <w:rsid w:val="00DB3086"/>
    <w:rsid w:val="00DB31CA"/>
    <w:rsid w:val="00DB38A2"/>
    <w:rsid w:val="00DB3996"/>
    <w:rsid w:val="00DB3C82"/>
    <w:rsid w:val="00DB3E85"/>
    <w:rsid w:val="00DB3EAF"/>
    <w:rsid w:val="00DB3FB8"/>
    <w:rsid w:val="00DB4084"/>
    <w:rsid w:val="00DB4119"/>
    <w:rsid w:val="00DB42AF"/>
    <w:rsid w:val="00DB43CD"/>
    <w:rsid w:val="00DB444D"/>
    <w:rsid w:val="00DB4452"/>
    <w:rsid w:val="00DB452A"/>
    <w:rsid w:val="00DB4561"/>
    <w:rsid w:val="00DB4602"/>
    <w:rsid w:val="00DB4818"/>
    <w:rsid w:val="00DB484A"/>
    <w:rsid w:val="00DB4880"/>
    <w:rsid w:val="00DB4A4E"/>
    <w:rsid w:val="00DB5256"/>
    <w:rsid w:val="00DB54F6"/>
    <w:rsid w:val="00DB558B"/>
    <w:rsid w:val="00DB56A3"/>
    <w:rsid w:val="00DB57BF"/>
    <w:rsid w:val="00DB5A1E"/>
    <w:rsid w:val="00DB5BB2"/>
    <w:rsid w:val="00DB5DB8"/>
    <w:rsid w:val="00DB60CD"/>
    <w:rsid w:val="00DB61EE"/>
    <w:rsid w:val="00DB6348"/>
    <w:rsid w:val="00DB648D"/>
    <w:rsid w:val="00DB64D3"/>
    <w:rsid w:val="00DB651D"/>
    <w:rsid w:val="00DB6662"/>
    <w:rsid w:val="00DB6670"/>
    <w:rsid w:val="00DB6823"/>
    <w:rsid w:val="00DB6AAE"/>
    <w:rsid w:val="00DB6AB2"/>
    <w:rsid w:val="00DB6D43"/>
    <w:rsid w:val="00DB6EDA"/>
    <w:rsid w:val="00DB71D0"/>
    <w:rsid w:val="00DB7274"/>
    <w:rsid w:val="00DB7454"/>
    <w:rsid w:val="00DB7456"/>
    <w:rsid w:val="00DB7830"/>
    <w:rsid w:val="00DB7A3E"/>
    <w:rsid w:val="00DB7B7A"/>
    <w:rsid w:val="00DC044E"/>
    <w:rsid w:val="00DC0748"/>
    <w:rsid w:val="00DC08D8"/>
    <w:rsid w:val="00DC0A27"/>
    <w:rsid w:val="00DC0CE6"/>
    <w:rsid w:val="00DC0DD1"/>
    <w:rsid w:val="00DC0F1E"/>
    <w:rsid w:val="00DC1190"/>
    <w:rsid w:val="00DC13CE"/>
    <w:rsid w:val="00DC1431"/>
    <w:rsid w:val="00DC19A3"/>
    <w:rsid w:val="00DC1B6D"/>
    <w:rsid w:val="00DC1DA0"/>
    <w:rsid w:val="00DC21CF"/>
    <w:rsid w:val="00DC260D"/>
    <w:rsid w:val="00DC2764"/>
    <w:rsid w:val="00DC28D0"/>
    <w:rsid w:val="00DC2B43"/>
    <w:rsid w:val="00DC2D38"/>
    <w:rsid w:val="00DC3147"/>
    <w:rsid w:val="00DC3197"/>
    <w:rsid w:val="00DC31D4"/>
    <w:rsid w:val="00DC323F"/>
    <w:rsid w:val="00DC3520"/>
    <w:rsid w:val="00DC3646"/>
    <w:rsid w:val="00DC36A1"/>
    <w:rsid w:val="00DC3A5C"/>
    <w:rsid w:val="00DC3DA0"/>
    <w:rsid w:val="00DC3E60"/>
    <w:rsid w:val="00DC40C6"/>
    <w:rsid w:val="00DC4196"/>
    <w:rsid w:val="00DC4383"/>
    <w:rsid w:val="00DC4588"/>
    <w:rsid w:val="00DC45F0"/>
    <w:rsid w:val="00DC4698"/>
    <w:rsid w:val="00DC47E4"/>
    <w:rsid w:val="00DC48E5"/>
    <w:rsid w:val="00DC4908"/>
    <w:rsid w:val="00DC49CC"/>
    <w:rsid w:val="00DC49D9"/>
    <w:rsid w:val="00DC4D1B"/>
    <w:rsid w:val="00DC5051"/>
    <w:rsid w:val="00DC5150"/>
    <w:rsid w:val="00DC524D"/>
    <w:rsid w:val="00DC547E"/>
    <w:rsid w:val="00DC54F9"/>
    <w:rsid w:val="00DC572D"/>
    <w:rsid w:val="00DC583C"/>
    <w:rsid w:val="00DC5B2F"/>
    <w:rsid w:val="00DC5BBC"/>
    <w:rsid w:val="00DC5C8A"/>
    <w:rsid w:val="00DC61F7"/>
    <w:rsid w:val="00DC6574"/>
    <w:rsid w:val="00DC6591"/>
    <w:rsid w:val="00DC6781"/>
    <w:rsid w:val="00DC6788"/>
    <w:rsid w:val="00DC696F"/>
    <w:rsid w:val="00DC70EF"/>
    <w:rsid w:val="00DC7268"/>
    <w:rsid w:val="00DC72DF"/>
    <w:rsid w:val="00DC7300"/>
    <w:rsid w:val="00DC7518"/>
    <w:rsid w:val="00DC7ED0"/>
    <w:rsid w:val="00DC7F56"/>
    <w:rsid w:val="00DD001B"/>
    <w:rsid w:val="00DD0153"/>
    <w:rsid w:val="00DD0528"/>
    <w:rsid w:val="00DD07E9"/>
    <w:rsid w:val="00DD07F8"/>
    <w:rsid w:val="00DD0B11"/>
    <w:rsid w:val="00DD0C4D"/>
    <w:rsid w:val="00DD0D2D"/>
    <w:rsid w:val="00DD0FBC"/>
    <w:rsid w:val="00DD13D5"/>
    <w:rsid w:val="00DD1578"/>
    <w:rsid w:val="00DD17DD"/>
    <w:rsid w:val="00DD1867"/>
    <w:rsid w:val="00DD1899"/>
    <w:rsid w:val="00DD1F50"/>
    <w:rsid w:val="00DD1F54"/>
    <w:rsid w:val="00DD1F7C"/>
    <w:rsid w:val="00DD1FE1"/>
    <w:rsid w:val="00DD22FE"/>
    <w:rsid w:val="00DD232F"/>
    <w:rsid w:val="00DD2391"/>
    <w:rsid w:val="00DD23F9"/>
    <w:rsid w:val="00DD2437"/>
    <w:rsid w:val="00DD255F"/>
    <w:rsid w:val="00DD262D"/>
    <w:rsid w:val="00DD266A"/>
    <w:rsid w:val="00DD26AE"/>
    <w:rsid w:val="00DD279D"/>
    <w:rsid w:val="00DD27CE"/>
    <w:rsid w:val="00DD2897"/>
    <w:rsid w:val="00DD2A4E"/>
    <w:rsid w:val="00DD2C95"/>
    <w:rsid w:val="00DD2E50"/>
    <w:rsid w:val="00DD33FC"/>
    <w:rsid w:val="00DD3451"/>
    <w:rsid w:val="00DD3473"/>
    <w:rsid w:val="00DD3594"/>
    <w:rsid w:val="00DD3625"/>
    <w:rsid w:val="00DD3767"/>
    <w:rsid w:val="00DD37DF"/>
    <w:rsid w:val="00DD38D0"/>
    <w:rsid w:val="00DD3AE1"/>
    <w:rsid w:val="00DD3CD4"/>
    <w:rsid w:val="00DD3E16"/>
    <w:rsid w:val="00DD3E96"/>
    <w:rsid w:val="00DD3F7B"/>
    <w:rsid w:val="00DD409B"/>
    <w:rsid w:val="00DD41DB"/>
    <w:rsid w:val="00DD4201"/>
    <w:rsid w:val="00DD43D3"/>
    <w:rsid w:val="00DD43F3"/>
    <w:rsid w:val="00DD477D"/>
    <w:rsid w:val="00DD48C0"/>
    <w:rsid w:val="00DD48E6"/>
    <w:rsid w:val="00DD4B84"/>
    <w:rsid w:val="00DD4D27"/>
    <w:rsid w:val="00DD4E4E"/>
    <w:rsid w:val="00DD5013"/>
    <w:rsid w:val="00DD52F4"/>
    <w:rsid w:val="00DD5342"/>
    <w:rsid w:val="00DD560A"/>
    <w:rsid w:val="00DD56BA"/>
    <w:rsid w:val="00DD5729"/>
    <w:rsid w:val="00DD578B"/>
    <w:rsid w:val="00DD5804"/>
    <w:rsid w:val="00DD5882"/>
    <w:rsid w:val="00DD58D4"/>
    <w:rsid w:val="00DD5940"/>
    <w:rsid w:val="00DD5C35"/>
    <w:rsid w:val="00DD5E2C"/>
    <w:rsid w:val="00DD604B"/>
    <w:rsid w:val="00DD634C"/>
    <w:rsid w:val="00DD65B8"/>
    <w:rsid w:val="00DD66E8"/>
    <w:rsid w:val="00DD674B"/>
    <w:rsid w:val="00DD6C81"/>
    <w:rsid w:val="00DD6CC9"/>
    <w:rsid w:val="00DD6E5E"/>
    <w:rsid w:val="00DD72E6"/>
    <w:rsid w:val="00DD7373"/>
    <w:rsid w:val="00DD73AE"/>
    <w:rsid w:val="00DD753E"/>
    <w:rsid w:val="00DD757B"/>
    <w:rsid w:val="00DD7832"/>
    <w:rsid w:val="00DD79B4"/>
    <w:rsid w:val="00DD7C51"/>
    <w:rsid w:val="00DD7C96"/>
    <w:rsid w:val="00DD7E6D"/>
    <w:rsid w:val="00DD7FD2"/>
    <w:rsid w:val="00DE01A1"/>
    <w:rsid w:val="00DE0437"/>
    <w:rsid w:val="00DE074D"/>
    <w:rsid w:val="00DE0B46"/>
    <w:rsid w:val="00DE0BD2"/>
    <w:rsid w:val="00DE0CEE"/>
    <w:rsid w:val="00DE0ED5"/>
    <w:rsid w:val="00DE0F0A"/>
    <w:rsid w:val="00DE0FB9"/>
    <w:rsid w:val="00DE105A"/>
    <w:rsid w:val="00DE111D"/>
    <w:rsid w:val="00DE1301"/>
    <w:rsid w:val="00DE1385"/>
    <w:rsid w:val="00DE15ED"/>
    <w:rsid w:val="00DE18BA"/>
    <w:rsid w:val="00DE1AE1"/>
    <w:rsid w:val="00DE1B40"/>
    <w:rsid w:val="00DE1B70"/>
    <w:rsid w:val="00DE1F31"/>
    <w:rsid w:val="00DE207B"/>
    <w:rsid w:val="00DE2125"/>
    <w:rsid w:val="00DE2183"/>
    <w:rsid w:val="00DE21FD"/>
    <w:rsid w:val="00DE221A"/>
    <w:rsid w:val="00DE2418"/>
    <w:rsid w:val="00DE247A"/>
    <w:rsid w:val="00DE282B"/>
    <w:rsid w:val="00DE29A5"/>
    <w:rsid w:val="00DE2AAC"/>
    <w:rsid w:val="00DE2C6F"/>
    <w:rsid w:val="00DE2CC1"/>
    <w:rsid w:val="00DE3134"/>
    <w:rsid w:val="00DE31CD"/>
    <w:rsid w:val="00DE34A0"/>
    <w:rsid w:val="00DE35C0"/>
    <w:rsid w:val="00DE35FA"/>
    <w:rsid w:val="00DE3926"/>
    <w:rsid w:val="00DE3D31"/>
    <w:rsid w:val="00DE3DC0"/>
    <w:rsid w:val="00DE41B6"/>
    <w:rsid w:val="00DE428A"/>
    <w:rsid w:val="00DE45EB"/>
    <w:rsid w:val="00DE465C"/>
    <w:rsid w:val="00DE4914"/>
    <w:rsid w:val="00DE4929"/>
    <w:rsid w:val="00DE4C89"/>
    <w:rsid w:val="00DE4F3A"/>
    <w:rsid w:val="00DE4F5E"/>
    <w:rsid w:val="00DE51FE"/>
    <w:rsid w:val="00DE52A7"/>
    <w:rsid w:val="00DE5538"/>
    <w:rsid w:val="00DE5572"/>
    <w:rsid w:val="00DE55C6"/>
    <w:rsid w:val="00DE5714"/>
    <w:rsid w:val="00DE5853"/>
    <w:rsid w:val="00DE5877"/>
    <w:rsid w:val="00DE5C14"/>
    <w:rsid w:val="00DE5C6A"/>
    <w:rsid w:val="00DE5D27"/>
    <w:rsid w:val="00DE5D33"/>
    <w:rsid w:val="00DE6533"/>
    <w:rsid w:val="00DE6541"/>
    <w:rsid w:val="00DE658B"/>
    <w:rsid w:val="00DE681E"/>
    <w:rsid w:val="00DE6856"/>
    <w:rsid w:val="00DE6933"/>
    <w:rsid w:val="00DE6D75"/>
    <w:rsid w:val="00DE6ED1"/>
    <w:rsid w:val="00DE6F64"/>
    <w:rsid w:val="00DE721E"/>
    <w:rsid w:val="00DE7401"/>
    <w:rsid w:val="00DE75BE"/>
    <w:rsid w:val="00DE7B05"/>
    <w:rsid w:val="00DE7B8C"/>
    <w:rsid w:val="00DE7F5D"/>
    <w:rsid w:val="00DF0063"/>
    <w:rsid w:val="00DF0901"/>
    <w:rsid w:val="00DF0AAE"/>
    <w:rsid w:val="00DF0C3B"/>
    <w:rsid w:val="00DF12DF"/>
    <w:rsid w:val="00DF1477"/>
    <w:rsid w:val="00DF17E0"/>
    <w:rsid w:val="00DF1814"/>
    <w:rsid w:val="00DF181D"/>
    <w:rsid w:val="00DF1C1D"/>
    <w:rsid w:val="00DF1C30"/>
    <w:rsid w:val="00DF1ED0"/>
    <w:rsid w:val="00DF1F5C"/>
    <w:rsid w:val="00DF20CB"/>
    <w:rsid w:val="00DF20EA"/>
    <w:rsid w:val="00DF2259"/>
    <w:rsid w:val="00DF2570"/>
    <w:rsid w:val="00DF2716"/>
    <w:rsid w:val="00DF28A1"/>
    <w:rsid w:val="00DF2915"/>
    <w:rsid w:val="00DF2974"/>
    <w:rsid w:val="00DF2B4C"/>
    <w:rsid w:val="00DF2C9D"/>
    <w:rsid w:val="00DF2E98"/>
    <w:rsid w:val="00DF305F"/>
    <w:rsid w:val="00DF313E"/>
    <w:rsid w:val="00DF3295"/>
    <w:rsid w:val="00DF36A5"/>
    <w:rsid w:val="00DF36AD"/>
    <w:rsid w:val="00DF382F"/>
    <w:rsid w:val="00DF3930"/>
    <w:rsid w:val="00DF3983"/>
    <w:rsid w:val="00DF3BC4"/>
    <w:rsid w:val="00DF3F26"/>
    <w:rsid w:val="00DF3F9B"/>
    <w:rsid w:val="00DF41AE"/>
    <w:rsid w:val="00DF4420"/>
    <w:rsid w:val="00DF4499"/>
    <w:rsid w:val="00DF46C7"/>
    <w:rsid w:val="00DF4941"/>
    <w:rsid w:val="00DF4B16"/>
    <w:rsid w:val="00DF4BDE"/>
    <w:rsid w:val="00DF4C35"/>
    <w:rsid w:val="00DF4E19"/>
    <w:rsid w:val="00DF4E46"/>
    <w:rsid w:val="00DF4EA4"/>
    <w:rsid w:val="00DF4F65"/>
    <w:rsid w:val="00DF5013"/>
    <w:rsid w:val="00DF50BA"/>
    <w:rsid w:val="00DF5166"/>
    <w:rsid w:val="00DF54F7"/>
    <w:rsid w:val="00DF55B7"/>
    <w:rsid w:val="00DF55EB"/>
    <w:rsid w:val="00DF5686"/>
    <w:rsid w:val="00DF57BD"/>
    <w:rsid w:val="00DF57F7"/>
    <w:rsid w:val="00DF5BB2"/>
    <w:rsid w:val="00DF5EB2"/>
    <w:rsid w:val="00DF5F94"/>
    <w:rsid w:val="00DF617D"/>
    <w:rsid w:val="00DF6355"/>
    <w:rsid w:val="00DF6410"/>
    <w:rsid w:val="00DF65E9"/>
    <w:rsid w:val="00DF6611"/>
    <w:rsid w:val="00DF68A0"/>
    <w:rsid w:val="00DF6B12"/>
    <w:rsid w:val="00DF6E36"/>
    <w:rsid w:val="00DF6FA3"/>
    <w:rsid w:val="00DF6FFC"/>
    <w:rsid w:val="00DF71CD"/>
    <w:rsid w:val="00DF7222"/>
    <w:rsid w:val="00DF7246"/>
    <w:rsid w:val="00DF7447"/>
    <w:rsid w:val="00DF7497"/>
    <w:rsid w:val="00DF7581"/>
    <w:rsid w:val="00DF75A0"/>
    <w:rsid w:val="00DF761E"/>
    <w:rsid w:val="00DF776A"/>
    <w:rsid w:val="00DF7785"/>
    <w:rsid w:val="00DF78CC"/>
    <w:rsid w:val="00DF7A0E"/>
    <w:rsid w:val="00DF7E9E"/>
    <w:rsid w:val="00DF7EB6"/>
    <w:rsid w:val="00DF7F32"/>
    <w:rsid w:val="00E00101"/>
    <w:rsid w:val="00E002BB"/>
    <w:rsid w:val="00E0039C"/>
    <w:rsid w:val="00E00747"/>
    <w:rsid w:val="00E009B5"/>
    <w:rsid w:val="00E00BF8"/>
    <w:rsid w:val="00E00DEE"/>
    <w:rsid w:val="00E00EA4"/>
    <w:rsid w:val="00E0126F"/>
    <w:rsid w:val="00E0143D"/>
    <w:rsid w:val="00E01505"/>
    <w:rsid w:val="00E015E7"/>
    <w:rsid w:val="00E019DE"/>
    <w:rsid w:val="00E01A0C"/>
    <w:rsid w:val="00E01A8F"/>
    <w:rsid w:val="00E01AAB"/>
    <w:rsid w:val="00E01D31"/>
    <w:rsid w:val="00E0235F"/>
    <w:rsid w:val="00E0248E"/>
    <w:rsid w:val="00E024E4"/>
    <w:rsid w:val="00E02546"/>
    <w:rsid w:val="00E025A7"/>
    <w:rsid w:val="00E026B1"/>
    <w:rsid w:val="00E02998"/>
    <w:rsid w:val="00E02A74"/>
    <w:rsid w:val="00E02BC9"/>
    <w:rsid w:val="00E02D44"/>
    <w:rsid w:val="00E02E09"/>
    <w:rsid w:val="00E0312D"/>
    <w:rsid w:val="00E03225"/>
    <w:rsid w:val="00E03236"/>
    <w:rsid w:val="00E03377"/>
    <w:rsid w:val="00E033A5"/>
    <w:rsid w:val="00E034C2"/>
    <w:rsid w:val="00E037AE"/>
    <w:rsid w:val="00E0391C"/>
    <w:rsid w:val="00E03B8A"/>
    <w:rsid w:val="00E03BF7"/>
    <w:rsid w:val="00E03E5E"/>
    <w:rsid w:val="00E03FB3"/>
    <w:rsid w:val="00E04230"/>
    <w:rsid w:val="00E042DA"/>
    <w:rsid w:val="00E043F0"/>
    <w:rsid w:val="00E04431"/>
    <w:rsid w:val="00E044C6"/>
    <w:rsid w:val="00E045CE"/>
    <w:rsid w:val="00E046F9"/>
    <w:rsid w:val="00E04762"/>
    <w:rsid w:val="00E04791"/>
    <w:rsid w:val="00E04B6A"/>
    <w:rsid w:val="00E04C59"/>
    <w:rsid w:val="00E050E0"/>
    <w:rsid w:val="00E05355"/>
    <w:rsid w:val="00E054FD"/>
    <w:rsid w:val="00E0566F"/>
    <w:rsid w:val="00E056EA"/>
    <w:rsid w:val="00E05B76"/>
    <w:rsid w:val="00E06150"/>
    <w:rsid w:val="00E06620"/>
    <w:rsid w:val="00E06872"/>
    <w:rsid w:val="00E06B4B"/>
    <w:rsid w:val="00E0717A"/>
    <w:rsid w:val="00E071D3"/>
    <w:rsid w:val="00E07535"/>
    <w:rsid w:val="00E0768D"/>
    <w:rsid w:val="00E07779"/>
    <w:rsid w:val="00E07B82"/>
    <w:rsid w:val="00E07BF9"/>
    <w:rsid w:val="00E07C8B"/>
    <w:rsid w:val="00E07F59"/>
    <w:rsid w:val="00E07FA1"/>
    <w:rsid w:val="00E1005C"/>
    <w:rsid w:val="00E104B0"/>
    <w:rsid w:val="00E104BF"/>
    <w:rsid w:val="00E10504"/>
    <w:rsid w:val="00E1056F"/>
    <w:rsid w:val="00E105EB"/>
    <w:rsid w:val="00E10682"/>
    <w:rsid w:val="00E1085B"/>
    <w:rsid w:val="00E1088C"/>
    <w:rsid w:val="00E10A27"/>
    <w:rsid w:val="00E10DB9"/>
    <w:rsid w:val="00E11001"/>
    <w:rsid w:val="00E110E9"/>
    <w:rsid w:val="00E113AC"/>
    <w:rsid w:val="00E11515"/>
    <w:rsid w:val="00E1181A"/>
    <w:rsid w:val="00E11E85"/>
    <w:rsid w:val="00E12009"/>
    <w:rsid w:val="00E12249"/>
    <w:rsid w:val="00E124BA"/>
    <w:rsid w:val="00E12561"/>
    <w:rsid w:val="00E125BB"/>
    <w:rsid w:val="00E12975"/>
    <w:rsid w:val="00E12B81"/>
    <w:rsid w:val="00E12F16"/>
    <w:rsid w:val="00E12F87"/>
    <w:rsid w:val="00E1323D"/>
    <w:rsid w:val="00E132D4"/>
    <w:rsid w:val="00E13461"/>
    <w:rsid w:val="00E134A1"/>
    <w:rsid w:val="00E136B3"/>
    <w:rsid w:val="00E136D7"/>
    <w:rsid w:val="00E13927"/>
    <w:rsid w:val="00E13A59"/>
    <w:rsid w:val="00E13AAD"/>
    <w:rsid w:val="00E13B03"/>
    <w:rsid w:val="00E13B25"/>
    <w:rsid w:val="00E141BC"/>
    <w:rsid w:val="00E142BA"/>
    <w:rsid w:val="00E14439"/>
    <w:rsid w:val="00E1449A"/>
    <w:rsid w:val="00E1464A"/>
    <w:rsid w:val="00E14952"/>
    <w:rsid w:val="00E1498B"/>
    <w:rsid w:val="00E14BF7"/>
    <w:rsid w:val="00E14DA5"/>
    <w:rsid w:val="00E14E1D"/>
    <w:rsid w:val="00E14EF3"/>
    <w:rsid w:val="00E15089"/>
    <w:rsid w:val="00E153DE"/>
    <w:rsid w:val="00E1549E"/>
    <w:rsid w:val="00E15510"/>
    <w:rsid w:val="00E156DC"/>
    <w:rsid w:val="00E156E9"/>
    <w:rsid w:val="00E16183"/>
    <w:rsid w:val="00E161CA"/>
    <w:rsid w:val="00E16228"/>
    <w:rsid w:val="00E162FC"/>
    <w:rsid w:val="00E16462"/>
    <w:rsid w:val="00E164E4"/>
    <w:rsid w:val="00E1651F"/>
    <w:rsid w:val="00E165C2"/>
    <w:rsid w:val="00E165CB"/>
    <w:rsid w:val="00E16856"/>
    <w:rsid w:val="00E16B56"/>
    <w:rsid w:val="00E16B64"/>
    <w:rsid w:val="00E16BCD"/>
    <w:rsid w:val="00E16D34"/>
    <w:rsid w:val="00E16D95"/>
    <w:rsid w:val="00E16DB2"/>
    <w:rsid w:val="00E16E22"/>
    <w:rsid w:val="00E17186"/>
    <w:rsid w:val="00E17296"/>
    <w:rsid w:val="00E17704"/>
    <w:rsid w:val="00E177C8"/>
    <w:rsid w:val="00E17852"/>
    <w:rsid w:val="00E1796C"/>
    <w:rsid w:val="00E17EDE"/>
    <w:rsid w:val="00E17FA0"/>
    <w:rsid w:val="00E20029"/>
    <w:rsid w:val="00E20453"/>
    <w:rsid w:val="00E2064E"/>
    <w:rsid w:val="00E206E6"/>
    <w:rsid w:val="00E20A66"/>
    <w:rsid w:val="00E20B47"/>
    <w:rsid w:val="00E20BB3"/>
    <w:rsid w:val="00E20C99"/>
    <w:rsid w:val="00E20F8D"/>
    <w:rsid w:val="00E212C1"/>
    <w:rsid w:val="00E2144C"/>
    <w:rsid w:val="00E2183C"/>
    <w:rsid w:val="00E2189B"/>
    <w:rsid w:val="00E21AE4"/>
    <w:rsid w:val="00E21BB4"/>
    <w:rsid w:val="00E21C08"/>
    <w:rsid w:val="00E21C84"/>
    <w:rsid w:val="00E21ED6"/>
    <w:rsid w:val="00E21F93"/>
    <w:rsid w:val="00E22076"/>
    <w:rsid w:val="00E2229D"/>
    <w:rsid w:val="00E22B81"/>
    <w:rsid w:val="00E23011"/>
    <w:rsid w:val="00E230B6"/>
    <w:rsid w:val="00E2317B"/>
    <w:rsid w:val="00E23294"/>
    <w:rsid w:val="00E236BC"/>
    <w:rsid w:val="00E23862"/>
    <w:rsid w:val="00E238F6"/>
    <w:rsid w:val="00E23D92"/>
    <w:rsid w:val="00E23E68"/>
    <w:rsid w:val="00E2417F"/>
    <w:rsid w:val="00E241C5"/>
    <w:rsid w:val="00E2426E"/>
    <w:rsid w:val="00E2433A"/>
    <w:rsid w:val="00E24548"/>
    <w:rsid w:val="00E24869"/>
    <w:rsid w:val="00E248AF"/>
    <w:rsid w:val="00E249DF"/>
    <w:rsid w:val="00E24FDA"/>
    <w:rsid w:val="00E25037"/>
    <w:rsid w:val="00E250FF"/>
    <w:rsid w:val="00E25210"/>
    <w:rsid w:val="00E252DB"/>
    <w:rsid w:val="00E2540F"/>
    <w:rsid w:val="00E255D0"/>
    <w:rsid w:val="00E257B2"/>
    <w:rsid w:val="00E257E0"/>
    <w:rsid w:val="00E25A48"/>
    <w:rsid w:val="00E25DEE"/>
    <w:rsid w:val="00E26183"/>
    <w:rsid w:val="00E261B0"/>
    <w:rsid w:val="00E268E1"/>
    <w:rsid w:val="00E26904"/>
    <w:rsid w:val="00E2698D"/>
    <w:rsid w:val="00E26AE7"/>
    <w:rsid w:val="00E26B75"/>
    <w:rsid w:val="00E26F69"/>
    <w:rsid w:val="00E2708C"/>
    <w:rsid w:val="00E270DD"/>
    <w:rsid w:val="00E27687"/>
    <w:rsid w:val="00E27B4C"/>
    <w:rsid w:val="00E27B78"/>
    <w:rsid w:val="00E27C6B"/>
    <w:rsid w:val="00E27D38"/>
    <w:rsid w:val="00E27FE4"/>
    <w:rsid w:val="00E3047C"/>
    <w:rsid w:val="00E30A87"/>
    <w:rsid w:val="00E30B7F"/>
    <w:rsid w:val="00E30B97"/>
    <w:rsid w:val="00E30C00"/>
    <w:rsid w:val="00E310F7"/>
    <w:rsid w:val="00E310FE"/>
    <w:rsid w:val="00E31146"/>
    <w:rsid w:val="00E311BB"/>
    <w:rsid w:val="00E311DC"/>
    <w:rsid w:val="00E31343"/>
    <w:rsid w:val="00E3136C"/>
    <w:rsid w:val="00E31924"/>
    <w:rsid w:val="00E31A2C"/>
    <w:rsid w:val="00E31A63"/>
    <w:rsid w:val="00E31AF1"/>
    <w:rsid w:val="00E3206E"/>
    <w:rsid w:val="00E3224B"/>
    <w:rsid w:val="00E32298"/>
    <w:rsid w:val="00E324AF"/>
    <w:rsid w:val="00E32500"/>
    <w:rsid w:val="00E3252E"/>
    <w:rsid w:val="00E32603"/>
    <w:rsid w:val="00E32628"/>
    <w:rsid w:val="00E3279A"/>
    <w:rsid w:val="00E32B00"/>
    <w:rsid w:val="00E32C0C"/>
    <w:rsid w:val="00E32C9A"/>
    <w:rsid w:val="00E32F90"/>
    <w:rsid w:val="00E3310E"/>
    <w:rsid w:val="00E33126"/>
    <w:rsid w:val="00E33170"/>
    <w:rsid w:val="00E336A6"/>
    <w:rsid w:val="00E338A2"/>
    <w:rsid w:val="00E33CF7"/>
    <w:rsid w:val="00E33FB0"/>
    <w:rsid w:val="00E3432B"/>
    <w:rsid w:val="00E34340"/>
    <w:rsid w:val="00E344B0"/>
    <w:rsid w:val="00E344B1"/>
    <w:rsid w:val="00E345DE"/>
    <w:rsid w:val="00E349AC"/>
    <w:rsid w:val="00E349B0"/>
    <w:rsid w:val="00E34A2D"/>
    <w:rsid w:val="00E34AD5"/>
    <w:rsid w:val="00E34D05"/>
    <w:rsid w:val="00E34D3B"/>
    <w:rsid w:val="00E34D7B"/>
    <w:rsid w:val="00E34E15"/>
    <w:rsid w:val="00E3508C"/>
    <w:rsid w:val="00E350D4"/>
    <w:rsid w:val="00E35283"/>
    <w:rsid w:val="00E35568"/>
    <w:rsid w:val="00E35970"/>
    <w:rsid w:val="00E35999"/>
    <w:rsid w:val="00E359BD"/>
    <w:rsid w:val="00E35DCC"/>
    <w:rsid w:val="00E35DEB"/>
    <w:rsid w:val="00E35EAB"/>
    <w:rsid w:val="00E361D3"/>
    <w:rsid w:val="00E36260"/>
    <w:rsid w:val="00E36537"/>
    <w:rsid w:val="00E36803"/>
    <w:rsid w:val="00E36886"/>
    <w:rsid w:val="00E36982"/>
    <w:rsid w:val="00E36994"/>
    <w:rsid w:val="00E369EB"/>
    <w:rsid w:val="00E36A20"/>
    <w:rsid w:val="00E36BB1"/>
    <w:rsid w:val="00E36C14"/>
    <w:rsid w:val="00E36CD5"/>
    <w:rsid w:val="00E36D62"/>
    <w:rsid w:val="00E37068"/>
    <w:rsid w:val="00E3719D"/>
    <w:rsid w:val="00E3725D"/>
    <w:rsid w:val="00E372C8"/>
    <w:rsid w:val="00E37300"/>
    <w:rsid w:val="00E3738F"/>
    <w:rsid w:val="00E373FC"/>
    <w:rsid w:val="00E37503"/>
    <w:rsid w:val="00E37619"/>
    <w:rsid w:val="00E378AD"/>
    <w:rsid w:val="00E379EA"/>
    <w:rsid w:val="00E37B0B"/>
    <w:rsid w:val="00E37BAC"/>
    <w:rsid w:val="00E37BFC"/>
    <w:rsid w:val="00E37F41"/>
    <w:rsid w:val="00E37FBB"/>
    <w:rsid w:val="00E40017"/>
    <w:rsid w:val="00E4045F"/>
    <w:rsid w:val="00E405D4"/>
    <w:rsid w:val="00E4068C"/>
    <w:rsid w:val="00E40BDA"/>
    <w:rsid w:val="00E40D3C"/>
    <w:rsid w:val="00E40F2A"/>
    <w:rsid w:val="00E40F47"/>
    <w:rsid w:val="00E4112D"/>
    <w:rsid w:val="00E4116A"/>
    <w:rsid w:val="00E41396"/>
    <w:rsid w:val="00E41437"/>
    <w:rsid w:val="00E415BA"/>
    <w:rsid w:val="00E415EA"/>
    <w:rsid w:val="00E415F8"/>
    <w:rsid w:val="00E419EA"/>
    <w:rsid w:val="00E41A0E"/>
    <w:rsid w:val="00E41CEF"/>
    <w:rsid w:val="00E41D69"/>
    <w:rsid w:val="00E41DC7"/>
    <w:rsid w:val="00E422E3"/>
    <w:rsid w:val="00E42562"/>
    <w:rsid w:val="00E426EB"/>
    <w:rsid w:val="00E429FD"/>
    <w:rsid w:val="00E42AAF"/>
    <w:rsid w:val="00E42FDF"/>
    <w:rsid w:val="00E431EB"/>
    <w:rsid w:val="00E431F1"/>
    <w:rsid w:val="00E43271"/>
    <w:rsid w:val="00E43325"/>
    <w:rsid w:val="00E433D9"/>
    <w:rsid w:val="00E43490"/>
    <w:rsid w:val="00E434FE"/>
    <w:rsid w:val="00E43596"/>
    <w:rsid w:val="00E435E9"/>
    <w:rsid w:val="00E43646"/>
    <w:rsid w:val="00E437D8"/>
    <w:rsid w:val="00E43D45"/>
    <w:rsid w:val="00E43D58"/>
    <w:rsid w:val="00E43DE6"/>
    <w:rsid w:val="00E43E63"/>
    <w:rsid w:val="00E43F86"/>
    <w:rsid w:val="00E443D8"/>
    <w:rsid w:val="00E44467"/>
    <w:rsid w:val="00E448A7"/>
    <w:rsid w:val="00E44ABB"/>
    <w:rsid w:val="00E44AED"/>
    <w:rsid w:val="00E44C6F"/>
    <w:rsid w:val="00E44E7A"/>
    <w:rsid w:val="00E45296"/>
    <w:rsid w:val="00E4537C"/>
    <w:rsid w:val="00E4567E"/>
    <w:rsid w:val="00E4599E"/>
    <w:rsid w:val="00E45A8F"/>
    <w:rsid w:val="00E45AE8"/>
    <w:rsid w:val="00E45B7B"/>
    <w:rsid w:val="00E45C89"/>
    <w:rsid w:val="00E45D24"/>
    <w:rsid w:val="00E45F5B"/>
    <w:rsid w:val="00E46130"/>
    <w:rsid w:val="00E4616B"/>
    <w:rsid w:val="00E46181"/>
    <w:rsid w:val="00E46241"/>
    <w:rsid w:val="00E463F2"/>
    <w:rsid w:val="00E4646D"/>
    <w:rsid w:val="00E4652F"/>
    <w:rsid w:val="00E46576"/>
    <w:rsid w:val="00E46596"/>
    <w:rsid w:val="00E469D0"/>
    <w:rsid w:val="00E469F8"/>
    <w:rsid w:val="00E46D55"/>
    <w:rsid w:val="00E46EE4"/>
    <w:rsid w:val="00E4705B"/>
    <w:rsid w:val="00E471A7"/>
    <w:rsid w:val="00E47223"/>
    <w:rsid w:val="00E4726F"/>
    <w:rsid w:val="00E4773F"/>
    <w:rsid w:val="00E4775F"/>
    <w:rsid w:val="00E47764"/>
    <w:rsid w:val="00E4780E"/>
    <w:rsid w:val="00E4799F"/>
    <w:rsid w:val="00E47AD4"/>
    <w:rsid w:val="00E47ADC"/>
    <w:rsid w:val="00E47E5B"/>
    <w:rsid w:val="00E50378"/>
    <w:rsid w:val="00E50759"/>
    <w:rsid w:val="00E507EB"/>
    <w:rsid w:val="00E50853"/>
    <w:rsid w:val="00E50A3C"/>
    <w:rsid w:val="00E50BF8"/>
    <w:rsid w:val="00E510E8"/>
    <w:rsid w:val="00E51241"/>
    <w:rsid w:val="00E5130A"/>
    <w:rsid w:val="00E514C5"/>
    <w:rsid w:val="00E519ED"/>
    <w:rsid w:val="00E51EC0"/>
    <w:rsid w:val="00E521B3"/>
    <w:rsid w:val="00E5235F"/>
    <w:rsid w:val="00E523E4"/>
    <w:rsid w:val="00E52469"/>
    <w:rsid w:val="00E52572"/>
    <w:rsid w:val="00E52639"/>
    <w:rsid w:val="00E526BE"/>
    <w:rsid w:val="00E52A98"/>
    <w:rsid w:val="00E52BCB"/>
    <w:rsid w:val="00E52CC0"/>
    <w:rsid w:val="00E52CD8"/>
    <w:rsid w:val="00E52DB7"/>
    <w:rsid w:val="00E52E82"/>
    <w:rsid w:val="00E53239"/>
    <w:rsid w:val="00E53663"/>
    <w:rsid w:val="00E536D2"/>
    <w:rsid w:val="00E5380F"/>
    <w:rsid w:val="00E53E65"/>
    <w:rsid w:val="00E53F00"/>
    <w:rsid w:val="00E53F5D"/>
    <w:rsid w:val="00E54067"/>
    <w:rsid w:val="00E540D0"/>
    <w:rsid w:val="00E54336"/>
    <w:rsid w:val="00E54384"/>
    <w:rsid w:val="00E5461E"/>
    <w:rsid w:val="00E54624"/>
    <w:rsid w:val="00E5495F"/>
    <w:rsid w:val="00E54973"/>
    <w:rsid w:val="00E5498B"/>
    <w:rsid w:val="00E54B14"/>
    <w:rsid w:val="00E54E89"/>
    <w:rsid w:val="00E54FBD"/>
    <w:rsid w:val="00E55155"/>
    <w:rsid w:val="00E552BC"/>
    <w:rsid w:val="00E55336"/>
    <w:rsid w:val="00E5540A"/>
    <w:rsid w:val="00E55538"/>
    <w:rsid w:val="00E55999"/>
    <w:rsid w:val="00E559FC"/>
    <w:rsid w:val="00E55C0D"/>
    <w:rsid w:val="00E55CCA"/>
    <w:rsid w:val="00E55E23"/>
    <w:rsid w:val="00E55FC5"/>
    <w:rsid w:val="00E56BCC"/>
    <w:rsid w:val="00E56C9B"/>
    <w:rsid w:val="00E56CA9"/>
    <w:rsid w:val="00E56E1D"/>
    <w:rsid w:val="00E56E69"/>
    <w:rsid w:val="00E570D9"/>
    <w:rsid w:val="00E571AA"/>
    <w:rsid w:val="00E5732E"/>
    <w:rsid w:val="00E578A6"/>
    <w:rsid w:val="00E57A16"/>
    <w:rsid w:val="00E57F24"/>
    <w:rsid w:val="00E57F4E"/>
    <w:rsid w:val="00E57FBF"/>
    <w:rsid w:val="00E6002A"/>
    <w:rsid w:val="00E60458"/>
    <w:rsid w:val="00E605FA"/>
    <w:rsid w:val="00E60B5E"/>
    <w:rsid w:val="00E60F34"/>
    <w:rsid w:val="00E610EC"/>
    <w:rsid w:val="00E6161C"/>
    <w:rsid w:val="00E6167C"/>
    <w:rsid w:val="00E617EC"/>
    <w:rsid w:val="00E6183D"/>
    <w:rsid w:val="00E618C4"/>
    <w:rsid w:val="00E61C4C"/>
    <w:rsid w:val="00E61CFD"/>
    <w:rsid w:val="00E61E24"/>
    <w:rsid w:val="00E61ED0"/>
    <w:rsid w:val="00E62072"/>
    <w:rsid w:val="00E62092"/>
    <w:rsid w:val="00E622E8"/>
    <w:rsid w:val="00E62335"/>
    <w:rsid w:val="00E62394"/>
    <w:rsid w:val="00E623E3"/>
    <w:rsid w:val="00E627AA"/>
    <w:rsid w:val="00E62928"/>
    <w:rsid w:val="00E629BB"/>
    <w:rsid w:val="00E62C98"/>
    <w:rsid w:val="00E62DCB"/>
    <w:rsid w:val="00E62EDA"/>
    <w:rsid w:val="00E62F66"/>
    <w:rsid w:val="00E630FE"/>
    <w:rsid w:val="00E632E7"/>
    <w:rsid w:val="00E6339C"/>
    <w:rsid w:val="00E636E1"/>
    <w:rsid w:val="00E637A0"/>
    <w:rsid w:val="00E63A37"/>
    <w:rsid w:val="00E63A9C"/>
    <w:rsid w:val="00E63AF8"/>
    <w:rsid w:val="00E63F96"/>
    <w:rsid w:val="00E640B1"/>
    <w:rsid w:val="00E64190"/>
    <w:rsid w:val="00E641EA"/>
    <w:rsid w:val="00E64320"/>
    <w:rsid w:val="00E6436C"/>
    <w:rsid w:val="00E64554"/>
    <w:rsid w:val="00E6458C"/>
    <w:rsid w:val="00E645EC"/>
    <w:rsid w:val="00E64873"/>
    <w:rsid w:val="00E64B54"/>
    <w:rsid w:val="00E64C1F"/>
    <w:rsid w:val="00E64CC1"/>
    <w:rsid w:val="00E64DB0"/>
    <w:rsid w:val="00E64EC3"/>
    <w:rsid w:val="00E65217"/>
    <w:rsid w:val="00E652F4"/>
    <w:rsid w:val="00E65864"/>
    <w:rsid w:val="00E6588C"/>
    <w:rsid w:val="00E658B3"/>
    <w:rsid w:val="00E65B48"/>
    <w:rsid w:val="00E65B56"/>
    <w:rsid w:val="00E65B6A"/>
    <w:rsid w:val="00E65D9F"/>
    <w:rsid w:val="00E65EB4"/>
    <w:rsid w:val="00E661DF"/>
    <w:rsid w:val="00E66343"/>
    <w:rsid w:val="00E6634F"/>
    <w:rsid w:val="00E66744"/>
    <w:rsid w:val="00E6685B"/>
    <w:rsid w:val="00E66B25"/>
    <w:rsid w:val="00E66BE4"/>
    <w:rsid w:val="00E67198"/>
    <w:rsid w:val="00E673B7"/>
    <w:rsid w:val="00E67470"/>
    <w:rsid w:val="00E67640"/>
    <w:rsid w:val="00E67684"/>
    <w:rsid w:val="00E676CC"/>
    <w:rsid w:val="00E678CB"/>
    <w:rsid w:val="00E67983"/>
    <w:rsid w:val="00E67B7C"/>
    <w:rsid w:val="00E67BDA"/>
    <w:rsid w:val="00E7013B"/>
    <w:rsid w:val="00E701BB"/>
    <w:rsid w:val="00E70217"/>
    <w:rsid w:val="00E7022C"/>
    <w:rsid w:val="00E702E0"/>
    <w:rsid w:val="00E70359"/>
    <w:rsid w:val="00E7057F"/>
    <w:rsid w:val="00E7096E"/>
    <w:rsid w:val="00E70AF4"/>
    <w:rsid w:val="00E70B4C"/>
    <w:rsid w:val="00E70D14"/>
    <w:rsid w:val="00E70DEB"/>
    <w:rsid w:val="00E70E1F"/>
    <w:rsid w:val="00E70E55"/>
    <w:rsid w:val="00E7132D"/>
    <w:rsid w:val="00E7142A"/>
    <w:rsid w:val="00E71519"/>
    <w:rsid w:val="00E71633"/>
    <w:rsid w:val="00E71665"/>
    <w:rsid w:val="00E717EC"/>
    <w:rsid w:val="00E71805"/>
    <w:rsid w:val="00E71856"/>
    <w:rsid w:val="00E7192C"/>
    <w:rsid w:val="00E71987"/>
    <w:rsid w:val="00E71A39"/>
    <w:rsid w:val="00E72153"/>
    <w:rsid w:val="00E7240E"/>
    <w:rsid w:val="00E7265A"/>
    <w:rsid w:val="00E7281A"/>
    <w:rsid w:val="00E72971"/>
    <w:rsid w:val="00E729B9"/>
    <w:rsid w:val="00E72F75"/>
    <w:rsid w:val="00E730C2"/>
    <w:rsid w:val="00E73129"/>
    <w:rsid w:val="00E732B8"/>
    <w:rsid w:val="00E73435"/>
    <w:rsid w:val="00E73719"/>
    <w:rsid w:val="00E737D1"/>
    <w:rsid w:val="00E73B69"/>
    <w:rsid w:val="00E73D7B"/>
    <w:rsid w:val="00E73F1B"/>
    <w:rsid w:val="00E73F46"/>
    <w:rsid w:val="00E74077"/>
    <w:rsid w:val="00E74124"/>
    <w:rsid w:val="00E74229"/>
    <w:rsid w:val="00E74439"/>
    <w:rsid w:val="00E744B0"/>
    <w:rsid w:val="00E746B2"/>
    <w:rsid w:val="00E747E4"/>
    <w:rsid w:val="00E748D1"/>
    <w:rsid w:val="00E7497E"/>
    <w:rsid w:val="00E74AD7"/>
    <w:rsid w:val="00E74C4B"/>
    <w:rsid w:val="00E74C6E"/>
    <w:rsid w:val="00E75112"/>
    <w:rsid w:val="00E751A8"/>
    <w:rsid w:val="00E75301"/>
    <w:rsid w:val="00E75362"/>
    <w:rsid w:val="00E75506"/>
    <w:rsid w:val="00E7570C"/>
    <w:rsid w:val="00E757F4"/>
    <w:rsid w:val="00E758F0"/>
    <w:rsid w:val="00E75AD0"/>
    <w:rsid w:val="00E75B26"/>
    <w:rsid w:val="00E75B89"/>
    <w:rsid w:val="00E75BA2"/>
    <w:rsid w:val="00E75BB5"/>
    <w:rsid w:val="00E75F5C"/>
    <w:rsid w:val="00E7608F"/>
    <w:rsid w:val="00E760A5"/>
    <w:rsid w:val="00E76343"/>
    <w:rsid w:val="00E76708"/>
    <w:rsid w:val="00E76BA6"/>
    <w:rsid w:val="00E76BEE"/>
    <w:rsid w:val="00E76E01"/>
    <w:rsid w:val="00E775F9"/>
    <w:rsid w:val="00E77674"/>
    <w:rsid w:val="00E7798B"/>
    <w:rsid w:val="00E77C09"/>
    <w:rsid w:val="00E80032"/>
    <w:rsid w:val="00E8025E"/>
    <w:rsid w:val="00E8039D"/>
    <w:rsid w:val="00E80482"/>
    <w:rsid w:val="00E80A23"/>
    <w:rsid w:val="00E80BD2"/>
    <w:rsid w:val="00E80DC3"/>
    <w:rsid w:val="00E80DC8"/>
    <w:rsid w:val="00E80F63"/>
    <w:rsid w:val="00E811BC"/>
    <w:rsid w:val="00E8142A"/>
    <w:rsid w:val="00E81919"/>
    <w:rsid w:val="00E81EE0"/>
    <w:rsid w:val="00E81FBB"/>
    <w:rsid w:val="00E8238A"/>
    <w:rsid w:val="00E82553"/>
    <w:rsid w:val="00E82599"/>
    <w:rsid w:val="00E825BC"/>
    <w:rsid w:val="00E82CC4"/>
    <w:rsid w:val="00E82F73"/>
    <w:rsid w:val="00E830F0"/>
    <w:rsid w:val="00E83171"/>
    <w:rsid w:val="00E833DC"/>
    <w:rsid w:val="00E834A8"/>
    <w:rsid w:val="00E83595"/>
    <w:rsid w:val="00E83622"/>
    <w:rsid w:val="00E837CA"/>
    <w:rsid w:val="00E83920"/>
    <w:rsid w:val="00E83967"/>
    <w:rsid w:val="00E83972"/>
    <w:rsid w:val="00E839EE"/>
    <w:rsid w:val="00E83E11"/>
    <w:rsid w:val="00E83F0E"/>
    <w:rsid w:val="00E83FCE"/>
    <w:rsid w:val="00E84120"/>
    <w:rsid w:val="00E84232"/>
    <w:rsid w:val="00E84329"/>
    <w:rsid w:val="00E84418"/>
    <w:rsid w:val="00E8448D"/>
    <w:rsid w:val="00E84622"/>
    <w:rsid w:val="00E84673"/>
    <w:rsid w:val="00E84687"/>
    <w:rsid w:val="00E84765"/>
    <w:rsid w:val="00E847DB"/>
    <w:rsid w:val="00E84900"/>
    <w:rsid w:val="00E8495D"/>
    <w:rsid w:val="00E84A9D"/>
    <w:rsid w:val="00E84C89"/>
    <w:rsid w:val="00E850D0"/>
    <w:rsid w:val="00E85164"/>
    <w:rsid w:val="00E852AC"/>
    <w:rsid w:val="00E856D0"/>
    <w:rsid w:val="00E8573D"/>
    <w:rsid w:val="00E85839"/>
    <w:rsid w:val="00E85ACB"/>
    <w:rsid w:val="00E85ACD"/>
    <w:rsid w:val="00E85EF7"/>
    <w:rsid w:val="00E86065"/>
    <w:rsid w:val="00E86204"/>
    <w:rsid w:val="00E8654C"/>
    <w:rsid w:val="00E866B7"/>
    <w:rsid w:val="00E86861"/>
    <w:rsid w:val="00E86A7A"/>
    <w:rsid w:val="00E86F26"/>
    <w:rsid w:val="00E8723E"/>
    <w:rsid w:val="00E872AD"/>
    <w:rsid w:val="00E87418"/>
    <w:rsid w:val="00E8766C"/>
    <w:rsid w:val="00E87A27"/>
    <w:rsid w:val="00E87A54"/>
    <w:rsid w:val="00E87C92"/>
    <w:rsid w:val="00E87CAC"/>
    <w:rsid w:val="00E87CF1"/>
    <w:rsid w:val="00E87E76"/>
    <w:rsid w:val="00E904D1"/>
    <w:rsid w:val="00E9050B"/>
    <w:rsid w:val="00E90632"/>
    <w:rsid w:val="00E90743"/>
    <w:rsid w:val="00E9077C"/>
    <w:rsid w:val="00E907A1"/>
    <w:rsid w:val="00E9086A"/>
    <w:rsid w:val="00E908F3"/>
    <w:rsid w:val="00E90913"/>
    <w:rsid w:val="00E91184"/>
    <w:rsid w:val="00E91200"/>
    <w:rsid w:val="00E91271"/>
    <w:rsid w:val="00E91490"/>
    <w:rsid w:val="00E9193D"/>
    <w:rsid w:val="00E91BF4"/>
    <w:rsid w:val="00E91D64"/>
    <w:rsid w:val="00E91DF6"/>
    <w:rsid w:val="00E91E07"/>
    <w:rsid w:val="00E91E55"/>
    <w:rsid w:val="00E91FFE"/>
    <w:rsid w:val="00E9205F"/>
    <w:rsid w:val="00E92193"/>
    <w:rsid w:val="00E921F6"/>
    <w:rsid w:val="00E92221"/>
    <w:rsid w:val="00E923AF"/>
    <w:rsid w:val="00E923F5"/>
    <w:rsid w:val="00E9241E"/>
    <w:rsid w:val="00E9243F"/>
    <w:rsid w:val="00E9262B"/>
    <w:rsid w:val="00E9286A"/>
    <w:rsid w:val="00E92BF7"/>
    <w:rsid w:val="00E92DE6"/>
    <w:rsid w:val="00E93020"/>
    <w:rsid w:val="00E931A8"/>
    <w:rsid w:val="00E932AF"/>
    <w:rsid w:val="00E93377"/>
    <w:rsid w:val="00E934CF"/>
    <w:rsid w:val="00E93518"/>
    <w:rsid w:val="00E93654"/>
    <w:rsid w:val="00E936CF"/>
    <w:rsid w:val="00E936E1"/>
    <w:rsid w:val="00E939C5"/>
    <w:rsid w:val="00E93B14"/>
    <w:rsid w:val="00E93B6F"/>
    <w:rsid w:val="00E93B97"/>
    <w:rsid w:val="00E940BA"/>
    <w:rsid w:val="00E94290"/>
    <w:rsid w:val="00E94374"/>
    <w:rsid w:val="00E943A1"/>
    <w:rsid w:val="00E943E3"/>
    <w:rsid w:val="00E943F5"/>
    <w:rsid w:val="00E94700"/>
    <w:rsid w:val="00E9498F"/>
    <w:rsid w:val="00E94A85"/>
    <w:rsid w:val="00E94A8C"/>
    <w:rsid w:val="00E94A99"/>
    <w:rsid w:val="00E94B39"/>
    <w:rsid w:val="00E94CF8"/>
    <w:rsid w:val="00E94DCD"/>
    <w:rsid w:val="00E94EBA"/>
    <w:rsid w:val="00E94F4C"/>
    <w:rsid w:val="00E95160"/>
    <w:rsid w:val="00E95292"/>
    <w:rsid w:val="00E95333"/>
    <w:rsid w:val="00E9544E"/>
    <w:rsid w:val="00E955D4"/>
    <w:rsid w:val="00E9566B"/>
    <w:rsid w:val="00E95AB2"/>
    <w:rsid w:val="00E95AC2"/>
    <w:rsid w:val="00E95BE6"/>
    <w:rsid w:val="00E95C9D"/>
    <w:rsid w:val="00E95EF1"/>
    <w:rsid w:val="00E9615B"/>
    <w:rsid w:val="00E9635E"/>
    <w:rsid w:val="00E963AB"/>
    <w:rsid w:val="00E96695"/>
    <w:rsid w:val="00E9669C"/>
    <w:rsid w:val="00E96717"/>
    <w:rsid w:val="00E9688F"/>
    <w:rsid w:val="00E96906"/>
    <w:rsid w:val="00E96B61"/>
    <w:rsid w:val="00E96B71"/>
    <w:rsid w:val="00E96CDA"/>
    <w:rsid w:val="00E96D1D"/>
    <w:rsid w:val="00E96D9C"/>
    <w:rsid w:val="00E970E6"/>
    <w:rsid w:val="00E970ED"/>
    <w:rsid w:val="00E97155"/>
    <w:rsid w:val="00E9734E"/>
    <w:rsid w:val="00E97AF4"/>
    <w:rsid w:val="00E97B03"/>
    <w:rsid w:val="00E97D46"/>
    <w:rsid w:val="00E97D61"/>
    <w:rsid w:val="00E97E71"/>
    <w:rsid w:val="00E97E7D"/>
    <w:rsid w:val="00E97FAA"/>
    <w:rsid w:val="00EA010B"/>
    <w:rsid w:val="00EA0177"/>
    <w:rsid w:val="00EA0352"/>
    <w:rsid w:val="00EA0353"/>
    <w:rsid w:val="00EA03A6"/>
    <w:rsid w:val="00EA03F5"/>
    <w:rsid w:val="00EA0763"/>
    <w:rsid w:val="00EA08A9"/>
    <w:rsid w:val="00EA0C87"/>
    <w:rsid w:val="00EA0D2C"/>
    <w:rsid w:val="00EA0D2F"/>
    <w:rsid w:val="00EA0E24"/>
    <w:rsid w:val="00EA10FD"/>
    <w:rsid w:val="00EA1487"/>
    <w:rsid w:val="00EA182D"/>
    <w:rsid w:val="00EA1AB6"/>
    <w:rsid w:val="00EA1AFE"/>
    <w:rsid w:val="00EA1CDB"/>
    <w:rsid w:val="00EA1D18"/>
    <w:rsid w:val="00EA1D19"/>
    <w:rsid w:val="00EA1D1C"/>
    <w:rsid w:val="00EA1FFD"/>
    <w:rsid w:val="00EA2119"/>
    <w:rsid w:val="00EA21D5"/>
    <w:rsid w:val="00EA27D7"/>
    <w:rsid w:val="00EA27EF"/>
    <w:rsid w:val="00EA28A0"/>
    <w:rsid w:val="00EA2B2A"/>
    <w:rsid w:val="00EA2C94"/>
    <w:rsid w:val="00EA2F0C"/>
    <w:rsid w:val="00EA3751"/>
    <w:rsid w:val="00EA3AA6"/>
    <w:rsid w:val="00EA3C0D"/>
    <w:rsid w:val="00EA3CDA"/>
    <w:rsid w:val="00EA3EB7"/>
    <w:rsid w:val="00EA3EEC"/>
    <w:rsid w:val="00EA40BC"/>
    <w:rsid w:val="00EA40DC"/>
    <w:rsid w:val="00EA445A"/>
    <w:rsid w:val="00EA46B0"/>
    <w:rsid w:val="00EA4792"/>
    <w:rsid w:val="00EA4797"/>
    <w:rsid w:val="00EA481C"/>
    <w:rsid w:val="00EA49E4"/>
    <w:rsid w:val="00EA4A10"/>
    <w:rsid w:val="00EA4B3C"/>
    <w:rsid w:val="00EA50A5"/>
    <w:rsid w:val="00EA50A8"/>
    <w:rsid w:val="00EA54C6"/>
    <w:rsid w:val="00EA572F"/>
    <w:rsid w:val="00EA5778"/>
    <w:rsid w:val="00EA57FF"/>
    <w:rsid w:val="00EA5AF5"/>
    <w:rsid w:val="00EA5BA1"/>
    <w:rsid w:val="00EA5C58"/>
    <w:rsid w:val="00EA5F29"/>
    <w:rsid w:val="00EA6117"/>
    <w:rsid w:val="00EA627E"/>
    <w:rsid w:val="00EA695A"/>
    <w:rsid w:val="00EA6B89"/>
    <w:rsid w:val="00EA6C09"/>
    <w:rsid w:val="00EA6C5A"/>
    <w:rsid w:val="00EA6E28"/>
    <w:rsid w:val="00EA6EB5"/>
    <w:rsid w:val="00EA6F89"/>
    <w:rsid w:val="00EA70B4"/>
    <w:rsid w:val="00EA70F1"/>
    <w:rsid w:val="00EA710F"/>
    <w:rsid w:val="00EA72BC"/>
    <w:rsid w:val="00EA73B3"/>
    <w:rsid w:val="00EA7471"/>
    <w:rsid w:val="00EA75F1"/>
    <w:rsid w:val="00EA77A5"/>
    <w:rsid w:val="00EA77E7"/>
    <w:rsid w:val="00EA7A16"/>
    <w:rsid w:val="00EA7C98"/>
    <w:rsid w:val="00EA7F90"/>
    <w:rsid w:val="00EB004F"/>
    <w:rsid w:val="00EB00B7"/>
    <w:rsid w:val="00EB019D"/>
    <w:rsid w:val="00EB036A"/>
    <w:rsid w:val="00EB0373"/>
    <w:rsid w:val="00EB055A"/>
    <w:rsid w:val="00EB05B8"/>
    <w:rsid w:val="00EB07C4"/>
    <w:rsid w:val="00EB0A5D"/>
    <w:rsid w:val="00EB0B15"/>
    <w:rsid w:val="00EB15AB"/>
    <w:rsid w:val="00EB1741"/>
    <w:rsid w:val="00EB1821"/>
    <w:rsid w:val="00EB199C"/>
    <w:rsid w:val="00EB1C3E"/>
    <w:rsid w:val="00EB1E55"/>
    <w:rsid w:val="00EB20E9"/>
    <w:rsid w:val="00EB210D"/>
    <w:rsid w:val="00EB2368"/>
    <w:rsid w:val="00EB238D"/>
    <w:rsid w:val="00EB23F7"/>
    <w:rsid w:val="00EB260A"/>
    <w:rsid w:val="00EB27C5"/>
    <w:rsid w:val="00EB2CAA"/>
    <w:rsid w:val="00EB2F63"/>
    <w:rsid w:val="00EB2FF8"/>
    <w:rsid w:val="00EB30DE"/>
    <w:rsid w:val="00EB332B"/>
    <w:rsid w:val="00EB3579"/>
    <w:rsid w:val="00EB367A"/>
    <w:rsid w:val="00EB3735"/>
    <w:rsid w:val="00EB3B5F"/>
    <w:rsid w:val="00EB3DD9"/>
    <w:rsid w:val="00EB3FE8"/>
    <w:rsid w:val="00EB413C"/>
    <w:rsid w:val="00EB42FB"/>
    <w:rsid w:val="00EB46FE"/>
    <w:rsid w:val="00EB4718"/>
    <w:rsid w:val="00EB47FD"/>
    <w:rsid w:val="00EB49E4"/>
    <w:rsid w:val="00EB4B2F"/>
    <w:rsid w:val="00EB4B5C"/>
    <w:rsid w:val="00EB4DA6"/>
    <w:rsid w:val="00EB51E6"/>
    <w:rsid w:val="00EB555E"/>
    <w:rsid w:val="00EB5601"/>
    <w:rsid w:val="00EB575A"/>
    <w:rsid w:val="00EB5E66"/>
    <w:rsid w:val="00EB646F"/>
    <w:rsid w:val="00EB657C"/>
    <w:rsid w:val="00EB6702"/>
    <w:rsid w:val="00EB6B58"/>
    <w:rsid w:val="00EB6F0D"/>
    <w:rsid w:val="00EB700B"/>
    <w:rsid w:val="00EB701F"/>
    <w:rsid w:val="00EB7133"/>
    <w:rsid w:val="00EB71F3"/>
    <w:rsid w:val="00EB7438"/>
    <w:rsid w:val="00EB74F2"/>
    <w:rsid w:val="00EB7654"/>
    <w:rsid w:val="00EB76AA"/>
    <w:rsid w:val="00EB793E"/>
    <w:rsid w:val="00EB7B18"/>
    <w:rsid w:val="00EB7C70"/>
    <w:rsid w:val="00EB7D47"/>
    <w:rsid w:val="00EB7E60"/>
    <w:rsid w:val="00EC0214"/>
    <w:rsid w:val="00EC027A"/>
    <w:rsid w:val="00EC05E3"/>
    <w:rsid w:val="00EC0767"/>
    <w:rsid w:val="00EC0856"/>
    <w:rsid w:val="00EC0862"/>
    <w:rsid w:val="00EC0A42"/>
    <w:rsid w:val="00EC0A57"/>
    <w:rsid w:val="00EC0B79"/>
    <w:rsid w:val="00EC0D7E"/>
    <w:rsid w:val="00EC0E05"/>
    <w:rsid w:val="00EC0F5C"/>
    <w:rsid w:val="00EC1035"/>
    <w:rsid w:val="00EC10EE"/>
    <w:rsid w:val="00EC111A"/>
    <w:rsid w:val="00EC11BA"/>
    <w:rsid w:val="00EC1566"/>
    <w:rsid w:val="00EC1A46"/>
    <w:rsid w:val="00EC1A7F"/>
    <w:rsid w:val="00EC1B89"/>
    <w:rsid w:val="00EC1B96"/>
    <w:rsid w:val="00EC1D98"/>
    <w:rsid w:val="00EC1E0D"/>
    <w:rsid w:val="00EC1EA2"/>
    <w:rsid w:val="00EC2108"/>
    <w:rsid w:val="00EC2224"/>
    <w:rsid w:val="00EC24B1"/>
    <w:rsid w:val="00EC25DC"/>
    <w:rsid w:val="00EC2610"/>
    <w:rsid w:val="00EC33E8"/>
    <w:rsid w:val="00EC34C9"/>
    <w:rsid w:val="00EC37E3"/>
    <w:rsid w:val="00EC41F1"/>
    <w:rsid w:val="00EC46CD"/>
    <w:rsid w:val="00EC49F9"/>
    <w:rsid w:val="00EC4A60"/>
    <w:rsid w:val="00EC4AC2"/>
    <w:rsid w:val="00EC4B61"/>
    <w:rsid w:val="00EC4B6C"/>
    <w:rsid w:val="00EC4CED"/>
    <w:rsid w:val="00EC522A"/>
    <w:rsid w:val="00EC5274"/>
    <w:rsid w:val="00EC560B"/>
    <w:rsid w:val="00EC597D"/>
    <w:rsid w:val="00EC5ABD"/>
    <w:rsid w:val="00EC5C7B"/>
    <w:rsid w:val="00EC5D1D"/>
    <w:rsid w:val="00EC5E33"/>
    <w:rsid w:val="00EC5F40"/>
    <w:rsid w:val="00EC62B4"/>
    <w:rsid w:val="00EC638C"/>
    <w:rsid w:val="00EC6630"/>
    <w:rsid w:val="00EC663E"/>
    <w:rsid w:val="00EC6642"/>
    <w:rsid w:val="00EC6B25"/>
    <w:rsid w:val="00EC6B46"/>
    <w:rsid w:val="00EC6BFB"/>
    <w:rsid w:val="00EC6DFB"/>
    <w:rsid w:val="00EC6F07"/>
    <w:rsid w:val="00EC6F92"/>
    <w:rsid w:val="00EC6FAC"/>
    <w:rsid w:val="00EC6FBB"/>
    <w:rsid w:val="00EC732F"/>
    <w:rsid w:val="00EC78BA"/>
    <w:rsid w:val="00EC7D13"/>
    <w:rsid w:val="00ED0107"/>
    <w:rsid w:val="00ED0110"/>
    <w:rsid w:val="00ED021F"/>
    <w:rsid w:val="00ED02C8"/>
    <w:rsid w:val="00ED037C"/>
    <w:rsid w:val="00ED046B"/>
    <w:rsid w:val="00ED060B"/>
    <w:rsid w:val="00ED086F"/>
    <w:rsid w:val="00ED0A5C"/>
    <w:rsid w:val="00ED0B22"/>
    <w:rsid w:val="00ED0BAF"/>
    <w:rsid w:val="00ED0BBF"/>
    <w:rsid w:val="00ED0BEC"/>
    <w:rsid w:val="00ED0FFD"/>
    <w:rsid w:val="00ED127F"/>
    <w:rsid w:val="00ED12CE"/>
    <w:rsid w:val="00ED14BD"/>
    <w:rsid w:val="00ED1753"/>
    <w:rsid w:val="00ED1A9A"/>
    <w:rsid w:val="00ED1C29"/>
    <w:rsid w:val="00ED1C8B"/>
    <w:rsid w:val="00ED1DAE"/>
    <w:rsid w:val="00ED208B"/>
    <w:rsid w:val="00ED2304"/>
    <w:rsid w:val="00ED24F1"/>
    <w:rsid w:val="00ED281E"/>
    <w:rsid w:val="00ED28E5"/>
    <w:rsid w:val="00ED2AFE"/>
    <w:rsid w:val="00ED2D36"/>
    <w:rsid w:val="00ED2DD9"/>
    <w:rsid w:val="00ED3124"/>
    <w:rsid w:val="00ED337A"/>
    <w:rsid w:val="00ED375A"/>
    <w:rsid w:val="00ED37DE"/>
    <w:rsid w:val="00ED38FB"/>
    <w:rsid w:val="00ED3906"/>
    <w:rsid w:val="00ED3999"/>
    <w:rsid w:val="00ED39AA"/>
    <w:rsid w:val="00ED4060"/>
    <w:rsid w:val="00ED41CE"/>
    <w:rsid w:val="00ED43EB"/>
    <w:rsid w:val="00ED44A8"/>
    <w:rsid w:val="00ED4535"/>
    <w:rsid w:val="00ED46E9"/>
    <w:rsid w:val="00ED4867"/>
    <w:rsid w:val="00ED4D46"/>
    <w:rsid w:val="00ED54EC"/>
    <w:rsid w:val="00ED56ED"/>
    <w:rsid w:val="00ED5932"/>
    <w:rsid w:val="00ED5AA5"/>
    <w:rsid w:val="00ED5B7C"/>
    <w:rsid w:val="00ED5DE6"/>
    <w:rsid w:val="00ED5E42"/>
    <w:rsid w:val="00ED5E86"/>
    <w:rsid w:val="00ED5F1B"/>
    <w:rsid w:val="00ED5FD5"/>
    <w:rsid w:val="00ED60AE"/>
    <w:rsid w:val="00ED60F2"/>
    <w:rsid w:val="00ED623E"/>
    <w:rsid w:val="00ED6653"/>
    <w:rsid w:val="00ED6A89"/>
    <w:rsid w:val="00ED6B5C"/>
    <w:rsid w:val="00ED6D76"/>
    <w:rsid w:val="00ED6DED"/>
    <w:rsid w:val="00ED7210"/>
    <w:rsid w:val="00ED7425"/>
    <w:rsid w:val="00ED7516"/>
    <w:rsid w:val="00ED75AB"/>
    <w:rsid w:val="00ED79FA"/>
    <w:rsid w:val="00EE0004"/>
    <w:rsid w:val="00EE0087"/>
    <w:rsid w:val="00EE0090"/>
    <w:rsid w:val="00EE00E1"/>
    <w:rsid w:val="00EE0375"/>
    <w:rsid w:val="00EE037E"/>
    <w:rsid w:val="00EE0383"/>
    <w:rsid w:val="00EE0A67"/>
    <w:rsid w:val="00EE0A85"/>
    <w:rsid w:val="00EE0B9A"/>
    <w:rsid w:val="00EE0C2F"/>
    <w:rsid w:val="00EE0CA0"/>
    <w:rsid w:val="00EE0D37"/>
    <w:rsid w:val="00EE0D50"/>
    <w:rsid w:val="00EE0DF8"/>
    <w:rsid w:val="00EE120F"/>
    <w:rsid w:val="00EE128C"/>
    <w:rsid w:val="00EE1334"/>
    <w:rsid w:val="00EE14D1"/>
    <w:rsid w:val="00EE1948"/>
    <w:rsid w:val="00EE1B32"/>
    <w:rsid w:val="00EE1B4E"/>
    <w:rsid w:val="00EE1BEB"/>
    <w:rsid w:val="00EE1E4A"/>
    <w:rsid w:val="00EE2127"/>
    <w:rsid w:val="00EE2341"/>
    <w:rsid w:val="00EE234C"/>
    <w:rsid w:val="00EE23F6"/>
    <w:rsid w:val="00EE250A"/>
    <w:rsid w:val="00EE2879"/>
    <w:rsid w:val="00EE29F3"/>
    <w:rsid w:val="00EE2A59"/>
    <w:rsid w:val="00EE2D91"/>
    <w:rsid w:val="00EE2E4E"/>
    <w:rsid w:val="00EE2EFF"/>
    <w:rsid w:val="00EE2FA7"/>
    <w:rsid w:val="00EE30A5"/>
    <w:rsid w:val="00EE3573"/>
    <w:rsid w:val="00EE366B"/>
    <w:rsid w:val="00EE3827"/>
    <w:rsid w:val="00EE38B0"/>
    <w:rsid w:val="00EE3AE9"/>
    <w:rsid w:val="00EE3BA9"/>
    <w:rsid w:val="00EE3CEC"/>
    <w:rsid w:val="00EE3FA5"/>
    <w:rsid w:val="00EE4244"/>
    <w:rsid w:val="00EE43E4"/>
    <w:rsid w:val="00EE447F"/>
    <w:rsid w:val="00EE4548"/>
    <w:rsid w:val="00EE46AE"/>
    <w:rsid w:val="00EE48DC"/>
    <w:rsid w:val="00EE49D7"/>
    <w:rsid w:val="00EE4A01"/>
    <w:rsid w:val="00EE4B92"/>
    <w:rsid w:val="00EE4D07"/>
    <w:rsid w:val="00EE4F80"/>
    <w:rsid w:val="00EE506E"/>
    <w:rsid w:val="00EE525F"/>
    <w:rsid w:val="00EE531C"/>
    <w:rsid w:val="00EE5559"/>
    <w:rsid w:val="00EE55A8"/>
    <w:rsid w:val="00EE55E6"/>
    <w:rsid w:val="00EE570D"/>
    <w:rsid w:val="00EE571C"/>
    <w:rsid w:val="00EE5769"/>
    <w:rsid w:val="00EE5779"/>
    <w:rsid w:val="00EE5857"/>
    <w:rsid w:val="00EE58B9"/>
    <w:rsid w:val="00EE5933"/>
    <w:rsid w:val="00EE5964"/>
    <w:rsid w:val="00EE5B84"/>
    <w:rsid w:val="00EE5C46"/>
    <w:rsid w:val="00EE5E82"/>
    <w:rsid w:val="00EE5FD7"/>
    <w:rsid w:val="00EE6104"/>
    <w:rsid w:val="00EE6154"/>
    <w:rsid w:val="00EE6452"/>
    <w:rsid w:val="00EE64A6"/>
    <w:rsid w:val="00EE6833"/>
    <w:rsid w:val="00EE68B6"/>
    <w:rsid w:val="00EE6BD1"/>
    <w:rsid w:val="00EE6D36"/>
    <w:rsid w:val="00EE6E8B"/>
    <w:rsid w:val="00EE715B"/>
    <w:rsid w:val="00EE76FA"/>
    <w:rsid w:val="00EE7ADF"/>
    <w:rsid w:val="00EE7FAA"/>
    <w:rsid w:val="00EE7FDA"/>
    <w:rsid w:val="00EE7FEF"/>
    <w:rsid w:val="00EF024A"/>
    <w:rsid w:val="00EF0354"/>
    <w:rsid w:val="00EF04E4"/>
    <w:rsid w:val="00EF0513"/>
    <w:rsid w:val="00EF0716"/>
    <w:rsid w:val="00EF0D02"/>
    <w:rsid w:val="00EF0D4F"/>
    <w:rsid w:val="00EF1240"/>
    <w:rsid w:val="00EF13D7"/>
    <w:rsid w:val="00EF14C5"/>
    <w:rsid w:val="00EF174B"/>
    <w:rsid w:val="00EF17D6"/>
    <w:rsid w:val="00EF1843"/>
    <w:rsid w:val="00EF1855"/>
    <w:rsid w:val="00EF1D53"/>
    <w:rsid w:val="00EF1DB7"/>
    <w:rsid w:val="00EF1FF5"/>
    <w:rsid w:val="00EF1FFD"/>
    <w:rsid w:val="00EF2026"/>
    <w:rsid w:val="00EF22D7"/>
    <w:rsid w:val="00EF237B"/>
    <w:rsid w:val="00EF239A"/>
    <w:rsid w:val="00EF2462"/>
    <w:rsid w:val="00EF2A02"/>
    <w:rsid w:val="00EF2A38"/>
    <w:rsid w:val="00EF2A64"/>
    <w:rsid w:val="00EF2A9C"/>
    <w:rsid w:val="00EF2ADC"/>
    <w:rsid w:val="00EF2F13"/>
    <w:rsid w:val="00EF341A"/>
    <w:rsid w:val="00EF349E"/>
    <w:rsid w:val="00EF3686"/>
    <w:rsid w:val="00EF38DC"/>
    <w:rsid w:val="00EF3C3A"/>
    <w:rsid w:val="00EF3C94"/>
    <w:rsid w:val="00EF3E61"/>
    <w:rsid w:val="00EF4177"/>
    <w:rsid w:val="00EF418A"/>
    <w:rsid w:val="00EF42EA"/>
    <w:rsid w:val="00EF4BE9"/>
    <w:rsid w:val="00EF4CE7"/>
    <w:rsid w:val="00EF4D24"/>
    <w:rsid w:val="00EF4D94"/>
    <w:rsid w:val="00EF5004"/>
    <w:rsid w:val="00EF5011"/>
    <w:rsid w:val="00EF5232"/>
    <w:rsid w:val="00EF53D7"/>
    <w:rsid w:val="00EF54E8"/>
    <w:rsid w:val="00EF5699"/>
    <w:rsid w:val="00EF56A2"/>
    <w:rsid w:val="00EF5731"/>
    <w:rsid w:val="00EF57BD"/>
    <w:rsid w:val="00EF57C1"/>
    <w:rsid w:val="00EF5A6C"/>
    <w:rsid w:val="00EF5B31"/>
    <w:rsid w:val="00EF5C32"/>
    <w:rsid w:val="00EF5C49"/>
    <w:rsid w:val="00EF5E10"/>
    <w:rsid w:val="00EF5E9F"/>
    <w:rsid w:val="00EF602F"/>
    <w:rsid w:val="00EF64DF"/>
    <w:rsid w:val="00EF6DC3"/>
    <w:rsid w:val="00EF70A7"/>
    <w:rsid w:val="00EF7223"/>
    <w:rsid w:val="00EF7244"/>
    <w:rsid w:val="00EF7251"/>
    <w:rsid w:val="00EF72E4"/>
    <w:rsid w:val="00EF75DA"/>
    <w:rsid w:val="00EF7704"/>
    <w:rsid w:val="00EF788A"/>
    <w:rsid w:val="00EF7A82"/>
    <w:rsid w:val="00EF7EA3"/>
    <w:rsid w:val="00EF7F17"/>
    <w:rsid w:val="00EF7FD9"/>
    <w:rsid w:val="00F002D7"/>
    <w:rsid w:val="00F00339"/>
    <w:rsid w:val="00F00358"/>
    <w:rsid w:val="00F0045D"/>
    <w:rsid w:val="00F004DB"/>
    <w:rsid w:val="00F00514"/>
    <w:rsid w:val="00F00728"/>
    <w:rsid w:val="00F007B1"/>
    <w:rsid w:val="00F00809"/>
    <w:rsid w:val="00F00821"/>
    <w:rsid w:val="00F00888"/>
    <w:rsid w:val="00F00956"/>
    <w:rsid w:val="00F00AE1"/>
    <w:rsid w:val="00F00BC3"/>
    <w:rsid w:val="00F00F5F"/>
    <w:rsid w:val="00F00F8D"/>
    <w:rsid w:val="00F01399"/>
    <w:rsid w:val="00F0159E"/>
    <w:rsid w:val="00F01D2E"/>
    <w:rsid w:val="00F01E52"/>
    <w:rsid w:val="00F01F19"/>
    <w:rsid w:val="00F0242F"/>
    <w:rsid w:val="00F024A4"/>
    <w:rsid w:val="00F02702"/>
    <w:rsid w:val="00F0290F"/>
    <w:rsid w:val="00F029AD"/>
    <w:rsid w:val="00F02B85"/>
    <w:rsid w:val="00F02C05"/>
    <w:rsid w:val="00F02C06"/>
    <w:rsid w:val="00F0362A"/>
    <w:rsid w:val="00F0372B"/>
    <w:rsid w:val="00F037D8"/>
    <w:rsid w:val="00F0382E"/>
    <w:rsid w:val="00F038ED"/>
    <w:rsid w:val="00F0392A"/>
    <w:rsid w:val="00F03BAA"/>
    <w:rsid w:val="00F03BF5"/>
    <w:rsid w:val="00F03D11"/>
    <w:rsid w:val="00F03E00"/>
    <w:rsid w:val="00F0404B"/>
    <w:rsid w:val="00F042AF"/>
    <w:rsid w:val="00F0435B"/>
    <w:rsid w:val="00F04487"/>
    <w:rsid w:val="00F04848"/>
    <w:rsid w:val="00F04885"/>
    <w:rsid w:val="00F04BD8"/>
    <w:rsid w:val="00F04ECE"/>
    <w:rsid w:val="00F04EDF"/>
    <w:rsid w:val="00F050A5"/>
    <w:rsid w:val="00F05114"/>
    <w:rsid w:val="00F05135"/>
    <w:rsid w:val="00F0525A"/>
    <w:rsid w:val="00F052A2"/>
    <w:rsid w:val="00F0535A"/>
    <w:rsid w:val="00F0537A"/>
    <w:rsid w:val="00F0566D"/>
    <w:rsid w:val="00F05766"/>
    <w:rsid w:val="00F0582E"/>
    <w:rsid w:val="00F0588F"/>
    <w:rsid w:val="00F059D4"/>
    <w:rsid w:val="00F05A84"/>
    <w:rsid w:val="00F05C84"/>
    <w:rsid w:val="00F05F99"/>
    <w:rsid w:val="00F05FAF"/>
    <w:rsid w:val="00F0629A"/>
    <w:rsid w:val="00F06A54"/>
    <w:rsid w:val="00F06AE6"/>
    <w:rsid w:val="00F06CBC"/>
    <w:rsid w:val="00F06D05"/>
    <w:rsid w:val="00F073A4"/>
    <w:rsid w:val="00F0756D"/>
    <w:rsid w:val="00F0763E"/>
    <w:rsid w:val="00F077AB"/>
    <w:rsid w:val="00F07838"/>
    <w:rsid w:val="00F079B5"/>
    <w:rsid w:val="00F07E6E"/>
    <w:rsid w:val="00F102D4"/>
    <w:rsid w:val="00F102E8"/>
    <w:rsid w:val="00F1033D"/>
    <w:rsid w:val="00F103B7"/>
    <w:rsid w:val="00F103EC"/>
    <w:rsid w:val="00F10474"/>
    <w:rsid w:val="00F104C9"/>
    <w:rsid w:val="00F1051E"/>
    <w:rsid w:val="00F1086C"/>
    <w:rsid w:val="00F10D44"/>
    <w:rsid w:val="00F10ECD"/>
    <w:rsid w:val="00F10F31"/>
    <w:rsid w:val="00F10FFD"/>
    <w:rsid w:val="00F1106A"/>
    <w:rsid w:val="00F11137"/>
    <w:rsid w:val="00F11367"/>
    <w:rsid w:val="00F113ED"/>
    <w:rsid w:val="00F1159E"/>
    <w:rsid w:val="00F11649"/>
    <w:rsid w:val="00F1167F"/>
    <w:rsid w:val="00F116CF"/>
    <w:rsid w:val="00F1186E"/>
    <w:rsid w:val="00F124D6"/>
    <w:rsid w:val="00F12549"/>
    <w:rsid w:val="00F1273F"/>
    <w:rsid w:val="00F12BB1"/>
    <w:rsid w:val="00F12F26"/>
    <w:rsid w:val="00F13079"/>
    <w:rsid w:val="00F13143"/>
    <w:rsid w:val="00F13251"/>
    <w:rsid w:val="00F13296"/>
    <w:rsid w:val="00F133B9"/>
    <w:rsid w:val="00F1355B"/>
    <w:rsid w:val="00F1357A"/>
    <w:rsid w:val="00F138FA"/>
    <w:rsid w:val="00F13AA3"/>
    <w:rsid w:val="00F13BA6"/>
    <w:rsid w:val="00F13CE4"/>
    <w:rsid w:val="00F13D2D"/>
    <w:rsid w:val="00F13E0B"/>
    <w:rsid w:val="00F13EAB"/>
    <w:rsid w:val="00F13ED6"/>
    <w:rsid w:val="00F140D5"/>
    <w:rsid w:val="00F14561"/>
    <w:rsid w:val="00F146B6"/>
    <w:rsid w:val="00F147C2"/>
    <w:rsid w:val="00F14A4C"/>
    <w:rsid w:val="00F14E4E"/>
    <w:rsid w:val="00F14EB2"/>
    <w:rsid w:val="00F15406"/>
    <w:rsid w:val="00F1548C"/>
    <w:rsid w:val="00F1569A"/>
    <w:rsid w:val="00F156B6"/>
    <w:rsid w:val="00F15807"/>
    <w:rsid w:val="00F15822"/>
    <w:rsid w:val="00F15926"/>
    <w:rsid w:val="00F15A74"/>
    <w:rsid w:val="00F15D44"/>
    <w:rsid w:val="00F15F06"/>
    <w:rsid w:val="00F16254"/>
    <w:rsid w:val="00F162C3"/>
    <w:rsid w:val="00F164C9"/>
    <w:rsid w:val="00F164CF"/>
    <w:rsid w:val="00F1650A"/>
    <w:rsid w:val="00F166E8"/>
    <w:rsid w:val="00F167CD"/>
    <w:rsid w:val="00F16838"/>
    <w:rsid w:val="00F16C2D"/>
    <w:rsid w:val="00F16CD8"/>
    <w:rsid w:val="00F16D4D"/>
    <w:rsid w:val="00F16D71"/>
    <w:rsid w:val="00F171C9"/>
    <w:rsid w:val="00F179B4"/>
    <w:rsid w:val="00F17AE1"/>
    <w:rsid w:val="00F17B8C"/>
    <w:rsid w:val="00F17BCC"/>
    <w:rsid w:val="00F17DE1"/>
    <w:rsid w:val="00F17FB9"/>
    <w:rsid w:val="00F20002"/>
    <w:rsid w:val="00F20148"/>
    <w:rsid w:val="00F20416"/>
    <w:rsid w:val="00F2063F"/>
    <w:rsid w:val="00F207F6"/>
    <w:rsid w:val="00F209CE"/>
    <w:rsid w:val="00F20EE8"/>
    <w:rsid w:val="00F2116F"/>
    <w:rsid w:val="00F211AC"/>
    <w:rsid w:val="00F215A6"/>
    <w:rsid w:val="00F21D06"/>
    <w:rsid w:val="00F22289"/>
    <w:rsid w:val="00F22294"/>
    <w:rsid w:val="00F2256B"/>
    <w:rsid w:val="00F22643"/>
    <w:rsid w:val="00F22696"/>
    <w:rsid w:val="00F22701"/>
    <w:rsid w:val="00F22850"/>
    <w:rsid w:val="00F22F32"/>
    <w:rsid w:val="00F230EF"/>
    <w:rsid w:val="00F233D5"/>
    <w:rsid w:val="00F23472"/>
    <w:rsid w:val="00F2359C"/>
    <w:rsid w:val="00F235C0"/>
    <w:rsid w:val="00F23746"/>
    <w:rsid w:val="00F238F6"/>
    <w:rsid w:val="00F23A78"/>
    <w:rsid w:val="00F23CD7"/>
    <w:rsid w:val="00F23DC1"/>
    <w:rsid w:val="00F23E85"/>
    <w:rsid w:val="00F23E99"/>
    <w:rsid w:val="00F241D8"/>
    <w:rsid w:val="00F24464"/>
    <w:rsid w:val="00F24651"/>
    <w:rsid w:val="00F246FE"/>
    <w:rsid w:val="00F24B80"/>
    <w:rsid w:val="00F24C2F"/>
    <w:rsid w:val="00F24C4A"/>
    <w:rsid w:val="00F24C9A"/>
    <w:rsid w:val="00F24D6D"/>
    <w:rsid w:val="00F24DA6"/>
    <w:rsid w:val="00F24E64"/>
    <w:rsid w:val="00F24F85"/>
    <w:rsid w:val="00F25189"/>
    <w:rsid w:val="00F25359"/>
    <w:rsid w:val="00F2545C"/>
    <w:rsid w:val="00F255B9"/>
    <w:rsid w:val="00F25746"/>
    <w:rsid w:val="00F2585C"/>
    <w:rsid w:val="00F25956"/>
    <w:rsid w:val="00F25D3A"/>
    <w:rsid w:val="00F260CF"/>
    <w:rsid w:val="00F26448"/>
    <w:rsid w:val="00F264C3"/>
    <w:rsid w:val="00F26841"/>
    <w:rsid w:val="00F2685D"/>
    <w:rsid w:val="00F2685E"/>
    <w:rsid w:val="00F2698D"/>
    <w:rsid w:val="00F26ADF"/>
    <w:rsid w:val="00F26C28"/>
    <w:rsid w:val="00F26C53"/>
    <w:rsid w:val="00F26D32"/>
    <w:rsid w:val="00F26DB4"/>
    <w:rsid w:val="00F26EC1"/>
    <w:rsid w:val="00F26ECD"/>
    <w:rsid w:val="00F26F3C"/>
    <w:rsid w:val="00F26F94"/>
    <w:rsid w:val="00F2708D"/>
    <w:rsid w:val="00F270C0"/>
    <w:rsid w:val="00F271E1"/>
    <w:rsid w:val="00F276C9"/>
    <w:rsid w:val="00F27780"/>
    <w:rsid w:val="00F2796F"/>
    <w:rsid w:val="00F27B42"/>
    <w:rsid w:val="00F27DC6"/>
    <w:rsid w:val="00F27F99"/>
    <w:rsid w:val="00F30080"/>
    <w:rsid w:val="00F300E6"/>
    <w:rsid w:val="00F3050F"/>
    <w:rsid w:val="00F306FE"/>
    <w:rsid w:val="00F30AD3"/>
    <w:rsid w:val="00F30B84"/>
    <w:rsid w:val="00F30BA9"/>
    <w:rsid w:val="00F30EDF"/>
    <w:rsid w:val="00F31014"/>
    <w:rsid w:val="00F310BB"/>
    <w:rsid w:val="00F313D9"/>
    <w:rsid w:val="00F314D3"/>
    <w:rsid w:val="00F31BEF"/>
    <w:rsid w:val="00F31D24"/>
    <w:rsid w:val="00F31DE3"/>
    <w:rsid w:val="00F31E19"/>
    <w:rsid w:val="00F324D0"/>
    <w:rsid w:val="00F327B3"/>
    <w:rsid w:val="00F32928"/>
    <w:rsid w:val="00F3293F"/>
    <w:rsid w:val="00F32CAA"/>
    <w:rsid w:val="00F32CB6"/>
    <w:rsid w:val="00F32E11"/>
    <w:rsid w:val="00F32E19"/>
    <w:rsid w:val="00F32EC8"/>
    <w:rsid w:val="00F32FE5"/>
    <w:rsid w:val="00F3324A"/>
    <w:rsid w:val="00F33572"/>
    <w:rsid w:val="00F335C8"/>
    <w:rsid w:val="00F3375C"/>
    <w:rsid w:val="00F33814"/>
    <w:rsid w:val="00F33C92"/>
    <w:rsid w:val="00F34026"/>
    <w:rsid w:val="00F341EA"/>
    <w:rsid w:val="00F342D5"/>
    <w:rsid w:val="00F3434A"/>
    <w:rsid w:val="00F34461"/>
    <w:rsid w:val="00F34634"/>
    <w:rsid w:val="00F34A21"/>
    <w:rsid w:val="00F34A31"/>
    <w:rsid w:val="00F34A6C"/>
    <w:rsid w:val="00F34ADC"/>
    <w:rsid w:val="00F34C8F"/>
    <w:rsid w:val="00F35140"/>
    <w:rsid w:val="00F354B4"/>
    <w:rsid w:val="00F354F2"/>
    <w:rsid w:val="00F35599"/>
    <w:rsid w:val="00F3566C"/>
    <w:rsid w:val="00F35689"/>
    <w:rsid w:val="00F356C5"/>
    <w:rsid w:val="00F358AE"/>
    <w:rsid w:val="00F358E2"/>
    <w:rsid w:val="00F359FA"/>
    <w:rsid w:val="00F35AED"/>
    <w:rsid w:val="00F35C59"/>
    <w:rsid w:val="00F35D71"/>
    <w:rsid w:val="00F35DAA"/>
    <w:rsid w:val="00F35E0A"/>
    <w:rsid w:val="00F36171"/>
    <w:rsid w:val="00F361E9"/>
    <w:rsid w:val="00F36419"/>
    <w:rsid w:val="00F366B8"/>
    <w:rsid w:val="00F3676E"/>
    <w:rsid w:val="00F36784"/>
    <w:rsid w:val="00F368E4"/>
    <w:rsid w:val="00F36A25"/>
    <w:rsid w:val="00F36D45"/>
    <w:rsid w:val="00F36E83"/>
    <w:rsid w:val="00F36EBF"/>
    <w:rsid w:val="00F376D3"/>
    <w:rsid w:val="00F37769"/>
    <w:rsid w:val="00F37834"/>
    <w:rsid w:val="00F37933"/>
    <w:rsid w:val="00F37C37"/>
    <w:rsid w:val="00F37C93"/>
    <w:rsid w:val="00F37F0A"/>
    <w:rsid w:val="00F40036"/>
    <w:rsid w:val="00F40125"/>
    <w:rsid w:val="00F40146"/>
    <w:rsid w:val="00F40321"/>
    <w:rsid w:val="00F40402"/>
    <w:rsid w:val="00F40560"/>
    <w:rsid w:val="00F40565"/>
    <w:rsid w:val="00F40854"/>
    <w:rsid w:val="00F408FB"/>
    <w:rsid w:val="00F40AD3"/>
    <w:rsid w:val="00F40BE5"/>
    <w:rsid w:val="00F40CD5"/>
    <w:rsid w:val="00F40FCE"/>
    <w:rsid w:val="00F41009"/>
    <w:rsid w:val="00F41615"/>
    <w:rsid w:val="00F41678"/>
    <w:rsid w:val="00F416CF"/>
    <w:rsid w:val="00F4180D"/>
    <w:rsid w:val="00F419A3"/>
    <w:rsid w:val="00F41A3E"/>
    <w:rsid w:val="00F41B9B"/>
    <w:rsid w:val="00F41BA1"/>
    <w:rsid w:val="00F41C3A"/>
    <w:rsid w:val="00F41D6D"/>
    <w:rsid w:val="00F41FE2"/>
    <w:rsid w:val="00F42067"/>
    <w:rsid w:val="00F4206C"/>
    <w:rsid w:val="00F42442"/>
    <w:rsid w:val="00F42467"/>
    <w:rsid w:val="00F4258D"/>
    <w:rsid w:val="00F428D1"/>
    <w:rsid w:val="00F42EC1"/>
    <w:rsid w:val="00F42EC4"/>
    <w:rsid w:val="00F42EE8"/>
    <w:rsid w:val="00F42F5F"/>
    <w:rsid w:val="00F432A8"/>
    <w:rsid w:val="00F4336F"/>
    <w:rsid w:val="00F434FA"/>
    <w:rsid w:val="00F4389B"/>
    <w:rsid w:val="00F43911"/>
    <w:rsid w:val="00F43ABF"/>
    <w:rsid w:val="00F43C11"/>
    <w:rsid w:val="00F43DB3"/>
    <w:rsid w:val="00F440DE"/>
    <w:rsid w:val="00F441CD"/>
    <w:rsid w:val="00F442AA"/>
    <w:rsid w:val="00F445AB"/>
    <w:rsid w:val="00F445F0"/>
    <w:rsid w:val="00F446B8"/>
    <w:rsid w:val="00F448EE"/>
    <w:rsid w:val="00F44B94"/>
    <w:rsid w:val="00F44CC0"/>
    <w:rsid w:val="00F44D75"/>
    <w:rsid w:val="00F44DB8"/>
    <w:rsid w:val="00F45051"/>
    <w:rsid w:val="00F45091"/>
    <w:rsid w:val="00F450A9"/>
    <w:rsid w:val="00F45266"/>
    <w:rsid w:val="00F4534A"/>
    <w:rsid w:val="00F45460"/>
    <w:rsid w:val="00F45546"/>
    <w:rsid w:val="00F4572B"/>
    <w:rsid w:val="00F45821"/>
    <w:rsid w:val="00F45829"/>
    <w:rsid w:val="00F45907"/>
    <w:rsid w:val="00F46326"/>
    <w:rsid w:val="00F46400"/>
    <w:rsid w:val="00F46459"/>
    <w:rsid w:val="00F46551"/>
    <w:rsid w:val="00F465CA"/>
    <w:rsid w:val="00F46675"/>
    <w:rsid w:val="00F466D0"/>
    <w:rsid w:val="00F46874"/>
    <w:rsid w:val="00F4691D"/>
    <w:rsid w:val="00F469A2"/>
    <w:rsid w:val="00F469D7"/>
    <w:rsid w:val="00F46B78"/>
    <w:rsid w:val="00F46F3C"/>
    <w:rsid w:val="00F470DD"/>
    <w:rsid w:val="00F47312"/>
    <w:rsid w:val="00F476AC"/>
    <w:rsid w:val="00F478FC"/>
    <w:rsid w:val="00F479DF"/>
    <w:rsid w:val="00F47B0B"/>
    <w:rsid w:val="00F47CC9"/>
    <w:rsid w:val="00F47CD2"/>
    <w:rsid w:val="00F47D36"/>
    <w:rsid w:val="00F47D65"/>
    <w:rsid w:val="00F47ED0"/>
    <w:rsid w:val="00F47FC7"/>
    <w:rsid w:val="00F50054"/>
    <w:rsid w:val="00F50194"/>
    <w:rsid w:val="00F5031D"/>
    <w:rsid w:val="00F503C2"/>
    <w:rsid w:val="00F504BF"/>
    <w:rsid w:val="00F507DE"/>
    <w:rsid w:val="00F50817"/>
    <w:rsid w:val="00F5088B"/>
    <w:rsid w:val="00F50A55"/>
    <w:rsid w:val="00F50B11"/>
    <w:rsid w:val="00F50DFB"/>
    <w:rsid w:val="00F50F81"/>
    <w:rsid w:val="00F51367"/>
    <w:rsid w:val="00F5138A"/>
    <w:rsid w:val="00F514D2"/>
    <w:rsid w:val="00F51675"/>
    <w:rsid w:val="00F5190D"/>
    <w:rsid w:val="00F51A44"/>
    <w:rsid w:val="00F51FB6"/>
    <w:rsid w:val="00F520B1"/>
    <w:rsid w:val="00F52110"/>
    <w:rsid w:val="00F52199"/>
    <w:rsid w:val="00F5220D"/>
    <w:rsid w:val="00F52285"/>
    <w:rsid w:val="00F52290"/>
    <w:rsid w:val="00F52535"/>
    <w:rsid w:val="00F52575"/>
    <w:rsid w:val="00F525F9"/>
    <w:rsid w:val="00F526AD"/>
    <w:rsid w:val="00F528DB"/>
    <w:rsid w:val="00F52A94"/>
    <w:rsid w:val="00F52D58"/>
    <w:rsid w:val="00F52F56"/>
    <w:rsid w:val="00F530D3"/>
    <w:rsid w:val="00F53147"/>
    <w:rsid w:val="00F531FD"/>
    <w:rsid w:val="00F5324E"/>
    <w:rsid w:val="00F532EE"/>
    <w:rsid w:val="00F53412"/>
    <w:rsid w:val="00F534F9"/>
    <w:rsid w:val="00F535AA"/>
    <w:rsid w:val="00F536BE"/>
    <w:rsid w:val="00F53777"/>
    <w:rsid w:val="00F53AED"/>
    <w:rsid w:val="00F53CCB"/>
    <w:rsid w:val="00F53DBF"/>
    <w:rsid w:val="00F542D5"/>
    <w:rsid w:val="00F546A1"/>
    <w:rsid w:val="00F547CC"/>
    <w:rsid w:val="00F54884"/>
    <w:rsid w:val="00F54D0B"/>
    <w:rsid w:val="00F54E54"/>
    <w:rsid w:val="00F54EAC"/>
    <w:rsid w:val="00F55006"/>
    <w:rsid w:val="00F5501C"/>
    <w:rsid w:val="00F552BA"/>
    <w:rsid w:val="00F552C8"/>
    <w:rsid w:val="00F5551A"/>
    <w:rsid w:val="00F5555C"/>
    <w:rsid w:val="00F5555D"/>
    <w:rsid w:val="00F55756"/>
    <w:rsid w:val="00F55BB7"/>
    <w:rsid w:val="00F55D6A"/>
    <w:rsid w:val="00F55ECB"/>
    <w:rsid w:val="00F56223"/>
    <w:rsid w:val="00F562C4"/>
    <w:rsid w:val="00F562E2"/>
    <w:rsid w:val="00F5677F"/>
    <w:rsid w:val="00F569C4"/>
    <w:rsid w:val="00F56E1C"/>
    <w:rsid w:val="00F56FB6"/>
    <w:rsid w:val="00F57009"/>
    <w:rsid w:val="00F575C7"/>
    <w:rsid w:val="00F575FD"/>
    <w:rsid w:val="00F57731"/>
    <w:rsid w:val="00F5773B"/>
    <w:rsid w:val="00F57B23"/>
    <w:rsid w:val="00F57BA1"/>
    <w:rsid w:val="00F57D2B"/>
    <w:rsid w:val="00F57F7A"/>
    <w:rsid w:val="00F60155"/>
    <w:rsid w:val="00F6017A"/>
    <w:rsid w:val="00F605A4"/>
    <w:rsid w:val="00F605DB"/>
    <w:rsid w:val="00F6066B"/>
    <w:rsid w:val="00F6082B"/>
    <w:rsid w:val="00F6098B"/>
    <w:rsid w:val="00F61222"/>
    <w:rsid w:val="00F612C6"/>
    <w:rsid w:val="00F61334"/>
    <w:rsid w:val="00F6137B"/>
    <w:rsid w:val="00F618DD"/>
    <w:rsid w:val="00F619B4"/>
    <w:rsid w:val="00F619C2"/>
    <w:rsid w:val="00F619ED"/>
    <w:rsid w:val="00F61B0E"/>
    <w:rsid w:val="00F61C05"/>
    <w:rsid w:val="00F61C82"/>
    <w:rsid w:val="00F62450"/>
    <w:rsid w:val="00F6245F"/>
    <w:rsid w:val="00F625E4"/>
    <w:rsid w:val="00F625F0"/>
    <w:rsid w:val="00F62789"/>
    <w:rsid w:val="00F628F2"/>
    <w:rsid w:val="00F62C09"/>
    <w:rsid w:val="00F62C83"/>
    <w:rsid w:val="00F62E4F"/>
    <w:rsid w:val="00F62FE6"/>
    <w:rsid w:val="00F6326F"/>
    <w:rsid w:val="00F6347A"/>
    <w:rsid w:val="00F634B3"/>
    <w:rsid w:val="00F636E1"/>
    <w:rsid w:val="00F63B8D"/>
    <w:rsid w:val="00F63DC8"/>
    <w:rsid w:val="00F63E0B"/>
    <w:rsid w:val="00F63E70"/>
    <w:rsid w:val="00F64306"/>
    <w:rsid w:val="00F64340"/>
    <w:rsid w:val="00F6438F"/>
    <w:rsid w:val="00F645CD"/>
    <w:rsid w:val="00F64897"/>
    <w:rsid w:val="00F64904"/>
    <w:rsid w:val="00F64912"/>
    <w:rsid w:val="00F64C12"/>
    <w:rsid w:val="00F64E45"/>
    <w:rsid w:val="00F65013"/>
    <w:rsid w:val="00F6517C"/>
    <w:rsid w:val="00F65222"/>
    <w:rsid w:val="00F65242"/>
    <w:rsid w:val="00F65376"/>
    <w:rsid w:val="00F65424"/>
    <w:rsid w:val="00F654EC"/>
    <w:rsid w:val="00F65602"/>
    <w:rsid w:val="00F657E6"/>
    <w:rsid w:val="00F65B24"/>
    <w:rsid w:val="00F65C2D"/>
    <w:rsid w:val="00F65CF4"/>
    <w:rsid w:val="00F65F76"/>
    <w:rsid w:val="00F66129"/>
    <w:rsid w:val="00F6624B"/>
    <w:rsid w:val="00F6656D"/>
    <w:rsid w:val="00F66A7D"/>
    <w:rsid w:val="00F66AFB"/>
    <w:rsid w:val="00F66B0E"/>
    <w:rsid w:val="00F66BB5"/>
    <w:rsid w:val="00F66D95"/>
    <w:rsid w:val="00F66ED5"/>
    <w:rsid w:val="00F67082"/>
    <w:rsid w:val="00F67101"/>
    <w:rsid w:val="00F67177"/>
    <w:rsid w:val="00F675F3"/>
    <w:rsid w:val="00F67649"/>
    <w:rsid w:val="00F67664"/>
    <w:rsid w:val="00F676C3"/>
    <w:rsid w:val="00F67780"/>
    <w:rsid w:val="00F6781D"/>
    <w:rsid w:val="00F678F1"/>
    <w:rsid w:val="00F67A19"/>
    <w:rsid w:val="00F67A2E"/>
    <w:rsid w:val="00F67A55"/>
    <w:rsid w:val="00F67AC0"/>
    <w:rsid w:val="00F67B9E"/>
    <w:rsid w:val="00F67BC9"/>
    <w:rsid w:val="00F67C11"/>
    <w:rsid w:val="00F67C91"/>
    <w:rsid w:val="00F70444"/>
    <w:rsid w:val="00F707DF"/>
    <w:rsid w:val="00F70AF7"/>
    <w:rsid w:val="00F70C9A"/>
    <w:rsid w:val="00F711E6"/>
    <w:rsid w:val="00F712B2"/>
    <w:rsid w:val="00F712E2"/>
    <w:rsid w:val="00F71342"/>
    <w:rsid w:val="00F715E4"/>
    <w:rsid w:val="00F7162A"/>
    <w:rsid w:val="00F71CB3"/>
    <w:rsid w:val="00F71FA9"/>
    <w:rsid w:val="00F721CC"/>
    <w:rsid w:val="00F721E8"/>
    <w:rsid w:val="00F7232C"/>
    <w:rsid w:val="00F72495"/>
    <w:rsid w:val="00F724D0"/>
    <w:rsid w:val="00F72839"/>
    <w:rsid w:val="00F72861"/>
    <w:rsid w:val="00F72971"/>
    <w:rsid w:val="00F72CA2"/>
    <w:rsid w:val="00F72DA5"/>
    <w:rsid w:val="00F72DCC"/>
    <w:rsid w:val="00F72DFB"/>
    <w:rsid w:val="00F72ED5"/>
    <w:rsid w:val="00F730B2"/>
    <w:rsid w:val="00F738CF"/>
    <w:rsid w:val="00F73C86"/>
    <w:rsid w:val="00F73D73"/>
    <w:rsid w:val="00F740DD"/>
    <w:rsid w:val="00F74415"/>
    <w:rsid w:val="00F7455C"/>
    <w:rsid w:val="00F74730"/>
    <w:rsid w:val="00F7479F"/>
    <w:rsid w:val="00F74814"/>
    <w:rsid w:val="00F74890"/>
    <w:rsid w:val="00F74BAD"/>
    <w:rsid w:val="00F74D88"/>
    <w:rsid w:val="00F75118"/>
    <w:rsid w:val="00F7515A"/>
    <w:rsid w:val="00F755B9"/>
    <w:rsid w:val="00F7564B"/>
    <w:rsid w:val="00F758DF"/>
    <w:rsid w:val="00F75929"/>
    <w:rsid w:val="00F761AF"/>
    <w:rsid w:val="00F76301"/>
    <w:rsid w:val="00F76885"/>
    <w:rsid w:val="00F769B7"/>
    <w:rsid w:val="00F76F36"/>
    <w:rsid w:val="00F77179"/>
    <w:rsid w:val="00F77395"/>
    <w:rsid w:val="00F774C6"/>
    <w:rsid w:val="00F7767F"/>
    <w:rsid w:val="00F776A1"/>
    <w:rsid w:val="00F77735"/>
    <w:rsid w:val="00F77BF0"/>
    <w:rsid w:val="00F80492"/>
    <w:rsid w:val="00F80962"/>
    <w:rsid w:val="00F809F4"/>
    <w:rsid w:val="00F80BAF"/>
    <w:rsid w:val="00F80DA7"/>
    <w:rsid w:val="00F80F0F"/>
    <w:rsid w:val="00F81038"/>
    <w:rsid w:val="00F811C0"/>
    <w:rsid w:val="00F81231"/>
    <w:rsid w:val="00F8151D"/>
    <w:rsid w:val="00F8166D"/>
    <w:rsid w:val="00F817C1"/>
    <w:rsid w:val="00F81A9F"/>
    <w:rsid w:val="00F81D06"/>
    <w:rsid w:val="00F81D90"/>
    <w:rsid w:val="00F81DD5"/>
    <w:rsid w:val="00F8266A"/>
    <w:rsid w:val="00F8287B"/>
    <w:rsid w:val="00F82A9F"/>
    <w:rsid w:val="00F82D6B"/>
    <w:rsid w:val="00F82E09"/>
    <w:rsid w:val="00F82F43"/>
    <w:rsid w:val="00F83123"/>
    <w:rsid w:val="00F83209"/>
    <w:rsid w:val="00F83478"/>
    <w:rsid w:val="00F83541"/>
    <w:rsid w:val="00F83638"/>
    <w:rsid w:val="00F83699"/>
    <w:rsid w:val="00F83A54"/>
    <w:rsid w:val="00F83D2D"/>
    <w:rsid w:val="00F83DDA"/>
    <w:rsid w:val="00F83DF6"/>
    <w:rsid w:val="00F84151"/>
    <w:rsid w:val="00F841A2"/>
    <w:rsid w:val="00F84255"/>
    <w:rsid w:val="00F8429E"/>
    <w:rsid w:val="00F843D0"/>
    <w:rsid w:val="00F845C0"/>
    <w:rsid w:val="00F84D82"/>
    <w:rsid w:val="00F84FE1"/>
    <w:rsid w:val="00F850AB"/>
    <w:rsid w:val="00F85424"/>
    <w:rsid w:val="00F85463"/>
    <w:rsid w:val="00F8550B"/>
    <w:rsid w:val="00F8553D"/>
    <w:rsid w:val="00F85737"/>
    <w:rsid w:val="00F858D5"/>
    <w:rsid w:val="00F859DE"/>
    <w:rsid w:val="00F85AF2"/>
    <w:rsid w:val="00F85B77"/>
    <w:rsid w:val="00F85FD9"/>
    <w:rsid w:val="00F86094"/>
    <w:rsid w:val="00F865F4"/>
    <w:rsid w:val="00F8673A"/>
    <w:rsid w:val="00F86772"/>
    <w:rsid w:val="00F86988"/>
    <w:rsid w:val="00F86BAA"/>
    <w:rsid w:val="00F86C29"/>
    <w:rsid w:val="00F86C6B"/>
    <w:rsid w:val="00F86CC5"/>
    <w:rsid w:val="00F86DA5"/>
    <w:rsid w:val="00F8706B"/>
    <w:rsid w:val="00F870B2"/>
    <w:rsid w:val="00F872F1"/>
    <w:rsid w:val="00F87366"/>
    <w:rsid w:val="00F87539"/>
    <w:rsid w:val="00F87540"/>
    <w:rsid w:val="00F877AA"/>
    <w:rsid w:val="00F877E0"/>
    <w:rsid w:val="00F878F9"/>
    <w:rsid w:val="00F87AC2"/>
    <w:rsid w:val="00F904B5"/>
    <w:rsid w:val="00F905BC"/>
    <w:rsid w:val="00F906C7"/>
    <w:rsid w:val="00F906EF"/>
    <w:rsid w:val="00F9085B"/>
    <w:rsid w:val="00F90CF7"/>
    <w:rsid w:val="00F90DBE"/>
    <w:rsid w:val="00F90DF4"/>
    <w:rsid w:val="00F90EC2"/>
    <w:rsid w:val="00F910B8"/>
    <w:rsid w:val="00F910FB"/>
    <w:rsid w:val="00F914BD"/>
    <w:rsid w:val="00F915D3"/>
    <w:rsid w:val="00F915E6"/>
    <w:rsid w:val="00F916A5"/>
    <w:rsid w:val="00F916E5"/>
    <w:rsid w:val="00F91894"/>
    <w:rsid w:val="00F918A5"/>
    <w:rsid w:val="00F918D4"/>
    <w:rsid w:val="00F91975"/>
    <w:rsid w:val="00F919F0"/>
    <w:rsid w:val="00F91EFE"/>
    <w:rsid w:val="00F91F6D"/>
    <w:rsid w:val="00F92063"/>
    <w:rsid w:val="00F922F4"/>
    <w:rsid w:val="00F927B7"/>
    <w:rsid w:val="00F9280A"/>
    <w:rsid w:val="00F928D2"/>
    <w:rsid w:val="00F92900"/>
    <w:rsid w:val="00F92BAA"/>
    <w:rsid w:val="00F92C45"/>
    <w:rsid w:val="00F9310D"/>
    <w:rsid w:val="00F9314D"/>
    <w:rsid w:val="00F93308"/>
    <w:rsid w:val="00F933BF"/>
    <w:rsid w:val="00F9358E"/>
    <w:rsid w:val="00F935A4"/>
    <w:rsid w:val="00F93818"/>
    <w:rsid w:val="00F93953"/>
    <w:rsid w:val="00F9399E"/>
    <w:rsid w:val="00F93B54"/>
    <w:rsid w:val="00F93CE2"/>
    <w:rsid w:val="00F93E20"/>
    <w:rsid w:val="00F93E37"/>
    <w:rsid w:val="00F944AA"/>
    <w:rsid w:val="00F94673"/>
    <w:rsid w:val="00F94822"/>
    <w:rsid w:val="00F94B03"/>
    <w:rsid w:val="00F94B2C"/>
    <w:rsid w:val="00F94B5C"/>
    <w:rsid w:val="00F94B81"/>
    <w:rsid w:val="00F94C2C"/>
    <w:rsid w:val="00F94CCD"/>
    <w:rsid w:val="00F94F3B"/>
    <w:rsid w:val="00F9568D"/>
    <w:rsid w:val="00F956C9"/>
    <w:rsid w:val="00F958CA"/>
    <w:rsid w:val="00F958F8"/>
    <w:rsid w:val="00F959DD"/>
    <w:rsid w:val="00F95A34"/>
    <w:rsid w:val="00F95C2A"/>
    <w:rsid w:val="00F95CCD"/>
    <w:rsid w:val="00F96212"/>
    <w:rsid w:val="00F963EE"/>
    <w:rsid w:val="00F963F6"/>
    <w:rsid w:val="00F964E9"/>
    <w:rsid w:val="00F967E7"/>
    <w:rsid w:val="00F9680A"/>
    <w:rsid w:val="00F96960"/>
    <w:rsid w:val="00F96995"/>
    <w:rsid w:val="00F96A1B"/>
    <w:rsid w:val="00F96A6F"/>
    <w:rsid w:val="00F96C80"/>
    <w:rsid w:val="00F96F64"/>
    <w:rsid w:val="00F976A9"/>
    <w:rsid w:val="00F97867"/>
    <w:rsid w:val="00F979CF"/>
    <w:rsid w:val="00F97BF5"/>
    <w:rsid w:val="00F97E97"/>
    <w:rsid w:val="00F97F4D"/>
    <w:rsid w:val="00FA009B"/>
    <w:rsid w:val="00FA00D4"/>
    <w:rsid w:val="00FA047A"/>
    <w:rsid w:val="00FA05B5"/>
    <w:rsid w:val="00FA0D42"/>
    <w:rsid w:val="00FA0DD2"/>
    <w:rsid w:val="00FA0DF5"/>
    <w:rsid w:val="00FA0FFE"/>
    <w:rsid w:val="00FA12BE"/>
    <w:rsid w:val="00FA1375"/>
    <w:rsid w:val="00FA13BD"/>
    <w:rsid w:val="00FA1568"/>
    <w:rsid w:val="00FA1636"/>
    <w:rsid w:val="00FA1735"/>
    <w:rsid w:val="00FA1741"/>
    <w:rsid w:val="00FA17D3"/>
    <w:rsid w:val="00FA1AAD"/>
    <w:rsid w:val="00FA1BE3"/>
    <w:rsid w:val="00FA1E5A"/>
    <w:rsid w:val="00FA1F76"/>
    <w:rsid w:val="00FA1F96"/>
    <w:rsid w:val="00FA1FBD"/>
    <w:rsid w:val="00FA219E"/>
    <w:rsid w:val="00FA2219"/>
    <w:rsid w:val="00FA22AC"/>
    <w:rsid w:val="00FA2460"/>
    <w:rsid w:val="00FA24D1"/>
    <w:rsid w:val="00FA25B3"/>
    <w:rsid w:val="00FA27BA"/>
    <w:rsid w:val="00FA28A5"/>
    <w:rsid w:val="00FA2922"/>
    <w:rsid w:val="00FA2C01"/>
    <w:rsid w:val="00FA2D68"/>
    <w:rsid w:val="00FA2EE3"/>
    <w:rsid w:val="00FA321A"/>
    <w:rsid w:val="00FA32ED"/>
    <w:rsid w:val="00FA342B"/>
    <w:rsid w:val="00FA353A"/>
    <w:rsid w:val="00FA3557"/>
    <w:rsid w:val="00FA355E"/>
    <w:rsid w:val="00FA3764"/>
    <w:rsid w:val="00FA39F1"/>
    <w:rsid w:val="00FA3AAC"/>
    <w:rsid w:val="00FA3D54"/>
    <w:rsid w:val="00FA3D5B"/>
    <w:rsid w:val="00FA3F64"/>
    <w:rsid w:val="00FA3FF7"/>
    <w:rsid w:val="00FA405B"/>
    <w:rsid w:val="00FA4137"/>
    <w:rsid w:val="00FA43D2"/>
    <w:rsid w:val="00FA4436"/>
    <w:rsid w:val="00FA445F"/>
    <w:rsid w:val="00FA45EF"/>
    <w:rsid w:val="00FA4808"/>
    <w:rsid w:val="00FA4971"/>
    <w:rsid w:val="00FA4C78"/>
    <w:rsid w:val="00FA4C9B"/>
    <w:rsid w:val="00FA4CDA"/>
    <w:rsid w:val="00FA4E93"/>
    <w:rsid w:val="00FA4F93"/>
    <w:rsid w:val="00FA5544"/>
    <w:rsid w:val="00FA568C"/>
    <w:rsid w:val="00FA5771"/>
    <w:rsid w:val="00FA5829"/>
    <w:rsid w:val="00FA5A23"/>
    <w:rsid w:val="00FA5A2D"/>
    <w:rsid w:val="00FA5F1E"/>
    <w:rsid w:val="00FA648E"/>
    <w:rsid w:val="00FA67D5"/>
    <w:rsid w:val="00FA684C"/>
    <w:rsid w:val="00FA70AD"/>
    <w:rsid w:val="00FA7151"/>
    <w:rsid w:val="00FA71CF"/>
    <w:rsid w:val="00FA728C"/>
    <w:rsid w:val="00FA7421"/>
    <w:rsid w:val="00FA7664"/>
    <w:rsid w:val="00FA77B4"/>
    <w:rsid w:val="00FA7D32"/>
    <w:rsid w:val="00FA7D7C"/>
    <w:rsid w:val="00FA7EEF"/>
    <w:rsid w:val="00FA7FC3"/>
    <w:rsid w:val="00FB01E1"/>
    <w:rsid w:val="00FB04DD"/>
    <w:rsid w:val="00FB0708"/>
    <w:rsid w:val="00FB0759"/>
    <w:rsid w:val="00FB0902"/>
    <w:rsid w:val="00FB09F0"/>
    <w:rsid w:val="00FB0F21"/>
    <w:rsid w:val="00FB0F30"/>
    <w:rsid w:val="00FB10D5"/>
    <w:rsid w:val="00FB1119"/>
    <w:rsid w:val="00FB113A"/>
    <w:rsid w:val="00FB1384"/>
    <w:rsid w:val="00FB13B2"/>
    <w:rsid w:val="00FB168E"/>
    <w:rsid w:val="00FB1692"/>
    <w:rsid w:val="00FB16B2"/>
    <w:rsid w:val="00FB16FE"/>
    <w:rsid w:val="00FB1904"/>
    <w:rsid w:val="00FB1C75"/>
    <w:rsid w:val="00FB1D92"/>
    <w:rsid w:val="00FB2049"/>
    <w:rsid w:val="00FB22D7"/>
    <w:rsid w:val="00FB252A"/>
    <w:rsid w:val="00FB26B3"/>
    <w:rsid w:val="00FB2849"/>
    <w:rsid w:val="00FB287D"/>
    <w:rsid w:val="00FB2949"/>
    <w:rsid w:val="00FB2B76"/>
    <w:rsid w:val="00FB2CB3"/>
    <w:rsid w:val="00FB2D2E"/>
    <w:rsid w:val="00FB2EAE"/>
    <w:rsid w:val="00FB329E"/>
    <w:rsid w:val="00FB3391"/>
    <w:rsid w:val="00FB3401"/>
    <w:rsid w:val="00FB34D0"/>
    <w:rsid w:val="00FB3760"/>
    <w:rsid w:val="00FB3BCC"/>
    <w:rsid w:val="00FB41CF"/>
    <w:rsid w:val="00FB4210"/>
    <w:rsid w:val="00FB4239"/>
    <w:rsid w:val="00FB44BE"/>
    <w:rsid w:val="00FB47C5"/>
    <w:rsid w:val="00FB4873"/>
    <w:rsid w:val="00FB4E7E"/>
    <w:rsid w:val="00FB5107"/>
    <w:rsid w:val="00FB5219"/>
    <w:rsid w:val="00FB54C1"/>
    <w:rsid w:val="00FB54D6"/>
    <w:rsid w:val="00FB56F4"/>
    <w:rsid w:val="00FB5759"/>
    <w:rsid w:val="00FB58C6"/>
    <w:rsid w:val="00FB5BD4"/>
    <w:rsid w:val="00FB5D0A"/>
    <w:rsid w:val="00FB5FA8"/>
    <w:rsid w:val="00FB628B"/>
    <w:rsid w:val="00FB689B"/>
    <w:rsid w:val="00FB692E"/>
    <w:rsid w:val="00FB69D4"/>
    <w:rsid w:val="00FB6C94"/>
    <w:rsid w:val="00FB709D"/>
    <w:rsid w:val="00FB71DA"/>
    <w:rsid w:val="00FB7265"/>
    <w:rsid w:val="00FB7385"/>
    <w:rsid w:val="00FB738A"/>
    <w:rsid w:val="00FB7612"/>
    <w:rsid w:val="00FB769C"/>
    <w:rsid w:val="00FB7713"/>
    <w:rsid w:val="00FB777E"/>
    <w:rsid w:val="00FB77AF"/>
    <w:rsid w:val="00FB7914"/>
    <w:rsid w:val="00FB7C48"/>
    <w:rsid w:val="00FB7D01"/>
    <w:rsid w:val="00FB7F78"/>
    <w:rsid w:val="00FC0259"/>
    <w:rsid w:val="00FC08E6"/>
    <w:rsid w:val="00FC10BD"/>
    <w:rsid w:val="00FC1190"/>
    <w:rsid w:val="00FC135A"/>
    <w:rsid w:val="00FC1623"/>
    <w:rsid w:val="00FC175C"/>
    <w:rsid w:val="00FC18DE"/>
    <w:rsid w:val="00FC192F"/>
    <w:rsid w:val="00FC1B8D"/>
    <w:rsid w:val="00FC1BFD"/>
    <w:rsid w:val="00FC1D42"/>
    <w:rsid w:val="00FC1EAE"/>
    <w:rsid w:val="00FC1F87"/>
    <w:rsid w:val="00FC2059"/>
    <w:rsid w:val="00FC2099"/>
    <w:rsid w:val="00FC20DC"/>
    <w:rsid w:val="00FC2112"/>
    <w:rsid w:val="00FC2121"/>
    <w:rsid w:val="00FC2313"/>
    <w:rsid w:val="00FC265F"/>
    <w:rsid w:val="00FC2A87"/>
    <w:rsid w:val="00FC2B28"/>
    <w:rsid w:val="00FC2C74"/>
    <w:rsid w:val="00FC2F09"/>
    <w:rsid w:val="00FC2F20"/>
    <w:rsid w:val="00FC3AB9"/>
    <w:rsid w:val="00FC3F97"/>
    <w:rsid w:val="00FC4023"/>
    <w:rsid w:val="00FC43C9"/>
    <w:rsid w:val="00FC480D"/>
    <w:rsid w:val="00FC4D75"/>
    <w:rsid w:val="00FC4E2A"/>
    <w:rsid w:val="00FC4E33"/>
    <w:rsid w:val="00FC4ED7"/>
    <w:rsid w:val="00FC50C4"/>
    <w:rsid w:val="00FC52E0"/>
    <w:rsid w:val="00FC5465"/>
    <w:rsid w:val="00FC5701"/>
    <w:rsid w:val="00FC5727"/>
    <w:rsid w:val="00FC59BF"/>
    <w:rsid w:val="00FC5B93"/>
    <w:rsid w:val="00FC5D7D"/>
    <w:rsid w:val="00FC5E3D"/>
    <w:rsid w:val="00FC61A8"/>
    <w:rsid w:val="00FC636A"/>
    <w:rsid w:val="00FC644C"/>
    <w:rsid w:val="00FC65D9"/>
    <w:rsid w:val="00FC6B31"/>
    <w:rsid w:val="00FC6CF1"/>
    <w:rsid w:val="00FC6F08"/>
    <w:rsid w:val="00FC704D"/>
    <w:rsid w:val="00FC71F5"/>
    <w:rsid w:val="00FC72C0"/>
    <w:rsid w:val="00FC7534"/>
    <w:rsid w:val="00FC764E"/>
    <w:rsid w:val="00FC7700"/>
    <w:rsid w:val="00FC77AF"/>
    <w:rsid w:val="00FC77F1"/>
    <w:rsid w:val="00FC77FC"/>
    <w:rsid w:val="00FC7916"/>
    <w:rsid w:val="00FC7994"/>
    <w:rsid w:val="00FC7CD0"/>
    <w:rsid w:val="00FD0043"/>
    <w:rsid w:val="00FD0044"/>
    <w:rsid w:val="00FD0258"/>
    <w:rsid w:val="00FD02B3"/>
    <w:rsid w:val="00FD03A1"/>
    <w:rsid w:val="00FD03F0"/>
    <w:rsid w:val="00FD08A9"/>
    <w:rsid w:val="00FD0956"/>
    <w:rsid w:val="00FD0A53"/>
    <w:rsid w:val="00FD0C19"/>
    <w:rsid w:val="00FD0C63"/>
    <w:rsid w:val="00FD0CE5"/>
    <w:rsid w:val="00FD1098"/>
    <w:rsid w:val="00FD1155"/>
    <w:rsid w:val="00FD132F"/>
    <w:rsid w:val="00FD1343"/>
    <w:rsid w:val="00FD1D58"/>
    <w:rsid w:val="00FD1F1A"/>
    <w:rsid w:val="00FD2229"/>
    <w:rsid w:val="00FD23B2"/>
    <w:rsid w:val="00FD26D1"/>
    <w:rsid w:val="00FD27D6"/>
    <w:rsid w:val="00FD2837"/>
    <w:rsid w:val="00FD28FF"/>
    <w:rsid w:val="00FD2CFE"/>
    <w:rsid w:val="00FD2E9D"/>
    <w:rsid w:val="00FD2F59"/>
    <w:rsid w:val="00FD35B4"/>
    <w:rsid w:val="00FD3782"/>
    <w:rsid w:val="00FD3B07"/>
    <w:rsid w:val="00FD3CA5"/>
    <w:rsid w:val="00FD3EC3"/>
    <w:rsid w:val="00FD3F95"/>
    <w:rsid w:val="00FD3FED"/>
    <w:rsid w:val="00FD4186"/>
    <w:rsid w:val="00FD43E3"/>
    <w:rsid w:val="00FD4A74"/>
    <w:rsid w:val="00FD4B5E"/>
    <w:rsid w:val="00FD4C3D"/>
    <w:rsid w:val="00FD4FE1"/>
    <w:rsid w:val="00FD5388"/>
    <w:rsid w:val="00FD54AD"/>
    <w:rsid w:val="00FD5611"/>
    <w:rsid w:val="00FD5786"/>
    <w:rsid w:val="00FD57B3"/>
    <w:rsid w:val="00FD5918"/>
    <w:rsid w:val="00FD5AC4"/>
    <w:rsid w:val="00FD6069"/>
    <w:rsid w:val="00FD61FF"/>
    <w:rsid w:val="00FD62D4"/>
    <w:rsid w:val="00FD65C4"/>
    <w:rsid w:val="00FD679D"/>
    <w:rsid w:val="00FD6819"/>
    <w:rsid w:val="00FD6C36"/>
    <w:rsid w:val="00FD6D43"/>
    <w:rsid w:val="00FD6EB2"/>
    <w:rsid w:val="00FD6F2B"/>
    <w:rsid w:val="00FD6F9B"/>
    <w:rsid w:val="00FD7029"/>
    <w:rsid w:val="00FD74F6"/>
    <w:rsid w:val="00FD75EC"/>
    <w:rsid w:val="00FD7861"/>
    <w:rsid w:val="00FD799F"/>
    <w:rsid w:val="00FD7A05"/>
    <w:rsid w:val="00FD7CAD"/>
    <w:rsid w:val="00FD7D40"/>
    <w:rsid w:val="00FD7DD5"/>
    <w:rsid w:val="00FE0078"/>
    <w:rsid w:val="00FE00EE"/>
    <w:rsid w:val="00FE037F"/>
    <w:rsid w:val="00FE03C6"/>
    <w:rsid w:val="00FE09AE"/>
    <w:rsid w:val="00FE0C39"/>
    <w:rsid w:val="00FE111D"/>
    <w:rsid w:val="00FE1283"/>
    <w:rsid w:val="00FE12ED"/>
    <w:rsid w:val="00FE140E"/>
    <w:rsid w:val="00FE1533"/>
    <w:rsid w:val="00FE188D"/>
    <w:rsid w:val="00FE1A6D"/>
    <w:rsid w:val="00FE1CAA"/>
    <w:rsid w:val="00FE1DD8"/>
    <w:rsid w:val="00FE1E4E"/>
    <w:rsid w:val="00FE1EE7"/>
    <w:rsid w:val="00FE2003"/>
    <w:rsid w:val="00FE206B"/>
    <w:rsid w:val="00FE21D6"/>
    <w:rsid w:val="00FE21F9"/>
    <w:rsid w:val="00FE2237"/>
    <w:rsid w:val="00FE239F"/>
    <w:rsid w:val="00FE2589"/>
    <w:rsid w:val="00FE27A0"/>
    <w:rsid w:val="00FE283E"/>
    <w:rsid w:val="00FE2CD3"/>
    <w:rsid w:val="00FE2E23"/>
    <w:rsid w:val="00FE2EC3"/>
    <w:rsid w:val="00FE3005"/>
    <w:rsid w:val="00FE30B9"/>
    <w:rsid w:val="00FE3129"/>
    <w:rsid w:val="00FE31E0"/>
    <w:rsid w:val="00FE348C"/>
    <w:rsid w:val="00FE355B"/>
    <w:rsid w:val="00FE36A4"/>
    <w:rsid w:val="00FE3840"/>
    <w:rsid w:val="00FE38D6"/>
    <w:rsid w:val="00FE3E80"/>
    <w:rsid w:val="00FE3FBE"/>
    <w:rsid w:val="00FE430D"/>
    <w:rsid w:val="00FE43C8"/>
    <w:rsid w:val="00FE4512"/>
    <w:rsid w:val="00FE4695"/>
    <w:rsid w:val="00FE4815"/>
    <w:rsid w:val="00FE49A6"/>
    <w:rsid w:val="00FE49DC"/>
    <w:rsid w:val="00FE4A45"/>
    <w:rsid w:val="00FE4F1F"/>
    <w:rsid w:val="00FE4F35"/>
    <w:rsid w:val="00FE518C"/>
    <w:rsid w:val="00FE528A"/>
    <w:rsid w:val="00FE541F"/>
    <w:rsid w:val="00FE5464"/>
    <w:rsid w:val="00FE56B8"/>
    <w:rsid w:val="00FE59FD"/>
    <w:rsid w:val="00FE5DDC"/>
    <w:rsid w:val="00FE5F31"/>
    <w:rsid w:val="00FE6538"/>
    <w:rsid w:val="00FE6861"/>
    <w:rsid w:val="00FE68A6"/>
    <w:rsid w:val="00FE6914"/>
    <w:rsid w:val="00FE6ABB"/>
    <w:rsid w:val="00FE6B1F"/>
    <w:rsid w:val="00FE6F3E"/>
    <w:rsid w:val="00FE70D5"/>
    <w:rsid w:val="00FE7183"/>
    <w:rsid w:val="00FE7197"/>
    <w:rsid w:val="00FE71A9"/>
    <w:rsid w:val="00FE7272"/>
    <w:rsid w:val="00FE74EA"/>
    <w:rsid w:val="00FE76F0"/>
    <w:rsid w:val="00FE775E"/>
    <w:rsid w:val="00FE7977"/>
    <w:rsid w:val="00FE7DFE"/>
    <w:rsid w:val="00FE7F9E"/>
    <w:rsid w:val="00FF02AF"/>
    <w:rsid w:val="00FF04C3"/>
    <w:rsid w:val="00FF07A0"/>
    <w:rsid w:val="00FF086B"/>
    <w:rsid w:val="00FF0DB8"/>
    <w:rsid w:val="00FF10D9"/>
    <w:rsid w:val="00FF13F8"/>
    <w:rsid w:val="00FF14B1"/>
    <w:rsid w:val="00FF1AD6"/>
    <w:rsid w:val="00FF1BF9"/>
    <w:rsid w:val="00FF1E28"/>
    <w:rsid w:val="00FF2011"/>
    <w:rsid w:val="00FF2190"/>
    <w:rsid w:val="00FF24BA"/>
    <w:rsid w:val="00FF2518"/>
    <w:rsid w:val="00FF296D"/>
    <w:rsid w:val="00FF29B4"/>
    <w:rsid w:val="00FF2A94"/>
    <w:rsid w:val="00FF2BF2"/>
    <w:rsid w:val="00FF2C75"/>
    <w:rsid w:val="00FF2CDA"/>
    <w:rsid w:val="00FF2E12"/>
    <w:rsid w:val="00FF2E73"/>
    <w:rsid w:val="00FF301D"/>
    <w:rsid w:val="00FF307E"/>
    <w:rsid w:val="00FF3878"/>
    <w:rsid w:val="00FF3984"/>
    <w:rsid w:val="00FF3ACA"/>
    <w:rsid w:val="00FF3F76"/>
    <w:rsid w:val="00FF4004"/>
    <w:rsid w:val="00FF4557"/>
    <w:rsid w:val="00FF46D5"/>
    <w:rsid w:val="00FF473A"/>
    <w:rsid w:val="00FF492C"/>
    <w:rsid w:val="00FF495F"/>
    <w:rsid w:val="00FF4A79"/>
    <w:rsid w:val="00FF4B26"/>
    <w:rsid w:val="00FF4DA2"/>
    <w:rsid w:val="00FF4E4F"/>
    <w:rsid w:val="00FF50EA"/>
    <w:rsid w:val="00FF5398"/>
    <w:rsid w:val="00FF5598"/>
    <w:rsid w:val="00FF570C"/>
    <w:rsid w:val="00FF57C6"/>
    <w:rsid w:val="00FF5928"/>
    <w:rsid w:val="00FF5BD5"/>
    <w:rsid w:val="00FF5F85"/>
    <w:rsid w:val="00FF60F0"/>
    <w:rsid w:val="00FF6282"/>
    <w:rsid w:val="00FF635C"/>
    <w:rsid w:val="00FF63A9"/>
    <w:rsid w:val="00FF6491"/>
    <w:rsid w:val="00FF64CE"/>
    <w:rsid w:val="00FF664B"/>
    <w:rsid w:val="00FF670F"/>
    <w:rsid w:val="00FF67A6"/>
    <w:rsid w:val="00FF681B"/>
    <w:rsid w:val="00FF689B"/>
    <w:rsid w:val="00FF6962"/>
    <w:rsid w:val="00FF6A10"/>
    <w:rsid w:val="00FF6A90"/>
    <w:rsid w:val="00FF6B1A"/>
    <w:rsid w:val="00FF6DE5"/>
    <w:rsid w:val="00FF7099"/>
    <w:rsid w:val="00FF7101"/>
    <w:rsid w:val="00FF7132"/>
    <w:rsid w:val="00FF71AE"/>
    <w:rsid w:val="00FF71F7"/>
    <w:rsid w:val="00FF71FD"/>
    <w:rsid w:val="00FF7367"/>
    <w:rsid w:val="00FF7423"/>
    <w:rsid w:val="00FF769F"/>
    <w:rsid w:val="00FF7772"/>
    <w:rsid w:val="00FF777C"/>
    <w:rsid w:val="00FF78FD"/>
    <w:rsid w:val="00FF793D"/>
    <w:rsid w:val="00FF7B03"/>
    <w:rsid w:val="03F3FB57"/>
    <w:rsid w:val="04DDDE24"/>
    <w:rsid w:val="069AD9EC"/>
    <w:rsid w:val="09D226AD"/>
    <w:rsid w:val="0CAA1E07"/>
    <w:rsid w:val="0E59A015"/>
    <w:rsid w:val="0EC5947C"/>
    <w:rsid w:val="18736665"/>
    <w:rsid w:val="207D80E7"/>
    <w:rsid w:val="3431E5C2"/>
    <w:rsid w:val="35F82F93"/>
    <w:rsid w:val="3613D406"/>
    <w:rsid w:val="37FCC62F"/>
    <w:rsid w:val="3BAB9248"/>
    <w:rsid w:val="3C3B2B7B"/>
    <w:rsid w:val="43244CF0"/>
    <w:rsid w:val="46C1ADE9"/>
    <w:rsid w:val="5C4DF42C"/>
    <w:rsid w:val="5CD1DB42"/>
    <w:rsid w:val="60D4FC14"/>
    <w:rsid w:val="617522E6"/>
    <w:rsid w:val="6557D13C"/>
    <w:rsid w:val="65FBFDC7"/>
    <w:rsid w:val="6DA3E950"/>
    <w:rsid w:val="74296304"/>
    <w:rsid w:val="784B5545"/>
    <w:rsid w:val="7D0CF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666ECFA"/>
  <w15:chartTrackingRefBased/>
  <w15:docId w15:val="{07FD38DD-07D0-474F-8B92-750D21B3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lsdException w:name="toc 7" w:semiHidden="1" w:uiPriority="20" w:unhideWhenUsed="1"/>
    <w:lsdException w:name="toc 8" w:semiHidden="1" w:uiPriority="20" w:unhideWhenUsed="1"/>
    <w:lsdException w:name="toc 9" w:semiHidden="1" w:uiPriority="2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9"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1" w:unhideWhenUsed="1"/>
    <w:lsdException w:name="Body Text 3" w:semiHidden="1" w:uiPriority="2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4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918"/>
    <w:pPr>
      <w:spacing w:after="130"/>
    </w:pPr>
    <w:rPr>
      <w:rFonts w:ascii="Calibri" w:hAnsi="Calibri" w:cs="ScalaSansOT"/>
      <w:sz w:val="22"/>
      <w:szCs w:val="20"/>
    </w:rPr>
  </w:style>
  <w:style w:type="paragraph" w:styleId="Heading1">
    <w:name w:val="heading 1"/>
    <w:aliases w:val="H2,Section Headline"/>
    <w:basedOn w:val="Normal"/>
    <w:next w:val="Normal"/>
    <w:link w:val="Heading1Char"/>
    <w:uiPriority w:val="1"/>
    <w:qFormat/>
    <w:rsid w:val="00D966D0"/>
    <w:pPr>
      <w:keepNext/>
      <w:keepLines/>
      <w:numPr>
        <w:numId w:val="4"/>
      </w:numPr>
      <w:spacing w:before="240" w:after="60"/>
      <w:outlineLvl w:val="0"/>
    </w:pPr>
    <w:rPr>
      <w:rFonts w:ascii="Oswald" w:hAnsi="Oswald" w:cs="Knockout-HTF28-JuniorFeatherwt"/>
      <w:caps/>
      <w:color w:val="5D7D95" w:themeColor="accent1"/>
      <w:spacing w:val="51"/>
      <w:sz w:val="36"/>
      <w:szCs w:val="36"/>
    </w:rPr>
  </w:style>
  <w:style w:type="paragraph" w:styleId="Heading2">
    <w:name w:val="heading 2"/>
    <w:aliases w:val="H3,SubSection Headline"/>
    <w:basedOn w:val="Heading1"/>
    <w:next w:val="BodyText"/>
    <w:link w:val="Heading2Char"/>
    <w:autoRedefine/>
    <w:uiPriority w:val="2"/>
    <w:qFormat/>
    <w:rsid w:val="00D966D0"/>
    <w:pPr>
      <w:numPr>
        <w:ilvl w:val="1"/>
      </w:numPr>
      <w:spacing w:before="120"/>
      <w:outlineLvl w:val="1"/>
    </w:pPr>
    <w:rPr>
      <w:rFonts w:ascii="Calibri Light" w:hAnsi="Calibri Light" w:cs="ScalaSansOT"/>
      <w:color w:val="AC4324" w:themeColor="accent4"/>
      <w:spacing w:val="0"/>
      <w:sz w:val="32"/>
      <w:szCs w:val="32"/>
    </w:rPr>
  </w:style>
  <w:style w:type="paragraph" w:styleId="Heading3">
    <w:name w:val="heading 3"/>
    <w:aliases w:val="H4,Subhead Level 1"/>
    <w:basedOn w:val="Heading2"/>
    <w:next w:val="BodyText"/>
    <w:link w:val="Heading3Char"/>
    <w:autoRedefine/>
    <w:uiPriority w:val="3"/>
    <w:qFormat/>
    <w:rsid w:val="00507F7D"/>
    <w:pPr>
      <w:numPr>
        <w:ilvl w:val="0"/>
        <w:numId w:val="0"/>
      </w:numPr>
      <w:ind w:left="864" w:hanging="864"/>
      <w:outlineLvl w:val="2"/>
    </w:pPr>
    <w:rPr>
      <w:rFonts w:ascii="Calibri" w:hAnsi="Calibri" w:cs="Knockout-HTF48-Featherweight"/>
      <w:color w:val="243646" w:themeColor="accent2"/>
      <w:spacing w:val="11"/>
      <w:sz w:val="22"/>
      <w:szCs w:val="20"/>
    </w:rPr>
  </w:style>
  <w:style w:type="paragraph" w:styleId="Heading4">
    <w:name w:val="heading 4"/>
    <w:aliases w:val="Subhead Level 2,H5"/>
    <w:basedOn w:val="Heading3"/>
    <w:next w:val="BodyText"/>
    <w:link w:val="Heading4Char"/>
    <w:uiPriority w:val="3"/>
    <w:qFormat/>
    <w:rsid w:val="00A905A2"/>
    <w:pPr>
      <w:spacing w:before="200" w:after="120"/>
      <w:ind w:left="0"/>
      <w:outlineLvl w:val="3"/>
    </w:pPr>
    <w:rPr>
      <w:rFonts w:cs="Knockout-HTF50-Welterweight"/>
      <w:b/>
      <w:bCs/>
      <w:caps w:val="0"/>
      <w:color w:val="5D7D95" w:themeColor="accent1"/>
      <w:spacing w:val="0"/>
    </w:rPr>
  </w:style>
  <w:style w:type="paragraph" w:styleId="Heading5">
    <w:name w:val="heading 5"/>
    <w:aliases w:val="Subhead Level 3"/>
    <w:basedOn w:val="Heading4"/>
    <w:next w:val="BodyText"/>
    <w:link w:val="Heading5Char"/>
    <w:uiPriority w:val="3"/>
    <w:unhideWhenUsed/>
    <w:qFormat/>
    <w:rsid w:val="00A905A2"/>
    <w:pPr>
      <w:outlineLvl w:val="4"/>
    </w:pPr>
    <w:rPr>
      <w:rFonts w:ascii="Georgia" w:hAnsi="Georgia" w:cs="Scala-Caps"/>
      <w:b w:val="0"/>
      <w:bCs w:val="0"/>
      <w:i/>
      <w:iCs/>
      <w:color w:val="000000" w:themeColor="text1"/>
      <w:spacing w:val="14"/>
    </w:rPr>
  </w:style>
  <w:style w:type="paragraph" w:styleId="Heading6">
    <w:name w:val="heading 6"/>
    <w:basedOn w:val="Heading5"/>
    <w:next w:val="BodyText"/>
    <w:link w:val="Heading6Char"/>
    <w:uiPriority w:val="3"/>
    <w:unhideWhenUsed/>
    <w:qFormat/>
    <w:rsid w:val="000617AD"/>
    <w:pPr>
      <w:spacing w:before="80" w:after="40"/>
      <w:outlineLvl w:val="5"/>
    </w:pPr>
    <w:rPr>
      <w:rFonts w:ascii="Calibri" w:hAnsi="Calibri" w:cs="Knockout-HTF29-JuniorLiteweight"/>
      <w:b/>
      <w:bCs/>
      <w:i w:val="0"/>
      <w:iCs w:val="0"/>
      <w:color w:val="262626"/>
      <w:spacing w:val="0"/>
      <w:szCs w:val="19"/>
    </w:rPr>
  </w:style>
  <w:style w:type="paragraph" w:styleId="Heading7">
    <w:name w:val="heading 7"/>
    <w:basedOn w:val="BodyText"/>
    <w:next w:val="BodyText"/>
    <w:link w:val="Heading7Char"/>
    <w:uiPriority w:val="3"/>
    <w:unhideWhenUsed/>
    <w:qFormat/>
    <w:rsid w:val="004F17D5"/>
    <w:pPr>
      <w:spacing w:before="40"/>
      <w:outlineLvl w:val="6"/>
    </w:pPr>
    <w:rPr>
      <w:rFonts w:cs="Knockout-HTF29-JuniorLiteweight"/>
      <w:bCs/>
      <w:i/>
      <w:szCs w:val="19"/>
    </w:rPr>
  </w:style>
  <w:style w:type="paragraph" w:styleId="Heading8">
    <w:name w:val="heading 8"/>
    <w:basedOn w:val="BodyText"/>
    <w:next w:val="BodyText"/>
    <w:link w:val="Heading8Char"/>
    <w:uiPriority w:val="3"/>
    <w:unhideWhenUsed/>
    <w:qFormat/>
    <w:rsid w:val="004F17D5"/>
    <w:pPr>
      <w:keepNext/>
      <w:keepLines/>
      <w:spacing w:before="40"/>
      <w:outlineLvl w:val="7"/>
    </w:pPr>
    <w:rPr>
      <w:rFonts w:asciiTheme="majorHAnsi" w:eastAsiaTheme="majorEastAsia" w:hAnsiTheme="majorHAnsi" w:cstheme="majorBidi"/>
      <w:color w:val="272727" w:themeColor="text1" w:themeTint="D8"/>
      <w:sz w:val="21"/>
      <w:szCs w:val="21"/>
      <w:u w:val="single"/>
    </w:rPr>
  </w:style>
  <w:style w:type="paragraph" w:styleId="Heading9">
    <w:name w:val="heading 9"/>
    <w:basedOn w:val="BodyText"/>
    <w:next w:val="BodyText"/>
    <w:link w:val="Heading9Char"/>
    <w:uiPriority w:val="3"/>
    <w:semiHidden/>
    <w:unhideWhenUsed/>
    <w:qFormat/>
    <w:rsid w:val="008D545B"/>
    <w:pPr>
      <w:keepNext/>
      <w:keepLines/>
      <w:spacing w:before="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Introduction">
    <w:name w:val="Section Introduction"/>
    <w:next w:val="Normal"/>
    <w:autoRedefine/>
    <w:uiPriority w:val="99"/>
    <w:qFormat/>
    <w:rsid w:val="00BC6272"/>
    <w:pPr>
      <w:widowControl w:val="0"/>
      <w:numPr>
        <w:numId w:val="6"/>
      </w:numPr>
      <w:autoSpaceDE w:val="0"/>
      <w:autoSpaceDN w:val="0"/>
      <w:adjustRightInd w:val="0"/>
      <w:spacing w:after="600" w:line="360" w:lineRule="atLeast"/>
      <w:textAlignment w:val="center"/>
    </w:pPr>
    <w:rPr>
      <w:rFonts w:ascii="Georgia" w:hAnsi="Georgia" w:cs="Scala-Italic"/>
      <w:iCs/>
      <w:color w:val="87AF99" w:themeColor="accent3"/>
      <w:sz w:val="36"/>
      <w:szCs w:val="28"/>
    </w:rPr>
  </w:style>
  <w:style w:type="paragraph" w:customStyle="1" w:styleId="TableBullet1dot">
    <w:name w:val="Table Bullet1_dot"/>
    <w:basedOn w:val="TableBodyText"/>
    <w:qFormat/>
    <w:rsid w:val="000617AD"/>
    <w:pPr>
      <w:numPr>
        <w:numId w:val="3"/>
      </w:numPr>
      <w:spacing w:before="20" w:after="20"/>
      <w:ind w:left="432" w:hanging="274"/>
      <w:contextualSpacing/>
    </w:pPr>
  </w:style>
  <w:style w:type="character" w:customStyle="1" w:styleId="TemplateInstruction">
    <w:name w:val="Template Instruction"/>
    <w:basedOn w:val="DefaultParagraphFont"/>
    <w:uiPriority w:val="21"/>
    <w:rsid w:val="008314CE"/>
    <w:rPr>
      <w:i/>
      <w:color w:val="FF0000"/>
      <w:sz w:val="16"/>
      <w:szCs w:val="16"/>
    </w:rPr>
  </w:style>
  <w:style w:type="paragraph" w:customStyle="1" w:styleId="TableBullet2dash">
    <w:name w:val="Table Bullet2_dash"/>
    <w:basedOn w:val="TableBodyText"/>
    <w:qFormat/>
    <w:rsid w:val="000617AD"/>
    <w:pPr>
      <w:numPr>
        <w:ilvl w:val="1"/>
        <w:numId w:val="3"/>
      </w:numPr>
      <w:spacing w:before="20" w:after="20"/>
      <w:ind w:left="706" w:hanging="274"/>
      <w:contextualSpacing/>
    </w:pPr>
  </w:style>
  <w:style w:type="paragraph" w:styleId="TOC5">
    <w:name w:val="toc 5"/>
    <w:basedOn w:val="Normal"/>
    <w:next w:val="Normal"/>
    <w:autoRedefine/>
    <w:uiPriority w:val="39"/>
    <w:unhideWhenUsed/>
    <w:rsid w:val="00861B02"/>
    <w:pPr>
      <w:tabs>
        <w:tab w:val="right" w:leader="dot" w:pos="10790"/>
      </w:tabs>
      <w:ind w:left="1440"/>
    </w:pPr>
    <w:rPr>
      <w:noProof/>
    </w:rPr>
  </w:style>
  <w:style w:type="paragraph" w:styleId="TOC6">
    <w:name w:val="toc 6"/>
    <w:basedOn w:val="Normal"/>
    <w:next w:val="Normal"/>
    <w:autoRedefine/>
    <w:uiPriority w:val="20"/>
    <w:unhideWhenUsed/>
    <w:rsid w:val="004038A0"/>
    <w:pPr>
      <w:tabs>
        <w:tab w:val="right" w:leader="dot" w:pos="10790"/>
      </w:tabs>
      <w:ind w:left="1080"/>
    </w:pPr>
    <w:rPr>
      <w:noProof/>
    </w:rPr>
  </w:style>
  <w:style w:type="paragraph" w:styleId="TOC7">
    <w:name w:val="toc 7"/>
    <w:basedOn w:val="Normal"/>
    <w:next w:val="Normal"/>
    <w:autoRedefine/>
    <w:uiPriority w:val="20"/>
    <w:unhideWhenUsed/>
    <w:rsid w:val="004038A0"/>
    <w:pPr>
      <w:tabs>
        <w:tab w:val="right" w:leader="dot" w:pos="10790"/>
      </w:tabs>
      <w:ind w:left="1080"/>
    </w:pPr>
    <w:rPr>
      <w:noProof/>
    </w:rPr>
  </w:style>
  <w:style w:type="character" w:customStyle="1" w:styleId="Heading3Char">
    <w:name w:val="Heading 3 Char"/>
    <w:aliases w:val="H4 Char,Subhead Level 1 Char"/>
    <w:basedOn w:val="DefaultParagraphFont"/>
    <w:link w:val="Heading3"/>
    <w:uiPriority w:val="3"/>
    <w:rsid w:val="00507F7D"/>
    <w:rPr>
      <w:rFonts w:ascii="Calibri" w:hAnsi="Calibri" w:cs="Knockout-HTF48-Featherweight"/>
      <w:caps/>
      <w:color w:val="243646" w:themeColor="accent2"/>
      <w:spacing w:val="11"/>
      <w:sz w:val="22"/>
      <w:szCs w:val="20"/>
    </w:rPr>
  </w:style>
  <w:style w:type="character" w:customStyle="1" w:styleId="Heading7Char">
    <w:name w:val="Heading 7 Char"/>
    <w:basedOn w:val="DefaultParagraphFont"/>
    <w:link w:val="Heading7"/>
    <w:uiPriority w:val="3"/>
    <w:rsid w:val="009B300D"/>
    <w:rPr>
      <w:rFonts w:ascii="Calibri" w:hAnsi="Calibri" w:cs="Knockout-HTF29-JuniorLiteweight"/>
      <w:bCs/>
      <w:i/>
      <w:color w:val="262626"/>
      <w:sz w:val="22"/>
      <w:szCs w:val="19"/>
    </w:rPr>
  </w:style>
  <w:style w:type="paragraph" w:customStyle="1" w:styleId="BackPageCopyright">
    <w:name w:val="Back Page Copyright"/>
    <w:uiPriority w:val="99"/>
    <w:semiHidden/>
    <w:rsid w:val="00720161"/>
    <w:pPr>
      <w:widowControl w:val="0"/>
      <w:autoSpaceDE w:val="0"/>
      <w:autoSpaceDN w:val="0"/>
      <w:adjustRightInd w:val="0"/>
      <w:spacing w:line="200" w:lineRule="atLeast"/>
      <w:ind w:left="540"/>
      <w:textAlignment w:val="center"/>
    </w:pPr>
    <w:rPr>
      <w:rFonts w:ascii="Calibri" w:hAnsi="Calibri" w:cs="ScalaSansOT"/>
      <w:color w:val="FFFFFF" w:themeColor="background1"/>
      <w:sz w:val="14"/>
      <w:szCs w:val="14"/>
    </w:rPr>
  </w:style>
  <w:style w:type="table" w:styleId="TableGrid">
    <w:name w:val="Table Grid"/>
    <w:basedOn w:val="TableNormal"/>
    <w:uiPriority w:val="59"/>
    <w:rsid w:val="0065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575E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link w:val="HeaderChar"/>
    <w:uiPriority w:val="99"/>
    <w:unhideWhenUsed/>
    <w:rsid w:val="00804489"/>
    <w:pPr>
      <w:tabs>
        <w:tab w:val="center" w:pos="4680"/>
        <w:tab w:val="right" w:pos="9360"/>
      </w:tabs>
    </w:pPr>
  </w:style>
  <w:style w:type="character" w:customStyle="1" w:styleId="HeaderChar">
    <w:name w:val="Header Char"/>
    <w:basedOn w:val="DefaultParagraphFont"/>
    <w:link w:val="Header"/>
    <w:uiPriority w:val="99"/>
    <w:rsid w:val="00804489"/>
  </w:style>
  <w:style w:type="paragraph" w:styleId="Footer">
    <w:name w:val="footer"/>
    <w:link w:val="FooterChar"/>
    <w:uiPriority w:val="99"/>
    <w:unhideWhenUsed/>
    <w:rsid w:val="001044D6"/>
    <w:pPr>
      <w:pBdr>
        <w:top w:val="single" w:sz="4" w:space="1" w:color="auto"/>
      </w:pBdr>
      <w:tabs>
        <w:tab w:val="center" w:pos="5400"/>
        <w:tab w:val="right" w:pos="10800"/>
      </w:tabs>
    </w:pPr>
    <w:rPr>
      <w:rFonts w:ascii="Georgia" w:hAnsi="Georgia"/>
      <w:i/>
      <w:iCs/>
      <w:sz w:val="14"/>
      <w:szCs w:val="14"/>
    </w:rPr>
  </w:style>
  <w:style w:type="character" w:customStyle="1" w:styleId="FooterChar">
    <w:name w:val="Footer Char"/>
    <w:basedOn w:val="DefaultParagraphFont"/>
    <w:link w:val="Footer"/>
    <w:uiPriority w:val="99"/>
    <w:rsid w:val="001044D6"/>
    <w:rPr>
      <w:rFonts w:ascii="Georgia" w:hAnsi="Georgia"/>
      <w:i/>
      <w:iCs/>
      <w:sz w:val="14"/>
      <w:szCs w:val="14"/>
    </w:rPr>
  </w:style>
  <w:style w:type="character" w:styleId="PageNumber">
    <w:name w:val="page number"/>
    <w:basedOn w:val="DefaultParagraphFont"/>
    <w:uiPriority w:val="99"/>
    <w:unhideWhenUsed/>
    <w:rsid w:val="001044D6"/>
    <w:rPr>
      <w:sz w:val="20"/>
    </w:rPr>
  </w:style>
  <w:style w:type="character" w:styleId="CommentReference">
    <w:name w:val="annotation reference"/>
    <w:basedOn w:val="DefaultParagraphFont"/>
    <w:uiPriority w:val="99"/>
    <w:semiHidden/>
    <w:unhideWhenUsed/>
    <w:rsid w:val="0048611E"/>
    <w:rPr>
      <w:sz w:val="18"/>
      <w:szCs w:val="18"/>
    </w:rPr>
  </w:style>
  <w:style w:type="paragraph" w:styleId="CommentText">
    <w:name w:val="annotation text"/>
    <w:basedOn w:val="Normal"/>
    <w:link w:val="CommentTextChar"/>
    <w:uiPriority w:val="99"/>
    <w:unhideWhenUsed/>
    <w:rsid w:val="0048611E"/>
  </w:style>
  <w:style w:type="character" w:customStyle="1" w:styleId="CommentTextChar">
    <w:name w:val="Comment Text Char"/>
    <w:basedOn w:val="DefaultParagraphFont"/>
    <w:link w:val="CommentText"/>
    <w:uiPriority w:val="99"/>
    <w:rsid w:val="0048611E"/>
  </w:style>
  <w:style w:type="paragraph" w:styleId="CommentSubject">
    <w:name w:val="annotation subject"/>
    <w:basedOn w:val="CommentText"/>
    <w:next w:val="CommentText"/>
    <w:link w:val="CommentSubjectChar"/>
    <w:uiPriority w:val="99"/>
    <w:semiHidden/>
    <w:unhideWhenUsed/>
    <w:rsid w:val="0048611E"/>
    <w:rPr>
      <w:b/>
      <w:bCs/>
    </w:rPr>
  </w:style>
  <w:style w:type="character" w:customStyle="1" w:styleId="CommentSubjectChar">
    <w:name w:val="Comment Subject Char"/>
    <w:basedOn w:val="CommentTextChar"/>
    <w:link w:val="CommentSubject"/>
    <w:uiPriority w:val="99"/>
    <w:semiHidden/>
    <w:rsid w:val="0048611E"/>
    <w:rPr>
      <w:b/>
      <w:bCs/>
      <w:sz w:val="20"/>
      <w:szCs w:val="20"/>
    </w:rPr>
  </w:style>
  <w:style w:type="paragraph" w:styleId="BalloonText">
    <w:name w:val="Balloon Text"/>
    <w:basedOn w:val="Normal"/>
    <w:link w:val="BalloonTextChar"/>
    <w:uiPriority w:val="99"/>
    <w:semiHidden/>
    <w:unhideWhenUsed/>
    <w:rsid w:val="004861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1E"/>
    <w:rPr>
      <w:rFonts w:ascii="Times New Roman" w:hAnsi="Times New Roman" w:cs="Times New Roman"/>
      <w:sz w:val="18"/>
      <w:szCs w:val="18"/>
    </w:rPr>
  </w:style>
  <w:style w:type="paragraph" w:customStyle="1" w:styleId="CoverTitle">
    <w:name w:val="Cover Title"/>
    <w:uiPriority w:val="5"/>
    <w:rsid w:val="00F96A1B"/>
    <w:pPr>
      <w:spacing w:before="6840"/>
    </w:pPr>
    <w:rPr>
      <w:rFonts w:ascii="Oswald" w:hAnsi="Oswald"/>
      <w:color w:val="FFFFFF" w:themeColor="background1"/>
      <w:sz w:val="70"/>
      <w:szCs w:val="70"/>
    </w:rPr>
  </w:style>
  <w:style w:type="paragraph" w:customStyle="1" w:styleId="CoverSubtitle">
    <w:name w:val="Cover Subtitle"/>
    <w:uiPriority w:val="5"/>
    <w:rsid w:val="00F96A1B"/>
    <w:pPr>
      <w:spacing w:before="240"/>
    </w:pPr>
    <w:rPr>
      <w:rFonts w:ascii="Calibri" w:hAnsi="Calibri"/>
      <w:b/>
      <w:bCs/>
      <w:caps/>
      <w:color w:val="FFFFFF" w:themeColor="background1"/>
      <w:spacing w:val="20"/>
      <w:sz w:val="28"/>
      <w:szCs w:val="28"/>
    </w:rPr>
  </w:style>
  <w:style w:type="paragraph" w:customStyle="1" w:styleId="CoverPreparedfor">
    <w:name w:val="Cover Prepared for"/>
    <w:uiPriority w:val="5"/>
    <w:rsid w:val="00F96A1B"/>
    <w:pPr>
      <w:spacing w:before="2880"/>
    </w:pPr>
    <w:rPr>
      <w:rFonts w:ascii="Georgia" w:hAnsi="Georgia"/>
      <w:i/>
      <w:iCs/>
      <w:color w:val="FFFFFF" w:themeColor="background1"/>
      <w:sz w:val="22"/>
      <w:szCs w:val="22"/>
    </w:rPr>
  </w:style>
  <w:style w:type="paragraph" w:customStyle="1" w:styleId="Heading1SubtitleOptional">
    <w:name w:val="Heading 1 Subtitle_Optional"/>
    <w:uiPriority w:val="2"/>
    <w:qFormat/>
    <w:rsid w:val="00A905A2"/>
    <w:pPr>
      <w:keepNext/>
      <w:keepLines/>
      <w:spacing w:before="240" w:after="130" w:line="320" w:lineRule="atLeast"/>
    </w:pPr>
    <w:rPr>
      <w:rFonts w:ascii="Calibri" w:hAnsi="Calibri" w:cs="ScalaSansOT"/>
      <w:caps/>
      <w:color w:val="404040"/>
      <w:spacing w:val="19"/>
    </w:rPr>
  </w:style>
  <w:style w:type="paragraph" w:customStyle="1" w:styleId="Heading2SubtitleOptional">
    <w:name w:val="Heading 2 Subtitle_Optional"/>
    <w:uiPriority w:val="3"/>
    <w:qFormat/>
    <w:rsid w:val="00785845"/>
    <w:pPr>
      <w:keepNext/>
      <w:keepLines/>
      <w:spacing w:before="120" w:after="200" w:line="320" w:lineRule="atLeast"/>
    </w:pPr>
    <w:rPr>
      <w:rFonts w:ascii="Calibri" w:hAnsi="Calibri" w:cs="ScalaSansOT"/>
      <w:caps/>
      <w:color w:val="000000" w:themeColor="text1"/>
      <w:spacing w:val="19"/>
      <w:sz w:val="22"/>
      <w:szCs w:val="20"/>
    </w:rPr>
  </w:style>
  <w:style w:type="paragraph" w:styleId="BodyText2">
    <w:name w:val="Body Text 2"/>
    <w:basedOn w:val="BodyText"/>
    <w:link w:val="BodyText2Char"/>
    <w:uiPriority w:val="21"/>
    <w:unhideWhenUsed/>
    <w:rsid w:val="00AA0455"/>
  </w:style>
  <w:style w:type="paragraph" w:customStyle="1" w:styleId="BulletLevel1">
    <w:name w:val="Bullet Level 1"/>
    <w:basedOn w:val="BodyText"/>
    <w:qFormat/>
    <w:rsid w:val="00957948"/>
    <w:pPr>
      <w:numPr>
        <w:numId w:val="1"/>
      </w:numPr>
      <w:contextualSpacing/>
    </w:pPr>
  </w:style>
  <w:style w:type="paragraph" w:customStyle="1" w:styleId="BulletLevel2">
    <w:name w:val="Bullet Level 2"/>
    <w:basedOn w:val="BulletLevel1"/>
    <w:qFormat/>
    <w:rsid w:val="00957948"/>
    <w:pPr>
      <w:numPr>
        <w:ilvl w:val="1"/>
      </w:numPr>
    </w:pPr>
  </w:style>
  <w:style w:type="paragraph" w:styleId="TOC8">
    <w:name w:val="toc 8"/>
    <w:basedOn w:val="Normal"/>
    <w:next w:val="Normal"/>
    <w:autoRedefine/>
    <w:uiPriority w:val="20"/>
    <w:unhideWhenUsed/>
    <w:rsid w:val="004038A0"/>
    <w:pPr>
      <w:ind w:left="1680"/>
    </w:pPr>
  </w:style>
  <w:style w:type="paragraph" w:customStyle="1" w:styleId="BulletAltLevel1">
    <w:name w:val="Bullet Alt Level 1"/>
    <w:basedOn w:val="BulletLevel1"/>
    <w:qFormat/>
    <w:rsid w:val="00FC4E2A"/>
    <w:pPr>
      <w:numPr>
        <w:numId w:val="2"/>
      </w:numPr>
      <w:contextualSpacing w:val="0"/>
    </w:pPr>
    <w:rPr>
      <w:szCs w:val="19"/>
    </w:rPr>
  </w:style>
  <w:style w:type="paragraph" w:customStyle="1" w:styleId="BulletAltLevel2">
    <w:name w:val="Bullet Alt Level 2"/>
    <w:basedOn w:val="BulletAltLevel1"/>
    <w:qFormat/>
    <w:rsid w:val="00FC4E2A"/>
    <w:pPr>
      <w:numPr>
        <w:ilvl w:val="1"/>
      </w:numPr>
      <w:contextualSpacing/>
    </w:pPr>
  </w:style>
  <w:style w:type="paragraph" w:customStyle="1" w:styleId="GraphicCaption">
    <w:name w:val="Graphic Caption"/>
    <w:qFormat/>
    <w:rsid w:val="001471F9"/>
    <w:pPr>
      <w:spacing w:before="130" w:after="280"/>
      <w:jc w:val="center"/>
    </w:pPr>
    <w:rPr>
      <w:rFonts w:ascii="Calibri" w:hAnsi="Calibri" w:cs="ScalaSansOT"/>
      <w:b/>
      <w:caps/>
      <w:color w:val="5D7D95" w:themeColor="accent1"/>
      <w:spacing w:val="20"/>
      <w:sz w:val="20"/>
      <w:szCs w:val="18"/>
    </w:rPr>
  </w:style>
  <w:style w:type="paragraph" w:customStyle="1" w:styleId="SideColumnPullquote">
    <w:name w:val="Side Column Pullquote"/>
    <w:uiPriority w:val="4"/>
    <w:qFormat/>
    <w:rsid w:val="00D07371"/>
    <w:pPr>
      <w:spacing w:after="130"/>
    </w:pPr>
    <w:rPr>
      <w:rFonts w:ascii="Georgia" w:hAnsi="Georgia" w:cs="ScalaSansOT"/>
      <w:i/>
      <w:color w:val="262626"/>
      <w:spacing w:val="2"/>
      <w:sz w:val="20"/>
      <w:szCs w:val="18"/>
    </w:rPr>
  </w:style>
  <w:style w:type="paragraph" w:customStyle="1" w:styleId="SideColumnSubhead">
    <w:name w:val="Side Column Subhead"/>
    <w:uiPriority w:val="4"/>
    <w:qFormat/>
    <w:rsid w:val="00C74438"/>
    <w:pPr>
      <w:spacing w:after="130"/>
    </w:pPr>
    <w:rPr>
      <w:rFonts w:ascii="Calibri" w:hAnsi="Calibri" w:cs="ScalaSansOT"/>
      <w:b/>
      <w:caps/>
      <w:color w:val="262626"/>
      <w:spacing w:val="2"/>
      <w:sz w:val="18"/>
      <w:szCs w:val="18"/>
    </w:rPr>
  </w:style>
  <w:style w:type="paragraph" w:customStyle="1" w:styleId="SideColumnText">
    <w:name w:val="Side Column Text"/>
    <w:uiPriority w:val="4"/>
    <w:qFormat/>
    <w:rsid w:val="00C24F6D"/>
    <w:pPr>
      <w:spacing w:after="130"/>
    </w:pPr>
    <w:rPr>
      <w:rFonts w:ascii="Calibri" w:hAnsi="Calibri" w:cs="ScalaSansOT"/>
      <w:color w:val="262626"/>
      <w:spacing w:val="2"/>
      <w:sz w:val="18"/>
      <w:szCs w:val="18"/>
    </w:rPr>
  </w:style>
  <w:style w:type="paragraph" w:customStyle="1" w:styleId="TableBodyText">
    <w:name w:val="Table BodyText"/>
    <w:uiPriority w:val="3"/>
    <w:qFormat/>
    <w:rsid w:val="00477F34"/>
    <w:pPr>
      <w:spacing w:before="60" w:after="60"/>
    </w:pPr>
    <w:rPr>
      <w:rFonts w:ascii="Calibri" w:hAnsi="Calibri" w:cs="ScalaSansOT"/>
      <w:bCs/>
      <w:color w:val="262626"/>
      <w:sz w:val="20"/>
      <w:szCs w:val="20"/>
    </w:rPr>
  </w:style>
  <w:style w:type="table" w:customStyle="1" w:styleId="BAHTableStyle1">
    <w:name w:val="BAH_Table_Style_1"/>
    <w:basedOn w:val="TableNormal"/>
    <w:uiPriority w:val="99"/>
    <w:rsid w:val="00BD073D"/>
    <w:tblPr>
      <w:tblBorders>
        <w:bottom w:val="single" w:sz="4" w:space="0" w:color="D9D9D9"/>
        <w:insideH w:val="dotted" w:sz="4" w:space="0" w:color="D9D9D9"/>
      </w:tblBorders>
    </w:tblPr>
    <w:tblStylePr w:type="firstRow">
      <w:pPr>
        <w:jc w:val="center"/>
      </w:pPr>
      <w:tblPr/>
      <w:trPr>
        <w:tblHeader/>
      </w:trPr>
      <w:tcPr>
        <w:shd w:val="clear" w:color="auto" w:fill="5D7D95" w:themeFill="accent1"/>
        <w:vAlign w:val="center"/>
      </w:tcPr>
    </w:tblStylePr>
  </w:style>
  <w:style w:type="paragraph" w:customStyle="1" w:styleId="BackPageHead">
    <w:name w:val="Back Page Head"/>
    <w:uiPriority w:val="99"/>
    <w:semiHidden/>
    <w:rsid w:val="00397AE0"/>
    <w:pPr>
      <w:ind w:right="6480"/>
    </w:pPr>
    <w:rPr>
      <w:rFonts w:ascii="Calibri" w:hAnsi="Calibri" w:cs="Arial"/>
      <w:b/>
      <w:color w:val="FFFFFF" w:themeColor="background1"/>
      <w:sz w:val="22"/>
      <w:szCs w:val="19"/>
    </w:rPr>
  </w:style>
  <w:style w:type="paragraph" w:customStyle="1" w:styleId="BackPageText">
    <w:name w:val="Back Page Text"/>
    <w:uiPriority w:val="99"/>
    <w:semiHidden/>
    <w:rsid w:val="00397AE0"/>
    <w:pPr>
      <w:ind w:right="6480"/>
    </w:pPr>
    <w:rPr>
      <w:rFonts w:ascii="Calibri" w:hAnsi="Calibri" w:cs="Arial"/>
      <w:iCs/>
      <w:color w:val="FFFFFF" w:themeColor="background1"/>
      <w:sz w:val="22"/>
      <w:szCs w:val="19"/>
    </w:rPr>
  </w:style>
  <w:style w:type="paragraph" w:styleId="Revision">
    <w:name w:val="Revision"/>
    <w:hidden/>
    <w:uiPriority w:val="99"/>
    <w:semiHidden/>
    <w:rsid w:val="00AF3DDE"/>
  </w:style>
  <w:style w:type="paragraph" w:customStyle="1" w:styleId="Graphic">
    <w:name w:val="Graphic"/>
    <w:qFormat/>
    <w:rsid w:val="001471F9"/>
    <w:pPr>
      <w:keepNext/>
      <w:jc w:val="center"/>
    </w:pPr>
    <w:rPr>
      <w:rFonts w:ascii="Calibri" w:hAnsi="Calibri" w:cs="ScalaSansOT"/>
      <w:noProof/>
      <w:color w:val="262626"/>
      <w:sz w:val="20"/>
      <w:szCs w:val="19"/>
      <w:lang w:eastAsia="en-US"/>
    </w:rPr>
  </w:style>
  <w:style w:type="paragraph" w:styleId="TOC1">
    <w:name w:val="toc 1"/>
    <w:next w:val="Normal"/>
    <w:autoRedefine/>
    <w:uiPriority w:val="39"/>
    <w:unhideWhenUsed/>
    <w:rsid w:val="00ED208B"/>
    <w:pPr>
      <w:tabs>
        <w:tab w:val="right" w:leader="dot" w:pos="10790"/>
      </w:tabs>
      <w:spacing w:before="100"/>
      <w:ind w:left="274" w:hanging="274"/>
    </w:pPr>
    <w:rPr>
      <w:rFonts w:ascii="Calibri" w:hAnsi="Calibri"/>
      <w:noProof/>
      <w:sz w:val="20"/>
      <w:szCs w:val="19"/>
    </w:rPr>
  </w:style>
  <w:style w:type="paragraph" w:styleId="TOC2">
    <w:name w:val="toc 2"/>
    <w:next w:val="Normal"/>
    <w:autoRedefine/>
    <w:uiPriority w:val="39"/>
    <w:unhideWhenUsed/>
    <w:rsid w:val="00B875DD"/>
    <w:pPr>
      <w:tabs>
        <w:tab w:val="right" w:leader="dot" w:pos="10790"/>
      </w:tabs>
      <w:spacing w:before="100"/>
      <w:ind w:left="720" w:hanging="446"/>
    </w:pPr>
    <w:rPr>
      <w:rFonts w:ascii="Calibri" w:hAnsi="Calibri"/>
      <w:noProof/>
      <w:sz w:val="20"/>
    </w:rPr>
  </w:style>
  <w:style w:type="paragraph" w:styleId="TOC3">
    <w:name w:val="toc 3"/>
    <w:next w:val="Normal"/>
    <w:autoRedefine/>
    <w:uiPriority w:val="39"/>
    <w:unhideWhenUsed/>
    <w:rsid w:val="00042AF5"/>
    <w:pPr>
      <w:tabs>
        <w:tab w:val="right" w:leader="dot" w:pos="1440"/>
        <w:tab w:val="right" w:leader="dot" w:pos="10790"/>
      </w:tabs>
      <w:ind w:left="1166" w:hanging="446"/>
    </w:pPr>
    <w:rPr>
      <w:rFonts w:ascii="Calibri" w:hAnsi="Calibri"/>
      <w:noProof/>
      <w:sz w:val="20"/>
    </w:rPr>
  </w:style>
  <w:style w:type="paragraph" w:styleId="TOC4">
    <w:name w:val="toc 4"/>
    <w:basedOn w:val="TOC3"/>
    <w:next w:val="TOC3"/>
    <w:autoRedefine/>
    <w:uiPriority w:val="39"/>
    <w:unhideWhenUsed/>
    <w:rsid w:val="00DB3FB8"/>
    <w:pPr>
      <w:ind w:left="1915" w:hanging="619"/>
    </w:pPr>
    <w:rPr>
      <w:caps/>
    </w:rPr>
  </w:style>
  <w:style w:type="character" w:styleId="Hyperlink">
    <w:name w:val="Hyperlink"/>
    <w:basedOn w:val="DefaultParagraphFont"/>
    <w:uiPriority w:val="99"/>
    <w:unhideWhenUsed/>
    <w:rsid w:val="003C6AC2"/>
    <w:rPr>
      <w:color w:val="auto"/>
      <w:u w:val="single"/>
    </w:rPr>
  </w:style>
  <w:style w:type="paragraph" w:styleId="TableofFigures">
    <w:name w:val="table of figures"/>
    <w:aliases w:val="List of Tables and Figures"/>
    <w:next w:val="Normal"/>
    <w:uiPriority w:val="99"/>
    <w:unhideWhenUsed/>
    <w:rsid w:val="005C48F5"/>
    <w:rPr>
      <w:rFonts w:ascii="Calibri" w:hAnsi="Calibri"/>
      <w:sz w:val="20"/>
    </w:rPr>
  </w:style>
  <w:style w:type="character" w:customStyle="1" w:styleId="Heading1Char">
    <w:name w:val="Heading 1 Char"/>
    <w:aliases w:val="H2 Char,Section Headline Char"/>
    <w:basedOn w:val="DefaultParagraphFont"/>
    <w:link w:val="Heading1"/>
    <w:uiPriority w:val="1"/>
    <w:rsid w:val="00D966D0"/>
    <w:rPr>
      <w:rFonts w:ascii="Oswald" w:hAnsi="Oswald" w:cs="Knockout-HTF28-JuniorFeatherwt"/>
      <w:caps/>
      <w:color w:val="5D7D95" w:themeColor="accent1"/>
      <w:spacing w:val="51"/>
      <w:sz w:val="36"/>
      <w:szCs w:val="36"/>
    </w:rPr>
  </w:style>
  <w:style w:type="paragraph" w:styleId="TOCHeading">
    <w:name w:val="TOC Heading"/>
    <w:basedOn w:val="Normal"/>
    <w:next w:val="Normal"/>
    <w:uiPriority w:val="39"/>
    <w:unhideWhenUsed/>
    <w:qFormat/>
    <w:rsid w:val="001D6B13"/>
    <w:pPr>
      <w:widowControl w:val="0"/>
      <w:autoSpaceDE w:val="0"/>
      <w:autoSpaceDN w:val="0"/>
      <w:adjustRightInd w:val="0"/>
      <w:spacing w:line="288" w:lineRule="auto"/>
      <w:textAlignment w:val="center"/>
    </w:pPr>
    <w:rPr>
      <w:rFonts w:ascii="Oswald" w:hAnsi="Oswald" w:cs="Knockout-HTF28-JuniorFeatherwt"/>
      <w:caps/>
      <w:color w:val="5D7D95" w:themeColor="accent1"/>
      <w:spacing w:val="51"/>
      <w:sz w:val="36"/>
      <w:szCs w:val="36"/>
    </w:rPr>
  </w:style>
  <w:style w:type="character" w:customStyle="1" w:styleId="Heading2Char">
    <w:name w:val="Heading 2 Char"/>
    <w:aliases w:val="H3 Char,SubSection Headline Char"/>
    <w:basedOn w:val="DefaultParagraphFont"/>
    <w:link w:val="Heading2"/>
    <w:uiPriority w:val="2"/>
    <w:rsid w:val="00D966D0"/>
    <w:rPr>
      <w:rFonts w:ascii="Calibri Light" w:hAnsi="Calibri Light" w:cs="ScalaSansOT"/>
      <w:caps/>
      <w:color w:val="AC4324" w:themeColor="accent4"/>
      <w:sz w:val="32"/>
      <w:szCs w:val="32"/>
    </w:rPr>
  </w:style>
  <w:style w:type="character" w:customStyle="1" w:styleId="Heading4Char">
    <w:name w:val="Heading 4 Char"/>
    <w:aliases w:val="Subhead Level 2 Char,H5 Char"/>
    <w:basedOn w:val="DefaultParagraphFont"/>
    <w:link w:val="Heading4"/>
    <w:uiPriority w:val="3"/>
    <w:rsid w:val="00A905A2"/>
    <w:rPr>
      <w:rFonts w:ascii="Calibri" w:hAnsi="Calibri" w:cs="Knockout-HTF50-Welterweight"/>
      <w:b/>
      <w:bCs/>
      <w:color w:val="5D7D95" w:themeColor="accent1"/>
      <w:sz w:val="22"/>
      <w:szCs w:val="20"/>
    </w:rPr>
  </w:style>
  <w:style w:type="character" w:customStyle="1" w:styleId="Heading5Char">
    <w:name w:val="Heading 5 Char"/>
    <w:aliases w:val="Subhead Level 3 Char"/>
    <w:basedOn w:val="DefaultParagraphFont"/>
    <w:link w:val="Heading5"/>
    <w:uiPriority w:val="3"/>
    <w:rsid w:val="00A905A2"/>
    <w:rPr>
      <w:rFonts w:ascii="Georgia" w:hAnsi="Georgia" w:cs="Scala-Caps"/>
      <w:i/>
      <w:iCs/>
      <w:color w:val="000000" w:themeColor="text1"/>
      <w:spacing w:val="14"/>
      <w:sz w:val="22"/>
      <w:szCs w:val="20"/>
    </w:rPr>
  </w:style>
  <w:style w:type="character" w:customStyle="1" w:styleId="Heading6Char">
    <w:name w:val="Heading 6 Char"/>
    <w:basedOn w:val="DefaultParagraphFont"/>
    <w:link w:val="Heading6"/>
    <w:uiPriority w:val="3"/>
    <w:rsid w:val="002139A4"/>
    <w:rPr>
      <w:rFonts w:ascii="Calibri" w:hAnsi="Calibri" w:cs="Knockout-HTF29-JuniorLiteweight"/>
      <w:b/>
      <w:bCs/>
      <w:color w:val="262626"/>
      <w:sz w:val="20"/>
      <w:szCs w:val="19"/>
    </w:rPr>
  </w:style>
  <w:style w:type="character" w:customStyle="1" w:styleId="Heading8Char">
    <w:name w:val="Heading 8 Char"/>
    <w:basedOn w:val="DefaultParagraphFont"/>
    <w:link w:val="Heading8"/>
    <w:uiPriority w:val="3"/>
    <w:rsid w:val="009B300D"/>
    <w:rPr>
      <w:rFonts w:asciiTheme="majorHAnsi" w:eastAsiaTheme="majorEastAsia" w:hAnsiTheme="majorHAnsi" w:cstheme="majorBidi"/>
      <w:color w:val="272727" w:themeColor="text1" w:themeTint="D8"/>
      <w:sz w:val="21"/>
      <w:szCs w:val="21"/>
      <w:u w:val="single"/>
    </w:rPr>
  </w:style>
  <w:style w:type="character" w:customStyle="1" w:styleId="Heading9Char">
    <w:name w:val="Heading 9 Char"/>
    <w:basedOn w:val="DefaultParagraphFont"/>
    <w:link w:val="Heading9"/>
    <w:uiPriority w:val="3"/>
    <w:semiHidden/>
    <w:rsid w:val="009B300D"/>
    <w:rPr>
      <w:rFonts w:asciiTheme="majorHAnsi" w:eastAsiaTheme="majorEastAsia" w:hAnsiTheme="majorHAnsi" w:cstheme="majorBidi"/>
      <w:iCs/>
      <w:color w:val="272727" w:themeColor="text1" w:themeTint="D8"/>
      <w:sz w:val="21"/>
      <w:szCs w:val="21"/>
    </w:rPr>
  </w:style>
  <w:style w:type="paragraph" w:styleId="TOC9">
    <w:name w:val="toc 9"/>
    <w:basedOn w:val="Normal"/>
    <w:next w:val="Normal"/>
    <w:autoRedefine/>
    <w:uiPriority w:val="20"/>
    <w:unhideWhenUsed/>
    <w:rsid w:val="004038A0"/>
    <w:pPr>
      <w:ind w:left="1920"/>
    </w:pPr>
  </w:style>
  <w:style w:type="paragraph" w:styleId="PlainText">
    <w:name w:val="Plain Text"/>
    <w:basedOn w:val="Normal"/>
    <w:link w:val="PlainTextChar"/>
    <w:uiPriority w:val="99"/>
    <w:unhideWhenUsed/>
    <w:rsid w:val="00883B97"/>
    <w:rPr>
      <w:rFonts w:ascii="Courier" w:hAnsi="Courier"/>
      <w:sz w:val="21"/>
      <w:szCs w:val="21"/>
    </w:rPr>
  </w:style>
  <w:style w:type="character" w:customStyle="1" w:styleId="PlainTextChar">
    <w:name w:val="Plain Text Char"/>
    <w:basedOn w:val="DefaultParagraphFont"/>
    <w:link w:val="PlainText"/>
    <w:uiPriority w:val="99"/>
    <w:rsid w:val="00883B97"/>
    <w:rPr>
      <w:rFonts w:ascii="Courier" w:hAnsi="Courier"/>
      <w:sz w:val="21"/>
      <w:szCs w:val="21"/>
    </w:rPr>
  </w:style>
  <w:style w:type="paragraph" w:styleId="BodyText">
    <w:name w:val="Body Text"/>
    <w:basedOn w:val="Normal"/>
    <w:link w:val="BodyTextChar"/>
    <w:qFormat/>
    <w:rsid w:val="00AA0455"/>
  </w:style>
  <w:style w:type="character" w:customStyle="1" w:styleId="BodyTextChar">
    <w:name w:val="Body Text Char"/>
    <w:basedOn w:val="DefaultParagraphFont"/>
    <w:link w:val="BodyText"/>
    <w:rsid w:val="002139A4"/>
    <w:rPr>
      <w:rFonts w:ascii="Calibri" w:hAnsi="Calibri" w:cs="ScalaSansOT"/>
      <w:color w:val="262626"/>
      <w:sz w:val="20"/>
      <w:szCs w:val="20"/>
    </w:rPr>
  </w:style>
  <w:style w:type="character" w:customStyle="1" w:styleId="BodyText2Char">
    <w:name w:val="Body Text 2 Char"/>
    <w:basedOn w:val="DefaultParagraphFont"/>
    <w:link w:val="BodyText2"/>
    <w:uiPriority w:val="21"/>
    <w:rsid w:val="002139A4"/>
    <w:rPr>
      <w:rFonts w:ascii="Calibri" w:hAnsi="Calibri" w:cs="ScalaSansOT"/>
      <w:color w:val="262626"/>
      <w:sz w:val="20"/>
      <w:szCs w:val="20"/>
    </w:rPr>
  </w:style>
  <w:style w:type="paragraph" w:styleId="BodyText3">
    <w:name w:val="Body Text 3"/>
    <w:basedOn w:val="BodyText"/>
    <w:link w:val="BodyText3Char"/>
    <w:uiPriority w:val="21"/>
    <w:unhideWhenUsed/>
    <w:rsid w:val="00AA0455"/>
  </w:style>
  <w:style w:type="character" w:customStyle="1" w:styleId="BodyText3Char">
    <w:name w:val="Body Text 3 Char"/>
    <w:basedOn w:val="DefaultParagraphFont"/>
    <w:link w:val="BodyText3"/>
    <w:uiPriority w:val="21"/>
    <w:rsid w:val="002139A4"/>
    <w:rPr>
      <w:rFonts w:ascii="Calibri" w:hAnsi="Calibri" w:cs="ScalaSansOT"/>
      <w:color w:val="262626"/>
      <w:sz w:val="20"/>
      <w:szCs w:val="20"/>
    </w:rPr>
  </w:style>
  <w:style w:type="paragraph" w:customStyle="1" w:styleId="TableHeading">
    <w:name w:val="Table Heading"/>
    <w:basedOn w:val="TableBodyText"/>
    <w:uiPriority w:val="2"/>
    <w:qFormat/>
    <w:rsid w:val="004E7A6F"/>
    <w:pPr>
      <w:jc w:val="center"/>
    </w:pPr>
    <w:rPr>
      <w:b/>
      <w:caps/>
      <w:color w:val="FFFFFF" w:themeColor="background1"/>
    </w:rPr>
  </w:style>
  <w:style w:type="paragraph" w:customStyle="1" w:styleId="CoverClassificationBox">
    <w:name w:val="Cover ClassificationBox"/>
    <w:basedOn w:val="Normal"/>
    <w:uiPriority w:val="39"/>
    <w:rsid w:val="0085048E"/>
    <w:pPr>
      <w:spacing w:after="0"/>
      <w:jc w:val="center"/>
    </w:pPr>
    <w:rPr>
      <w:caps/>
      <w:color w:val="FFFFFF" w:themeColor="background1"/>
      <w:spacing w:val="20"/>
      <w:sz w:val="15"/>
      <w:szCs w:val="15"/>
    </w:rPr>
  </w:style>
  <w:style w:type="paragraph" w:customStyle="1" w:styleId="ListofTablesandFiguresHeading">
    <w:name w:val="List of Tables and Figures Heading"/>
    <w:basedOn w:val="Heading2"/>
    <w:uiPriority w:val="19"/>
    <w:qFormat/>
    <w:rsid w:val="00E84765"/>
    <w:pPr>
      <w:numPr>
        <w:ilvl w:val="0"/>
        <w:numId w:val="0"/>
      </w:numPr>
    </w:pPr>
  </w:style>
  <w:style w:type="character" w:customStyle="1" w:styleId="HiddenCharacter">
    <w:name w:val="Hidden_Character"/>
    <w:basedOn w:val="DefaultParagraphFont"/>
    <w:uiPriority w:val="1"/>
    <w:qFormat/>
    <w:rsid w:val="005127D2"/>
    <w:rPr>
      <w:vanish/>
    </w:rPr>
  </w:style>
  <w:style w:type="paragraph" w:customStyle="1" w:styleId="TableCaption">
    <w:name w:val="Table Caption"/>
    <w:basedOn w:val="GraphicCaption"/>
    <w:next w:val="BodyText"/>
    <w:uiPriority w:val="6"/>
    <w:qFormat/>
    <w:rsid w:val="003C1EC7"/>
    <w:pPr>
      <w:keepNext/>
      <w:adjustRightInd w:val="0"/>
      <w:spacing w:before="280" w:after="130"/>
    </w:pPr>
  </w:style>
  <w:style w:type="paragraph" w:customStyle="1" w:styleId="TableSpacer">
    <w:name w:val="Table Spacer"/>
    <w:basedOn w:val="BodyText"/>
    <w:uiPriority w:val="2"/>
    <w:qFormat/>
    <w:rsid w:val="00C21076"/>
    <w:pPr>
      <w:spacing w:after="0"/>
    </w:pPr>
    <w:rPr>
      <w:rFonts w:asciiTheme="minorHAnsi" w:eastAsia="Times New Roman" w:hAnsiTheme="minorHAnsi" w:cs="Times New Roman"/>
      <w:bCs/>
      <w:color w:val="000000" w:themeColor="text1"/>
      <w:sz w:val="16"/>
      <w:szCs w:val="24"/>
      <w:lang w:eastAsia="en-US"/>
    </w:rPr>
  </w:style>
  <w:style w:type="paragraph" w:customStyle="1" w:styleId="CalloutBullet1">
    <w:name w:val="Callout Bullet1"/>
    <w:basedOn w:val="CalloutBodyText"/>
    <w:uiPriority w:val="4"/>
    <w:qFormat/>
    <w:rsid w:val="002B6F1C"/>
    <w:pPr>
      <w:framePr w:hSpace="187" w:wrap="around" w:vAnchor="text" w:hAnchor="margin" w:xAlign="right" w:y="1"/>
      <w:numPr>
        <w:numId w:val="5"/>
      </w:numPr>
      <w:ind w:left="121" w:hanging="121"/>
      <w:suppressOverlap/>
    </w:pPr>
    <w:rPr>
      <w:szCs w:val="20"/>
    </w:rPr>
  </w:style>
  <w:style w:type="paragraph" w:customStyle="1" w:styleId="CalloutBodyText">
    <w:name w:val="Callout BodyText"/>
    <w:basedOn w:val="Normal"/>
    <w:uiPriority w:val="4"/>
    <w:qFormat/>
    <w:rsid w:val="002B6F1C"/>
    <w:pPr>
      <w:spacing w:after="0"/>
    </w:pPr>
    <w:rPr>
      <w:rFonts w:eastAsia="Times New Roman" w:cs="Times New Roman"/>
      <w:bCs/>
      <w:color w:val="FFFFFF" w:themeColor="background1"/>
      <w:szCs w:val="24"/>
      <w:lang w:eastAsia="en-US"/>
    </w:rPr>
  </w:style>
  <w:style w:type="paragraph" w:customStyle="1" w:styleId="CalloutHeading">
    <w:name w:val="Callout Heading"/>
    <w:basedOn w:val="Normal"/>
    <w:uiPriority w:val="4"/>
    <w:qFormat/>
    <w:rsid w:val="002B6F1C"/>
    <w:pPr>
      <w:spacing w:before="20" w:after="0"/>
      <w:jc w:val="center"/>
    </w:pPr>
    <w:rPr>
      <w:rFonts w:eastAsia="Times New Roman" w:cs="Arial"/>
      <w:b/>
      <w:bCs/>
      <w:color w:val="FFFFFF" w:themeColor="background1"/>
      <w:sz w:val="18"/>
      <w:szCs w:val="18"/>
      <w:lang w:eastAsia="en-US"/>
    </w:rPr>
  </w:style>
  <w:style w:type="table" w:customStyle="1" w:styleId="BAHTableStyleCallout">
    <w:name w:val="BAH_Table_Style_Callout"/>
    <w:basedOn w:val="TableNormal"/>
    <w:uiPriority w:val="99"/>
    <w:rsid w:val="00940064"/>
    <w:rPr>
      <w:rFonts w:ascii="Times New Roman" w:eastAsia="Times New Roman" w:hAnsi="Times New Roman" w:cs="Times New Roman"/>
      <w:sz w:val="20"/>
      <w:szCs w:val="20"/>
      <w:lang w:eastAsia="en-US"/>
    </w:rPr>
    <w:tblPr>
      <w:tblStyleRowBandSize w:val="1"/>
      <w:tblStyleColBandSize w:val="1"/>
      <w:tblBorders>
        <w:top w:val="single" w:sz="4" w:space="0" w:color="D9D9D9"/>
        <w:left w:val="single" w:sz="4" w:space="0" w:color="D9D9D9"/>
        <w:right w:val="single" w:sz="4" w:space="0" w:color="D9D9D9"/>
      </w:tblBorders>
      <w:tblCellMar>
        <w:left w:w="43" w:type="dxa"/>
        <w:right w:w="43" w:type="dxa"/>
      </w:tblCellMar>
    </w:tblPr>
    <w:tcPr>
      <w:shd w:val="clear" w:color="auto" w:fill="5D7D95" w:themeFill="accent1"/>
    </w:tcPr>
    <w:tblStylePr w:type="firstRow">
      <w:tblPr/>
      <w:tcPr>
        <w:shd w:val="clear" w:color="auto" w:fill="5D7D95" w:themeFill="accent1"/>
      </w:tcPr>
    </w:tblStylePr>
    <w:tblStylePr w:type="lastRow">
      <w:rPr>
        <w:b/>
        <w:color w:val="F2F2F2" w:themeColor="background1" w:themeShade="F2"/>
      </w:rPr>
      <w:tblPr/>
      <w:tcPr>
        <w:shd w:val="clear" w:color="auto" w:fill="5D7D95" w:themeFill="accent1"/>
      </w:tcPr>
    </w:tblStylePr>
    <w:tblStylePr w:type="firstCol">
      <w:tblPr/>
      <w:tcPr>
        <w:shd w:val="clear" w:color="auto" w:fill="5D7D95" w:themeFill="accent1"/>
      </w:tcPr>
    </w:tblStylePr>
    <w:tblStylePr w:type="lastCol">
      <w:tblPr/>
      <w:tcPr>
        <w:shd w:val="clear" w:color="auto" w:fill="5D7D95" w:themeFill="accent1"/>
      </w:tcPr>
    </w:tblStylePr>
    <w:tblStylePr w:type="band1Horz">
      <w:tblPr/>
      <w:tcPr>
        <w:shd w:val="clear" w:color="auto" w:fill="5D7D95" w:themeFill="accent1"/>
      </w:tcPr>
    </w:tblStylePr>
    <w:tblStylePr w:type="band2Horz">
      <w:tblPr/>
      <w:tcPr>
        <w:shd w:val="clear" w:color="auto" w:fill="5D7D95" w:themeFill="accent1"/>
      </w:tcPr>
    </w:tblStylePr>
    <w:tblStylePr w:type="seCell">
      <w:rPr>
        <w:color w:val="FFFFFF" w:themeColor="background1"/>
      </w:rPr>
    </w:tblStylePr>
  </w:style>
  <w:style w:type="character" w:styleId="Strong">
    <w:name w:val="Strong"/>
    <w:basedOn w:val="DefaultParagraphFont"/>
    <w:uiPriority w:val="98"/>
    <w:qFormat/>
    <w:rsid w:val="003C1EBF"/>
    <w:rPr>
      <w:b/>
      <w:bCs/>
    </w:rPr>
  </w:style>
  <w:style w:type="character" w:styleId="Emphasis">
    <w:name w:val="Emphasis"/>
    <w:basedOn w:val="DefaultParagraphFont"/>
    <w:uiPriority w:val="98"/>
    <w:qFormat/>
    <w:rsid w:val="003C1EBF"/>
    <w:rPr>
      <w:i/>
      <w:iCs/>
    </w:rPr>
  </w:style>
  <w:style w:type="paragraph" w:styleId="NormalWeb">
    <w:name w:val="Normal (Web)"/>
    <w:basedOn w:val="Normal"/>
    <w:uiPriority w:val="99"/>
    <w:rsid w:val="00810BAA"/>
    <w:pPr>
      <w:spacing w:before="100" w:beforeAutospacing="1" w:after="100" w:afterAutospacing="1"/>
    </w:pPr>
    <w:rPr>
      <w:rFonts w:eastAsia="Times New Roman" w:cs="Times New Roman"/>
      <w:bCs/>
      <w:color w:val="000000" w:themeColor="text1"/>
      <w:sz w:val="24"/>
      <w:szCs w:val="24"/>
      <w:lang w:eastAsia="en-US"/>
    </w:rPr>
  </w:style>
  <w:style w:type="paragraph" w:customStyle="1" w:styleId="TableHeading2">
    <w:name w:val="Table Heading2"/>
    <w:basedOn w:val="TableHeading"/>
    <w:qFormat/>
    <w:rsid w:val="004E7A6F"/>
    <w:pPr>
      <w:jc w:val="left"/>
    </w:pPr>
  </w:style>
  <w:style w:type="paragraph" w:styleId="DocumentMap">
    <w:name w:val="Document Map"/>
    <w:basedOn w:val="Normal"/>
    <w:link w:val="DocumentMapChar"/>
    <w:uiPriority w:val="99"/>
    <w:semiHidden/>
    <w:unhideWhenUsed/>
    <w:rsid w:val="003B68DE"/>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B68DE"/>
    <w:rPr>
      <w:rFonts w:ascii="Times New Roman" w:hAnsi="Times New Roman" w:cs="Times New Roman"/>
      <w:color w:val="262626"/>
    </w:rPr>
  </w:style>
  <w:style w:type="table" w:customStyle="1" w:styleId="BAHTableStyle2">
    <w:name w:val="BAH_Table_Style_2"/>
    <w:basedOn w:val="TableNormal"/>
    <w:uiPriority w:val="99"/>
    <w:rsid w:val="007C5141"/>
    <w:rPr>
      <w:rFonts w:ascii="Times New Roman" w:eastAsia="Times New Roman" w:hAnsi="Times New Roman" w:cs="Times New Roman"/>
      <w:color w:val="000000" w:themeColor="text1"/>
      <w:sz w:val="20"/>
      <w:szCs w:val="20"/>
      <w:lang w:eastAsia="en-US"/>
    </w:rPr>
    <w:tblPr>
      <w:tblStyleRowBandSize w:val="1"/>
      <w:tblBorders>
        <w:bottom w:val="single" w:sz="4" w:space="0" w:color="D9D9D9"/>
      </w:tblBorders>
      <w:tblCellMar>
        <w:left w:w="43" w:type="dxa"/>
        <w:right w:w="43" w:type="dxa"/>
      </w:tblCellMar>
    </w:tblPr>
    <w:tcPr>
      <w:shd w:val="clear" w:color="auto" w:fill="455D6F" w:themeFill="accent1" w:themeFillShade="BF"/>
    </w:tcPr>
    <w:tblStylePr w:type="firstRow">
      <w:tblPr/>
      <w:tcPr>
        <w:shd w:val="clear" w:color="auto" w:fill="FFFFFF" w:themeFill="background1"/>
      </w:tcPr>
    </w:tblStylePr>
    <w:tblStylePr w:type="firstCol">
      <w:tblPr/>
      <w:tcPr>
        <w:shd w:val="clear" w:color="auto" w:fill="5D7D95" w:themeFill="accent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FootnoteText">
    <w:name w:val="footnote text"/>
    <w:basedOn w:val="Normal"/>
    <w:link w:val="FootnoteTextChar"/>
    <w:uiPriority w:val="99"/>
    <w:unhideWhenUsed/>
    <w:rsid w:val="00B30898"/>
    <w:pPr>
      <w:spacing w:after="0"/>
    </w:pPr>
    <w:rPr>
      <w:sz w:val="20"/>
      <w:szCs w:val="24"/>
    </w:rPr>
  </w:style>
  <w:style w:type="character" w:customStyle="1" w:styleId="FootnoteTextChar">
    <w:name w:val="Footnote Text Char"/>
    <w:basedOn w:val="DefaultParagraphFont"/>
    <w:link w:val="FootnoteText"/>
    <w:uiPriority w:val="99"/>
    <w:rsid w:val="00B30898"/>
    <w:rPr>
      <w:rFonts w:ascii="Calibri" w:hAnsi="Calibri" w:cs="ScalaSansOT"/>
      <w:sz w:val="20"/>
    </w:rPr>
  </w:style>
  <w:style w:type="character" w:styleId="FootnoteReference">
    <w:name w:val="footnote reference"/>
    <w:basedOn w:val="DefaultParagraphFont"/>
    <w:uiPriority w:val="99"/>
    <w:unhideWhenUsed/>
    <w:rsid w:val="00E84C89"/>
    <w:rPr>
      <w:vertAlign w:val="superscript"/>
    </w:rPr>
  </w:style>
  <w:style w:type="paragraph" w:customStyle="1" w:styleId="BulletParagraphLevel1">
    <w:name w:val="Bullet Paragraph Level 1"/>
    <w:basedOn w:val="BulletLevel1"/>
    <w:qFormat/>
    <w:rsid w:val="00FC4E2A"/>
    <w:pPr>
      <w:contextualSpacing w:val="0"/>
    </w:pPr>
  </w:style>
  <w:style w:type="paragraph" w:customStyle="1" w:styleId="BulletParagraphLevel2">
    <w:name w:val="Bullet Paragraph Level 2"/>
    <w:basedOn w:val="BulletLevel2"/>
    <w:qFormat/>
    <w:rsid w:val="00FC4E2A"/>
    <w:pPr>
      <w:contextualSpacing w:val="0"/>
    </w:pPr>
  </w:style>
  <w:style w:type="paragraph" w:styleId="ListParagraph">
    <w:name w:val="List Paragraph"/>
    <w:basedOn w:val="Normal"/>
    <w:link w:val="ListParagraphChar"/>
    <w:uiPriority w:val="34"/>
    <w:qFormat/>
    <w:rsid w:val="00910853"/>
    <w:pPr>
      <w:spacing w:after="160" w:line="259" w:lineRule="auto"/>
      <w:ind w:left="720"/>
      <w:contextualSpacing/>
    </w:pPr>
    <w:rPr>
      <w:rFonts w:asciiTheme="minorHAnsi" w:eastAsiaTheme="minorHAnsi" w:hAnsiTheme="minorHAnsi" w:cstheme="minorBidi"/>
      <w:szCs w:val="22"/>
      <w:lang w:eastAsia="en-US"/>
    </w:rPr>
  </w:style>
  <w:style w:type="paragraph" w:styleId="Caption">
    <w:name w:val="caption"/>
    <w:basedOn w:val="Normal"/>
    <w:next w:val="Normal"/>
    <w:link w:val="CaptionChar"/>
    <w:autoRedefine/>
    <w:uiPriority w:val="35"/>
    <w:unhideWhenUsed/>
    <w:qFormat/>
    <w:rsid w:val="00D05863"/>
    <w:pPr>
      <w:keepNext/>
      <w:spacing w:after="60"/>
      <w:jc w:val="center"/>
    </w:pPr>
    <w:rPr>
      <w:rFonts w:asciiTheme="minorHAnsi" w:eastAsiaTheme="minorHAnsi" w:hAnsiTheme="minorHAnsi" w:cstheme="minorBidi"/>
      <w:b/>
      <w:iCs/>
      <w:szCs w:val="22"/>
      <w:lang w:eastAsia="en-US"/>
    </w:rPr>
  </w:style>
  <w:style w:type="paragraph" w:styleId="Bibliography">
    <w:name w:val="Bibliography"/>
    <w:basedOn w:val="Normal"/>
    <w:next w:val="Normal"/>
    <w:uiPriority w:val="40"/>
    <w:unhideWhenUsed/>
    <w:rsid w:val="000A1A38"/>
    <w:pPr>
      <w:spacing w:after="240"/>
      <w:ind w:left="720" w:hanging="720"/>
    </w:pPr>
  </w:style>
  <w:style w:type="table" w:styleId="PlainTable1">
    <w:name w:val="Plain Table 1"/>
    <w:basedOn w:val="TableNormal"/>
    <w:uiPriority w:val="41"/>
    <w:rsid w:val="0033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747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D9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D9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D9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D95" w:themeFill="accent1"/>
      </w:tcPr>
    </w:tblStylePr>
    <w:tblStylePr w:type="band1Vert">
      <w:tblPr/>
      <w:tcPr>
        <w:shd w:val="clear" w:color="auto" w:fill="BCCBD5" w:themeFill="accent1" w:themeFillTint="66"/>
      </w:tcPr>
    </w:tblStylePr>
    <w:tblStylePr w:type="band1Horz">
      <w:tblPr/>
      <w:tcPr>
        <w:shd w:val="clear" w:color="auto" w:fill="BCCBD5" w:themeFill="accent1" w:themeFillTint="66"/>
      </w:tcPr>
    </w:tblStylePr>
  </w:style>
  <w:style w:type="paragraph" w:customStyle="1" w:styleId="centerbold">
    <w:name w:val="center bold"/>
    <w:aliases w:val="cbo"/>
    <w:basedOn w:val="Normal"/>
    <w:rsid w:val="000F3554"/>
    <w:pPr>
      <w:spacing w:after="0"/>
      <w:jc w:val="center"/>
    </w:pPr>
    <w:rPr>
      <w:rFonts w:ascii="Book Antiqua" w:eastAsia="Times New Roman" w:hAnsi="Book Antiqua" w:cs="Times New Roman"/>
      <w:b/>
      <w:sz w:val="24"/>
      <w:lang w:eastAsia="en-US"/>
    </w:rPr>
  </w:style>
  <w:style w:type="table" w:styleId="GridTable4-Accent1">
    <w:name w:val="Grid Table 4 Accent 1"/>
    <w:basedOn w:val="TableNormal"/>
    <w:uiPriority w:val="49"/>
    <w:rsid w:val="00F46B78"/>
    <w:tblPr>
      <w:tblStyleRowBandSize w:val="1"/>
      <w:tblStyleColBandSize w:val="1"/>
      <w:tblBorders>
        <w:top w:val="single" w:sz="4" w:space="0" w:color="9BB1C1" w:themeColor="accent1" w:themeTint="99"/>
        <w:left w:val="single" w:sz="4" w:space="0" w:color="9BB1C1" w:themeColor="accent1" w:themeTint="99"/>
        <w:bottom w:val="single" w:sz="4" w:space="0" w:color="9BB1C1" w:themeColor="accent1" w:themeTint="99"/>
        <w:right w:val="single" w:sz="4" w:space="0" w:color="9BB1C1" w:themeColor="accent1" w:themeTint="99"/>
        <w:insideH w:val="single" w:sz="4" w:space="0" w:color="9BB1C1" w:themeColor="accent1" w:themeTint="99"/>
        <w:insideV w:val="single" w:sz="4" w:space="0" w:color="9BB1C1" w:themeColor="accent1" w:themeTint="99"/>
      </w:tblBorders>
    </w:tblPr>
    <w:tblStylePr w:type="firstRow">
      <w:rPr>
        <w:b/>
        <w:bCs/>
        <w:color w:val="FFFFFF" w:themeColor="background1"/>
      </w:rPr>
      <w:tblPr/>
      <w:tcPr>
        <w:tcBorders>
          <w:top w:val="single" w:sz="4" w:space="0" w:color="5D7D95" w:themeColor="accent1"/>
          <w:left w:val="single" w:sz="4" w:space="0" w:color="5D7D95" w:themeColor="accent1"/>
          <w:bottom w:val="single" w:sz="4" w:space="0" w:color="5D7D95" w:themeColor="accent1"/>
          <w:right w:val="single" w:sz="4" w:space="0" w:color="5D7D95" w:themeColor="accent1"/>
          <w:insideH w:val="nil"/>
          <w:insideV w:val="nil"/>
        </w:tcBorders>
        <w:shd w:val="clear" w:color="auto" w:fill="5D7D95" w:themeFill="accent1"/>
      </w:tcPr>
    </w:tblStylePr>
    <w:tblStylePr w:type="lastRow">
      <w:rPr>
        <w:b/>
        <w:bCs/>
      </w:rPr>
      <w:tblPr/>
      <w:tcPr>
        <w:tcBorders>
          <w:top w:val="double" w:sz="4" w:space="0" w:color="5D7D95" w:themeColor="accent1"/>
        </w:tcBorders>
      </w:tcPr>
    </w:tblStylePr>
    <w:tblStylePr w:type="firstCol">
      <w:rPr>
        <w:b/>
        <w:bCs/>
      </w:rPr>
    </w:tblStylePr>
    <w:tblStylePr w:type="lastCol">
      <w:rPr>
        <w:b/>
        <w:bCs/>
      </w:rPr>
    </w:tblStylePr>
    <w:tblStylePr w:type="band1Vert">
      <w:tblPr/>
      <w:tcPr>
        <w:shd w:val="clear" w:color="auto" w:fill="DDE5EA" w:themeFill="accent1" w:themeFillTint="33"/>
      </w:tcPr>
    </w:tblStylePr>
    <w:tblStylePr w:type="band1Horz">
      <w:tblPr/>
      <w:tcPr>
        <w:shd w:val="clear" w:color="auto" w:fill="DDE5EA" w:themeFill="accent1" w:themeFillTint="33"/>
      </w:tcPr>
    </w:tblStylePr>
  </w:style>
  <w:style w:type="paragraph" w:customStyle="1" w:styleId="1-TableText2">
    <w:name w:val="1-Table Text 2"/>
    <w:basedOn w:val="Normal"/>
    <w:qFormat/>
    <w:rsid w:val="00F95C2A"/>
    <w:pPr>
      <w:spacing w:after="80"/>
    </w:pPr>
    <w:rPr>
      <w:rFonts w:ascii="Arial Narrow" w:eastAsia="Arial Narrow" w:hAnsi="Arial Narrow" w:cs="Arial"/>
      <w:sz w:val="18"/>
      <w:szCs w:val="16"/>
      <w:lang w:eastAsia="en-US"/>
    </w:rPr>
  </w:style>
  <w:style w:type="table" w:customStyle="1" w:styleId="P2StyleTable">
    <w:name w:val="P2StyleTable"/>
    <w:basedOn w:val="TableNormal"/>
    <w:rsid w:val="00945D9B"/>
    <w:rPr>
      <w:rFonts w:ascii="Times New Roman" w:eastAsia="Times New Roman" w:hAnsi="Times New Roman" w:cs="Times New Roman"/>
      <w:sz w:val="20"/>
      <w:szCs w:val="20"/>
      <w:lang w:eastAsia="en-US"/>
    </w:rPr>
    <w:tblPr>
      <w:tblStyleRowBandSize w:val="1"/>
      <w:tblStyleColBandSize w:val="1"/>
      <w:tblBorders>
        <w:bottom w:val="single" w:sz="4" w:space="0" w:color="D9D9D9"/>
        <w:insideH w:val="single" w:sz="4" w:space="0" w:color="D9D9D9"/>
        <w:insideV w:val="single" w:sz="6" w:space="0" w:color="D9D9D9"/>
      </w:tblBorders>
      <w:tblCellMar>
        <w:left w:w="43" w:type="dxa"/>
        <w:right w:w="43" w:type="dxa"/>
      </w:tblCellMar>
    </w:tblPr>
    <w:tblStylePr w:type="firstRow">
      <w:tblPr/>
      <w:trPr>
        <w:tblHeader/>
      </w:trPr>
      <w:tcPr>
        <w:shd w:val="clear" w:color="auto" w:fill="253746"/>
        <w:vAlign w:val="center"/>
      </w:tcPr>
    </w:tblStylePr>
    <w:tblStylePr w:type="band1Horz">
      <w:tblPr/>
      <w:tcPr>
        <w:shd w:val="clear" w:color="auto" w:fill="FFFFFF"/>
      </w:tcPr>
    </w:tblStylePr>
    <w:tblStylePr w:type="band2Horz">
      <w:tblPr/>
      <w:tcPr>
        <w:shd w:val="clear" w:color="auto" w:fill="DCE8E2"/>
      </w:tcPr>
    </w:tblStylePr>
  </w:style>
  <w:style w:type="paragraph" w:customStyle="1" w:styleId="1-TableText">
    <w:name w:val="1-Table Text"/>
    <w:qFormat/>
    <w:rsid w:val="00945D9B"/>
    <w:rPr>
      <w:rFonts w:ascii="Arial Narrow" w:eastAsia="Times New Roman" w:hAnsi="Arial Narrow" w:cs="Arial"/>
      <w:sz w:val="18"/>
      <w:szCs w:val="16"/>
      <w:lang w:eastAsia="en-US"/>
    </w:rPr>
  </w:style>
  <w:style w:type="paragraph" w:styleId="NoSpacing">
    <w:name w:val="No Spacing"/>
    <w:uiPriority w:val="1"/>
    <w:qFormat/>
    <w:rsid w:val="00F24F85"/>
    <w:rPr>
      <w:rFonts w:eastAsiaTheme="minorHAnsi"/>
      <w:sz w:val="22"/>
      <w:szCs w:val="22"/>
      <w:lang w:eastAsia="en-US"/>
    </w:rPr>
  </w:style>
  <w:style w:type="table" w:styleId="GridTable4-Accent2">
    <w:name w:val="Grid Table 4 Accent 2"/>
    <w:basedOn w:val="TableNormal"/>
    <w:uiPriority w:val="49"/>
    <w:rsid w:val="00177B68"/>
    <w:tblPr>
      <w:tblStyleRowBandSize w:val="1"/>
      <w:tblStyleColBandSize w:val="1"/>
      <w:tblBorders>
        <w:top w:val="single" w:sz="4" w:space="0" w:color="5E87AC" w:themeColor="accent2" w:themeTint="99"/>
        <w:left w:val="single" w:sz="4" w:space="0" w:color="5E87AC" w:themeColor="accent2" w:themeTint="99"/>
        <w:bottom w:val="single" w:sz="4" w:space="0" w:color="5E87AC" w:themeColor="accent2" w:themeTint="99"/>
        <w:right w:val="single" w:sz="4" w:space="0" w:color="5E87AC" w:themeColor="accent2" w:themeTint="99"/>
        <w:insideH w:val="single" w:sz="4" w:space="0" w:color="5E87AC" w:themeColor="accent2" w:themeTint="99"/>
        <w:insideV w:val="single" w:sz="4" w:space="0" w:color="5E87AC" w:themeColor="accent2" w:themeTint="99"/>
      </w:tblBorders>
    </w:tblPr>
    <w:tblStylePr w:type="firstRow">
      <w:rPr>
        <w:b/>
        <w:bCs/>
        <w:color w:val="FFFFFF" w:themeColor="background1"/>
      </w:rPr>
      <w:tblPr/>
      <w:tcPr>
        <w:tcBorders>
          <w:top w:val="single" w:sz="4" w:space="0" w:color="243646" w:themeColor="accent2"/>
          <w:left w:val="single" w:sz="4" w:space="0" w:color="243646" w:themeColor="accent2"/>
          <w:bottom w:val="single" w:sz="4" w:space="0" w:color="243646" w:themeColor="accent2"/>
          <w:right w:val="single" w:sz="4" w:space="0" w:color="243646" w:themeColor="accent2"/>
          <w:insideH w:val="nil"/>
          <w:insideV w:val="nil"/>
        </w:tcBorders>
        <w:shd w:val="clear" w:color="auto" w:fill="243646" w:themeFill="accent2"/>
      </w:tcPr>
    </w:tblStylePr>
    <w:tblStylePr w:type="lastRow">
      <w:rPr>
        <w:b/>
        <w:bCs/>
      </w:rPr>
      <w:tblPr/>
      <w:tcPr>
        <w:tcBorders>
          <w:top w:val="double" w:sz="4" w:space="0" w:color="243646" w:themeColor="accent2"/>
        </w:tcBorders>
      </w:tcPr>
    </w:tblStylePr>
    <w:tblStylePr w:type="firstCol">
      <w:rPr>
        <w:b/>
        <w:bCs/>
      </w:rPr>
    </w:tblStylePr>
    <w:tblStylePr w:type="lastCol">
      <w:rPr>
        <w:b/>
        <w:bCs/>
      </w:rPr>
    </w:tblStylePr>
    <w:tblStylePr w:type="band1Vert">
      <w:tblPr/>
      <w:tcPr>
        <w:shd w:val="clear" w:color="auto" w:fill="C9D7E3" w:themeFill="accent2" w:themeFillTint="33"/>
      </w:tcPr>
    </w:tblStylePr>
    <w:tblStylePr w:type="band1Horz">
      <w:tblPr/>
      <w:tcPr>
        <w:shd w:val="clear" w:color="auto" w:fill="C9D7E3" w:themeFill="accent2" w:themeFillTint="33"/>
      </w:tcPr>
    </w:tblStylePr>
  </w:style>
  <w:style w:type="table" w:styleId="GridTable5Dark">
    <w:name w:val="Grid Table 5 Dark"/>
    <w:basedOn w:val="TableNormal"/>
    <w:uiPriority w:val="50"/>
    <w:rsid w:val="006428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laceholder">
    <w:name w:val="Placeholder"/>
    <w:basedOn w:val="Normal"/>
    <w:link w:val="PlaceholderChar"/>
    <w:qFormat/>
    <w:rsid w:val="008B568E"/>
    <w:pPr>
      <w:shd w:val="clear" w:color="auto" w:fill="FFFF00"/>
    </w:pPr>
  </w:style>
  <w:style w:type="paragraph" w:customStyle="1" w:styleId="Source">
    <w:name w:val="Source"/>
    <w:basedOn w:val="Normal"/>
    <w:qFormat/>
    <w:rsid w:val="008B568E"/>
    <w:rPr>
      <w:color w:val="FF0000"/>
    </w:rPr>
  </w:style>
  <w:style w:type="paragraph" w:customStyle="1" w:styleId="H1">
    <w:name w:val="H1"/>
    <w:basedOn w:val="Heading1"/>
    <w:link w:val="H1Char"/>
    <w:qFormat/>
    <w:rsid w:val="006C7588"/>
    <w:pPr>
      <w:numPr>
        <w:numId w:val="7"/>
      </w:numPr>
      <w:ind w:left="432" w:hanging="432"/>
    </w:pPr>
    <w:rPr>
      <w:rFonts w:asciiTheme="majorHAnsi" w:hAnsiTheme="majorHAnsi"/>
      <w:color w:val="87AF99" w:themeColor="accent3"/>
      <w:sz w:val="44"/>
    </w:rPr>
  </w:style>
  <w:style w:type="character" w:customStyle="1" w:styleId="H1Char">
    <w:name w:val="H1 Char"/>
    <w:basedOn w:val="Heading1Char"/>
    <w:link w:val="H1"/>
    <w:rsid w:val="006C7588"/>
    <w:rPr>
      <w:rFonts w:asciiTheme="majorHAnsi" w:hAnsiTheme="majorHAnsi" w:cs="Knockout-HTF28-JuniorFeatherwt"/>
      <w:caps/>
      <w:color w:val="87AF99" w:themeColor="accent3"/>
      <w:spacing w:val="51"/>
      <w:sz w:val="44"/>
      <w:szCs w:val="36"/>
    </w:rPr>
  </w:style>
  <w:style w:type="table" w:styleId="TableGridLight">
    <w:name w:val="Grid Table Light"/>
    <w:basedOn w:val="TableNormal"/>
    <w:uiPriority w:val="40"/>
    <w:rsid w:val="00F53A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2">
    <w:name w:val="Caption 2"/>
    <w:basedOn w:val="Caption"/>
    <w:link w:val="Caption2Char"/>
    <w:qFormat/>
    <w:rsid w:val="009740D2"/>
  </w:style>
  <w:style w:type="character" w:customStyle="1" w:styleId="CaptionChar">
    <w:name w:val="Caption Char"/>
    <w:basedOn w:val="DefaultParagraphFont"/>
    <w:link w:val="Caption"/>
    <w:uiPriority w:val="35"/>
    <w:rsid w:val="00D05863"/>
    <w:rPr>
      <w:rFonts w:eastAsiaTheme="minorHAnsi"/>
      <w:b/>
      <w:iCs/>
      <w:sz w:val="22"/>
      <w:szCs w:val="22"/>
      <w:lang w:eastAsia="en-US"/>
    </w:rPr>
  </w:style>
  <w:style w:type="character" w:customStyle="1" w:styleId="Caption2Char">
    <w:name w:val="Caption 2 Char"/>
    <w:basedOn w:val="CaptionChar"/>
    <w:link w:val="Caption2"/>
    <w:rsid w:val="009740D2"/>
    <w:rPr>
      <w:rFonts w:eastAsiaTheme="minorHAnsi"/>
      <w:b/>
      <w:iCs/>
      <w:color w:val="243646" w:themeColor="text2"/>
      <w:sz w:val="20"/>
      <w:szCs w:val="20"/>
      <w:shd w:val="clear" w:color="auto" w:fill="FFFF00"/>
      <w:lang w:eastAsia="en-US"/>
    </w:rPr>
  </w:style>
  <w:style w:type="table" w:customStyle="1" w:styleId="PlainTable11">
    <w:name w:val="Plain Table 11"/>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4">
    <w:name w:val="Plain Table 14"/>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557964"/>
    <w:rPr>
      <w:color w:val="605E5C"/>
      <w:shd w:val="clear" w:color="auto" w:fill="E1DFDD"/>
    </w:rPr>
  </w:style>
  <w:style w:type="paragraph" w:customStyle="1" w:styleId="NewText">
    <w:name w:val="New Text"/>
    <w:basedOn w:val="Placeholder"/>
    <w:link w:val="NewTextChar"/>
    <w:qFormat/>
    <w:rsid w:val="00DD26AE"/>
    <w:pPr>
      <w:shd w:val="clear" w:color="auto" w:fill="B7CFC1" w:themeFill="accent3" w:themeFillTint="99"/>
    </w:pPr>
  </w:style>
  <w:style w:type="character" w:customStyle="1" w:styleId="PlaceholderChar">
    <w:name w:val="Placeholder Char"/>
    <w:basedOn w:val="DefaultParagraphFont"/>
    <w:link w:val="Placeholder"/>
    <w:rsid w:val="00DD26AE"/>
    <w:rPr>
      <w:rFonts w:ascii="Calibri" w:hAnsi="Calibri" w:cs="ScalaSansOT"/>
      <w:color w:val="262626"/>
      <w:sz w:val="22"/>
      <w:szCs w:val="20"/>
      <w:shd w:val="clear" w:color="auto" w:fill="FFFF00"/>
    </w:rPr>
  </w:style>
  <w:style w:type="character" w:customStyle="1" w:styleId="NewTextChar">
    <w:name w:val="New Text Char"/>
    <w:basedOn w:val="PlaceholderChar"/>
    <w:link w:val="NewText"/>
    <w:rsid w:val="00DD26AE"/>
    <w:rPr>
      <w:rFonts w:ascii="Calibri" w:hAnsi="Calibri" w:cs="ScalaSansOT"/>
      <w:color w:val="262626"/>
      <w:sz w:val="22"/>
      <w:szCs w:val="20"/>
      <w:shd w:val="clear" w:color="auto" w:fill="B7CFC1" w:themeFill="accent3" w:themeFillTint="99"/>
    </w:rPr>
  </w:style>
  <w:style w:type="table" w:customStyle="1" w:styleId="PlainTable15">
    <w:name w:val="Plain Table 15"/>
    <w:basedOn w:val="TableNormal"/>
    <w:next w:val="PlainTable1"/>
    <w:uiPriority w:val="41"/>
    <w:rsid w:val="00B921F9"/>
    <w:rPr>
      <w:rFonts w:eastAsia="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9E4714"/>
    <w:rPr>
      <w:color w:val="000000" w:themeColor="text1"/>
      <w:u w:val="single"/>
    </w:rPr>
  </w:style>
  <w:style w:type="character" w:customStyle="1" w:styleId="ListParagraphChar">
    <w:name w:val="List Paragraph Char"/>
    <w:basedOn w:val="DefaultParagraphFont"/>
    <w:link w:val="ListParagraph"/>
    <w:uiPriority w:val="34"/>
    <w:locked/>
    <w:rsid w:val="002005BD"/>
    <w:rPr>
      <w:rFonts w:eastAsiaTheme="minorHAnsi"/>
      <w:sz w:val="22"/>
      <w:szCs w:val="22"/>
      <w:lang w:eastAsia="en-US"/>
    </w:rPr>
  </w:style>
  <w:style w:type="character" w:styleId="Mention">
    <w:name w:val="Mention"/>
    <w:basedOn w:val="DefaultParagraphFont"/>
    <w:uiPriority w:val="99"/>
    <w:unhideWhenUsed/>
    <w:rsid w:val="00E05355"/>
    <w:rPr>
      <w:color w:val="2B579A"/>
      <w:shd w:val="clear" w:color="auto" w:fill="E1DFDD"/>
    </w:rPr>
  </w:style>
  <w:style w:type="paragraph" w:customStyle="1" w:styleId="paragraph">
    <w:name w:val="paragraph"/>
    <w:basedOn w:val="Normal"/>
    <w:rsid w:val="00797D8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797D81"/>
  </w:style>
  <w:style w:type="character" w:customStyle="1" w:styleId="eop">
    <w:name w:val="eop"/>
    <w:basedOn w:val="DefaultParagraphFont"/>
    <w:rsid w:val="00797D81"/>
  </w:style>
  <w:style w:type="paragraph" w:customStyle="1" w:styleId="Captions">
    <w:name w:val="Captions"/>
    <w:basedOn w:val="BodyText"/>
    <w:qFormat/>
    <w:rsid w:val="004C0CFA"/>
    <w:pPr>
      <w:jc w:val="center"/>
    </w:pPr>
    <w:rPr>
      <w:b/>
      <w:color w:val="243646"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5749">
      <w:bodyDiv w:val="1"/>
      <w:marLeft w:val="0"/>
      <w:marRight w:val="0"/>
      <w:marTop w:val="0"/>
      <w:marBottom w:val="0"/>
      <w:divBdr>
        <w:top w:val="none" w:sz="0" w:space="0" w:color="auto"/>
        <w:left w:val="none" w:sz="0" w:space="0" w:color="auto"/>
        <w:bottom w:val="none" w:sz="0" w:space="0" w:color="auto"/>
        <w:right w:val="none" w:sz="0" w:space="0" w:color="auto"/>
      </w:divBdr>
    </w:div>
    <w:div w:id="38239225">
      <w:bodyDiv w:val="1"/>
      <w:marLeft w:val="0"/>
      <w:marRight w:val="0"/>
      <w:marTop w:val="0"/>
      <w:marBottom w:val="0"/>
      <w:divBdr>
        <w:top w:val="none" w:sz="0" w:space="0" w:color="auto"/>
        <w:left w:val="none" w:sz="0" w:space="0" w:color="auto"/>
        <w:bottom w:val="none" w:sz="0" w:space="0" w:color="auto"/>
        <w:right w:val="none" w:sz="0" w:space="0" w:color="auto"/>
      </w:divBdr>
      <w:divsChild>
        <w:div w:id="1034382384">
          <w:marLeft w:val="1166"/>
          <w:marRight w:val="0"/>
          <w:marTop w:val="100"/>
          <w:marBottom w:val="0"/>
          <w:divBdr>
            <w:top w:val="none" w:sz="0" w:space="0" w:color="auto"/>
            <w:left w:val="none" w:sz="0" w:space="0" w:color="auto"/>
            <w:bottom w:val="none" w:sz="0" w:space="0" w:color="auto"/>
            <w:right w:val="none" w:sz="0" w:space="0" w:color="auto"/>
          </w:divBdr>
        </w:div>
        <w:div w:id="1274483115">
          <w:marLeft w:val="446"/>
          <w:marRight w:val="0"/>
          <w:marTop w:val="100"/>
          <w:marBottom w:val="0"/>
          <w:divBdr>
            <w:top w:val="none" w:sz="0" w:space="0" w:color="auto"/>
            <w:left w:val="none" w:sz="0" w:space="0" w:color="auto"/>
            <w:bottom w:val="none" w:sz="0" w:space="0" w:color="auto"/>
            <w:right w:val="none" w:sz="0" w:space="0" w:color="auto"/>
          </w:divBdr>
        </w:div>
        <w:div w:id="1435125592">
          <w:marLeft w:val="446"/>
          <w:marRight w:val="0"/>
          <w:marTop w:val="100"/>
          <w:marBottom w:val="0"/>
          <w:divBdr>
            <w:top w:val="none" w:sz="0" w:space="0" w:color="auto"/>
            <w:left w:val="none" w:sz="0" w:space="0" w:color="auto"/>
            <w:bottom w:val="none" w:sz="0" w:space="0" w:color="auto"/>
            <w:right w:val="none" w:sz="0" w:space="0" w:color="auto"/>
          </w:divBdr>
        </w:div>
        <w:div w:id="1493335162">
          <w:marLeft w:val="446"/>
          <w:marRight w:val="0"/>
          <w:marTop w:val="100"/>
          <w:marBottom w:val="0"/>
          <w:divBdr>
            <w:top w:val="none" w:sz="0" w:space="0" w:color="auto"/>
            <w:left w:val="none" w:sz="0" w:space="0" w:color="auto"/>
            <w:bottom w:val="none" w:sz="0" w:space="0" w:color="auto"/>
            <w:right w:val="none" w:sz="0" w:space="0" w:color="auto"/>
          </w:divBdr>
        </w:div>
        <w:div w:id="2106530821">
          <w:marLeft w:val="1166"/>
          <w:marRight w:val="0"/>
          <w:marTop w:val="100"/>
          <w:marBottom w:val="0"/>
          <w:divBdr>
            <w:top w:val="none" w:sz="0" w:space="0" w:color="auto"/>
            <w:left w:val="none" w:sz="0" w:space="0" w:color="auto"/>
            <w:bottom w:val="none" w:sz="0" w:space="0" w:color="auto"/>
            <w:right w:val="none" w:sz="0" w:space="0" w:color="auto"/>
          </w:divBdr>
        </w:div>
      </w:divsChild>
    </w:div>
    <w:div w:id="45303745">
      <w:bodyDiv w:val="1"/>
      <w:marLeft w:val="0"/>
      <w:marRight w:val="0"/>
      <w:marTop w:val="0"/>
      <w:marBottom w:val="0"/>
      <w:divBdr>
        <w:top w:val="none" w:sz="0" w:space="0" w:color="auto"/>
        <w:left w:val="none" w:sz="0" w:space="0" w:color="auto"/>
        <w:bottom w:val="none" w:sz="0" w:space="0" w:color="auto"/>
        <w:right w:val="none" w:sz="0" w:space="0" w:color="auto"/>
      </w:divBdr>
    </w:div>
    <w:div w:id="111632555">
      <w:bodyDiv w:val="1"/>
      <w:marLeft w:val="0"/>
      <w:marRight w:val="0"/>
      <w:marTop w:val="0"/>
      <w:marBottom w:val="0"/>
      <w:divBdr>
        <w:top w:val="none" w:sz="0" w:space="0" w:color="auto"/>
        <w:left w:val="none" w:sz="0" w:space="0" w:color="auto"/>
        <w:bottom w:val="none" w:sz="0" w:space="0" w:color="auto"/>
        <w:right w:val="none" w:sz="0" w:space="0" w:color="auto"/>
      </w:divBdr>
    </w:div>
    <w:div w:id="117113581">
      <w:bodyDiv w:val="1"/>
      <w:marLeft w:val="0"/>
      <w:marRight w:val="0"/>
      <w:marTop w:val="0"/>
      <w:marBottom w:val="0"/>
      <w:divBdr>
        <w:top w:val="none" w:sz="0" w:space="0" w:color="auto"/>
        <w:left w:val="none" w:sz="0" w:space="0" w:color="auto"/>
        <w:bottom w:val="none" w:sz="0" w:space="0" w:color="auto"/>
        <w:right w:val="none" w:sz="0" w:space="0" w:color="auto"/>
      </w:divBdr>
    </w:div>
    <w:div w:id="120344547">
      <w:bodyDiv w:val="1"/>
      <w:marLeft w:val="0"/>
      <w:marRight w:val="0"/>
      <w:marTop w:val="0"/>
      <w:marBottom w:val="0"/>
      <w:divBdr>
        <w:top w:val="none" w:sz="0" w:space="0" w:color="auto"/>
        <w:left w:val="none" w:sz="0" w:space="0" w:color="auto"/>
        <w:bottom w:val="none" w:sz="0" w:space="0" w:color="auto"/>
        <w:right w:val="none" w:sz="0" w:space="0" w:color="auto"/>
      </w:divBdr>
    </w:div>
    <w:div w:id="156044463">
      <w:bodyDiv w:val="1"/>
      <w:marLeft w:val="0"/>
      <w:marRight w:val="0"/>
      <w:marTop w:val="0"/>
      <w:marBottom w:val="0"/>
      <w:divBdr>
        <w:top w:val="none" w:sz="0" w:space="0" w:color="auto"/>
        <w:left w:val="none" w:sz="0" w:space="0" w:color="auto"/>
        <w:bottom w:val="none" w:sz="0" w:space="0" w:color="auto"/>
        <w:right w:val="none" w:sz="0" w:space="0" w:color="auto"/>
      </w:divBdr>
    </w:div>
    <w:div w:id="213396307">
      <w:bodyDiv w:val="1"/>
      <w:marLeft w:val="0"/>
      <w:marRight w:val="0"/>
      <w:marTop w:val="0"/>
      <w:marBottom w:val="0"/>
      <w:divBdr>
        <w:top w:val="none" w:sz="0" w:space="0" w:color="auto"/>
        <w:left w:val="none" w:sz="0" w:space="0" w:color="auto"/>
        <w:bottom w:val="none" w:sz="0" w:space="0" w:color="auto"/>
        <w:right w:val="none" w:sz="0" w:space="0" w:color="auto"/>
      </w:divBdr>
    </w:div>
    <w:div w:id="251162922">
      <w:bodyDiv w:val="1"/>
      <w:marLeft w:val="0"/>
      <w:marRight w:val="0"/>
      <w:marTop w:val="0"/>
      <w:marBottom w:val="0"/>
      <w:divBdr>
        <w:top w:val="none" w:sz="0" w:space="0" w:color="auto"/>
        <w:left w:val="none" w:sz="0" w:space="0" w:color="auto"/>
        <w:bottom w:val="none" w:sz="0" w:space="0" w:color="auto"/>
        <w:right w:val="none" w:sz="0" w:space="0" w:color="auto"/>
      </w:divBdr>
    </w:div>
    <w:div w:id="287244529">
      <w:bodyDiv w:val="1"/>
      <w:marLeft w:val="0"/>
      <w:marRight w:val="0"/>
      <w:marTop w:val="0"/>
      <w:marBottom w:val="0"/>
      <w:divBdr>
        <w:top w:val="none" w:sz="0" w:space="0" w:color="auto"/>
        <w:left w:val="none" w:sz="0" w:space="0" w:color="auto"/>
        <w:bottom w:val="none" w:sz="0" w:space="0" w:color="auto"/>
        <w:right w:val="none" w:sz="0" w:space="0" w:color="auto"/>
      </w:divBdr>
      <w:divsChild>
        <w:div w:id="599459617">
          <w:marLeft w:val="0"/>
          <w:marRight w:val="0"/>
          <w:marTop w:val="0"/>
          <w:marBottom w:val="0"/>
          <w:divBdr>
            <w:top w:val="none" w:sz="0" w:space="0" w:color="auto"/>
            <w:left w:val="none" w:sz="0" w:space="0" w:color="auto"/>
            <w:bottom w:val="none" w:sz="0" w:space="0" w:color="auto"/>
            <w:right w:val="none" w:sz="0" w:space="0" w:color="auto"/>
          </w:divBdr>
        </w:div>
      </w:divsChild>
    </w:div>
    <w:div w:id="325743372">
      <w:bodyDiv w:val="1"/>
      <w:marLeft w:val="0"/>
      <w:marRight w:val="0"/>
      <w:marTop w:val="0"/>
      <w:marBottom w:val="0"/>
      <w:divBdr>
        <w:top w:val="none" w:sz="0" w:space="0" w:color="auto"/>
        <w:left w:val="none" w:sz="0" w:space="0" w:color="auto"/>
        <w:bottom w:val="none" w:sz="0" w:space="0" w:color="auto"/>
        <w:right w:val="none" w:sz="0" w:space="0" w:color="auto"/>
      </w:divBdr>
      <w:divsChild>
        <w:div w:id="175467057">
          <w:marLeft w:val="1886"/>
          <w:marRight w:val="0"/>
          <w:marTop w:val="0"/>
          <w:marBottom w:val="0"/>
          <w:divBdr>
            <w:top w:val="none" w:sz="0" w:space="0" w:color="auto"/>
            <w:left w:val="none" w:sz="0" w:space="0" w:color="auto"/>
            <w:bottom w:val="none" w:sz="0" w:space="0" w:color="auto"/>
            <w:right w:val="none" w:sz="0" w:space="0" w:color="auto"/>
          </w:divBdr>
        </w:div>
        <w:div w:id="244729914">
          <w:marLeft w:val="1886"/>
          <w:marRight w:val="0"/>
          <w:marTop w:val="0"/>
          <w:marBottom w:val="0"/>
          <w:divBdr>
            <w:top w:val="none" w:sz="0" w:space="0" w:color="auto"/>
            <w:left w:val="none" w:sz="0" w:space="0" w:color="auto"/>
            <w:bottom w:val="none" w:sz="0" w:space="0" w:color="auto"/>
            <w:right w:val="none" w:sz="0" w:space="0" w:color="auto"/>
          </w:divBdr>
        </w:div>
        <w:div w:id="941844082">
          <w:marLeft w:val="1886"/>
          <w:marRight w:val="0"/>
          <w:marTop w:val="0"/>
          <w:marBottom w:val="0"/>
          <w:divBdr>
            <w:top w:val="none" w:sz="0" w:space="0" w:color="auto"/>
            <w:left w:val="none" w:sz="0" w:space="0" w:color="auto"/>
            <w:bottom w:val="none" w:sz="0" w:space="0" w:color="auto"/>
            <w:right w:val="none" w:sz="0" w:space="0" w:color="auto"/>
          </w:divBdr>
        </w:div>
        <w:div w:id="1130711338">
          <w:marLeft w:val="1886"/>
          <w:marRight w:val="0"/>
          <w:marTop w:val="0"/>
          <w:marBottom w:val="0"/>
          <w:divBdr>
            <w:top w:val="none" w:sz="0" w:space="0" w:color="auto"/>
            <w:left w:val="none" w:sz="0" w:space="0" w:color="auto"/>
            <w:bottom w:val="none" w:sz="0" w:space="0" w:color="auto"/>
            <w:right w:val="none" w:sz="0" w:space="0" w:color="auto"/>
          </w:divBdr>
        </w:div>
        <w:div w:id="1725177275">
          <w:marLeft w:val="1886"/>
          <w:marRight w:val="0"/>
          <w:marTop w:val="0"/>
          <w:marBottom w:val="0"/>
          <w:divBdr>
            <w:top w:val="none" w:sz="0" w:space="0" w:color="auto"/>
            <w:left w:val="none" w:sz="0" w:space="0" w:color="auto"/>
            <w:bottom w:val="none" w:sz="0" w:space="0" w:color="auto"/>
            <w:right w:val="none" w:sz="0" w:space="0" w:color="auto"/>
          </w:divBdr>
        </w:div>
      </w:divsChild>
    </w:div>
    <w:div w:id="370570792">
      <w:bodyDiv w:val="1"/>
      <w:marLeft w:val="0"/>
      <w:marRight w:val="0"/>
      <w:marTop w:val="0"/>
      <w:marBottom w:val="0"/>
      <w:divBdr>
        <w:top w:val="none" w:sz="0" w:space="0" w:color="auto"/>
        <w:left w:val="none" w:sz="0" w:space="0" w:color="auto"/>
        <w:bottom w:val="none" w:sz="0" w:space="0" w:color="auto"/>
        <w:right w:val="none" w:sz="0" w:space="0" w:color="auto"/>
      </w:divBdr>
      <w:divsChild>
        <w:div w:id="149836028">
          <w:marLeft w:val="446"/>
          <w:marRight w:val="0"/>
          <w:marTop w:val="100"/>
          <w:marBottom w:val="0"/>
          <w:divBdr>
            <w:top w:val="none" w:sz="0" w:space="0" w:color="auto"/>
            <w:left w:val="none" w:sz="0" w:space="0" w:color="auto"/>
            <w:bottom w:val="none" w:sz="0" w:space="0" w:color="auto"/>
            <w:right w:val="none" w:sz="0" w:space="0" w:color="auto"/>
          </w:divBdr>
        </w:div>
        <w:div w:id="716397963">
          <w:marLeft w:val="1166"/>
          <w:marRight w:val="0"/>
          <w:marTop w:val="100"/>
          <w:marBottom w:val="0"/>
          <w:divBdr>
            <w:top w:val="none" w:sz="0" w:space="0" w:color="auto"/>
            <w:left w:val="none" w:sz="0" w:space="0" w:color="auto"/>
            <w:bottom w:val="none" w:sz="0" w:space="0" w:color="auto"/>
            <w:right w:val="none" w:sz="0" w:space="0" w:color="auto"/>
          </w:divBdr>
        </w:div>
        <w:div w:id="1360812606">
          <w:marLeft w:val="446"/>
          <w:marRight w:val="0"/>
          <w:marTop w:val="100"/>
          <w:marBottom w:val="0"/>
          <w:divBdr>
            <w:top w:val="none" w:sz="0" w:space="0" w:color="auto"/>
            <w:left w:val="none" w:sz="0" w:space="0" w:color="auto"/>
            <w:bottom w:val="none" w:sz="0" w:space="0" w:color="auto"/>
            <w:right w:val="none" w:sz="0" w:space="0" w:color="auto"/>
          </w:divBdr>
        </w:div>
        <w:div w:id="1373725022">
          <w:marLeft w:val="446"/>
          <w:marRight w:val="0"/>
          <w:marTop w:val="100"/>
          <w:marBottom w:val="0"/>
          <w:divBdr>
            <w:top w:val="none" w:sz="0" w:space="0" w:color="auto"/>
            <w:left w:val="none" w:sz="0" w:space="0" w:color="auto"/>
            <w:bottom w:val="none" w:sz="0" w:space="0" w:color="auto"/>
            <w:right w:val="none" w:sz="0" w:space="0" w:color="auto"/>
          </w:divBdr>
        </w:div>
        <w:div w:id="1933124088">
          <w:marLeft w:val="1166"/>
          <w:marRight w:val="0"/>
          <w:marTop w:val="100"/>
          <w:marBottom w:val="0"/>
          <w:divBdr>
            <w:top w:val="none" w:sz="0" w:space="0" w:color="auto"/>
            <w:left w:val="none" w:sz="0" w:space="0" w:color="auto"/>
            <w:bottom w:val="none" w:sz="0" w:space="0" w:color="auto"/>
            <w:right w:val="none" w:sz="0" w:space="0" w:color="auto"/>
          </w:divBdr>
        </w:div>
      </w:divsChild>
    </w:div>
    <w:div w:id="375160015">
      <w:bodyDiv w:val="1"/>
      <w:marLeft w:val="0"/>
      <w:marRight w:val="0"/>
      <w:marTop w:val="0"/>
      <w:marBottom w:val="0"/>
      <w:divBdr>
        <w:top w:val="none" w:sz="0" w:space="0" w:color="auto"/>
        <w:left w:val="none" w:sz="0" w:space="0" w:color="auto"/>
        <w:bottom w:val="none" w:sz="0" w:space="0" w:color="auto"/>
        <w:right w:val="none" w:sz="0" w:space="0" w:color="auto"/>
      </w:divBdr>
    </w:div>
    <w:div w:id="433088502">
      <w:bodyDiv w:val="1"/>
      <w:marLeft w:val="0"/>
      <w:marRight w:val="0"/>
      <w:marTop w:val="0"/>
      <w:marBottom w:val="0"/>
      <w:divBdr>
        <w:top w:val="none" w:sz="0" w:space="0" w:color="auto"/>
        <w:left w:val="none" w:sz="0" w:space="0" w:color="auto"/>
        <w:bottom w:val="none" w:sz="0" w:space="0" w:color="auto"/>
        <w:right w:val="none" w:sz="0" w:space="0" w:color="auto"/>
      </w:divBdr>
    </w:div>
    <w:div w:id="441266482">
      <w:bodyDiv w:val="1"/>
      <w:marLeft w:val="0"/>
      <w:marRight w:val="0"/>
      <w:marTop w:val="0"/>
      <w:marBottom w:val="0"/>
      <w:divBdr>
        <w:top w:val="none" w:sz="0" w:space="0" w:color="auto"/>
        <w:left w:val="none" w:sz="0" w:space="0" w:color="auto"/>
        <w:bottom w:val="none" w:sz="0" w:space="0" w:color="auto"/>
        <w:right w:val="none" w:sz="0" w:space="0" w:color="auto"/>
      </w:divBdr>
    </w:div>
    <w:div w:id="454717514">
      <w:bodyDiv w:val="1"/>
      <w:marLeft w:val="0"/>
      <w:marRight w:val="0"/>
      <w:marTop w:val="0"/>
      <w:marBottom w:val="0"/>
      <w:divBdr>
        <w:top w:val="none" w:sz="0" w:space="0" w:color="auto"/>
        <w:left w:val="none" w:sz="0" w:space="0" w:color="auto"/>
        <w:bottom w:val="none" w:sz="0" w:space="0" w:color="auto"/>
        <w:right w:val="none" w:sz="0" w:space="0" w:color="auto"/>
      </w:divBdr>
      <w:divsChild>
        <w:div w:id="960300633">
          <w:marLeft w:val="1152"/>
          <w:marRight w:val="0"/>
          <w:marTop w:val="0"/>
          <w:marBottom w:val="0"/>
          <w:divBdr>
            <w:top w:val="none" w:sz="0" w:space="0" w:color="auto"/>
            <w:left w:val="none" w:sz="0" w:space="0" w:color="auto"/>
            <w:bottom w:val="none" w:sz="0" w:space="0" w:color="auto"/>
            <w:right w:val="none" w:sz="0" w:space="0" w:color="auto"/>
          </w:divBdr>
        </w:div>
        <w:div w:id="1129516877">
          <w:marLeft w:val="1152"/>
          <w:marRight w:val="0"/>
          <w:marTop w:val="0"/>
          <w:marBottom w:val="0"/>
          <w:divBdr>
            <w:top w:val="none" w:sz="0" w:space="0" w:color="auto"/>
            <w:left w:val="none" w:sz="0" w:space="0" w:color="auto"/>
            <w:bottom w:val="none" w:sz="0" w:space="0" w:color="auto"/>
            <w:right w:val="none" w:sz="0" w:space="0" w:color="auto"/>
          </w:divBdr>
        </w:div>
        <w:div w:id="1224945715">
          <w:marLeft w:val="1152"/>
          <w:marRight w:val="0"/>
          <w:marTop w:val="0"/>
          <w:marBottom w:val="0"/>
          <w:divBdr>
            <w:top w:val="none" w:sz="0" w:space="0" w:color="auto"/>
            <w:left w:val="none" w:sz="0" w:space="0" w:color="auto"/>
            <w:bottom w:val="none" w:sz="0" w:space="0" w:color="auto"/>
            <w:right w:val="none" w:sz="0" w:space="0" w:color="auto"/>
          </w:divBdr>
        </w:div>
        <w:div w:id="1520772563">
          <w:marLeft w:val="1152"/>
          <w:marRight w:val="0"/>
          <w:marTop w:val="0"/>
          <w:marBottom w:val="0"/>
          <w:divBdr>
            <w:top w:val="none" w:sz="0" w:space="0" w:color="auto"/>
            <w:left w:val="none" w:sz="0" w:space="0" w:color="auto"/>
            <w:bottom w:val="none" w:sz="0" w:space="0" w:color="auto"/>
            <w:right w:val="none" w:sz="0" w:space="0" w:color="auto"/>
          </w:divBdr>
        </w:div>
        <w:div w:id="1548568765">
          <w:marLeft w:val="1152"/>
          <w:marRight w:val="0"/>
          <w:marTop w:val="0"/>
          <w:marBottom w:val="0"/>
          <w:divBdr>
            <w:top w:val="none" w:sz="0" w:space="0" w:color="auto"/>
            <w:left w:val="none" w:sz="0" w:space="0" w:color="auto"/>
            <w:bottom w:val="none" w:sz="0" w:space="0" w:color="auto"/>
            <w:right w:val="none" w:sz="0" w:space="0" w:color="auto"/>
          </w:divBdr>
        </w:div>
      </w:divsChild>
    </w:div>
    <w:div w:id="494688672">
      <w:bodyDiv w:val="1"/>
      <w:marLeft w:val="0"/>
      <w:marRight w:val="0"/>
      <w:marTop w:val="0"/>
      <w:marBottom w:val="0"/>
      <w:divBdr>
        <w:top w:val="none" w:sz="0" w:space="0" w:color="auto"/>
        <w:left w:val="none" w:sz="0" w:space="0" w:color="auto"/>
        <w:bottom w:val="none" w:sz="0" w:space="0" w:color="auto"/>
        <w:right w:val="none" w:sz="0" w:space="0" w:color="auto"/>
      </w:divBdr>
    </w:div>
    <w:div w:id="497619833">
      <w:bodyDiv w:val="1"/>
      <w:marLeft w:val="0"/>
      <w:marRight w:val="0"/>
      <w:marTop w:val="0"/>
      <w:marBottom w:val="0"/>
      <w:divBdr>
        <w:top w:val="none" w:sz="0" w:space="0" w:color="auto"/>
        <w:left w:val="none" w:sz="0" w:space="0" w:color="auto"/>
        <w:bottom w:val="none" w:sz="0" w:space="0" w:color="auto"/>
        <w:right w:val="none" w:sz="0" w:space="0" w:color="auto"/>
      </w:divBdr>
    </w:div>
    <w:div w:id="530923631">
      <w:bodyDiv w:val="1"/>
      <w:marLeft w:val="0"/>
      <w:marRight w:val="0"/>
      <w:marTop w:val="0"/>
      <w:marBottom w:val="0"/>
      <w:divBdr>
        <w:top w:val="none" w:sz="0" w:space="0" w:color="auto"/>
        <w:left w:val="none" w:sz="0" w:space="0" w:color="auto"/>
        <w:bottom w:val="none" w:sz="0" w:space="0" w:color="auto"/>
        <w:right w:val="none" w:sz="0" w:space="0" w:color="auto"/>
      </w:divBdr>
    </w:div>
    <w:div w:id="540092858">
      <w:bodyDiv w:val="1"/>
      <w:marLeft w:val="0"/>
      <w:marRight w:val="0"/>
      <w:marTop w:val="0"/>
      <w:marBottom w:val="0"/>
      <w:divBdr>
        <w:top w:val="none" w:sz="0" w:space="0" w:color="auto"/>
        <w:left w:val="none" w:sz="0" w:space="0" w:color="auto"/>
        <w:bottom w:val="none" w:sz="0" w:space="0" w:color="auto"/>
        <w:right w:val="none" w:sz="0" w:space="0" w:color="auto"/>
      </w:divBdr>
      <w:divsChild>
        <w:div w:id="124542812">
          <w:marLeft w:val="360"/>
          <w:marRight w:val="0"/>
          <w:marTop w:val="200"/>
          <w:marBottom w:val="0"/>
          <w:divBdr>
            <w:top w:val="none" w:sz="0" w:space="0" w:color="auto"/>
            <w:left w:val="none" w:sz="0" w:space="0" w:color="auto"/>
            <w:bottom w:val="none" w:sz="0" w:space="0" w:color="auto"/>
            <w:right w:val="none" w:sz="0" w:space="0" w:color="auto"/>
          </w:divBdr>
        </w:div>
        <w:div w:id="1116103455">
          <w:marLeft w:val="360"/>
          <w:marRight w:val="0"/>
          <w:marTop w:val="200"/>
          <w:marBottom w:val="0"/>
          <w:divBdr>
            <w:top w:val="none" w:sz="0" w:space="0" w:color="auto"/>
            <w:left w:val="none" w:sz="0" w:space="0" w:color="auto"/>
            <w:bottom w:val="none" w:sz="0" w:space="0" w:color="auto"/>
            <w:right w:val="none" w:sz="0" w:space="0" w:color="auto"/>
          </w:divBdr>
        </w:div>
        <w:div w:id="1123421206">
          <w:marLeft w:val="360"/>
          <w:marRight w:val="0"/>
          <w:marTop w:val="200"/>
          <w:marBottom w:val="0"/>
          <w:divBdr>
            <w:top w:val="none" w:sz="0" w:space="0" w:color="auto"/>
            <w:left w:val="none" w:sz="0" w:space="0" w:color="auto"/>
            <w:bottom w:val="none" w:sz="0" w:space="0" w:color="auto"/>
            <w:right w:val="none" w:sz="0" w:space="0" w:color="auto"/>
          </w:divBdr>
        </w:div>
        <w:div w:id="1257440470">
          <w:marLeft w:val="360"/>
          <w:marRight w:val="0"/>
          <w:marTop w:val="200"/>
          <w:marBottom w:val="0"/>
          <w:divBdr>
            <w:top w:val="none" w:sz="0" w:space="0" w:color="auto"/>
            <w:left w:val="none" w:sz="0" w:space="0" w:color="auto"/>
            <w:bottom w:val="none" w:sz="0" w:space="0" w:color="auto"/>
            <w:right w:val="none" w:sz="0" w:space="0" w:color="auto"/>
          </w:divBdr>
        </w:div>
      </w:divsChild>
    </w:div>
    <w:div w:id="545869705">
      <w:bodyDiv w:val="1"/>
      <w:marLeft w:val="0"/>
      <w:marRight w:val="0"/>
      <w:marTop w:val="0"/>
      <w:marBottom w:val="0"/>
      <w:divBdr>
        <w:top w:val="none" w:sz="0" w:space="0" w:color="auto"/>
        <w:left w:val="none" w:sz="0" w:space="0" w:color="auto"/>
        <w:bottom w:val="none" w:sz="0" w:space="0" w:color="auto"/>
        <w:right w:val="none" w:sz="0" w:space="0" w:color="auto"/>
      </w:divBdr>
      <w:divsChild>
        <w:div w:id="20908337">
          <w:marLeft w:val="0"/>
          <w:marRight w:val="0"/>
          <w:marTop w:val="0"/>
          <w:marBottom w:val="0"/>
          <w:divBdr>
            <w:top w:val="none" w:sz="0" w:space="0" w:color="auto"/>
            <w:left w:val="none" w:sz="0" w:space="0" w:color="auto"/>
            <w:bottom w:val="none" w:sz="0" w:space="0" w:color="auto"/>
            <w:right w:val="none" w:sz="0" w:space="0" w:color="auto"/>
          </w:divBdr>
        </w:div>
        <w:div w:id="139464028">
          <w:marLeft w:val="0"/>
          <w:marRight w:val="0"/>
          <w:marTop w:val="0"/>
          <w:marBottom w:val="0"/>
          <w:divBdr>
            <w:top w:val="none" w:sz="0" w:space="0" w:color="auto"/>
            <w:left w:val="none" w:sz="0" w:space="0" w:color="auto"/>
            <w:bottom w:val="none" w:sz="0" w:space="0" w:color="auto"/>
            <w:right w:val="none" w:sz="0" w:space="0" w:color="auto"/>
          </w:divBdr>
        </w:div>
        <w:div w:id="381832656">
          <w:marLeft w:val="0"/>
          <w:marRight w:val="0"/>
          <w:marTop w:val="0"/>
          <w:marBottom w:val="0"/>
          <w:divBdr>
            <w:top w:val="none" w:sz="0" w:space="0" w:color="auto"/>
            <w:left w:val="none" w:sz="0" w:space="0" w:color="auto"/>
            <w:bottom w:val="none" w:sz="0" w:space="0" w:color="auto"/>
            <w:right w:val="none" w:sz="0" w:space="0" w:color="auto"/>
          </w:divBdr>
        </w:div>
        <w:div w:id="931085491">
          <w:marLeft w:val="0"/>
          <w:marRight w:val="0"/>
          <w:marTop w:val="0"/>
          <w:marBottom w:val="0"/>
          <w:divBdr>
            <w:top w:val="none" w:sz="0" w:space="0" w:color="auto"/>
            <w:left w:val="none" w:sz="0" w:space="0" w:color="auto"/>
            <w:bottom w:val="none" w:sz="0" w:space="0" w:color="auto"/>
            <w:right w:val="none" w:sz="0" w:space="0" w:color="auto"/>
          </w:divBdr>
        </w:div>
        <w:div w:id="1178037060">
          <w:marLeft w:val="0"/>
          <w:marRight w:val="0"/>
          <w:marTop w:val="0"/>
          <w:marBottom w:val="0"/>
          <w:divBdr>
            <w:top w:val="none" w:sz="0" w:space="0" w:color="auto"/>
            <w:left w:val="none" w:sz="0" w:space="0" w:color="auto"/>
            <w:bottom w:val="none" w:sz="0" w:space="0" w:color="auto"/>
            <w:right w:val="none" w:sz="0" w:space="0" w:color="auto"/>
          </w:divBdr>
        </w:div>
        <w:div w:id="1438332328">
          <w:marLeft w:val="0"/>
          <w:marRight w:val="0"/>
          <w:marTop w:val="0"/>
          <w:marBottom w:val="0"/>
          <w:divBdr>
            <w:top w:val="none" w:sz="0" w:space="0" w:color="auto"/>
            <w:left w:val="none" w:sz="0" w:space="0" w:color="auto"/>
            <w:bottom w:val="none" w:sz="0" w:space="0" w:color="auto"/>
            <w:right w:val="none" w:sz="0" w:space="0" w:color="auto"/>
          </w:divBdr>
        </w:div>
        <w:div w:id="1561477506">
          <w:marLeft w:val="0"/>
          <w:marRight w:val="0"/>
          <w:marTop w:val="0"/>
          <w:marBottom w:val="0"/>
          <w:divBdr>
            <w:top w:val="none" w:sz="0" w:space="0" w:color="auto"/>
            <w:left w:val="none" w:sz="0" w:space="0" w:color="auto"/>
            <w:bottom w:val="none" w:sz="0" w:space="0" w:color="auto"/>
            <w:right w:val="none" w:sz="0" w:space="0" w:color="auto"/>
          </w:divBdr>
        </w:div>
        <w:div w:id="1788115520">
          <w:marLeft w:val="0"/>
          <w:marRight w:val="0"/>
          <w:marTop w:val="0"/>
          <w:marBottom w:val="0"/>
          <w:divBdr>
            <w:top w:val="none" w:sz="0" w:space="0" w:color="auto"/>
            <w:left w:val="none" w:sz="0" w:space="0" w:color="auto"/>
            <w:bottom w:val="none" w:sz="0" w:space="0" w:color="auto"/>
            <w:right w:val="none" w:sz="0" w:space="0" w:color="auto"/>
          </w:divBdr>
        </w:div>
      </w:divsChild>
    </w:div>
    <w:div w:id="562835696">
      <w:bodyDiv w:val="1"/>
      <w:marLeft w:val="0"/>
      <w:marRight w:val="0"/>
      <w:marTop w:val="0"/>
      <w:marBottom w:val="0"/>
      <w:divBdr>
        <w:top w:val="none" w:sz="0" w:space="0" w:color="auto"/>
        <w:left w:val="none" w:sz="0" w:space="0" w:color="auto"/>
        <w:bottom w:val="none" w:sz="0" w:space="0" w:color="auto"/>
        <w:right w:val="none" w:sz="0" w:space="0" w:color="auto"/>
      </w:divBdr>
    </w:div>
    <w:div w:id="574239632">
      <w:bodyDiv w:val="1"/>
      <w:marLeft w:val="0"/>
      <w:marRight w:val="0"/>
      <w:marTop w:val="0"/>
      <w:marBottom w:val="0"/>
      <w:divBdr>
        <w:top w:val="none" w:sz="0" w:space="0" w:color="auto"/>
        <w:left w:val="none" w:sz="0" w:space="0" w:color="auto"/>
        <w:bottom w:val="none" w:sz="0" w:space="0" w:color="auto"/>
        <w:right w:val="none" w:sz="0" w:space="0" w:color="auto"/>
      </w:divBdr>
    </w:div>
    <w:div w:id="602079728">
      <w:bodyDiv w:val="1"/>
      <w:marLeft w:val="0"/>
      <w:marRight w:val="0"/>
      <w:marTop w:val="0"/>
      <w:marBottom w:val="0"/>
      <w:divBdr>
        <w:top w:val="none" w:sz="0" w:space="0" w:color="auto"/>
        <w:left w:val="none" w:sz="0" w:space="0" w:color="auto"/>
        <w:bottom w:val="none" w:sz="0" w:space="0" w:color="auto"/>
        <w:right w:val="none" w:sz="0" w:space="0" w:color="auto"/>
      </w:divBdr>
    </w:div>
    <w:div w:id="620378302">
      <w:bodyDiv w:val="1"/>
      <w:marLeft w:val="0"/>
      <w:marRight w:val="0"/>
      <w:marTop w:val="0"/>
      <w:marBottom w:val="0"/>
      <w:divBdr>
        <w:top w:val="none" w:sz="0" w:space="0" w:color="auto"/>
        <w:left w:val="none" w:sz="0" w:space="0" w:color="auto"/>
        <w:bottom w:val="none" w:sz="0" w:space="0" w:color="auto"/>
        <w:right w:val="none" w:sz="0" w:space="0" w:color="auto"/>
      </w:divBdr>
    </w:div>
    <w:div w:id="715465679">
      <w:bodyDiv w:val="1"/>
      <w:marLeft w:val="0"/>
      <w:marRight w:val="0"/>
      <w:marTop w:val="0"/>
      <w:marBottom w:val="0"/>
      <w:divBdr>
        <w:top w:val="none" w:sz="0" w:space="0" w:color="auto"/>
        <w:left w:val="none" w:sz="0" w:space="0" w:color="auto"/>
        <w:bottom w:val="none" w:sz="0" w:space="0" w:color="auto"/>
        <w:right w:val="none" w:sz="0" w:space="0" w:color="auto"/>
      </w:divBdr>
    </w:div>
    <w:div w:id="731730112">
      <w:bodyDiv w:val="1"/>
      <w:marLeft w:val="0"/>
      <w:marRight w:val="0"/>
      <w:marTop w:val="0"/>
      <w:marBottom w:val="0"/>
      <w:divBdr>
        <w:top w:val="none" w:sz="0" w:space="0" w:color="auto"/>
        <w:left w:val="none" w:sz="0" w:space="0" w:color="auto"/>
        <w:bottom w:val="none" w:sz="0" w:space="0" w:color="auto"/>
        <w:right w:val="none" w:sz="0" w:space="0" w:color="auto"/>
      </w:divBdr>
    </w:div>
    <w:div w:id="749305047">
      <w:bodyDiv w:val="1"/>
      <w:marLeft w:val="0"/>
      <w:marRight w:val="0"/>
      <w:marTop w:val="0"/>
      <w:marBottom w:val="0"/>
      <w:divBdr>
        <w:top w:val="none" w:sz="0" w:space="0" w:color="auto"/>
        <w:left w:val="none" w:sz="0" w:space="0" w:color="auto"/>
        <w:bottom w:val="none" w:sz="0" w:space="0" w:color="auto"/>
        <w:right w:val="none" w:sz="0" w:space="0" w:color="auto"/>
      </w:divBdr>
      <w:divsChild>
        <w:div w:id="208106349">
          <w:marLeft w:val="0"/>
          <w:marRight w:val="0"/>
          <w:marTop w:val="0"/>
          <w:marBottom w:val="0"/>
          <w:divBdr>
            <w:top w:val="none" w:sz="0" w:space="0" w:color="auto"/>
            <w:left w:val="none" w:sz="0" w:space="0" w:color="auto"/>
            <w:bottom w:val="none" w:sz="0" w:space="0" w:color="auto"/>
            <w:right w:val="none" w:sz="0" w:space="0" w:color="auto"/>
          </w:divBdr>
        </w:div>
        <w:div w:id="397481588">
          <w:marLeft w:val="0"/>
          <w:marRight w:val="0"/>
          <w:marTop w:val="0"/>
          <w:marBottom w:val="0"/>
          <w:divBdr>
            <w:top w:val="none" w:sz="0" w:space="0" w:color="auto"/>
            <w:left w:val="none" w:sz="0" w:space="0" w:color="auto"/>
            <w:bottom w:val="none" w:sz="0" w:space="0" w:color="auto"/>
            <w:right w:val="none" w:sz="0" w:space="0" w:color="auto"/>
          </w:divBdr>
        </w:div>
        <w:div w:id="621694953">
          <w:marLeft w:val="0"/>
          <w:marRight w:val="0"/>
          <w:marTop w:val="0"/>
          <w:marBottom w:val="0"/>
          <w:divBdr>
            <w:top w:val="none" w:sz="0" w:space="0" w:color="auto"/>
            <w:left w:val="none" w:sz="0" w:space="0" w:color="auto"/>
            <w:bottom w:val="none" w:sz="0" w:space="0" w:color="auto"/>
            <w:right w:val="none" w:sz="0" w:space="0" w:color="auto"/>
          </w:divBdr>
        </w:div>
        <w:div w:id="711920899">
          <w:marLeft w:val="0"/>
          <w:marRight w:val="0"/>
          <w:marTop w:val="0"/>
          <w:marBottom w:val="0"/>
          <w:divBdr>
            <w:top w:val="none" w:sz="0" w:space="0" w:color="auto"/>
            <w:left w:val="none" w:sz="0" w:space="0" w:color="auto"/>
            <w:bottom w:val="none" w:sz="0" w:space="0" w:color="auto"/>
            <w:right w:val="none" w:sz="0" w:space="0" w:color="auto"/>
          </w:divBdr>
        </w:div>
        <w:div w:id="1885556551">
          <w:marLeft w:val="0"/>
          <w:marRight w:val="0"/>
          <w:marTop w:val="0"/>
          <w:marBottom w:val="0"/>
          <w:divBdr>
            <w:top w:val="none" w:sz="0" w:space="0" w:color="auto"/>
            <w:left w:val="none" w:sz="0" w:space="0" w:color="auto"/>
            <w:bottom w:val="none" w:sz="0" w:space="0" w:color="auto"/>
            <w:right w:val="none" w:sz="0" w:space="0" w:color="auto"/>
          </w:divBdr>
        </w:div>
        <w:div w:id="2027903194">
          <w:marLeft w:val="0"/>
          <w:marRight w:val="0"/>
          <w:marTop w:val="0"/>
          <w:marBottom w:val="0"/>
          <w:divBdr>
            <w:top w:val="none" w:sz="0" w:space="0" w:color="auto"/>
            <w:left w:val="none" w:sz="0" w:space="0" w:color="auto"/>
            <w:bottom w:val="none" w:sz="0" w:space="0" w:color="auto"/>
            <w:right w:val="none" w:sz="0" w:space="0" w:color="auto"/>
          </w:divBdr>
        </w:div>
        <w:div w:id="2105298795">
          <w:marLeft w:val="0"/>
          <w:marRight w:val="0"/>
          <w:marTop w:val="0"/>
          <w:marBottom w:val="0"/>
          <w:divBdr>
            <w:top w:val="none" w:sz="0" w:space="0" w:color="auto"/>
            <w:left w:val="none" w:sz="0" w:space="0" w:color="auto"/>
            <w:bottom w:val="none" w:sz="0" w:space="0" w:color="auto"/>
            <w:right w:val="none" w:sz="0" w:space="0" w:color="auto"/>
          </w:divBdr>
        </w:div>
      </w:divsChild>
    </w:div>
    <w:div w:id="753404162">
      <w:bodyDiv w:val="1"/>
      <w:marLeft w:val="0"/>
      <w:marRight w:val="0"/>
      <w:marTop w:val="0"/>
      <w:marBottom w:val="0"/>
      <w:divBdr>
        <w:top w:val="none" w:sz="0" w:space="0" w:color="auto"/>
        <w:left w:val="none" w:sz="0" w:space="0" w:color="auto"/>
        <w:bottom w:val="none" w:sz="0" w:space="0" w:color="auto"/>
        <w:right w:val="none" w:sz="0" w:space="0" w:color="auto"/>
      </w:divBdr>
    </w:div>
    <w:div w:id="777211723">
      <w:bodyDiv w:val="1"/>
      <w:marLeft w:val="0"/>
      <w:marRight w:val="0"/>
      <w:marTop w:val="0"/>
      <w:marBottom w:val="0"/>
      <w:divBdr>
        <w:top w:val="none" w:sz="0" w:space="0" w:color="auto"/>
        <w:left w:val="none" w:sz="0" w:space="0" w:color="auto"/>
        <w:bottom w:val="none" w:sz="0" w:space="0" w:color="auto"/>
        <w:right w:val="none" w:sz="0" w:space="0" w:color="auto"/>
      </w:divBdr>
    </w:div>
    <w:div w:id="805202873">
      <w:bodyDiv w:val="1"/>
      <w:marLeft w:val="0"/>
      <w:marRight w:val="0"/>
      <w:marTop w:val="0"/>
      <w:marBottom w:val="0"/>
      <w:divBdr>
        <w:top w:val="none" w:sz="0" w:space="0" w:color="auto"/>
        <w:left w:val="none" w:sz="0" w:space="0" w:color="auto"/>
        <w:bottom w:val="none" w:sz="0" w:space="0" w:color="auto"/>
        <w:right w:val="none" w:sz="0" w:space="0" w:color="auto"/>
      </w:divBdr>
    </w:div>
    <w:div w:id="810711841">
      <w:bodyDiv w:val="1"/>
      <w:marLeft w:val="0"/>
      <w:marRight w:val="0"/>
      <w:marTop w:val="0"/>
      <w:marBottom w:val="0"/>
      <w:divBdr>
        <w:top w:val="none" w:sz="0" w:space="0" w:color="auto"/>
        <w:left w:val="none" w:sz="0" w:space="0" w:color="auto"/>
        <w:bottom w:val="none" w:sz="0" w:space="0" w:color="auto"/>
        <w:right w:val="none" w:sz="0" w:space="0" w:color="auto"/>
      </w:divBdr>
    </w:div>
    <w:div w:id="835150999">
      <w:bodyDiv w:val="1"/>
      <w:marLeft w:val="0"/>
      <w:marRight w:val="0"/>
      <w:marTop w:val="0"/>
      <w:marBottom w:val="0"/>
      <w:divBdr>
        <w:top w:val="none" w:sz="0" w:space="0" w:color="auto"/>
        <w:left w:val="none" w:sz="0" w:space="0" w:color="auto"/>
        <w:bottom w:val="none" w:sz="0" w:space="0" w:color="auto"/>
        <w:right w:val="none" w:sz="0" w:space="0" w:color="auto"/>
      </w:divBdr>
    </w:div>
    <w:div w:id="863595214">
      <w:bodyDiv w:val="1"/>
      <w:marLeft w:val="0"/>
      <w:marRight w:val="0"/>
      <w:marTop w:val="0"/>
      <w:marBottom w:val="0"/>
      <w:divBdr>
        <w:top w:val="none" w:sz="0" w:space="0" w:color="auto"/>
        <w:left w:val="none" w:sz="0" w:space="0" w:color="auto"/>
        <w:bottom w:val="none" w:sz="0" w:space="0" w:color="auto"/>
        <w:right w:val="none" w:sz="0" w:space="0" w:color="auto"/>
      </w:divBdr>
      <w:divsChild>
        <w:div w:id="108934102">
          <w:marLeft w:val="1080"/>
          <w:marRight w:val="0"/>
          <w:marTop w:val="100"/>
          <w:marBottom w:val="240"/>
          <w:divBdr>
            <w:top w:val="none" w:sz="0" w:space="0" w:color="auto"/>
            <w:left w:val="none" w:sz="0" w:space="0" w:color="auto"/>
            <w:bottom w:val="none" w:sz="0" w:space="0" w:color="auto"/>
            <w:right w:val="none" w:sz="0" w:space="0" w:color="auto"/>
          </w:divBdr>
        </w:div>
        <w:div w:id="477193417">
          <w:marLeft w:val="360"/>
          <w:marRight w:val="0"/>
          <w:marTop w:val="200"/>
          <w:marBottom w:val="240"/>
          <w:divBdr>
            <w:top w:val="none" w:sz="0" w:space="0" w:color="auto"/>
            <w:left w:val="none" w:sz="0" w:space="0" w:color="auto"/>
            <w:bottom w:val="none" w:sz="0" w:space="0" w:color="auto"/>
            <w:right w:val="none" w:sz="0" w:space="0" w:color="auto"/>
          </w:divBdr>
        </w:div>
        <w:div w:id="580262999">
          <w:marLeft w:val="360"/>
          <w:marRight w:val="0"/>
          <w:marTop w:val="200"/>
          <w:marBottom w:val="240"/>
          <w:divBdr>
            <w:top w:val="none" w:sz="0" w:space="0" w:color="auto"/>
            <w:left w:val="none" w:sz="0" w:space="0" w:color="auto"/>
            <w:bottom w:val="none" w:sz="0" w:space="0" w:color="auto"/>
            <w:right w:val="none" w:sz="0" w:space="0" w:color="auto"/>
          </w:divBdr>
        </w:div>
        <w:div w:id="867379365">
          <w:marLeft w:val="360"/>
          <w:marRight w:val="0"/>
          <w:marTop w:val="200"/>
          <w:marBottom w:val="240"/>
          <w:divBdr>
            <w:top w:val="none" w:sz="0" w:space="0" w:color="auto"/>
            <w:left w:val="none" w:sz="0" w:space="0" w:color="auto"/>
            <w:bottom w:val="none" w:sz="0" w:space="0" w:color="auto"/>
            <w:right w:val="none" w:sz="0" w:space="0" w:color="auto"/>
          </w:divBdr>
        </w:div>
        <w:div w:id="940800701">
          <w:marLeft w:val="360"/>
          <w:marRight w:val="0"/>
          <w:marTop w:val="200"/>
          <w:marBottom w:val="240"/>
          <w:divBdr>
            <w:top w:val="none" w:sz="0" w:space="0" w:color="auto"/>
            <w:left w:val="none" w:sz="0" w:space="0" w:color="auto"/>
            <w:bottom w:val="none" w:sz="0" w:space="0" w:color="auto"/>
            <w:right w:val="none" w:sz="0" w:space="0" w:color="auto"/>
          </w:divBdr>
        </w:div>
        <w:div w:id="1215388723">
          <w:marLeft w:val="360"/>
          <w:marRight w:val="0"/>
          <w:marTop w:val="200"/>
          <w:marBottom w:val="240"/>
          <w:divBdr>
            <w:top w:val="none" w:sz="0" w:space="0" w:color="auto"/>
            <w:left w:val="none" w:sz="0" w:space="0" w:color="auto"/>
            <w:bottom w:val="none" w:sz="0" w:space="0" w:color="auto"/>
            <w:right w:val="none" w:sz="0" w:space="0" w:color="auto"/>
          </w:divBdr>
        </w:div>
        <w:div w:id="1391878207">
          <w:marLeft w:val="1080"/>
          <w:marRight w:val="0"/>
          <w:marTop w:val="100"/>
          <w:marBottom w:val="240"/>
          <w:divBdr>
            <w:top w:val="none" w:sz="0" w:space="0" w:color="auto"/>
            <w:left w:val="none" w:sz="0" w:space="0" w:color="auto"/>
            <w:bottom w:val="none" w:sz="0" w:space="0" w:color="auto"/>
            <w:right w:val="none" w:sz="0" w:space="0" w:color="auto"/>
          </w:divBdr>
        </w:div>
        <w:div w:id="1624310962">
          <w:marLeft w:val="360"/>
          <w:marRight w:val="0"/>
          <w:marTop w:val="200"/>
          <w:marBottom w:val="240"/>
          <w:divBdr>
            <w:top w:val="none" w:sz="0" w:space="0" w:color="auto"/>
            <w:left w:val="none" w:sz="0" w:space="0" w:color="auto"/>
            <w:bottom w:val="none" w:sz="0" w:space="0" w:color="auto"/>
            <w:right w:val="none" w:sz="0" w:space="0" w:color="auto"/>
          </w:divBdr>
        </w:div>
      </w:divsChild>
    </w:div>
    <w:div w:id="908880124">
      <w:bodyDiv w:val="1"/>
      <w:marLeft w:val="0"/>
      <w:marRight w:val="0"/>
      <w:marTop w:val="0"/>
      <w:marBottom w:val="0"/>
      <w:divBdr>
        <w:top w:val="none" w:sz="0" w:space="0" w:color="auto"/>
        <w:left w:val="none" w:sz="0" w:space="0" w:color="auto"/>
        <w:bottom w:val="none" w:sz="0" w:space="0" w:color="auto"/>
        <w:right w:val="none" w:sz="0" w:space="0" w:color="auto"/>
      </w:divBdr>
    </w:div>
    <w:div w:id="930237004">
      <w:bodyDiv w:val="1"/>
      <w:marLeft w:val="0"/>
      <w:marRight w:val="0"/>
      <w:marTop w:val="0"/>
      <w:marBottom w:val="0"/>
      <w:divBdr>
        <w:top w:val="none" w:sz="0" w:space="0" w:color="auto"/>
        <w:left w:val="none" w:sz="0" w:space="0" w:color="auto"/>
        <w:bottom w:val="none" w:sz="0" w:space="0" w:color="auto"/>
        <w:right w:val="none" w:sz="0" w:space="0" w:color="auto"/>
      </w:divBdr>
    </w:div>
    <w:div w:id="942223060">
      <w:bodyDiv w:val="1"/>
      <w:marLeft w:val="0"/>
      <w:marRight w:val="0"/>
      <w:marTop w:val="0"/>
      <w:marBottom w:val="0"/>
      <w:divBdr>
        <w:top w:val="none" w:sz="0" w:space="0" w:color="auto"/>
        <w:left w:val="none" w:sz="0" w:space="0" w:color="auto"/>
        <w:bottom w:val="none" w:sz="0" w:space="0" w:color="auto"/>
        <w:right w:val="none" w:sz="0" w:space="0" w:color="auto"/>
      </w:divBdr>
    </w:div>
    <w:div w:id="948973402">
      <w:bodyDiv w:val="1"/>
      <w:marLeft w:val="0"/>
      <w:marRight w:val="0"/>
      <w:marTop w:val="0"/>
      <w:marBottom w:val="0"/>
      <w:divBdr>
        <w:top w:val="none" w:sz="0" w:space="0" w:color="auto"/>
        <w:left w:val="none" w:sz="0" w:space="0" w:color="auto"/>
        <w:bottom w:val="none" w:sz="0" w:space="0" w:color="auto"/>
        <w:right w:val="none" w:sz="0" w:space="0" w:color="auto"/>
      </w:divBdr>
    </w:div>
    <w:div w:id="968902766">
      <w:bodyDiv w:val="1"/>
      <w:marLeft w:val="0"/>
      <w:marRight w:val="0"/>
      <w:marTop w:val="0"/>
      <w:marBottom w:val="0"/>
      <w:divBdr>
        <w:top w:val="none" w:sz="0" w:space="0" w:color="auto"/>
        <w:left w:val="none" w:sz="0" w:space="0" w:color="auto"/>
        <w:bottom w:val="none" w:sz="0" w:space="0" w:color="auto"/>
        <w:right w:val="none" w:sz="0" w:space="0" w:color="auto"/>
      </w:divBdr>
    </w:div>
    <w:div w:id="988752771">
      <w:bodyDiv w:val="1"/>
      <w:marLeft w:val="0"/>
      <w:marRight w:val="0"/>
      <w:marTop w:val="0"/>
      <w:marBottom w:val="0"/>
      <w:divBdr>
        <w:top w:val="none" w:sz="0" w:space="0" w:color="auto"/>
        <w:left w:val="none" w:sz="0" w:space="0" w:color="auto"/>
        <w:bottom w:val="none" w:sz="0" w:space="0" w:color="auto"/>
        <w:right w:val="none" w:sz="0" w:space="0" w:color="auto"/>
      </w:divBdr>
    </w:div>
    <w:div w:id="998341855">
      <w:bodyDiv w:val="1"/>
      <w:marLeft w:val="0"/>
      <w:marRight w:val="0"/>
      <w:marTop w:val="0"/>
      <w:marBottom w:val="0"/>
      <w:divBdr>
        <w:top w:val="none" w:sz="0" w:space="0" w:color="auto"/>
        <w:left w:val="none" w:sz="0" w:space="0" w:color="auto"/>
        <w:bottom w:val="none" w:sz="0" w:space="0" w:color="auto"/>
        <w:right w:val="none" w:sz="0" w:space="0" w:color="auto"/>
      </w:divBdr>
    </w:div>
    <w:div w:id="1000543725">
      <w:bodyDiv w:val="1"/>
      <w:marLeft w:val="0"/>
      <w:marRight w:val="0"/>
      <w:marTop w:val="0"/>
      <w:marBottom w:val="0"/>
      <w:divBdr>
        <w:top w:val="none" w:sz="0" w:space="0" w:color="auto"/>
        <w:left w:val="none" w:sz="0" w:space="0" w:color="auto"/>
        <w:bottom w:val="none" w:sz="0" w:space="0" w:color="auto"/>
        <w:right w:val="none" w:sz="0" w:space="0" w:color="auto"/>
      </w:divBdr>
    </w:div>
    <w:div w:id="1015231673">
      <w:bodyDiv w:val="1"/>
      <w:marLeft w:val="0"/>
      <w:marRight w:val="0"/>
      <w:marTop w:val="0"/>
      <w:marBottom w:val="0"/>
      <w:divBdr>
        <w:top w:val="none" w:sz="0" w:space="0" w:color="auto"/>
        <w:left w:val="none" w:sz="0" w:space="0" w:color="auto"/>
        <w:bottom w:val="none" w:sz="0" w:space="0" w:color="auto"/>
        <w:right w:val="none" w:sz="0" w:space="0" w:color="auto"/>
      </w:divBdr>
    </w:div>
    <w:div w:id="1018652235">
      <w:bodyDiv w:val="1"/>
      <w:marLeft w:val="0"/>
      <w:marRight w:val="0"/>
      <w:marTop w:val="0"/>
      <w:marBottom w:val="0"/>
      <w:divBdr>
        <w:top w:val="none" w:sz="0" w:space="0" w:color="auto"/>
        <w:left w:val="none" w:sz="0" w:space="0" w:color="auto"/>
        <w:bottom w:val="none" w:sz="0" w:space="0" w:color="auto"/>
        <w:right w:val="none" w:sz="0" w:space="0" w:color="auto"/>
      </w:divBdr>
      <w:divsChild>
        <w:div w:id="329984912">
          <w:marLeft w:val="0"/>
          <w:marRight w:val="0"/>
          <w:marTop w:val="0"/>
          <w:marBottom w:val="0"/>
          <w:divBdr>
            <w:top w:val="none" w:sz="0" w:space="0" w:color="auto"/>
            <w:left w:val="none" w:sz="0" w:space="0" w:color="auto"/>
            <w:bottom w:val="none" w:sz="0" w:space="0" w:color="auto"/>
            <w:right w:val="none" w:sz="0" w:space="0" w:color="auto"/>
          </w:divBdr>
        </w:div>
      </w:divsChild>
    </w:div>
    <w:div w:id="1024672663">
      <w:bodyDiv w:val="1"/>
      <w:marLeft w:val="0"/>
      <w:marRight w:val="0"/>
      <w:marTop w:val="0"/>
      <w:marBottom w:val="0"/>
      <w:divBdr>
        <w:top w:val="none" w:sz="0" w:space="0" w:color="auto"/>
        <w:left w:val="none" w:sz="0" w:space="0" w:color="auto"/>
        <w:bottom w:val="none" w:sz="0" w:space="0" w:color="auto"/>
        <w:right w:val="none" w:sz="0" w:space="0" w:color="auto"/>
      </w:divBdr>
    </w:div>
    <w:div w:id="1030684801">
      <w:bodyDiv w:val="1"/>
      <w:marLeft w:val="0"/>
      <w:marRight w:val="0"/>
      <w:marTop w:val="0"/>
      <w:marBottom w:val="0"/>
      <w:divBdr>
        <w:top w:val="none" w:sz="0" w:space="0" w:color="auto"/>
        <w:left w:val="none" w:sz="0" w:space="0" w:color="auto"/>
        <w:bottom w:val="none" w:sz="0" w:space="0" w:color="auto"/>
        <w:right w:val="none" w:sz="0" w:space="0" w:color="auto"/>
      </w:divBdr>
    </w:div>
    <w:div w:id="1061056921">
      <w:bodyDiv w:val="1"/>
      <w:marLeft w:val="0"/>
      <w:marRight w:val="0"/>
      <w:marTop w:val="0"/>
      <w:marBottom w:val="0"/>
      <w:divBdr>
        <w:top w:val="none" w:sz="0" w:space="0" w:color="auto"/>
        <w:left w:val="none" w:sz="0" w:space="0" w:color="auto"/>
        <w:bottom w:val="none" w:sz="0" w:space="0" w:color="auto"/>
        <w:right w:val="none" w:sz="0" w:space="0" w:color="auto"/>
      </w:divBdr>
    </w:div>
    <w:div w:id="1089085019">
      <w:bodyDiv w:val="1"/>
      <w:marLeft w:val="0"/>
      <w:marRight w:val="0"/>
      <w:marTop w:val="0"/>
      <w:marBottom w:val="0"/>
      <w:divBdr>
        <w:top w:val="none" w:sz="0" w:space="0" w:color="auto"/>
        <w:left w:val="none" w:sz="0" w:space="0" w:color="auto"/>
        <w:bottom w:val="none" w:sz="0" w:space="0" w:color="auto"/>
        <w:right w:val="none" w:sz="0" w:space="0" w:color="auto"/>
      </w:divBdr>
    </w:div>
    <w:div w:id="1095444184">
      <w:bodyDiv w:val="1"/>
      <w:marLeft w:val="0"/>
      <w:marRight w:val="0"/>
      <w:marTop w:val="0"/>
      <w:marBottom w:val="0"/>
      <w:divBdr>
        <w:top w:val="none" w:sz="0" w:space="0" w:color="auto"/>
        <w:left w:val="none" w:sz="0" w:space="0" w:color="auto"/>
        <w:bottom w:val="none" w:sz="0" w:space="0" w:color="auto"/>
        <w:right w:val="none" w:sz="0" w:space="0" w:color="auto"/>
      </w:divBdr>
    </w:div>
    <w:div w:id="1101025280">
      <w:bodyDiv w:val="1"/>
      <w:marLeft w:val="0"/>
      <w:marRight w:val="0"/>
      <w:marTop w:val="0"/>
      <w:marBottom w:val="0"/>
      <w:divBdr>
        <w:top w:val="none" w:sz="0" w:space="0" w:color="auto"/>
        <w:left w:val="none" w:sz="0" w:space="0" w:color="auto"/>
        <w:bottom w:val="none" w:sz="0" w:space="0" w:color="auto"/>
        <w:right w:val="none" w:sz="0" w:space="0" w:color="auto"/>
      </w:divBdr>
      <w:divsChild>
        <w:div w:id="1348215455">
          <w:marLeft w:val="0"/>
          <w:marRight w:val="0"/>
          <w:marTop w:val="0"/>
          <w:marBottom w:val="0"/>
          <w:divBdr>
            <w:top w:val="none" w:sz="0" w:space="0" w:color="auto"/>
            <w:left w:val="none" w:sz="0" w:space="0" w:color="auto"/>
            <w:bottom w:val="none" w:sz="0" w:space="0" w:color="auto"/>
            <w:right w:val="none" w:sz="0" w:space="0" w:color="auto"/>
          </w:divBdr>
        </w:div>
      </w:divsChild>
    </w:div>
    <w:div w:id="1102266826">
      <w:bodyDiv w:val="1"/>
      <w:marLeft w:val="0"/>
      <w:marRight w:val="0"/>
      <w:marTop w:val="0"/>
      <w:marBottom w:val="0"/>
      <w:divBdr>
        <w:top w:val="none" w:sz="0" w:space="0" w:color="auto"/>
        <w:left w:val="none" w:sz="0" w:space="0" w:color="auto"/>
        <w:bottom w:val="none" w:sz="0" w:space="0" w:color="auto"/>
        <w:right w:val="none" w:sz="0" w:space="0" w:color="auto"/>
      </w:divBdr>
    </w:div>
    <w:div w:id="1143935421">
      <w:bodyDiv w:val="1"/>
      <w:marLeft w:val="0"/>
      <w:marRight w:val="0"/>
      <w:marTop w:val="0"/>
      <w:marBottom w:val="0"/>
      <w:divBdr>
        <w:top w:val="none" w:sz="0" w:space="0" w:color="auto"/>
        <w:left w:val="none" w:sz="0" w:space="0" w:color="auto"/>
        <w:bottom w:val="none" w:sz="0" w:space="0" w:color="auto"/>
        <w:right w:val="none" w:sz="0" w:space="0" w:color="auto"/>
      </w:divBdr>
    </w:div>
    <w:div w:id="1160315924">
      <w:bodyDiv w:val="1"/>
      <w:marLeft w:val="0"/>
      <w:marRight w:val="0"/>
      <w:marTop w:val="0"/>
      <w:marBottom w:val="0"/>
      <w:divBdr>
        <w:top w:val="none" w:sz="0" w:space="0" w:color="auto"/>
        <w:left w:val="none" w:sz="0" w:space="0" w:color="auto"/>
        <w:bottom w:val="none" w:sz="0" w:space="0" w:color="auto"/>
        <w:right w:val="none" w:sz="0" w:space="0" w:color="auto"/>
      </w:divBdr>
    </w:div>
    <w:div w:id="1169321746">
      <w:bodyDiv w:val="1"/>
      <w:marLeft w:val="0"/>
      <w:marRight w:val="0"/>
      <w:marTop w:val="0"/>
      <w:marBottom w:val="0"/>
      <w:divBdr>
        <w:top w:val="none" w:sz="0" w:space="0" w:color="auto"/>
        <w:left w:val="none" w:sz="0" w:space="0" w:color="auto"/>
        <w:bottom w:val="none" w:sz="0" w:space="0" w:color="auto"/>
        <w:right w:val="none" w:sz="0" w:space="0" w:color="auto"/>
      </w:divBdr>
    </w:div>
    <w:div w:id="1227716135">
      <w:bodyDiv w:val="1"/>
      <w:marLeft w:val="0"/>
      <w:marRight w:val="0"/>
      <w:marTop w:val="0"/>
      <w:marBottom w:val="0"/>
      <w:divBdr>
        <w:top w:val="none" w:sz="0" w:space="0" w:color="auto"/>
        <w:left w:val="none" w:sz="0" w:space="0" w:color="auto"/>
        <w:bottom w:val="none" w:sz="0" w:space="0" w:color="auto"/>
        <w:right w:val="none" w:sz="0" w:space="0" w:color="auto"/>
      </w:divBdr>
      <w:divsChild>
        <w:div w:id="1075469799">
          <w:marLeft w:val="446"/>
          <w:marRight w:val="0"/>
          <w:marTop w:val="200"/>
          <w:marBottom w:val="0"/>
          <w:divBdr>
            <w:top w:val="none" w:sz="0" w:space="0" w:color="auto"/>
            <w:left w:val="none" w:sz="0" w:space="0" w:color="auto"/>
            <w:bottom w:val="none" w:sz="0" w:space="0" w:color="auto"/>
            <w:right w:val="none" w:sz="0" w:space="0" w:color="auto"/>
          </w:divBdr>
        </w:div>
        <w:div w:id="1484274971">
          <w:marLeft w:val="446"/>
          <w:marRight w:val="0"/>
          <w:marTop w:val="200"/>
          <w:marBottom w:val="0"/>
          <w:divBdr>
            <w:top w:val="none" w:sz="0" w:space="0" w:color="auto"/>
            <w:left w:val="none" w:sz="0" w:space="0" w:color="auto"/>
            <w:bottom w:val="none" w:sz="0" w:space="0" w:color="auto"/>
            <w:right w:val="none" w:sz="0" w:space="0" w:color="auto"/>
          </w:divBdr>
        </w:div>
        <w:div w:id="1579632970">
          <w:marLeft w:val="1166"/>
          <w:marRight w:val="0"/>
          <w:marTop w:val="200"/>
          <w:marBottom w:val="0"/>
          <w:divBdr>
            <w:top w:val="none" w:sz="0" w:space="0" w:color="auto"/>
            <w:left w:val="none" w:sz="0" w:space="0" w:color="auto"/>
            <w:bottom w:val="none" w:sz="0" w:space="0" w:color="auto"/>
            <w:right w:val="none" w:sz="0" w:space="0" w:color="auto"/>
          </w:divBdr>
        </w:div>
        <w:div w:id="2122526889">
          <w:marLeft w:val="446"/>
          <w:marRight w:val="0"/>
          <w:marTop w:val="200"/>
          <w:marBottom w:val="0"/>
          <w:divBdr>
            <w:top w:val="none" w:sz="0" w:space="0" w:color="auto"/>
            <w:left w:val="none" w:sz="0" w:space="0" w:color="auto"/>
            <w:bottom w:val="none" w:sz="0" w:space="0" w:color="auto"/>
            <w:right w:val="none" w:sz="0" w:space="0" w:color="auto"/>
          </w:divBdr>
        </w:div>
      </w:divsChild>
    </w:div>
    <w:div w:id="1269002742">
      <w:bodyDiv w:val="1"/>
      <w:marLeft w:val="0"/>
      <w:marRight w:val="0"/>
      <w:marTop w:val="0"/>
      <w:marBottom w:val="0"/>
      <w:divBdr>
        <w:top w:val="none" w:sz="0" w:space="0" w:color="auto"/>
        <w:left w:val="none" w:sz="0" w:space="0" w:color="auto"/>
        <w:bottom w:val="none" w:sz="0" w:space="0" w:color="auto"/>
        <w:right w:val="none" w:sz="0" w:space="0" w:color="auto"/>
      </w:divBdr>
    </w:div>
    <w:div w:id="1280531586">
      <w:bodyDiv w:val="1"/>
      <w:marLeft w:val="0"/>
      <w:marRight w:val="0"/>
      <w:marTop w:val="0"/>
      <w:marBottom w:val="0"/>
      <w:divBdr>
        <w:top w:val="none" w:sz="0" w:space="0" w:color="auto"/>
        <w:left w:val="none" w:sz="0" w:space="0" w:color="auto"/>
        <w:bottom w:val="none" w:sz="0" w:space="0" w:color="auto"/>
        <w:right w:val="none" w:sz="0" w:space="0" w:color="auto"/>
      </w:divBdr>
    </w:div>
    <w:div w:id="1325665313">
      <w:bodyDiv w:val="1"/>
      <w:marLeft w:val="0"/>
      <w:marRight w:val="0"/>
      <w:marTop w:val="0"/>
      <w:marBottom w:val="0"/>
      <w:divBdr>
        <w:top w:val="none" w:sz="0" w:space="0" w:color="auto"/>
        <w:left w:val="none" w:sz="0" w:space="0" w:color="auto"/>
        <w:bottom w:val="none" w:sz="0" w:space="0" w:color="auto"/>
        <w:right w:val="none" w:sz="0" w:space="0" w:color="auto"/>
      </w:divBdr>
    </w:div>
    <w:div w:id="1331299323">
      <w:bodyDiv w:val="1"/>
      <w:marLeft w:val="0"/>
      <w:marRight w:val="0"/>
      <w:marTop w:val="0"/>
      <w:marBottom w:val="0"/>
      <w:divBdr>
        <w:top w:val="none" w:sz="0" w:space="0" w:color="auto"/>
        <w:left w:val="none" w:sz="0" w:space="0" w:color="auto"/>
        <w:bottom w:val="none" w:sz="0" w:space="0" w:color="auto"/>
        <w:right w:val="none" w:sz="0" w:space="0" w:color="auto"/>
      </w:divBdr>
    </w:div>
    <w:div w:id="1332369365">
      <w:bodyDiv w:val="1"/>
      <w:marLeft w:val="0"/>
      <w:marRight w:val="0"/>
      <w:marTop w:val="0"/>
      <w:marBottom w:val="0"/>
      <w:divBdr>
        <w:top w:val="none" w:sz="0" w:space="0" w:color="auto"/>
        <w:left w:val="none" w:sz="0" w:space="0" w:color="auto"/>
        <w:bottom w:val="none" w:sz="0" w:space="0" w:color="auto"/>
        <w:right w:val="none" w:sz="0" w:space="0" w:color="auto"/>
      </w:divBdr>
      <w:divsChild>
        <w:div w:id="316032277">
          <w:marLeft w:val="446"/>
          <w:marRight w:val="0"/>
          <w:marTop w:val="100"/>
          <w:marBottom w:val="0"/>
          <w:divBdr>
            <w:top w:val="none" w:sz="0" w:space="0" w:color="auto"/>
            <w:left w:val="none" w:sz="0" w:space="0" w:color="auto"/>
            <w:bottom w:val="none" w:sz="0" w:space="0" w:color="auto"/>
            <w:right w:val="none" w:sz="0" w:space="0" w:color="auto"/>
          </w:divBdr>
        </w:div>
        <w:div w:id="344328459">
          <w:marLeft w:val="446"/>
          <w:marRight w:val="0"/>
          <w:marTop w:val="100"/>
          <w:marBottom w:val="0"/>
          <w:divBdr>
            <w:top w:val="none" w:sz="0" w:space="0" w:color="auto"/>
            <w:left w:val="none" w:sz="0" w:space="0" w:color="auto"/>
            <w:bottom w:val="none" w:sz="0" w:space="0" w:color="auto"/>
            <w:right w:val="none" w:sz="0" w:space="0" w:color="auto"/>
          </w:divBdr>
        </w:div>
        <w:div w:id="1013991307">
          <w:marLeft w:val="1166"/>
          <w:marRight w:val="0"/>
          <w:marTop w:val="100"/>
          <w:marBottom w:val="0"/>
          <w:divBdr>
            <w:top w:val="none" w:sz="0" w:space="0" w:color="auto"/>
            <w:left w:val="none" w:sz="0" w:space="0" w:color="auto"/>
            <w:bottom w:val="none" w:sz="0" w:space="0" w:color="auto"/>
            <w:right w:val="none" w:sz="0" w:space="0" w:color="auto"/>
          </w:divBdr>
        </w:div>
        <w:div w:id="1034116175">
          <w:marLeft w:val="446"/>
          <w:marRight w:val="0"/>
          <w:marTop w:val="100"/>
          <w:marBottom w:val="0"/>
          <w:divBdr>
            <w:top w:val="none" w:sz="0" w:space="0" w:color="auto"/>
            <w:left w:val="none" w:sz="0" w:space="0" w:color="auto"/>
            <w:bottom w:val="none" w:sz="0" w:space="0" w:color="auto"/>
            <w:right w:val="none" w:sz="0" w:space="0" w:color="auto"/>
          </w:divBdr>
        </w:div>
        <w:div w:id="1353916214">
          <w:marLeft w:val="1166"/>
          <w:marRight w:val="0"/>
          <w:marTop w:val="100"/>
          <w:marBottom w:val="0"/>
          <w:divBdr>
            <w:top w:val="none" w:sz="0" w:space="0" w:color="auto"/>
            <w:left w:val="none" w:sz="0" w:space="0" w:color="auto"/>
            <w:bottom w:val="none" w:sz="0" w:space="0" w:color="auto"/>
            <w:right w:val="none" w:sz="0" w:space="0" w:color="auto"/>
          </w:divBdr>
        </w:div>
      </w:divsChild>
    </w:div>
    <w:div w:id="1390962611">
      <w:bodyDiv w:val="1"/>
      <w:marLeft w:val="0"/>
      <w:marRight w:val="0"/>
      <w:marTop w:val="0"/>
      <w:marBottom w:val="0"/>
      <w:divBdr>
        <w:top w:val="none" w:sz="0" w:space="0" w:color="auto"/>
        <w:left w:val="none" w:sz="0" w:space="0" w:color="auto"/>
        <w:bottom w:val="none" w:sz="0" w:space="0" w:color="auto"/>
        <w:right w:val="none" w:sz="0" w:space="0" w:color="auto"/>
      </w:divBdr>
      <w:divsChild>
        <w:div w:id="124125486">
          <w:marLeft w:val="547"/>
          <w:marRight w:val="0"/>
          <w:marTop w:val="0"/>
          <w:marBottom w:val="0"/>
          <w:divBdr>
            <w:top w:val="none" w:sz="0" w:space="0" w:color="auto"/>
            <w:left w:val="none" w:sz="0" w:space="0" w:color="auto"/>
            <w:bottom w:val="none" w:sz="0" w:space="0" w:color="auto"/>
            <w:right w:val="none" w:sz="0" w:space="0" w:color="auto"/>
          </w:divBdr>
        </w:div>
        <w:div w:id="1511872972">
          <w:marLeft w:val="547"/>
          <w:marRight w:val="0"/>
          <w:marTop w:val="0"/>
          <w:marBottom w:val="0"/>
          <w:divBdr>
            <w:top w:val="none" w:sz="0" w:space="0" w:color="auto"/>
            <w:left w:val="none" w:sz="0" w:space="0" w:color="auto"/>
            <w:bottom w:val="none" w:sz="0" w:space="0" w:color="auto"/>
            <w:right w:val="none" w:sz="0" w:space="0" w:color="auto"/>
          </w:divBdr>
        </w:div>
      </w:divsChild>
    </w:div>
    <w:div w:id="1406606173">
      <w:bodyDiv w:val="1"/>
      <w:marLeft w:val="0"/>
      <w:marRight w:val="0"/>
      <w:marTop w:val="0"/>
      <w:marBottom w:val="0"/>
      <w:divBdr>
        <w:top w:val="none" w:sz="0" w:space="0" w:color="auto"/>
        <w:left w:val="none" w:sz="0" w:space="0" w:color="auto"/>
        <w:bottom w:val="none" w:sz="0" w:space="0" w:color="auto"/>
        <w:right w:val="none" w:sz="0" w:space="0" w:color="auto"/>
      </w:divBdr>
    </w:div>
    <w:div w:id="1436172735">
      <w:bodyDiv w:val="1"/>
      <w:marLeft w:val="0"/>
      <w:marRight w:val="0"/>
      <w:marTop w:val="0"/>
      <w:marBottom w:val="0"/>
      <w:divBdr>
        <w:top w:val="none" w:sz="0" w:space="0" w:color="auto"/>
        <w:left w:val="none" w:sz="0" w:space="0" w:color="auto"/>
        <w:bottom w:val="none" w:sz="0" w:space="0" w:color="auto"/>
        <w:right w:val="none" w:sz="0" w:space="0" w:color="auto"/>
      </w:divBdr>
    </w:div>
    <w:div w:id="1492722475">
      <w:bodyDiv w:val="1"/>
      <w:marLeft w:val="0"/>
      <w:marRight w:val="0"/>
      <w:marTop w:val="0"/>
      <w:marBottom w:val="0"/>
      <w:divBdr>
        <w:top w:val="none" w:sz="0" w:space="0" w:color="auto"/>
        <w:left w:val="none" w:sz="0" w:space="0" w:color="auto"/>
        <w:bottom w:val="none" w:sz="0" w:space="0" w:color="auto"/>
        <w:right w:val="none" w:sz="0" w:space="0" w:color="auto"/>
      </w:divBdr>
    </w:div>
    <w:div w:id="1520505748">
      <w:bodyDiv w:val="1"/>
      <w:marLeft w:val="0"/>
      <w:marRight w:val="0"/>
      <w:marTop w:val="0"/>
      <w:marBottom w:val="0"/>
      <w:divBdr>
        <w:top w:val="none" w:sz="0" w:space="0" w:color="auto"/>
        <w:left w:val="none" w:sz="0" w:space="0" w:color="auto"/>
        <w:bottom w:val="none" w:sz="0" w:space="0" w:color="auto"/>
        <w:right w:val="none" w:sz="0" w:space="0" w:color="auto"/>
      </w:divBdr>
    </w:div>
    <w:div w:id="1527134772">
      <w:bodyDiv w:val="1"/>
      <w:marLeft w:val="0"/>
      <w:marRight w:val="0"/>
      <w:marTop w:val="0"/>
      <w:marBottom w:val="0"/>
      <w:divBdr>
        <w:top w:val="none" w:sz="0" w:space="0" w:color="auto"/>
        <w:left w:val="none" w:sz="0" w:space="0" w:color="auto"/>
        <w:bottom w:val="none" w:sz="0" w:space="0" w:color="auto"/>
        <w:right w:val="none" w:sz="0" w:space="0" w:color="auto"/>
      </w:divBdr>
    </w:div>
    <w:div w:id="1530407626">
      <w:bodyDiv w:val="1"/>
      <w:marLeft w:val="0"/>
      <w:marRight w:val="0"/>
      <w:marTop w:val="0"/>
      <w:marBottom w:val="0"/>
      <w:divBdr>
        <w:top w:val="none" w:sz="0" w:space="0" w:color="auto"/>
        <w:left w:val="none" w:sz="0" w:space="0" w:color="auto"/>
        <w:bottom w:val="none" w:sz="0" w:space="0" w:color="auto"/>
        <w:right w:val="none" w:sz="0" w:space="0" w:color="auto"/>
      </w:divBdr>
    </w:div>
    <w:div w:id="1591038736">
      <w:bodyDiv w:val="1"/>
      <w:marLeft w:val="0"/>
      <w:marRight w:val="0"/>
      <w:marTop w:val="0"/>
      <w:marBottom w:val="0"/>
      <w:divBdr>
        <w:top w:val="none" w:sz="0" w:space="0" w:color="auto"/>
        <w:left w:val="none" w:sz="0" w:space="0" w:color="auto"/>
        <w:bottom w:val="none" w:sz="0" w:space="0" w:color="auto"/>
        <w:right w:val="none" w:sz="0" w:space="0" w:color="auto"/>
      </w:divBdr>
      <w:divsChild>
        <w:div w:id="675615714">
          <w:marLeft w:val="0"/>
          <w:marRight w:val="0"/>
          <w:marTop w:val="0"/>
          <w:marBottom w:val="0"/>
          <w:divBdr>
            <w:top w:val="none" w:sz="0" w:space="0" w:color="auto"/>
            <w:left w:val="none" w:sz="0" w:space="0" w:color="auto"/>
            <w:bottom w:val="none" w:sz="0" w:space="0" w:color="auto"/>
            <w:right w:val="none" w:sz="0" w:space="0" w:color="auto"/>
          </w:divBdr>
        </w:div>
      </w:divsChild>
    </w:div>
    <w:div w:id="1638103105">
      <w:bodyDiv w:val="1"/>
      <w:marLeft w:val="0"/>
      <w:marRight w:val="0"/>
      <w:marTop w:val="0"/>
      <w:marBottom w:val="0"/>
      <w:divBdr>
        <w:top w:val="none" w:sz="0" w:space="0" w:color="auto"/>
        <w:left w:val="none" w:sz="0" w:space="0" w:color="auto"/>
        <w:bottom w:val="none" w:sz="0" w:space="0" w:color="auto"/>
        <w:right w:val="none" w:sz="0" w:space="0" w:color="auto"/>
      </w:divBdr>
    </w:div>
    <w:div w:id="1656757829">
      <w:bodyDiv w:val="1"/>
      <w:marLeft w:val="0"/>
      <w:marRight w:val="0"/>
      <w:marTop w:val="0"/>
      <w:marBottom w:val="0"/>
      <w:divBdr>
        <w:top w:val="none" w:sz="0" w:space="0" w:color="auto"/>
        <w:left w:val="none" w:sz="0" w:space="0" w:color="auto"/>
        <w:bottom w:val="none" w:sz="0" w:space="0" w:color="auto"/>
        <w:right w:val="none" w:sz="0" w:space="0" w:color="auto"/>
      </w:divBdr>
    </w:div>
    <w:div w:id="1689601407">
      <w:bodyDiv w:val="1"/>
      <w:marLeft w:val="0"/>
      <w:marRight w:val="0"/>
      <w:marTop w:val="0"/>
      <w:marBottom w:val="0"/>
      <w:divBdr>
        <w:top w:val="none" w:sz="0" w:space="0" w:color="auto"/>
        <w:left w:val="none" w:sz="0" w:space="0" w:color="auto"/>
        <w:bottom w:val="none" w:sz="0" w:space="0" w:color="auto"/>
        <w:right w:val="none" w:sz="0" w:space="0" w:color="auto"/>
      </w:divBdr>
    </w:div>
    <w:div w:id="1735739688">
      <w:bodyDiv w:val="1"/>
      <w:marLeft w:val="0"/>
      <w:marRight w:val="0"/>
      <w:marTop w:val="0"/>
      <w:marBottom w:val="0"/>
      <w:divBdr>
        <w:top w:val="none" w:sz="0" w:space="0" w:color="auto"/>
        <w:left w:val="none" w:sz="0" w:space="0" w:color="auto"/>
        <w:bottom w:val="none" w:sz="0" w:space="0" w:color="auto"/>
        <w:right w:val="none" w:sz="0" w:space="0" w:color="auto"/>
      </w:divBdr>
    </w:div>
    <w:div w:id="1745183145">
      <w:bodyDiv w:val="1"/>
      <w:marLeft w:val="0"/>
      <w:marRight w:val="0"/>
      <w:marTop w:val="0"/>
      <w:marBottom w:val="0"/>
      <w:divBdr>
        <w:top w:val="none" w:sz="0" w:space="0" w:color="auto"/>
        <w:left w:val="none" w:sz="0" w:space="0" w:color="auto"/>
        <w:bottom w:val="none" w:sz="0" w:space="0" w:color="auto"/>
        <w:right w:val="none" w:sz="0" w:space="0" w:color="auto"/>
      </w:divBdr>
    </w:div>
    <w:div w:id="1779637930">
      <w:bodyDiv w:val="1"/>
      <w:marLeft w:val="0"/>
      <w:marRight w:val="0"/>
      <w:marTop w:val="0"/>
      <w:marBottom w:val="0"/>
      <w:divBdr>
        <w:top w:val="none" w:sz="0" w:space="0" w:color="auto"/>
        <w:left w:val="none" w:sz="0" w:space="0" w:color="auto"/>
        <w:bottom w:val="none" w:sz="0" w:space="0" w:color="auto"/>
        <w:right w:val="none" w:sz="0" w:space="0" w:color="auto"/>
      </w:divBdr>
      <w:divsChild>
        <w:div w:id="595481435">
          <w:marLeft w:val="1152"/>
          <w:marRight w:val="0"/>
          <w:marTop w:val="0"/>
          <w:marBottom w:val="0"/>
          <w:divBdr>
            <w:top w:val="none" w:sz="0" w:space="0" w:color="auto"/>
            <w:left w:val="none" w:sz="0" w:space="0" w:color="auto"/>
            <w:bottom w:val="none" w:sz="0" w:space="0" w:color="auto"/>
            <w:right w:val="none" w:sz="0" w:space="0" w:color="auto"/>
          </w:divBdr>
        </w:div>
        <w:div w:id="1096288946">
          <w:marLeft w:val="1152"/>
          <w:marRight w:val="0"/>
          <w:marTop w:val="0"/>
          <w:marBottom w:val="0"/>
          <w:divBdr>
            <w:top w:val="none" w:sz="0" w:space="0" w:color="auto"/>
            <w:left w:val="none" w:sz="0" w:space="0" w:color="auto"/>
            <w:bottom w:val="none" w:sz="0" w:space="0" w:color="auto"/>
            <w:right w:val="none" w:sz="0" w:space="0" w:color="auto"/>
          </w:divBdr>
        </w:div>
      </w:divsChild>
    </w:div>
    <w:div w:id="1801991103">
      <w:bodyDiv w:val="1"/>
      <w:marLeft w:val="0"/>
      <w:marRight w:val="0"/>
      <w:marTop w:val="0"/>
      <w:marBottom w:val="0"/>
      <w:divBdr>
        <w:top w:val="none" w:sz="0" w:space="0" w:color="auto"/>
        <w:left w:val="none" w:sz="0" w:space="0" w:color="auto"/>
        <w:bottom w:val="none" w:sz="0" w:space="0" w:color="auto"/>
        <w:right w:val="none" w:sz="0" w:space="0" w:color="auto"/>
      </w:divBdr>
    </w:div>
    <w:div w:id="1879661848">
      <w:bodyDiv w:val="1"/>
      <w:marLeft w:val="0"/>
      <w:marRight w:val="0"/>
      <w:marTop w:val="0"/>
      <w:marBottom w:val="0"/>
      <w:divBdr>
        <w:top w:val="none" w:sz="0" w:space="0" w:color="auto"/>
        <w:left w:val="none" w:sz="0" w:space="0" w:color="auto"/>
        <w:bottom w:val="none" w:sz="0" w:space="0" w:color="auto"/>
        <w:right w:val="none" w:sz="0" w:space="0" w:color="auto"/>
      </w:divBdr>
    </w:div>
    <w:div w:id="1898780880">
      <w:bodyDiv w:val="1"/>
      <w:marLeft w:val="0"/>
      <w:marRight w:val="0"/>
      <w:marTop w:val="0"/>
      <w:marBottom w:val="0"/>
      <w:divBdr>
        <w:top w:val="none" w:sz="0" w:space="0" w:color="auto"/>
        <w:left w:val="none" w:sz="0" w:space="0" w:color="auto"/>
        <w:bottom w:val="none" w:sz="0" w:space="0" w:color="auto"/>
        <w:right w:val="none" w:sz="0" w:space="0" w:color="auto"/>
      </w:divBdr>
    </w:div>
    <w:div w:id="1922055325">
      <w:bodyDiv w:val="1"/>
      <w:marLeft w:val="0"/>
      <w:marRight w:val="0"/>
      <w:marTop w:val="0"/>
      <w:marBottom w:val="0"/>
      <w:divBdr>
        <w:top w:val="none" w:sz="0" w:space="0" w:color="auto"/>
        <w:left w:val="none" w:sz="0" w:space="0" w:color="auto"/>
        <w:bottom w:val="none" w:sz="0" w:space="0" w:color="auto"/>
        <w:right w:val="none" w:sz="0" w:space="0" w:color="auto"/>
      </w:divBdr>
    </w:div>
    <w:div w:id="1948124925">
      <w:bodyDiv w:val="1"/>
      <w:marLeft w:val="0"/>
      <w:marRight w:val="0"/>
      <w:marTop w:val="0"/>
      <w:marBottom w:val="0"/>
      <w:divBdr>
        <w:top w:val="none" w:sz="0" w:space="0" w:color="auto"/>
        <w:left w:val="none" w:sz="0" w:space="0" w:color="auto"/>
        <w:bottom w:val="none" w:sz="0" w:space="0" w:color="auto"/>
        <w:right w:val="none" w:sz="0" w:space="0" w:color="auto"/>
      </w:divBdr>
    </w:div>
    <w:div w:id="1960187530">
      <w:bodyDiv w:val="1"/>
      <w:marLeft w:val="0"/>
      <w:marRight w:val="0"/>
      <w:marTop w:val="0"/>
      <w:marBottom w:val="0"/>
      <w:divBdr>
        <w:top w:val="none" w:sz="0" w:space="0" w:color="auto"/>
        <w:left w:val="none" w:sz="0" w:space="0" w:color="auto"/>
        <w:bottom w:val="none" w:sz="0" w:space="0" w:color="auto"/>
        <w:right w:val="none" w:sz="0" w:space="0" w:color="auto"/>
      </w:divBdr>
    </w:div>
    <w:div w:id="1980189417">
      <w:bodyDiv w:val="1"/>
      <w:marLeft w:val="0"/>
      <w:marRight w:val="0"/>
      <w:marTop w:val="0"/>
      <w:marBottom w:val="0"/>
      <w:divBdr>
        <w:top w:val="none" w:sz="0" w:space="0" w:color="auto"/>
        <w:left w:val="none" w:sz="0" w:space="0" w:color="auto"/>
        <w:bottom w:val="none" w:sz="0" w:space="0" w:color="auto"/>
        <w:right w:val="none" w:sz="0" w:space="0" w:color="auto"/>
      </w:divBdr>
      <w:divsChild>
        <w:div w:id="1539051274">
          <w:marLeft w:val="446"/>
          <w:marRight w:val="0"/>
          <w:marTop w:val="120"/>
          <w:marBottom w:val="0"/>
          <w:divBdr>
            <w:top w:val="none" w:sz="0" w:space="0" w:color="auto"/>
            <w:left w:val="none" w:sz="0" w:space="0" w:color="auto"/>
            <w:bottom w:val="none" w:sz="0" w:space="0" w:color="auto"/>
            <w:right w:val="none" w:sz="0" w:space="0" w:color="auto"/>
          </w:divBdr>
        </w:div>
      </w:divsChild>
    </w:div>
    <w:div w:id="1988589344">
      <w:bodyDiv w:val="1"/>
      <w:marLeft w:val="0"/>
      <w:marRight w:val="0"/>
      <w:marTop w:val="0"/>
      <w:marBottom w:val="0"/>
      <w:divBdr>
        <w:top w:val="none" w:sz="0" w:space="0" w:color="auto"/>
        <w:left w:val="none" w:sz="0" w:space="0" w:color="auto"/>
        <w:bottom w:val="none" w:sz="0" w:space="0" w:color="auto"/>
        <w:right w:val="none" w:sz="0" w:space="0" w:color="auto"/>
      </w:divBdr>
    </w:div>
    <w:div w:id="2056852312">
      <w:bodyDiv w:val="1"/>
      <w:marLeft w:val="0"/>
      <w:marRight w:val="0"/>
      <w:marTop w:val="0"/>
      <w:marBottom w:val="0"/>
      <w:divBdr>
        <w:top w:val="none" w:sz="0" w:space="0" w:color="auto"/>
        <w:left w:val="none" w:sz="0" w:space="0" w:color="auto"/>
        <w:bottom w:val="none" w:sz="0" w:space="0" w:color="auto"/>
        <w:right w:val="none" w:sz="0" w:space="0" w:color="auto"/>
      </w:divBdr>
    </w:div>
    <w:div w:id="2060206144">
      <w:bodyDiv w:val="1"/>
      <w:marLeft w:val="0"/>
      <w:marRight w:val="0"/>
      <w:marTop w:val="0"/>
      <w:marBottom w:val="0"/>
      <w:divBdr>
        <w:top w:val="none" w:sz="0" w:space="0" w:color="auto"/>
        <w:left w:val="none" w:sz="0" w:space="0" w:color="auto"/>
        <w:bottom w:val="none" w:sz="0" w:space="0" w:color="auto"/>
        <w:right w:val="none" w:sz="0" w:space="0" w:color="auto"/>
      </w:divBdr>
    </w:div>
    <w:div w:id="2074427266">
      <w:bodyDiv w:val="1"/>
      <w:marLeft w:val="0"/>
      <w:marRight w:val="0"/>
      <w:marTop w:val="0"/>
      <w:marBottom w:val="0"/>
      <w:divBdr>
        <w:top w:val="none" w:sz="0" w:space="0" w:color="auto"/>
        <w:left w:val="none" w:sz="0" w:space="0" w:color="auto"/>
        <w:bottom w:val="none" w:sz="0" w:space="0" w:color="auto"/>
        <w:right w:val="none" w:sz="0" w:space="0" w:color="auto"/>
      </w:divBdr>
    </w:div>
    <w:div w:id="2087143991">
      <w:bodyDiv w:val="1"/>
      <w:marLeft w:val="0"/>
      <w:marRight w:val="0"/>
      <w:marTop w:val="0"/>
      <w:marBottom w:val="0"/>
      <w:divBdr>
        <w:top w:val="none" w:sz="0" w:space="0" w:color="auto"/>
        <w:left w:val="none" w:sz="0" w:space="0" w:color="auto"/>
        <w:bottom w:val="none" w:sz="0" w:space="0" w:color="auto"/>
        <w:right w:val="none" w:sz="0" w:space="0" w:color="auto"/>
      </w:divBdr>
      <w:divsChild>
        <w:div w:id="136845707">
          <w:marLeft w:val="0"/>
          <w:marRight w:val="0"/>
          <w:marTop w:val="0"/>
          <w:marBottom w:val="0"/>
          <w:divBdr>
            <w:top w:val="none" w:sz="0" w:space="0" w:color="auto"/>
            <w:left w:val="none" w:sz="0" w:space="0" w:color="auto"/>
            <w:bottom w:val="none" w:sz="0" w:space="0" w:color="auto"/>
            <w:right w:val="none" w:sz="0" w:space="0" w:color="auto"/>
          </w:divBdr>
        </w:div>
      </w:divsChild>
    </w:div>
    <w:div w:id="2125415861">
      <w:bodyDiv w:val="1"/>
      <w:marLeft w:val="0"/>
      <w:marRight w:val="0"/>
      <w:marTop w:val="0"/>
      <w:marBottom w:val="0"/>
      <w:divBdr>
        <w:top w:val="none" w:sz="0" w:space="0" w:color="auto"/>
        <w:left w:val="none" w:sz="0" w:space="0" w:color="auto"/>
        <w:bottom w:val="none" w:sz="0" w:space="0" w:color="auto"/>
        <w:right w:val="none" w:sz="0" w:space="0" w:color="auto"/>
      </w:divBdr>
      <w:divsChild>
        <w:div w:id="384841113">
          <w:marLeft w:val="0"/>
          <w:marRight w:val="0"/>
          <w:marTop w:val="0"/>
          <w:marBottom w:val="0"/>
          <w:divBdr>
            <w:top w:val="none" w:sz="0" w:space="0" w:color="auto"/>
            <w:left w:val="none" w:sz="0" w:space="0" w:color="auto"/>
            <w:bottom w:val="none" w:sz="0" w:space="0" w:color="auto"/>
            <w:right w:val="none" w:sz="0" w:space="0" w:color="auto"/>
          </w:divBdr>
          <w:divsChild>
            <w:div w:id="463081120">
              <w:marLeft w:val="0"/>
              <w:marRight w:val="0"/>
              <w:marTop w:val="0"/>
              <w:marBottom w:val="0"/>
              <w:divBdr>
                <w:top w:val="none" w:sz="0" w:space="0" w:color="auto"/>
                <w:left w:val="none" w:sz="0" w:space="0" w:color="auto"/>
                <w:bottom w:val="none" w:sz="0" w:space="0" w:color="auto"/>
                <w:right w:val="none" w:sz="0" w:space="0" w:color="auto"/>
              </w:divBdr>
            </w:div>
            <w:div w:id="1480269446">
              <w:marLeft w:val="0"/>
              <w:marRight w:val="0"/>
              <w:marTop w:val="0"/>
              <w:marBottom w:val="0"/>
              <w:divBdr>
                <w:top w:val="none" w:sz="0" w:space="0" w:color="auto"/>
                <w:left w:val="none" w:sz="0" w:space="0" w:color="auto"/>
                <w:bottom w:val="none" w:sz="0" w:space="0" w:color="auto"/>
                <w:right w:val="none" w:sz="0" w:space="0" w:color="auto"/>
              </w:divBdr>
            </w:div>
            <w:div w:id="1483617670">
              <w:marLeft w:val="0"/>
              <w:marRight w:val="0"/>
              <w:marTop w:val="0"/>
              <w:marBottom w:val="0"/>
              <w:divBdr>
                <w:top w:val="none" w:sz="0" w:space="0" w:color="auto"/>
                <w:left w:val="none" w:sz="0" w:space="0" w:color="auto"/>
                <w:bottom w:val="none" w:sz="0" w:space="0" w:color="auto"/>
                <w:right w:val="none" w:sz="0" w:space="0" w:color="auto"/>
              </w:divBdr>
            </w:div>
            <w:div w:id="1826042778">
              <w:marLeft w:val="0"/>
              <w:marRight w:val="0"/>
              <w:marTop w:val="0"/>
              <w:marBottom w:val="0"/>
              <w:divBdr>
                <w:top w:val="none" w:sz="0" w:space="0" w:color="auto"/>
                <w:left w:val="none" w:sz="0" w:space="0" w:color="auto"/>
                <w:bottom w:val="none" w:sz="0" w:space="0" w:color="auto"/>
                <w:right w:val="none" w:sz="0" w:space="0" w:color="auto"/>
              </w:divBdr>
            </w:div>
            <w:div w:id="1979457711">
              <w:marLeft w:val="0"/>
              <w:marRight w:val="0"/>
              <w:marTop w:val="0"/>
              <w:marBottom w:val="0"/>
              <w:divBdr>
                <w:top w:val="none" w:sz="0" w:space="0" w:color="auto"/>
                <w:left w:val="none" w:sz="0" w:space="0" w:color="auto"/>
                <w:bottom w:val="none" w:sz="0" w:space="0" w:color="auto"/>
                <w:right w:val="none" w:sz="0" w:space="0" w:color="auto"/>
              </w:divBdr>
            </w:div>
          </w:divsChild>
        </w:div>
        <w:div w:id="524832214">
          <w:marLeft w:val="0"/>
          <w:marRight w:val="0"/>
          <w:marTop w:val="0"/>
          <w:marBottom w:val="0"/>
          <w:divBdr>
            <w:top w:val="none" w:sz="0" w:space="0" w:color="auto"/>
            <w:left w:val="none" w:sz="0" w:space="0" w:color="auto"/>
            <w:bottom w:val="none" w:sz="0" w:space="0" w:color="auto"/>
            <w:right w:val="none" w:sz="0" w:space="0" w:color="auto"/>
          </w:divBdr>
          <w:divsChild>
            <w:div w:id="626282004">
              <w:marLeft w:val="0"/>
              <w:marRight w:val="0"/>
              <w:marTop w:val="0"/>
              <w:marBottom w:val="0"/>
              <w:divBdr>
                <w:top w:val="none" w:sz="0" w:space="0" w:color="auto"/>
                <w:left w:val="none" w:sz="0" w:space="0" w:color="auto"/>
                <w:bottom w:val="none" w:sz="0" w:space="0" w:color="auto"/>
                <w:right w:val="none" w:sz="0" w:space="0" w:color="auto"/>
              </w:divBdr>
            </w:div>
            <w:div w:id="752892179">
              <w:marLeft w:val="0"/>
              <w:marRight w:val="0"/>
              <w:marTop w:val="0"/>
              <w:marBottom w:val="0"/>
              <w:divBdr>
                <w:top w:val="none" w:sz="0" w:space="0" w:color="auto"/>
                <w:left w:val="none" w:sz="0" w:space="0" w:color="auto"/>
                <w:bottom w:val="none" w:sz="0" w:space="0" w:color="auto"/>
                <w:right w:val="none" w:sz="0" w:space="0" w:color="auto"/>
              </w:divBdr>
            </w:div>
            <w:div w:id="760954977">
              <w:marLeft w:val="0"/>
              <w:marRight w:val="0"/>
              <w:marTop w:val="0"/>
              <w:marBottom w:val="0"/>
              <w:divBdr>
                <w:top w:val="none" w:sz="0" w:space="0" w:color="auto"/>
                <w:left w:val="none" w:sz="0" w:space="0" w:color="auto"/>
                <w:bottom w:val="none" w:sz="0" w:space="0" w:color="auto"/>
                <w:right w:val="none" w:sz="0" w:space="0" w:color="auto"/>
              </w:divBdr>
            </w:div>
            <w:div w:id="2143957169">
              <w:marLeft w:val="0"/>
              <w:marRight w:val="0"/>
              <w:marTop w:val="0"/>
              <w:marBottom w:val="0"/>
              <w:divBdr>
                <w:top w:val="none" w:sz="0" w:space="0" w:color="auto"/>
                <w:left w:val="none" w:sz="0" w:space="0" w:color="auto"/>
                <w:bottom w:val="none" w:sz="0" w:space="0" w:color="auto"/>
                <w:right w:val="none" w:sz="0" w:space="0" w:color="auto"/>
              </w:divBdr>
            </w:div>
          </w:divsChild>
        </w:div>
        <w:div w:id="1060521128">
          <w:marLeft w:val="0"/>
          <w:marRight w:val="0"/>
          <w:marTop w:val="0"/>
          <w:marBottom w:val="0"/>
          <w:divBdr>
            <w:top w:val="none" w:sz="0" w:space="0" w:color="auto"/>
            <w:left w:val="none" w:sz="0" w:space="0" w:color="auto"/>
            <w:bottom w:val="none" w:sz="0" w:space="0" w:color="auto"/>
            <w:right w:val="none" w:sz="0" w:space="0" w:color="auto"/>
          </w:divBdr>
          <w:divsChild>
            <w:div w:id="1228541011">
              <w:marLeft w:val="0"/>
              <w:marRight w:val="0"/>
              <w:marTop w:val="0"/>
              <w:marBottom w:val="0"/>
              <w:divBdr>
                <w:top w:val="none" w:sz="0" w:space="0" w:color="auto"/>
                <w:left w:val="none" w:sz="0" w:space="0" w:color="auto"/>
                <w:bottom w:val="none" w:sz="0" w:space="0" w:color="auto"/>
                <w:right w:val="none" w:sz="0" w:space="0" w:color="auto"/>
              </w:divBdr>
            </w:div>
            <w:div w:id="1355888849">
              <w:marLeft w:val="0"/>
              <w:marRight w:val="0"/>
              <w:marTop w:val="0"/>
              <w:marBottom w:val="0"/>
              <w:divBdr>
                <w:top w:val="none" w:sz="0" w:space="0" w:color="auto"/>
                <w:left w:val="none" w:sz="0" w:space="0" w:color="auto"/>
                <w:bottom w:val="none" w:sz="0" w:space="0" w:color="auto"/>
                <w:right w:val="none" w:sz="0" w:space="0" w:color="auto"/>
              </w:divBdr>
            </w:div>
            <w:div w:id="19471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9760">
      <w:bodyDiv w:val="1"/>
      <w:marLeft w:val="0"/>
      <w:marRight w:val="0"/>
      <w:marTop w:val="0"/>
      <w:marBottom w:val="0"/>
      <w:divBdr>
        <w:top w:val="none" w:sz="0" w:space="0" w:color="auto"/>
        <w:left w:val="none" w:sz="0" w:space="0" w:color="auto"/>
        <w:bottom w:val="none" w:sz="0" w:space="0" w:color="auto"/>
        <w:right w:val="none" w:sz="0" w:space="0" w:color="auto"/>
      </w:divBdr>
    </w:div>
    <w:div w:id="2146508791">
      <w:bodyDiv w:val="1"/>
      <w:marLeft w:val="0"/>
      <w:marRight w:val="0"/>
      <w:marTop w:val="0"/>
      <w:marBottom w:val="0"/>
      <w:divBdr>
        <w:top w:val="none" w:sz="0" w:space="0" w:color="auto"/>
        <w:left w:val="none" w:sz="0" w:space="0" w:color="auto"/>
        <w:bottom w:val="none" w:sz="0" w:space="0" w:color="auto"/>
        <w:right w:val="none" w:sz="0" w:space="0" w:color="auto"/>
      </w:divBdr>
      <w:divsChild>
        <w:div w:id="4514406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repoint.fda.gov/orgs/CDER-OPSA/PEIS/opioidspolicytool/Shared%20Documents/Opioids%20Policy%20Tool/D06ab%20-%20Initial%20Validation%20Report%20+%20Final%20Validation%20Report/D6b_Final%20Validation%20Part%201_Findings_v2_202012162000.xlsx" TargetMode="External"/><Relationship Id="rId21" Type="http://schemas.openxmlformats.org/officeDocument/2006/relationships/hyperlink" Target="http://sharepoint.fda.gov/orgs/CDER-OPSA/PEIS/opioidspolicytool/Shared%20Documents/Opioids%20Policy%20Tool/D06ab%20-%20Initial%20Validation%20Report%20+%20Final%20Validation%20Report/D6b_ModelVerification2_20207101030.docx" TargetMode="Externa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68" Type="http://schemas.openxmlformats.org/officeDocument/2006/relationships/chart" Target="charts/chart6.xml"/><Relationship Id="rId84" Type="http://schemas.microsoft.com/office/2019/05/relationships/documenttasks" Target="documenttasks/documenttasks1.xml"/><Relationship Id="rId16" Type="http://schemas.openxmlformats.org/officeDocument/2006/relationships/image" Target="media/image3.png"/><Relationship Id="rId11" Type="http://schemas.openxmlformats.org/officeDocument/2006/relationships/image" Target="media/image1.png"/><Relationship Id="rId32" Type="http://schemas.openxmlformats.org/officeDocument/2006/relationships/chart" Target="charts/chart1.xml"/><Relationship Id="rId37" Type="http://schemas.openxmlformats.org/officeDocument/2006/relationships/header" Target="header5.xml"/><Relationship Id="rId53" Type="http://schemas.openxmlformats.org/officeDocument/2006/relationships/chart" Target="charts/chart4.xml"/><Relationship Id="rId58" Type="http://schemas.openxmlformats.org/officeDocument/2006/relationships/image" Target="media/image20.png"/><Relationship Id="rId74" Type="http://schemas.openxmlformats.org/officeDocument/2006/relationships/header" Target="header12.xml"/><Relationship Id="rId79"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5" Type="http://schemas.openxmlformats.org/officeDocument/2006/relationships/numbering" Target="numbering.xml"/><Relationship Id="rId61" Type="http://schemas.openxmlformats.org/officeDocument/2006/relationships/header" Target="header10.xml"/><Relationship Id="rId82" Type="http://schemas.openxmlformats.org/officeDocument/2006/relationships/fontTable" Target="fontTable.xml"/><Relationship Id="rId19"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14" Type="http://schemas.openxmlformats.org/officeDocument/2006/relationships/footer" Target="footer1.xml"/><Relationship Id="rId22"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27" Type="http://schemas.openxmlformats.org/officeDocument/2006/relationships/header" Target="header3.xm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18.png"/><Relationship Id="rId64" Type="http://schemas.openxmlformats.org/officeDocument/2006/relationships/hyperlink" Target="https://doi.org/10.1002/sdr.1630" TargetMode="External"/><Relationship Id="rId69" Type="http://schemas.openxmlformats.org/officeDocument/2006/relationships/chart" Target="charts/chart7.xml"/><Relationship Id="rId77"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8" Type="http://schemas.openxmlformats.org/officeDocument/2006/relationships/webSettings" Target="webSettings.xml"/><Relationship Id="rId51" Type="http://schemas.openxmlformats.org/officeDocument/2006/relationships/hyperlink" Target="http://sharepoint.fda.gov/orgs/CDER-OPSA/PEIS/opioidspolicytool/Shared%20Documents/Opioids%20Policy%20Tool/D06ab%20-%20Initial%20Validation%20Report%20+%20Final%20Validation%20Report/GeneratingScenario.zip" TargetMode="External"/><Relationship Id="rId72" Type="http://schemas.openxmlformats.org/officeDocument/2006/relationships/chart" Target="charts/chart10.xml"/><Relationship Id="rId80"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yperlink" Target="http://sharepoint.fda.gov/orgs/CDER-OPSA/PEIS/opioidspolicytool/Shared%20Documents/Opioids%20Policy%20Tool/D06ab%20-%20Initial%20Validation%20Report%20+%20Final%20Validation%20Report/D6b_ModelVerification2_20207101030.docx" TargetMode="External"/><Relationship Id="rId33"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38" Type="http://schemas.openxmlformats.org/officeDocument/2006/relationships/hyperlink" Target="http://sharepoint.fda.gov/orgs/CDER-OPSA/PEIS/opioidspolicytool/Shared%20Documents/Opioids%20Policy%20Tool/D06ab%20-%20Initial%20Validation%20Report%20+%20Final%20Validation%20Report/GeneratingScenario.zip" TargetMode="External"/><Relationship Id="rId46" Type="http://schemas.openxmlformats.org/officeDocument/2006/relationships/image" Target="media/image13.png"/><Relationship Id="rId59" Type="http://schemas.openxmlformats.org/officeDocument/2006/relationships/image" Target="media/image21.png"/><Relationship Id="rId67" Type="http://schemas.openxmlformats.org/officeDocument/2006/relationships/header" Target="header11.xml"/><Relationship Id="rId20" Type="http://schemas.openxmlformats.org/officeDocument/2006/relationships/hyperlink" Target="http://sharepoint.fda.gov/orgs/CDER-OPSA/PEIS/opioidspolicytool/Shared%20Documents/Opioids%20Policy%20Tool/D06ab%20-%20Initial%20Validation%20Report%20+%20Final%20Validation%20Report/D6b_ModelVerification1_202005290841.docx" TargetMode="External"/><Relationship Id="rId41" Type="http://schemas.openxmlformats.org/officeDocument/2006/relationships/image" Target="media/image8.png"/><Relationship Id="rId54" Type="http://schemas.openxmlformats.org/officeDocument/2006/relationships/image" Target="media/image17.png"/><Relationship Id="rId62" Type="http://schemas.openxmlformats.org/officeDocument/2006/relationships/hyperlink" Target="http://sharepoint.fda.gov/orgs/CDER-OPSA/PEIS/opioidspolicytool/Shared%20Documents/Opioids%20Policy%20Tool/D06ab%20-%20Initial%20Validation%20Report%20+%20Final%20Validation%20Report/D6b_Final%20Validation%20Part%201_Findings_v2_202012162000.xlsx" TargetMode="External"/><Relationship Id="rId70" Type="http://schemas.openxmlformats.org/officeDocument/2006/relationships/chart" Target="charts/chart8.xml"/><Relationship Id="rId75" Type="http://schemas.openxmlformats.org/officeDocument/2006/relationships/header" Target="header13.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harepoint.fda.gov/orgs/CDER-OPSA/PEIS/opioidspolicytool/Shared%20Documents/Opioids%20Policy%20Tool/D05%20-%20Validation%20Plan/D5_Validation%20Plan_Updated_202001170446.docx" TargetMode="External"/><Relationship Id="rId28" Type="http://schemas.openxmlformats.org/officeDocument/2006/relationships/hyperlink" Target="http://sharepoint.fda.gov/orgs/CDER-OPSA/PEIS/opioidspolicytool/Shared%20Documents/Opioids%20Policy%20Tool/D06ab%20-%20Initial%20Validation%20Report%20+%20Final%20Validation%20Report/GeneratingScenario.zip" TargetMode="External"/><Relationship Id="rId36" Type="http://schemas.openxmlformats.org/officeDocument/2006/relationships/image" Target="media/image7.png"/><Relationship Id="rId49" Type="http://schemas.openxmlformats.org/officeDocument/2006/relationships/image" Target="media/image16.png"/><Relationship Id="rId57" Type="http://schemas.openxmlformats.org/officeDocument/2006/relationships/image" Target="media/image19.png"/><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image" Target="media/image11.png"/><Relationship Id="rId52" Type="http://schemas.openxmlformats.org/officeDocument/2006/relationships/header" Target="header8.xml"/><Relationship Id="rId60" Type="http://schemas.openxmlformats.org/officeDocument/2006/relationships/header" Target="header9.xml"/><Relationship Id="rId65" Type="http://schemas.openxmlformats.org/officeDocument/2006/relationships/hyperlink" Target="https://doi.org/10.1080/00952990.2020.1755677" TargetMode="External"/><Relationship Id="rId73" Type="http://schemas.openxmlformats.org/officeDocument/2006/relationships/chart" Target="charts/chart11.xml"/><Relationship Id="rId78"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8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eader" Target="header6.xml"/><Relationship Id="rId34" Type="http://schemas.openxmlformats.org/officeDocument/2006/relationships/chart" Target="charts/chart2.xml"/><Relationship Id="rId50" Type="http://schemas.openxmlformats.org/officeDocument/2006/relationships/header" Target="header7.xml"/><Relationship Id="rId55" Type="http://schemas.openxmlformats.org/officeDocument/2006/relationships/chart" Target="charts/chart5.xml"/><Relationship Id="rId76"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7" Type="http://schemas.openxmlformats.org/officeDocument/2006/relationships/settings" Target="settings.xml"/><Relationship Id="rId71" Type="http://schemas.openxmlformats.org/officeDocument/2006/relationships/chart" Target="charts/chart9.xml"/><Relationship Id="rId2" Type="http://schemas.openxmlformats.org/officeDocument/2006/relationships/customXml" Target="../customXml/item2.xml"/><Relationship Id="rId29" Type="http://schemas.openxmlformats.org/officeDocument/2006/relationships/header" Target="header4.xml"/><Relationship Id="rId24" Type="http://schemas.openxmlformats.org/officeDocument/2006/relationships/hyperlink" Target="http://sharepoint.fda.gov/orgs/CDER-OPSA/PEIS/opioidspolicytool/Shared%20Documents/Opioids%20Policy%20Tool/D06ab%20-%20Initial%20Validation%20Report%20+%20Final%20Validation%20Report/D6b_Final%20Validation%20Part%201_Findings_v2_202012162000.xlsx" TargetMode="External"/><Relationship Id="rId40" Type="http://schemas.openxmlformats.org/officeDocument/2006/relationships/chart" Target="charts/chart3.xml"/><Relationship Id="rId45" Type="http://schemas.openxmlformats.org/officeDocument/2006/relationships/image" Target="media/image12.png"/><Relationship Id="rId66" Type="http://schemas.openxmlformats.org/officeDocument/2006/relationships/hyperlink" Target="https://doi.org/10.2105/ajph.2018.30459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BoozAllen\Enterprise%20Templates\Report_US.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fda-my.sharepoint.com/personal/negar_darabi_fda_gov/Documents/Desktop/Part%202%20Validation/Scenario%20testing/scenarios_Nx.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Negar.Darabi\Desktop\Part%202%20Validation\Scenario%20testing\scenarios_Nx.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Negar.Darabi\Desktop\Part%202%20Validation\Scenario%20testing\scenarios_Nx.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fda-my.sharepoint.com/personal/negar_darabi_fda_gov/Documents/Desktop/Part%202%20Validation/Scenario%20testing/scenarios_N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gar.Darabi\Desktop\Part%202%20Validation\Scenario%20testing\scenarios_T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Negar.Darabi\Desktop\Part%202%20Validation\Scenario%20testing\scenarios_TxNx.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https://fda-my.sharepoint.com/personal/negar_darabi_fda_gov/Documents/Desktop/Part%202%20Validation/Scenario%20testing/scenarios_TxN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Negar.Darabi\Desktop\Part%202%20Validation\Scenario%20testing\scenarios_Nx.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Negar.Darabi\Desktop\Part%202%20Validation\Scenario%20testing\scenarios_Nx.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Negar.Darabi\Desktop\Part%202%20Validation\Scenario%20testing\scenarios_Nx.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Negar.Darabi\Desktop\Part%202%20Validation\Scenario%20testing\scenarios_N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200" b="0" i="0" u="none" strike="noStrike" kern="1200" baseline="0">
                <a:solidFill>
                  <a:schemeClr val="tx2"/>
                </a:solidFill>
                <a:latin typeface="+mn-lt"/>
                <a:ea typeface="+mn-ea"/>
                <a:cs typeface="+mn-cs"/>
              </a:defRPr>
            </a:pPr>
            <a:r>
              <a:rPr lang="en-US"/>
              <a:t>Increase Nx availability Rx bystander to 20% </a:t>
            </a:r>
          </a:p>
          <a:p>
            <a:pPr>
              <a:defRPr/>
            </a:pPr>
            <a:r>
              <a:rPr lang="en-US"/>
              <a:t>(% change in 2030 compared to baseline)</a:t>
            </a:r>
          </a:p>
        </c:rich>
      </c:tx>
      <c:overlay val="0"/>
      <c:spPr>
        <a:noFill/>
        <a:ln>
          <a:noFill/>
        </a:ln>
        <a:effectLst/>
      </c:spPr>
      <c:txPr>
        <a:bodyPr rot="0" spcFirstLastPara="1" vertOverflow="ellipsis" vert="horz" wrap="square" anchor="ctr" anchorCtr="1"/>
        <a:lstStyle/>
        <a:p>
          <a:pPr>
            <a:defRPr lang="en-US" sz="1200" b="0"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rgbClr val="C00000"/>
              </a:solid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0BC-4555-9764-BADE1070AAA0}"/>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0BC-4555-9764-BADE1070AAA0}"/>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0BC-4555-9764-BADE1070AAA0}"/>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0BC-4555-9764-BADE1070AAA0}"/>
              </c:ext>
            </c:extLst>
          </c:dPt>
          <c:dPt>
            <c:idx val="4"/>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0BC-4555-9764-BADE1070AAA0}"/>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C0BC-4555-9764-BADE1070AAA0}"/>
              </c:ext>
            </c:extLst>
          </c:dPt>
          <c:dPt>
            <c:idx val="6"/>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C0BC-4555-9764-BADE1070AAA0}"/>
              </c:ext>
            </c:extLst>
          </c:dPt>
          <c:dLbls>
            <c:spPr>
              <a:noFill/>
              <a:ln>
                <a:noFill/>
              </a:ln>
              <a:effectLst/>
            </c:spPr>
            <c:txPr>
              <a:bodyPr rot="0" spcFirstLastPara="1" vertOverflow="ellipsis" vert="horz" wrap="square" anchor="ctr" anchorCtr="1"/>
              <a:lstStyle/>
              <a:p>
                <a:pPr>
                  <a:defRPr lang="en-US" sz="10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Graphs'!$P$18:$P$23</c:f>
              <c:strCache>
                <c:ptCount val="6"/>
                <c:pt idx="0">
                  <c:v>Total overdose deaths</c:v>
                </c:pt>
                <c:pt idx="1">
                  <c:v>Total heroin initiation</c:v>
                </c:pt>
                <c:pt idx="2">
                  <c:v>Nondisordered heroin use</c:v>
                </c:pt>
                <c:pt idx="3">
                  <c:v>Total Rx misuse initiation</c:v>
                </c:pt>
                <c:pt idx="4">
                  <c:v>Rx OUD all total</c:v>
                </c:pt>
                <c:pt idx="5">
                  <c:v>Total nonfatal overdoses</c:v>
                </c:pt>
              </c:strCache>
            </c:strRef>
          </c:cat>
          <c:val>
            <c:numRef>
              <c:f>'Bar Graphs'!$Q$18:$Q$23</c:f>
              <c:numCache>
                <c:formatCode>0.00%</c:formatCode>
                <c:ptCount val="6"/>
                <c:pt idx="0">
                  <c:v>-2.3699999999999999E-2</c:v>
                </c:pt>
                <c:pt idx="1">
                  <c:v>4.8999999999999998E-3</c:v>
                </c:pt>
                <c:pt idx="2">
                  <c:v>2.5999999999999999E-3</c:v>
                </c:pt>
                <c:pt idx="3">
                  <c:v>7.7999999999999996E-3</c:v>
                </c:pt>
                <c:pt idx="4">
                  <c:v>4.5999999999999999E-3</c:v>
                </c:pt>
                <c:pt idx="5">
                  <c:v>4.0000000000000001E-3</c:v>
                </c:pt>
              </c:numCache>
            </c:numRef>
          </c:val>
          <c:extLst>
            <c:ext xmlns:c16="http://schemas.microsoft.com/office/drawing/2014/chart" uri="{C3380CC4-5D6E-409C-BE32-E72D297353CC}">
              <c16:uniqueId val="{0000000E-C0BC-4555-9764-BADE1070AAA0}"/>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lang="en-US" sz="1000" b="0" i="0" u="none" strike="noStrike" kern="1200" baseline="0">
                <a:solidFill>
                  <a:schemeClr val="tx2"/>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showDLblsOverMax val="0"/>
    <c:extLst/>
  </c:chart>
  <c:spPr>
    <a:solidFill>
      <a:schemeClr val="bg1"/>
    </a:solidFill>
    <a:ln w="12700" cap="flat" cmpd="sng" algn="ctr">
      <a:solidFill>
        <a:sysClr val="windowText" lastClr="000000"/>
      </a:solidFill>
      <a:round/>
    </a:ln>
    <a:effectLst/>
  </c:spPr>
  <c:txPr>
    <a:bodyPr/>
    <a:lstStyle/>
    <a:p>
      <a:pPr>
        <a:defRPr lang="en-US" sz="1000" b="0" i="0" u="none" strike="noStrike" kern="1200" baseline="0">
          <a:solidFill>
            <a:schemeClr val="tx2"/>
          </a:solidFill>
          <a:latin typeface="+mn-lt"/>
          <a:ea typeface="+mn-ea"/>
          <a:cs typeface="+mn-cs"/>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nonfatal overdoses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graphs'!$AF$42</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graphs'!$AF$43:$AF$53</c:f>
              <c:numCache>
                <c:formatCode>General</c:formatCode>
                <c:ptCount val="11"/>
                <c:pt idx="0">
                  <c:v>858764</c:v>
                </c:pt>
                <c:pt idx="1">
                  <c:v>846558</c:v>
                </c:pt>
                <c:pt idx="2">
                  <c:v>835952</c:v>
                </c:pt>
                <c:pt idx="3">
                  <c:v>826824</c:v>
                </c:pt>
                <c:pt idx="4">
                  <c:v>819068</c:v>
                </c:pt>
                <c:pt idx="5">
                  <c:v>812582</c:v>
                </c:pt>
                <c:pt idx="6">
                  <c:v>807269</c:v>
                </c:pt>
                <c:pt idx="7">
                  <c:v>803034</c:v>
                </c:pt>
                <c:pt idx="8">
                  <c:v>799786</c:v>
                </c:pt>
                <c:pt idx="9">
                  <c:v>797439</c:v>
                </c:pt>
                <c:pt idx="10">
                  <c:v>795915</c:v>
                </c:pt>
              </c:numCache>
            </c:numRef>
          </c:yVal>
          <c:smooth val="0"/>
          <c:extLst>
            <c:ext xmlns:c16="http://schemas.microsoft.com/office/drawing/2014/chart" uri="{C3380CC4-5D6E-409C-BE32-E72D297353CC}">
              <c16:uniqueId val="{00000000-A094-4F11-A1D9-9199E4754F9F}"/>
            </c:ext>
          </c:extLst>
        </c:ser>
        <c:ser>
          <c:idx val="1"/>
          <c:order val="1"/>
          <c:tx>
            <c:strRef>
              <c:f>'Line graphs'!$AG$42</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graphs'!$AG$43:$AG$53</c:f>
              <c:numCache>
                <c:formatCode>General</c:formatCode>
                <c:ptCount val="11"/>
                <c:pt idx="0">
                  <c:v>858764</c:v>
                </c:pt>
                <c:pt idx="1">
                  <c:v>847925</c:v>
                </c:pt>
                <c:pt idx="2">
                  <c:v>837531</c:v>
                </c:pt>
                <c:pt idx="3">
                  <c:v>828604</c:v>
                </c:pt>
                <c:pt idx="4">
                  <c:v>821042</c:v>
                </c:pt>
                <c:pt idx="5">
                  <c:v>814748</c:v>
                </c:pt>
                <c:pt idx="6">
                  <c:v>809628</c:v>
                </c:pt>
                <c:pt idx="7">
                  <c:v>805589</c:v>
                </c:pt>
                <c:pt idx="8">
                  <c:v>802541</c:v>
                </c:pt>
                <c:pt idx="9">
                  <c:v>800399</c:v>
                </c:pt>
                <c:pt idx="10">
                  <c:v>799086</c:v>
                </c:pt>
              </c:numCache>
            </c:numRef>
          </c:yVal>
          <c:smooth val="0"/>
          <c:extLst>
            <c:ext xmlns:c16="http://schemas.microsoft.com/office/drawing/2014/chart" uri="{C3380CC4-5D6E-409C-BE32-E72D297353CC}">
              <c16:uniqueId val="{00000001-A094-4F11-A1D9-9199E4754F9F}"/>
            </c:ext>
          </c:extLst>
        </c:ser>
        <c:ser>
          <c:idx val="2"/>
          <c:order val="2"/>
          <c:tx>
            <c:strRef>
              <c:f>'Line graphs'!$AH$42</c:f>
              <c:strCache>
                <c:ptCount val="1"/>
                <c:pt idx="0">
                  <c:v>Tx Capacity 20%</c:v>
                </c:pt>
              </c:strCache>
            </c:strRef>
          </c:tx>
          <c:spPr>
            <a:ln w="15875" cap="rnd">
              <a:solidFill>
                <a:schemeClr val="accent3"/>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graphs'!$AH$43:$AH$53</c:f>
              <c:numCache>
                <c:formatCode>General</c:formatCode>
                <c:ptCount val="11"/>
                <c:pt idx="0">
                  <c:v>858764</c:v>
                </c:pt>
                <c:pt idx="1">
                  <c:v>834690</c:v>
                </c:pt>
                <c:pt idx="2">
                  <c:v>822101</c:v>
                </c:pt>
                <c:pt idx="3">
                  <c:v>813228</c:v>
                </c:pt>
                <c:pt idx="4">
                  <c:v>805382</c:v>
                </c:pt>
                <c:pt idx="5">
                  <c:v>798798</c:v>
                </c:pt>
                <c:pt idx="6">
                  <c:v>793462</c:v>
                </c:pt>
                <c:pt idx="7">
                  <c:v>789281</c:v>
                </c:pt>
                <c:pt idx="8">
                  <c:v>786146</c:v>
                </c:pt>
                <c:pt idx="9">
                  <c:v>783959</c:v>
                </c:pt>
                <c:pt idx="10">
                  <c:v>782626</c:v>
                </c:pt>
              </c:numCache>
            </c:numRef>
          </c:yVal>
          <c:smooth val="0"/>
          <c:extLst>
            <c:ext xmlns:c16="http://schemas.microsoft.com/office/drawing/2014/chart" uri="{C3380CC4-5D6E-409C-BE32-E72D297353CC}">
              <c16:uniqueId val="{00000002-A094-4F11-A1D9-9199E4754F9F}"/>
            </c:ext>
          </c:extLst>
        </c:ser>
        <c:ser>
          <c:idx val="3"/>
          <c:order val="3"/>
          <c:tx>
            <c:strRef>
              <c:f>'Line graphs'!$AI$42</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graphs'!$AI$43:$AI$53</c:f>
              <c:numCache>
                <c:formatCode>General</c:formatCode>
                <c:ptCount val="11"/>
                <c:pt idx="0">
                  <c:v>858764</c:v>
                </c:pt>
                <c:pt idx="1">
                  <c:v>836056</c:v>
                </c:pt>
                <c:pt idx="2">
                  <c:v>823680</c:v>
                </c:pt>
                <c:pt idx="3">
                  <c:v>815007</c:v>
                </c:pt>
                <c:pt idx="4">
                  <c:v>807355</c:v>
                </c:pt>
                <c:pt idx="5">
                  <c:v>800963</c:v>
                </c:pt>
                <c:pt idx="6">
                  <c:v>795820</c:v>
                </c:pt>
                <c:pt idx="7">
                  <c:v>791835</c:v>
                </c:pt>
                <c:pt idx="8">
                  <c:v>788901</c:v>
                </c:pt>
                <c:pt idx="9">
                  <c:v>786918</c:v>
                </c:pt>
                <c:pt idx="10">
                  <c:v>785797</c:v>
                </c:pt>
              </c:numCache>
            </c:numRef>
          </c:yVal>
          <c:smooth val="0"/>
          <c:extLst>
            <c:ext xmlns:c16="http://schemas.microsoft.com/office/drawing/2014/chart" uri="{C3380CC4-5D6E-409C-BE32-E72D297353CC}">
              <c16:uniqueId val="{00000003-A094-4F11-A1D9-9199E4754F9F}"/>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max val="860000"/>
          <c:min val="780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graphs'!$AF$58</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graphs'!$AF$59:$AF$69</c:f>
              <c:numCache>
                <c:formatCode>General</c:formatCode>
                <c:ptCount val="11"/>
                <c:pt idx="0">
                  <c:v>50471.8</c:v>
                </c:pt>
                <c:pt idx="1">
                  <c:v>50163.6</c:v>
                </c:pt>
                <c:pt idx="2">
                  <c:v>49841</c:v>
                </c:pt>
                <c:pt idx="3">
                  <c:v>49534.8</c:v>
                </c:pt>
                <c:pt idx="4">
                  <c:v>49262.1</c:v>
                </c:pt>
                <c:pt idx="5">
                  <c:v>49032.3</c:v>
                </c:pt>
                <c:pt idx="6">
                  <c:v>48849.7</c:v>
                </c:pt>
                <c:pt idx="7">
                  <c:v>48715.5</c:v>
                </c:pt>
                <c:pt idx="8">
                  <c:v>48629</c:v>
                </c:pt>
                <c:pt idx="9">
                  <c:v>48588.3</c:v>
                </c:pt>
                <c:pt idx="10">
                  <c:v>48591.199999999997</c:v>
                </c:pt>
              </c:numCache>
            </c:numRef>
          </c:yVal>
          <c:smooth val="0"/>
          <c:extLst>
            <c:ext xmlns:c16="http://schemas.microsoft.com/office/drawing/2014/chart" uri="{C3380CC4-5D6E-409C-BE32-E72D297353CC}">
              <c16:uniqueId val="{00000000-EBDB-4D42-B8F1-CBB875191608}"/>
            </c:ext>
          </c:extLst>
        </c:ser>
        <c:ser>
          <c:idx val="1"/>
          <c:order val="1"/>
          <c:tx>
            <c:strRef>
              <c:f>'Line graphs'!$AG$58</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graphs'!$AG$59:$AG$69</c:f>
              <c:numCache>
                <c:formatCode>General</c:formatCode>
                <c:ptCount val="11"/>
                <c:pt idx="0">
                  <c:v>50471.8</c:v>
                </c:pt>
                <c:pt idx="1">
                  <c:v>48905.1</c:v>
                </c:pt>
                <c:pt idx="2">
                  <c:v>48593.5</c:v>
                </c:pt>
                <c:pt idx="3">
                  <c:v>48298.3</c:v>
                </c:pt>
                <c:pt idx="4">
                  <c:v>48036.9</c:v>
                </c:pt>
                <c:pt idx="5">
                  <c:v>47818.8</c:v>
                </c:pt>
                <c:pt idx="6">
                  <c:v>47648.3</c:v>
                </c:pt>
                <c:pt idx="7">
                  <c:v>47526.5</c:v>
                </c:pt>
                <c:pt idx="8">
                  <c:v>47452.800000000003</c:v>
                </c:pt>
                <c:pt idx="9">
                  <c:v>47425.4</c:v>
                </c:pt>
                <c:pt idx="10">
                  <c:v>47441.9</c:v>
                </c:pt>
              </c:numCache>
            </c:numRef>
          </c:yVal>
          <c:smooth val="0"/>
          <c:extLst>
            <c:ext xmlns:c16="http://schemas.microsoft.com/office/drawing/2014/chart" uri="{C3380CC4-5D6E-409C-BE32-E72D297353CC}">
              <c16:uniqueId val="{00000001-EBDB-4D42-B8F1-CBB875191608}"/>
            </c:ext>
          </c:extLst>
        </c:ser>
        <c:ser>
          <c:idx val="2"/>
          <c:order val="2"/>
          <c:tx>
            <c:strRef>
              <c:f>'Line graphs'!$AH$58</c:f>
              <c:strCache>
                <c:ptCount val="1"/>
                <c:pt idx="0">
                  <c:v>Tx Capacity 20%</c:v>
                </c:pt>
              </c:strCache>
            </c:strRef>
          </c:tx>
          <c:spPr>
            <a:ln w="15875" cap="rnd">
              <a:solidFill>
                <a:schemeClr val="accent3"/>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graphs'!$AH$59:$AH$69</c:f>
              <c:numCache>
                <c:formatCode>General</c:formatCode>
                <c:ptCount val="11"/>
                <c:pt idx="0">
                  <c:v>50471.8</c:v>
                </c:pt>
                <c:pt idx="1">
                  <c:v>49015.199999999997</c:v>
                </c:pt>
                <c:pt idx="2">
                  <c:v>48470.9</c:v>
                </c:pt>
                <c:pt idx="3">
                  <c:v>48172.2</c:v>
                </c:pt>
                <c:pt idx="4">
                  <c:v>47876.3</c:v>
                </c:pt>
                <c:pt idx="5">
                  <c:v>47624.4</c:v>
                </c:pt>
                <c:pt idx="6">
                  <c:v>47428.3</c:v>
                </c:pt>
                <c:pt idx="7">
                  <c:v>47288.7</c:v>
                </c:pt>
                <c:pt idx="8">
                  <c:v>47203.199999999997</c:v>
                </c:pt>
                <c:pt idx="9">
                  <c:v>47168.6</c:v>
                </c:pt>
                <c:pt idx="10">
                  <c:v>47181.599999999999</c:v>
                </c:pt>
              </c:numCache>
            </c:numRef>
          </c:yVal>
          <c:smooth val="0"/>
          <c:extLst>
            <c:ext xmlns:c16="http://schemas.microsoft.com/office/drawing/2014/chart" uri="{C3380CC4-5D6E-409C-BE32-E72D297353CC}">
              <c16:uniqueId val="{00000002-EBDB-4D42-B8F1-CBB875191608}"/>
            </c:ext>
          </c:extLst>
        </c:ser>
        <c:ser>
          <c:idx val="3"/>
          <c:order val="3"/>
          <c:tx>
            <c:strRef>
              <c:f>'Line graphs'!$AI$58</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graphs'!$AI$59:$AI$69</c:f>
              <c:numCache>
                <c:formatCode>General</c:formatCode>
                <c:ptCount val="11"/>
                <c:pt idx="0">
                  <c:v>50471.8</c:v>
                </c:pt>
                <c:pt idx="1">
                  <c:v>47757.1</c:v>
                </c:pt>
                <c:pt idx="2">
                  <c:v>47223.7</c:v>
                </c:pt>
                <c:pt idx="3">
                  <c:v>46936</c:v>
                </c:pt>
                <c:pt idx="4">
                  <c:v>46651.3</c:v>
                </c:pt>
                <c:pt idx="5">
                  <c:v>46411</c:v>
                </c:pt>
                <c:pt idx="6">
                  <c:v>46226.8</c:v>
                </c:pt>
                <c:pt idx="7">
                  <c:v>46099.6</c:v>
                </c:pt>
                <c:pt idx="8">
                  <c:v>46026.8</c:v>
                </c:pt>
                <c:pt idx="9">
                  <c:v>46005.4</c:v>
                </c:pt>
                <c:pt idx="10">
                  <c:v>46032</c:v>
                </c:pt>
              </c:numCache>
            </c:numRef>
          </c:yVal>
          <c:smooth val="0"/>
          <c:extLst>
            <c:ext xmlns:c16="http://schemas.microsoft.com/office/drawing/2014/chart" uri="{C3380CC4-5D6E-409C-BE32-E72D297353CC}">
              <c16:uniqueId val="{00000003-EBDB-4D42-B8F1-CBB875191608}"/>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a:t>Increase Nx availability for Rx and heroin bystander to 25% </a:t>
            </a:r>
          </a:p>
          <a:p>
            <a:pPr>
              <a:defRPr sz="1000"/>
            </a:pPr>
            <a:r>
              <a:rPr lang="en-US" sz="1000"/>
              <a:t>(% change in 2030 compared to baseline)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A06-41FA-8DE9-37450E4C65AE}"/>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A06-41FA-8DE9-37450E4C65AE}"/>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A06-41FA-8DE9-37450E4C65AE}"/>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A06-41FA-8DE9-37450E4C65AE}"/>
              </c:ext>
            </c:extLst>
          </c:dPt>
          <c:dPt>
            <c:idx val="4"/>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A06-41FA-8DE9-37450E4C65AE}"/>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2A06-41FA-8DE9-37450E4C65AE}"/>
              </c:ext>
            </c:extLst>
          </c:dPt>
          <c:dPt>
            <c:idx val="6"/>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2A06-41FA-8DE9-37450E4C65AE}"/>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Graphs'!$A$18:$A$23</c:f>
              <c:strCache>
                <c:ptCount val="6"/>
                <c:pt idx="0">
                  <c:v>Total overdose deaths</c:v>
                </c:pt>
                <c:pt idx="1">
                  <c:v>Total heroin initiation</c:v>
                </c:pt>
                <c:pt idx="2">
                  <c:v>Nondisordered heroin use</c:v>
                </c:pt>
                <c:pt idx="3">
                  <c:v>Total Rx misuse initiation</c:v>
                </c:pt>
                <c:pt idx="4">
                  <c:v>Rx OUD all total</c:v>
                </c:pt>
                <c:pt idx="5">
                  <c:v>Total nonfatal overdoses</c:v>
                </c:pt>
              </c:strCache>
            </c:strRef>
          </c:cat>
          <c:val>
            <c:numRef>
              <c:f>'Bar Graphs'!$B$18:$B$23</c:f>
              <c:numCache>
                <c:formatCode>0.00%</c:formatCode>
                <c:ptCount val="6"/>
                <c:pt idx="0">
                  <c:v>-5.1299999999999998E-2</c:v>
                </c:pt>
                <c:pt idx="1">
                  <c:v>1.46E-2</c:v>
                </c:pt>
                <c:pt idx="2">
                  <c:v>9.4999999999999998E-3</c:v>
                </c:pt>
                <c:pt idx="3">
                  <c:v>8.8961044339708594E-3</c:v>
                </c:pt>
                <c:pt idx="4">
                  <c:v>3.6871478472677633E-3</c:v>
                </c:pt>
                <c:pt idx="5">
                  <c:v>8.6994214206290877E-3</c:v>
                </c:pt>
              </c:numCache>
            </c:numRef>
          </c:val>
          <c:extLst>
            <c:ext xmlns:c16="http://schemas.microsoft.com/office/drawing/2014/chart" uri="{C3380CC4-5D6E-409C-BE32-E72D297353CC}">
              <c16:uniqueId val="{0000000E-2A06-41FA-8DE9-37450E4C65AE}"/>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solidFill>
      <a:round/>
    </a:ln>
    <a:effectLst/>
  </c:spPr>
  <c:txPr>
    <a:bodyPr/>
    <a:lstStyle/>
    <a:p>
      <a:pPr>
        <a:defRPr sz="10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a:t>Increase</a:t>
            </a:r>
            <a:r>
              <a:rPr lang="en-US" sz="1000" baseline="0"/>
              <a:t> Tx capacity by 20%</a:t>
            </a:r>
          </a:p>
          <a:p>
            <a:pPr>
              <a:defRPr sz="1000"/>
            </a:pPr>
            <a:r>
              <a:rPr lang="en-US" sz="1000" baseline="0"/>
              <a:t>(% change in 2030 compared to baseline)</a:t>
            </a:r>
            <a:endParaRPr lang="en-US" sz="1000"/>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E24-478F-AA2D-700975B7A13B}"/>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E24-478F-AA2D-700975B7A13B}"/>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E24-478F-AA2D-700975B7A13B}"/>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E24-478F-AA2D-700975B7A13B}"/>
              </c:ext>
            </c:extLst>
          </c:dPt>
          <c:dPt>
            <c:idx val="4"/>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E24-478F-AA2D-700975B7A13B}"/>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FE24-478F-AA2D-700975B7A13B}"/>
              </c:ext>
            </c:extLst>
          </c:dPt>
          <c:dPt>
            <c:idx val="6"/>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FE24-478F-AA2D-700975B7A13B}"/>
              </c:ext>
            </c:extLst>
          </c:dPt>
          <c:dPt>
            <c:idx val="7"/>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FE24-478F-AA2D-700975B7A13B}"/>
              </c:ext>
            </c:extLst>
          </c:dPt>
          <c:dPt>
            <c:idx val="8"/>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FE24-478F-AA2D-700975B7A13B}"/>
              </c:ext>
            </c:extLst>
          </c:dPt>
          <c:dPt>
            <c:idx val="9"/>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FE24-478F-AA2D-700975B7A13B}"/>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Graphs'!$A$18:$A$27</c:f>
              <c:strCache>
                <c:ptCount val="10"/>
                <c:pt idx="0">
                  <c:v>Total overdose deaths</c:v>
                </c:pt>
                <c:pt idx="1">
                  <c:v>Total heroin initiation</c:v>
                </c:pt>
                <c:pt idx="2">
                  <c:v>Nondisordered heroin use</c:v>
                </c:pt>
                <c:pt idx="3">
                  <c:v>Total Rx misuse initiation</c:v>
                </c:pt>
                <c:pt idx="4">
                  <c:v>Probability OD death not averted heroin user</c:v>
                </c:pt>
                <c:pt idx="5">
                  <c:v>Rx OUD all total</c:v>
                </c:pt>
                <c:pt idx="6">
                  <c:v>Total nonfatal overdoses</c:v>
                </c:pt>
                <c:pt idx="7">
                  <c:v>Total with UD</c:v>
                </c:pt>
                <c:pt idx="8">
                  <c:v>HUD total</c:v>
                </c:pt>
                <c:pt idx="9">
                  <c:v>Rx OUD with PY heroin total</c:v>
                </c:pt>
              </c:strCache>
            </c:strRef>
          </c:cat>
          <c:val>
            <c:numRef>
              <c:f>'Bar Graphs'!$B$18:$B$27</c:f>
              <c:numCache>
                <c:formatCode>0.00%</c:formatCode>
                <c:ptCount val="10"/>
                <c:pt idx="0">
                  <c:v>-2.9000000000000001E-2</c:v>
                </c:pt>
                <c:pt idx="1">
                  <c:v>3.7000000000000002E-3</c:v>
                </c:pt>
                <c:pt idx="2">
                  <c:v>5.0000000000000001E-3</c:v>
                </c:pt>
                <c:pt idx="3">
                  <c:v>5.7000000000000002E-3</c:v>
                </c:pt>
                <c:pt idx="4">
                  <c:v>-6.3E-3</c:v>
                </c:pt>
                <c:pt idx="5">
                  <c:v>3.0999999999999999E-3</c:v>
                </c:pt>
                <c:pt idx="6">
                  <c:v>-1.67E-2</c:v>
                </c:pt>
                <c:pt idx="7">
                  <c:v>-4.4000000000000003E-3</c:v>
                </c:pt>
                <c:pt idx="8">
                  <c:v>-8.6999999999999994E-3</c:v>
                </c:pt>
                <c:pt idx="9">
                  <c:v>9.099578320575662E-3</c:v>
                </c:pt>
              </c:numCache>
            </c:numRef>
          </c:val>
          <c:extLst>
            <c:ext xmlns:c16="http://schemas.microsoft.com/office/drawing/2014/chart" uri="{C3380CC4-5D6E-409C-BE32-E72D297353CC}">
              <c16:uniqueId val="{00000014-FE24-478F-AA2D-700975B7A13B}"/>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a:t>Increase probability Nx bystander Rx to 20% &amp; Increase Tx capacity by 20%</a:t>
            </a:r>
          </a:p>
          <a:p>
            <a:pPr>
              <a:defRPr sz="1000"/>
            </a:pPr>
            <a:r>
              <a:rPr lang="en-US" sz="1000"/>
              <a:t>(% change in 2030 compared to baseline)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599-4FA4-9685-B9ACCEBE2BB4}"/>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599-4FA4-9685-B9ACCEBE2BB4}"/>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599-4FA4-9685-B9ACCEBE2BB4}"/>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4599-4FA4-9685-B9ACCEBE2BB4}"/>
              </c:ext>
            </c:extLst>
          </c:dPt>
          <c:dPt>
            <c:idx val="4"/>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4599-4FA4-9685-B9ACCEBE2BB4}"/>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4599-4FA4-9685-B9ACCEBE2BB4}"/>
              </c:ext>
            </c:extLst>
          </c:dPt>
          <c:dPt>
            <c:idx val="6"/>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4599-4FA4-9685-B9ACCEBE2BB4}"/>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Graphs'!$Q$9:$Q$15</c:f>
              <c:strCache>
                <c:ptCount val="7"/>
                <c:pt idx="0">
                  <c:v>Total overdose deaths</c:v>
                </c:pt>
                <c:pt idx="1">
                  <c:v>Total heroin initiation</c:v>
                </c:pt>
                <c:pt idx="2">
                  <c:v>Nondisordered heroin use</c:v>
                </c:pt>
                <c:pt idx="3">
                  <c:v>Total Rx misuse initiation</c:v>
                </c:pt>
                <c:pt idx="4">
                  <c:v>Probability OD death not averted heroin user</c:v>
                </c:pt>
                <c:pt idx="5">
                  <c:v>Rx OUD all total</c:v>
                </c:pt>
                <c:pt idx="6">
                  <c:v>Total nonfatal overdoses</c:v>
                </c:pt>
              </c:strCache>
            </c:strRef>
          </c:cat>
          <c:val>
            <c:numRef>
              <c:f>'Bar Graphs'!$R$9:$R$15</c:f>
              <c:numCache>
                <c:formatCode>0.00%</c:formatCode>
                <c:ptCount val="7"/>
                <c:pt idx="0">
                  <c:v>-5.2667972801659503E-2</c:v>
                </c:pt>
                <c:pt idx="1">
                  <c:v>8.7248890154108926E-3</c:v>
                </c:pt>
                <c:pt idx="2">
                  <c:v>7.6615208690680387E-3</c:v>
                </c:pt>
                <c:pt idx="3">
                  <c:v>1.3584368036975988E-2</c:v>
                </c:pt>
                <c:pt idx="4">
                  <c:v>-6.1179306975939025E-3</c:v>
                </c:pt>
                <c:pt idx="5">
                  <c:v>7.6754239216263601E-3</c:v>
                </c:pt>
                <c:pt idx="6">
                  <c:v>-1.2712412757643718E-2</c:v>
                </c:pt>
              </c:numCache>
            </c:numRef>
          </c:val>
          <c:extLst>
            <c:ext xmlns:c16="http://schemas.microsoft.com/office/drawing/2014/chart" uri="{C3380CC4-5D6E-409C-BE32-E72D297353CC}">
              <c16:uniqueId val="{0000000E-4599-4FA4-9685-B9ACCEBE2BB4}"/>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showDLblsOverMax val="0"/>
    <c:extLst/>
  </c:chart>
  <c:spPr>
    <a:solidFill>
      <a:schemeClr val="bg1"/>
    </a:solidFill>
    <a:ln w="12700" cap="flat" cmpd="sng" algn="ctr">
      <a:solidFill>
        <a:sysClr val="windowText" lastClr="000000"/>
      </a:solidFill>
      <a:round/>
    </a:ln>
    <a:effectLst/>
  </c:spPr>
  <c:txPr>
    <a:bodyPr/>
    <a:lstStyle/>
    <a:p>
      <a:pPr>
        <a:defRPr sz="1000"/>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baseline="0">
                <a:effectLst/>
              </a:rPr>
              <a:t>Increase probability of Nx bystander Rx to 20% &amp; Increase Tx seeking rate to 0.65</a:t>
            </a:r>
            <a:endParaRPr lang="en-US" sz="1000">
              <a:effectLst/>
            </a:endParaRPr>
          </a:p>
          <a:p>
            <a:pPr>
              <a:defRPr sz="1000"/>
            </a:pPr>
            <a:r>
              <a:rPr lang="en-US" sz="1000" b="1" i="0" baseline="0">
                <a:effectLst/>
              </a:rPr>
              <a:t>(% change in 2030 compared to baseline)</a:t>
            </a:r>
            <a:endParaRPr lang="en-US"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D54-4A8A-9C30-4438D189ACDF}"/>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D54-4A8A-9C30-4438D189ACDF}"/>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D54-4A8A-9C30-4438D189ACDF}"/>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D54-4A8A-9C30-4438D189ACDF}"/>
              </c:ext>
            </c:extLst>
          </c:dPt>
          <c:dPt>
            <c:idx val="4"/>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D54-4A8A-9C30-4438D189ACDF}"/>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D54-4A8A-9C30-4438D189ACDF}"/>
              </c:ext>
            </c:extLst>
          </c:dPt>
          <c:dPt>
            <c:idx val="6"/>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AD54-4A8A-9C30-4438D189ACDF}"/>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Graphs'!$A$18:$A$24</c:f>
              <c:strCache>
                <c:ptCount val="7"/>
                <c:pt idx="0">
                  <c:v>Total overdose deaths</c:v>
                </c:pt>
                <c:pt idx="1">
                  <c:v>Total heroin initiation</c:v>
                </c:pt>
                <c:pt idx="2">
                  <c:v>Nondisordered heroin use</c:v>
                </c:pt>
                <c:pt idx="3">
                  <c:v>Total Rx misuse initiation</c:v>
                </c:pt>
                <c:pt idx="4">
                  <c:v>Probability OD death not averted heroin user</c:v>
                </c:pt>
                <c:pt idx="5">
                  <c:v>Rx OUD all total</c:v>
                </c:pt>
                <c:pt idx="6">
                  <c:v>Total nonfatal overdoses</c:v>
                </c:pt>
              </c:strCache>
            </c:strRef>
          </c:cat>
          <c:val>
            <c:numRef>
              <c:f>'Bar Graphs'!$B$18:$B$24</c:f>
              <c:numCache>
                <c:formatCode>0.00%</c:formatCode>
                <c:ptCount val="7"/>
                <c:pt idx="0">
                  <c:v>-8.6657666408732362E-2</c:v>
                </c:pt>
                <c:pt idx="1">
                  <c:v>7.3784555253783475E-3</c:v>
                </c:pt>
                <c:pt idx="2">
                  <c:v>1.3056811684598992E-2</c:v>
                </c:pt>
                <c:pt idx="3">
                  <c:v>2.1445078565689529E-2</c:v>
                </c:pt>
                <c:pt idx="4">
                  <c:v>-1.3462993019334778E-2</c:v>
                </c:pt>
                <c:pt idx="5">
                  <c:v>9.6026445750076947E-3</c:v>
                </c:pt>
                <c:pt idx="6">
                  <c:v>-3.5557817103585181E-2</c:v>
                </c:pt>
              </c:numCache>
            </c:numRef>
          </c:val>
          <c:extLst>
            <c:ext xmlns:c16="http://schemas.microsoft.com/office/drawing/2014/chart" uri="{C3380CC4-5D6E-409C-BE32-E72D297353CC}">
              <c16:uniqueId val="{0000000E-AD54-4A8A-9C30-4438D189ACDF}"/>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 Rx</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graphs'!$T$10</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graphs'!$T$11:$T$21</c:f>
              <c:numCache>
                <c:formatCode>General</c:formatCode>
                <c:ptCount val="11"/>
                <c:pt idx="0">
                  <c:v>10275.4</c:v>
                </c:pt>
                <c:pt idx="1">
                  <c:v>9984.84</c:v>
                </c:pt>
                <c:pt idx="2">
                  <c:v>9742.89</c:v>
                </c:pt>
                <c:pt idx="3">
                  <c:v>9538.57</c:v>
                </c:pt>
                <c:pt idx="4">
                  <c:v>9364.6</c:v>
                </c:pt>
                <c:pt idx="5">
                  <c:v>9215.81</c:v>
                </c:pt>
                <c:pt idx="6">
                  <c:v>9088.3700000000008</c:v>
                </c:pt>
                <c:pt idx="7">
                  <c:v>8979.33</c:v>
                </c:pt>
                <c:pt idx="8">
                  <c:v>8886.31</c:v>
                </c:pt>
                <c:pt idx="9">
                  <c:v>8807.36</c:v>
                </c:pt>
                <c:pt idx="10">
                  <c:v>8740.82</c:v>
                </c:pt>
              </c:numCache>
            </c:numRef>
          </c:yVal>
          <c:smooth val="0"/>
          <c:extLst>
            <c:ext xmlns:c16="http://schemas.microsoft.com/office/drawing/2014/chart" uri="{C3380CC4-5D6E-409C-BE32-E72D297353CC}">
              <c16:uniqueId val="{00000000-D3FE-4CC6-84F7-183492ED0775}"/>
            </c:ext>
          </c:extLst>
        </c:ser>
        <c:ser>
          <c:idx val="1"/>
          <c:order val="1"/>
          <c:tx>
            <c:strRef>
              <c:f>'Line graphs'!$U$10</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graphs'!$U$11:$U$21</c:f>
              <c:numCache>
                <c:formatCode>General</c:formatCode>
                <c:ptCount val="11"/>
                <c:pt idx="0">
                  <c:v>10275.4</c:v>
                </c:pt>
                <c:pt idx="1">
                  <c:v>8725.7099999999991</c:v>
                </c:pt>
                <c:pt idx="2">
                  <c:v>8492.51</c:v>
                </c:pt>
                <c:pt idx="3">
                  <c:v>8296.89</c:v>
                </c:pt>
                <c:pt idx="4">
                  <c:v>8131.47</c:v>
                </c:pt>
                <c:pt idx="5">
                  <c:v>7991.02</c:v>
                </c:pt>
                <c:pt idx="6">
                  <c:v>7871.67</c:v>
                </c:pt>
                <c:pt idx="7">
                  <c:v>7770.44</c:v>
                </c:pt>
                <c:pt idx="8">
                  <c:v>7684.92</c:v>
                </c:pt>
                <c:pt idx="9">
                  <c:v>7613.16</c:v>
                </c:pt>
                <c:pt idx="10">
                  <c:v>7553.51</c:v>
                </c:pt>
              </c:numCache>
            </c:numRef>
          </c:yVal>
          <c:smooth val="0"/>
          <c:extLst>
            <c:ext xmlns:c16="http://schemas.microsoft.com/office/drawing/2014/chart" uri="{C3380CC4-5D6E-409C-BE32-E72D297353CC}">
              <c16:uniqueId val="{00000001-D3FE-4CC6-84F7-183492ED0775}"/>
            </c:ext>
          </c:extLst>
        </c:ser>
        <c:ser>
          <c:idx val="2"/>
          <c:order val="2"/>
          <c:tx>
            <c:strRef>
              <c:f>'Line graphs'!$V$10</c:f>
              <c:strCache>
                <c:ptCount val="1"/>
                <c:pt idx="0">
                  <c:v>Treatment 65%</c:v>
                </c:pt>
              </c:strCache>
            </c:strRef>
          </c:tx>
          <c:spPr>
            <a:ln w="15875" cap="rnd">
              <a:solidFill>
                <a:schemeClr val="accent3"/>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graphs'!$V$11:$V$21</c:f>
              <c:numCache>
                <c:formatCode>General</c:formatCode>
                <c:ptCount val="11"/>
                <c:pt idx="0">
                  <c:v>10275.4</c:v>
                </c:pt>
                <c:pt idx="1">
                  <c:v>9912.6</c:v>
                </c:pt>
                <c:pt idx="2">
                  <c:v>9619.58</c:v>
                </c:pt>
                <c:pt idx="3">
                  <c:v>9420.91</c:v>
                </c:pt>
                <c:pt idx="4">
                  <c:v>9258.61</c:v>
                </c:pt>
                <c:pt idx="5">
                  <c:v>9120.77</c:v>
                </c:pt>
                <c:pt idx="6">
                  <c:v>9003.77</c:v>
                </c:pt>
                <c:pt idx="7">
                  <c:v>8904.92</c:v>
                </c:pt>
                <c:pt idx="8">
                  <c:v>8821.82</c:v>
                </c:pt>
                <c:pt idx="9">
                  <c:v>8752.3700000000008</c:v>
                </c:pt>
                <c:pt idx="10">
                  <c:v>8694.7900000000009</c:v>
                </c:pt>
              </c:numCache>
            </c:numRef>
          </c:yVal>
          <c:smooth val="0"/>
          <c:extLst>
            <c:ext xmlns:c16="http://schemas.microsoft.com/office/drawing/2014/chart" uri="{C3380CC4-5D6E-409C-BE32-E72D297353CC}">
              <c16:uniqueId val="{00000002-D3FE-4CC6-84F7-183492ED0775}"/>
            </c:ext>
          </c:extLst>
        </c:ser>
        <c:ser>
          <c:idx val="3"/>
          <c:order val="3"/>
          <c:tx>
            <c:strRef>
              <c:f>'Line graphs'!$W$10</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graphs'!$W$11:$W$21</c:f>
              <c:numCache>
                <c:formatCode>General</c:formatCode>
                <c:ptCount val="11"/>
                <c:pt idx="0">
                  <c:v>10275.4</c:v>
                </c:pt>
                <c:pt idx="1">
                  <c:v>8655.9</c:v>
                </c:pt>
                <c:pt idx="2">
                  <c:v>8372.35</c:v>
                </c:pt>
                <c:pt idx="3">
                  <c:v>8182.42</c:v>
                </c:pt>
                <c:pt idx="4">
                  <c:v>8028.61</c:v>
                </c:pt>
                <c:pt idx="5">
                  <c:v>7898.99</c:v>
                </c:pt>
                <c:pt idx="6">
                  <c:v>7789.92</c:v>
                </c:pt>
                <c:pt idx="7">
                  <c:v>7698.66</c:v>
                </c:pt>
                <c:pt idx="8">
                  <c:v>7622.81</c:v>
                </c:pt>
                <c:pt idx="9">
                  <c:v>7560.29</c:v>
                </c:pt>
                <c:pt idx="10">
                  <c:v>7509.31</c:v>
                </c:pt>
              </c:numCache>
            </c:numRef>
          </c:yVal>
          <c:smooth val="0"/>
          <c:extLst>
            <c:ext xmlns:c16="http://schemas.microsoft.com/office/drawing/2014/chart" uri="{C3380CC4-5D6E-409C-BE32-E72D297353CC}">
              <c16:uniqueId val="{00000003-D3FE-4CC6-84F7-183492ED0775}"/>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max val="11000"/>
          <c:min val="7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majorUnit val="1000"/>
      </c:valAx>
      <c:spPr>
        <a:noFill/>
        <a:ln w="12700">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nonfatal overdoses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graphs'!$T$42</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graphs'!$T$43:$T$53</c:f>
              <c:numCache>
                <c:formatCode>General</c:formatCode>
                <c:ptCount val="11"/>
                <c:pt idx="0">
                  <c:v>858764</c:v>
                </c:pt>
                <c:pt idx="1">
                  <c:v>846558</c:v>
                </c:pt>
                <c:pt idx="2">
                  <c:v>835952</c:v>
                </c:pt>
                <c:pt idx="3">
                  <c:v>826824</c:v>
                </c:pt>
                <c:pt idx="4">
                  <c:v>819068</c:v>
                </c:pt>
                <c:pt idx="5">
                  <c:v>812582</c:v>
                </c:pt>
                <c:pt idx="6">
                  <c:v>807269</c:v>
                </c:pt>
                <c:pt idx="7">
                  <c:v>803034</c:v>
                </c:pt>
                <c:pt idx="8">
                  <c:v>799786</c:v>
                </c:pt>
                <c:pt idx="9">
                  <c:v>797439</c:v>
                </c:pt>
                <c:pt idx="10">
                  <c:v>795915</c:v>
                </c:pt>
              </c:numCache>
            </c:numRef>
          </c:yVal>
          <c:smooth val="0"/>
          <c:extLst>
            <c:ext xmlns:c16="http://schemas.microsoft.com/office/drawing/2014/chart" uri="{C3380CC4-5D6E-409C-BE32-E72D297353CC}">
              <c16:uniqueId val="{00000000-3ADB-4A6F-872B-FAB32B2EE7C1}"/>
            </c:ext>
          </c:extLst>
        </c:ser>
        <c:ser>
          <c:idx val="1"/>
          <c:order val="1"/>
          <c:tx>
            <c:strRef>
              <c:f>'Line graphs'!$U$42</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graphs'!$U$43:$U$53</c:f>
              <c:numCache>
                <c:formatCode>General</c:formatCode>
                <c:ptCount val="11"/>
                <c:pt idx="0">
                  <c:v>858764</c:v>
                </c:pt>
                <c:pt idx="1">
                  <c:v>847925</c:v>
                </c:pt>
                <c:pt idx="2">
                  <c:v>837531</c:v>
                </c:pt>
                <c:pt idx="3">
                  <c:v>828604</c:v>
                </c:pt>
                <c:pt idx="4">
                  <c:v>821042</c:v>
                </c:pt>
                <c:pt idx="5">
                  <c:v>814748</c:v>
                </c:pt>
                <c:pt idx="6">
                  <c:v>809628</c:v>
                </c:pt>
                <c:pt idx="7">
                  <c:v>805589</c:v>
                </c:pt>
                <c:pt idx="8">
                  <c:v>802541</c:v>
                </c:pt>
                <c:pt idx="9">
                  <c:v>800399</c:v>
                </c:pt>
                <c:pt idx="10">
                  <c:v>799086</c:v>
                </c:pt>
              </c:numCache>
            </c:numRef>
          </c:yVal>
          <c:smooth val="0"/>
          <c:extLst>
            <c:ext xmlns:c16="http://schemas.microsoft.com/office/drawing/2014/chart" uri="{C3380CC4-5D6E-409C-BE32-E72D297353CC}">
              <c16:uniqueId val="{00000001-3ADB-4A6F-872B-FAB32B2EE7C1}"/>
            </c:ext>
          </c:extLst>
        </c:ser>
        <c:ser>
          <c:idx val="2"/>
          <c:order val="2"/>
          <c:tx>
            <c:strRef>
              <c:f>'Line graphs'!$V$42</c:f>
              <c:strCache>
                <c:ptCount val="1"/>
                <c:pt idx="0">
                  <c:v>Treatment 65%</c:v>
                </c:pt>
              </c:strCache>
            </c:strRef>
          </c:tx>
          <c:spPr>
            <a:ln w="15875" cap="rnd">
              <a:solidFill>
                <a:schemeClr val="accent3"/>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graphs'!$V$43:$V$53</c:f>
              <c:numCache>
                <c:formatCode>General</c:formatCode>
                <c:ptCount val="11"/>
                <c:pt idx="0">
                  <c:v>858764</c:v>
                </c:pt>
                <c:pt idx="1">
                  <c:v>826705</c:v>
                </c:pt>
                <c:pt idx="2">
                  <c:v>802508</c:v>
                </c:pt>
                <c:pt idx="3">
                  <c:v>792713</c:v>
                </c:pt>
                <c:pt idx="4">
                  <c:v>785219</c:v>
                </c:pt>
                <c:pt idx="5">
                  <c:v>778949</c:v>
                </c:pt>
                <c:pt idx="6">
                  <c:v>773920</c:v>
                </c:pt>
                <c:pt idx="7">
                  <c:v>770070</c:v>
                </c:pt>
                <c:pt idx="8">
                  <c:v>767287</c:v>
                </c:pt>
                <c:pt idx="9">
                  <c:v>765460</c:v>
                </c:pt>
                <c:pt idx="10">
                  <c:v>764487</c:v>
                </c:pt>
              </c:numCache>
            </c:numRef>
          </c:yVal>
          <c:smooth val="0"/>
          <c:extLst>
            <c:ext xmlns:c16="http://schemas.microsoft.com/office/drawing/2014/chart" uri="{C3380CC4-5D6E-409C-BE32-E72D297353CC}">
              <c16:uniqueId val="{00000002-3ADB-4A6F-872B-FAB32B2EE7C1}"/>
            </c:ext>
          </c:extLst>
        </c:ser>
        <c:ser>
          <c:idx val="3"/>
          <c:order val="3"/>
          <c:tx>
            <c:strRef>
              <c:f>'Line graphs'!$W$42</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graphs'!$W$43:$W$53</c:f>
              <c:numCache>
                <c:formatCode>General</c:formatCode>
                <c:ptCount val="11"/>
                <c:pt idx="0">
                  <c:v>858764</c:v>
                </c:pt>
                <c:pt idx="1">
                  <c:v>828069</c:v>
                </c:pt>
                <c:pt idx="2">
                  <c:v>804081</c:v>
                </c:pt>
                <c:pt idx="3">
                  <c:v>794479</c:v>
                </c:pt>
                <c:pt idx="4">
                  <c:v>787173</c:v>
                </c:pt>
                <c:pt idx="5">
                  <c:v>781090</c:v>
                </c:pt>
                <c:pt idx="6">
                  <c:v>776251</c:v>
                </c:pt>
                <c:pt idx="7">
                  <c:v>772593</c:v>
                </c:pt>
                <c:pt idx="8">
                  <c:v>770006</c:v>
                </c:pt>
                <c:pt idx="9">
                  <c:v>768379</c:v>
                </c:pt>
                <c:pt idx="10">
                  <c:v>767614</c:v>
                </c:pt>
              </c:numCache>
            </c:numRef>
          </c:yVal>
          <c:smooth val="0"/>
          <c:extLst>
            <c:ext xmlns:c16="http://schemas.microsoft.com/office/drawing/2014/chart" uri="{C3380CC4-5D6E-409C-BE32-E72D297353CC}">
              <c16:uniqueId val="{00000003-3ADB-4A6F-872B-FAB32B2EE7C1}"/>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graphs'!$T$58</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graphs'!$T$59:$T$69</c:f>
              <c:numCache>
                <c:formatCode>General</c:formatCode>
                <c:ptCount val="11"/>
                <c:pt idx="0">
                  <c:v>50471.8</c:v>
                </c:pt>
                <c:pt idx="1">
                  <c:v>50163.6</c:v>
                </c:pt>
                <c:pt idx="2">
                  <c:v>49841</c:v>
                </c:pt>
                <c:pt idx="3">
                  <c:v>49534.8</c:v>
                </c:pt>
                <c:pt idx="4">
                  <c:v>49262.1</c:v>
                </c:pt>
                <c:pt idx="5">
                  <c:v>49032.3</c:v>
                </c:pt>
                <c:pt idx="6">
                  <c:v>48849.7</c:v>
                </c:pt>
                <c:pt idx="7">
                  <c:v>48715.5</c:v>
                </c:pt>
                <c:pt idx="8">
                  <c:v>48629</c:v>
                </c:pt>
                <c:pt idx="9">
                  <c:v>48588.3</c:v>
                </c:pt>
                <c:pt idx="10">
                  <c:v>48591.199999999997</c:v>
                </c:pt>
              </c:numCache>
            </c:numRef>
          </c:yVal>
          <c:smooth val="0"/>
          <c:extLst>
            <c:ext xmlns:c16="http://schemas.microsoft.com/office/drawing/2014/chart" uri="{C3380CC4-5D6E-409C-BE32-E72D297353CC}">
              <c16:uniqueId val="{00000000-4FF5-4149-AC6D-38B6DE371A21}"/>
            </c:ext>
          </c:extLst>
        </c:ser>
        <c:ser>
          <c:idx val="1"/>
          <c:order val="1"/>
          <c:tx>
            <c:strRef>
              <c:f>'Line graphs'!$U$58</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graphs'!$U$59:$U$69</c:f>
              <c:numCache>
                <c:formatCode>General</c:formatCode>
                <c:ptCount val="11"/>
                <c:pt idx="0">
                  <c:v>50471.8</c:v>
                </c:pt>
                <c:pt idx="1">
                  <c:v>48905.1</c:v>
                </c:pt>
                <c:pt idx="2">
                  <c:v>48593.5</c:v>
                </c:pt>
                <c:pt idx="3">
                  <c:v>48298.3</c:v>
                </c:pt>
                <c:pt idx="4">
                  <c:v>48036.9</c:v>
                </c:pt>
                <c:pt idx="5">
                  <c:v>47818.8</c:v>
                </c:pt>
                <c:pt idx="6">
                  <c:v>47648.3</c:v>
                </c:pt>
                <c:pt idx="7">
                  <c:v>47526.5</c:v>
                </c:pt>
                <c:pt idx="8">
                  <c:v>47452.800000000003</c:v>
                </c:pt>
                <c:pt idx="9">
                  <c:v>47425.4</c:v>
                </c:pt>
                <c:pt idx="10">
                  <c:v>47441.9</c:v>
                </c:pt>
              </c:numCache>
            </c:numRef>
          </c:yVal>
          <c:smooth val="0"/>
          <c:extLst>
            <c:ext xmlns:c16="http://schemas.microsoft.com/office/drawing/2014/chart" uri="{C3380CC4-5D6E-409C-BE32-E72D297353CC}">
              <c16:uniqueId val="{00000001-4FF5-4149-AC6D-38B6DE371A21}"/>
            </c:ext>
          </c:extLst>
        </c:ser>
        <c:ser>
          <c:idx val="2"/>
          <c:order val="2"/>
          <c:tx>
            <c:strRef>
              <c:f>'Line graphs'!$V$58</c:f>
              <c:strCache>
                <c:ptCount val="1"/>
                <c:pt idx="0">
                  <c:v>Treatment 65%</c:v>
                </c:pt>
              </c:strCache>
            </c:strRef>
          </c:tx>
          <c:spPr>
            <a:ln w="15875" cap="rnd">
              <a:solidFill>
                <a:schemeClr val="accent3"/>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graphs'!$V$59:$V$69</c:f>
              <c:numCache>
                <c:formatCode>General</c:formatCode>
                <c:ptCount val="11"/>
                <c:pt idx="0">
                  <c:v>50471.8</c:v>
                </c:pt>
                <c:pt idx="1">
                  <c:v>48401.7</c:v>
                </c:pt>
                <c:pt idx="2">
                  <c:v>46825</c:v>
                </c:pt>
                <c:pt idx="3">
                  <c:v>46427</c:v>
                </c:pt>
                <c:pt idx="4">
                  <c:v>46143.6</c:v>
                </c:pt>
                <c:pt idx="5">
                  <c:v>45901.3</c:v>
                </c:pt>
                <c:pt idx="6">
                  <c:v>45714.9</c:v>
                </c:pt>
                <c:pt idx="7">
                  <c:v>45588</c:v>
                </c:pt>
                <c:pt idx="8">
                  <c:v>45517.599999999999</c:v>
                </c:pt>
                <c:pt idx="9">
                  <c:v>45499.6</c:v>
                </c:pt>
                <c:pt idx="10">
                  <c:v>45530</c:v>
                </c:pt>
              </c:numCache>
            </c:numRef>
          </c:yVal>
          <c:smooth val="0"/>
          <c:extLst>
            <c:ext xmlns:c16="http://schemas.microsoft.com/office/drawing/2014/chart" uri="{C3380CC4-5D6E-409C-BE32-E72D297353CC}">
              <c16:uniqueId val="{00000002-4FF5-4149-AC6D-38B6DE371A21}"/>
            </c:ext>
          </c:extLst>
        </c:ser>
        <c:ser>
          <c:idx val="3"/>
          <c:order val="3"/>
          <c:tx>
            <c:strRef>
              <c:f>'Line graphs'!$W$58</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graphs'!$W$59:$W$69</c:f>
              <c:numCache>
                <c:formatCode>General</c:formatCode>
                <c:ptCount val="11"/>
                <c:pt idx="0">
                  <c:v>50471.8</c:v>
                </c:pt>
                <c:pt idx="1">
                  <c:v>47145.7</c:v>
                </c:pt>
                <c:pt idx="2">
                  <c:v>45580.6</c:v>
                </c:pt>
                <c:pt idx="3">
                  <c:v>45193.4</c:v>
                </c:pt>
                <c:pt idx="4">
                  <c:v>44921</c:v>
                </c:pt>
                <c:pt idx="5">
                  <c:v>44690</c:v>
                </c:pt>
                <c:pt idx="6">
                  <c:v>44515.3</c:v>
                </c:pt>
                <c:pt idx="7">
                  <c:v>44400.3</c:v>
                </c:pt>
                <c:pt idx="8">
                  <c:v>44342.2</c:v>
                </c:pt>
                <c:pt idx="9">
                  <c:v>44336.9</c:v>
                </c:pt>
                <c:pt idx="10">
                  <c:v>44380.4</c:v>
                </c:pt>
              </c:numCache>
            </c:numRef>
          </c:yVal>
          <c:smooth val="0"/>
          <c:extLst>
            <c:ext xmlns:c16="http://schemas.microsoft.com/office/drawing/2014/chart" uri="{C3380CC4-5D6E-409C-BE32-E72D297353CC}">
              <c16:uniqueId val="{00000003-4FF5-4149-AC6D-38B6DE371A21}"/>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 Rx</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graphs'!$AF$10</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graphs'!$AF$11:$AF$21</c:f>
              <c:numCache>
                <c:formatCode>General</c:formatCode>
                <c:ptCount val="11"/>
                <c:pt idx="0">
                  <c:v>10275.4</c:v>
                </c:pt>
                <c:pt idx="1">
                  <c:v>9984.84</c:v>
                </c:pt>
                <c:pt idx="2">
                  <c:v>9742.89</c:v>
                </c:pt>
                <c:pt idx="3">
                  <c:v>9538.57</c:v>
                </c:pt>
                <c:pt idx="4">
                  <c:v>9364.6</c:v>
                </c:pt>
                <c:pt idx="5">
                  <c:v>9215.81</c:v>
                </c:pt>
                <c:pt idx="6">
                  <c:v>9088.3700000000008</c:v>
                </c:pt>
                <c:pt idx="7">
                  <c:v>8979.33</c:v>
                </c:pt>
                <c:pt idx="8">
                  <c:v>8886.31</c:v>
                </c:pt>
                <c:pt idx="9">
                  <c:v>8807.36</c:v>
                </c:pt>
                <c:pt idx="10">
                  <c:v>8740.82</c:v>
                </c:pt>
              </c:numCache>
            </c:numRef>
          </c:yVal>
          <c:smooth val="0"/>
          <c:extLst>
            <c:ext xmlns:c16="http://schemas.microsoft.com/office/drawing/2014/chart" uri="{C3380CC4-5D6E-409C-BE32-E72D297353CC}">
              <c16:uniqueId val="{00000000-1C7A-48AF-8CB4-997C43C64ADC}"/>
            </c:ext>
          </c:extLst>
        </c:ser>
        <c:ser>
          <c:idx val="1"/>
          <c:order val="1"/>
          <c:tx>
            <c:strRef>
              <c:f>'Line graphs'!$AG$10</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graphs'!$AG$11:$AG$21</c:f>
              <c:numCache>
                <c:formatCode>General</c:formatCode>
                <c:ptCount val="11"/>
                <c:pt idx="0">
                  <c:v>10275.4</c:v>
                </c:pt>
                <c:pt idx="1">
                  <c:v>8725.7099999999991</c:v>
                </c:pt>
                <c:pt idx="2">
                  <c:v>8492.51</c:v>
                </c:pt>
                <c:pt idx="3">
                  <c:v>8296.89</c:v>
                </c:pt>
                <c:pt idx="4">
                  <c:v>8131.47</c:v>
                </c:pt>
                <c:pt idx="5">
                  <c:v>7991.02</c:v>
                </c:pt>
                <c:pt idx="6">
                  <c:v>7871.67</c:v>
                </c:pt>
                <c:pt idx="7">
                  <c:v>7770.44</c:v>
                </c:pt>
                <c:pt idx="8">
                  <c:v>7684.92</c:v>
                </c:pt>
                <c:pt idx="9">
                  <c:v>7613.16</c:v>
                </c:pt>
                <c:pt idx="10">
                  <c:v>7553.51</c:v>
                </c:pt>
              </c:numCache>
            </c:numRef>
          </c:yVal>
          <c:smooth val="0"/>
          <c:extLst>
            <c:ext xmlns:c16="http://schemas.microsoft.com/office/drawing/2014/chart" uri="{C3380CC4-5D6E-409C-BE32-E72D297353CC}">
              <c16:uniqueId val="{00000001-1C7A-48AF-8CB4-997C43C64ADC}"/>
            </c:ext>
          </c:extLst>
        </c:ser>
        <c:ser>
          <c:idx val="2"/>
          <c:order val="2"/>
          <c:tx>
            <c:strRef>
              <c:f>'Line graphs'!$AH$10</c:f>
              <c:strCache>
                <c:ptCount val="1"/>
                <c:pt idx="0">
                  <c:v>Tx Capacity 20%</c:v>
                </c:pt>
              </c:strCache>
            </c:strRef>
          </c:tx>
          <c:spPr>
            <a:ln w="15875" cap="rnd">
              <a:solidFill>
                <a:schemeClr val="accent3"/>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graphs'!$AH$11:$AH$21</c:f>
              <c:numCache>
                <c:formatCode>General</c:formatCode>
                <c:ptCount val="11"/>
                <c:pt idx="0">
                  <c:v>10275.4</c:v>
                </c:pt>
                <c:pt idx="1">
                  <c:v>9972.27</c:v>
                </c:pt>
                <c:pt idx="2">
                  <c:v>9731.32</c:v>
                </c:pt>
                <c:pt idx="3">
                  <c:v>9532.86</c:v>
                </c:pt>
                <c:pt idx="4">
                  <c:v>9363.36</c:v>
                </c:pt>
                <c:pt idx="5">
                  <c:v>9218.3799999999992</c:v>
                </c:pt>
                <c:pt idx="6">
                  <c:v>9094.51</c:v>
                </c:pt>
                <c:pt idx="7">
                  <c:v>8988.9</c:v>
                </c:pt>
                <c:pt idx="8">
                  <c:v>8899.2000000000007</c:v>
                </c:pt>
                <c:pt idx="9">
                  <c:v>8823.39</c:v>
                </c:pt>
                <c:pt idx="10">
                  <c:v>8759.76</c:v>
                </c:pt>
              </c:numCache>
            </c:numRef>
          </c:yVal>
          <c:smooth val="0"/>
          <c:extLst>
            <c:ext xmlns:c16="http://schemas.microsoft.com/office/drawing/2014/chart" uri="{C3380CC4-5D6E-409C-BE32-E72D297353CC}">
              <c16:uniqueId val="{00000002-1C7A-48AF-8CB4-997C43C64ADC}"/>
            </c:ext>
          </c:extLst>
        </c:ser>
        <c:ser>
          <c:idx val="3"/>
          <c:order val="3"/>
          <c:tx>
            <c:strRef>
              <c:f>'Line graphs'!$AI$10</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graphs'!$AI$11:$AI$21</c:f>
              <c:numCache>
                <c:formatCode>General</c:formatCode>
                <c:ptCount val="11"/>
                <c:pt idx="0">
                  <c:v>10275.4</c:v>
                </c:pt>
                <c:pt idx="1">
                  <c:v>8713.5300000000007</c:v>
                </c:pt>
                <c:pt idx="2">
                  <c:v>8481.25</c:v>
                </c:pt>
                <c:pt idx="3">
                  <c:v>8291.43</c:v>
                </c:pt>
                <c:pt idx="4">
                  <c:v>8130.42</c:v>
                </c:pt>
                <c:pt idx="5">
                  <c:v>7993.71</c:v>
                </c:pt>
                <c:pt idx="6">
                  <c:v>7877.83</c:v>
                </c:pt>
                <c:pt idx="7">
                  <c:v>7779.93</c:v>
                </c:pt>
                <c:pt idx="8">
                  <c:v>7697.61</c:v>
                </c:pt>
                <c:pt idx="9">
                  <c:v>7628.88</c:v>
                </c:pt>
                <c:pt idx="10">
                  <c:v>7572</c:v>
                </c:pt>
              </c:numCache>
            </c:numRef>
          </c:yVal>
          <c:smooth val="0"/>
          <c:extLst>
            <c:ext xmlns:c16="http://schemas.microsoft.com/office/drawing/2014/chart" uri="{C3380CC4-5D6E-409C-BE32-E72D297353CC}">
              <c16:uniqueId val="{00000003-1C7A-48AF-8CB4-997C43C64ADC}"/>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min val="7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ocumenttasks/documenttasks1.xml><?xml version="1.0" encoding="utf-8"?>
<t:Tasks xmlns:t="http://schemas.microsoft.com/office/tasks/2019/documenttasks">
  <t:Task id="{41C36863-97EE-4087-B4D1-2C0AA52C417E}">
    <t:Anchor>
      <t:Comment id="588732281"/>
    </t:Anchor>
    <t:History>
      <t:Event id="{FD434A62-7340-4BE0-B33A-0096AB17B611}" time="2020-09-24T21:40:38Z">
        <t:Attribution userId="S::591572@bah.com::ec50ddf9-2758-4fbb-b6cf-d86a740cab66" userProvider="AD" userName="Hemmati, Juliet [USA]"/>
        <t:Anchor>
          <t:Comment id="619453394"/>
        </t:Anchor>
        <t:Create/>
      </t:Event>
      <t:Event id="{B2B381B5-F8B7-4CD8-A60C-E446BADB0D2F}" time="2020-09-24T21:40:38Z">
        <t:Attribution userId="S::591572@bah.com::ec50ddf9-2758-4fbb-b6cf-d86a740cab66" userProvider="AD" userName="Hemmati, Juliet [USA]"/>
        <t:Anchor>
          <t:Comment id="619453394"/>
        </t:Anchor>
        <t:Assign userId="S::574036@bah.com::abfebaf0-8f3e-426d-89b6-ac744ec27a98" userProvider="AD" userName="Nguyen, Marie [USA]"/>
      </t:Event>
      <t:Event id="{CE575A58-76BD-4924-A464-4314484AD8B0}" time="2020-09-24T21:40:38Z">
        <t:Attribution userId="S::591572@bah.com::ec50ddf9-2758-4fbb-b6cf-d86a740cab66" userProvider="AD" userName="Hemmati, Juliet [USA]"/>
        <t:Anchor>
          <t:Comment id="619453394"/>
        </t:Anchor>
        <t:SetTitle title="@Nguyen, Marie [USA] @Darabi, Nina [USA] please confirm this is accurate. Thanks!"/>
      </t:Event>
    </t:History>
  </t:Task>
</t:Tasks>
</file>

<file path=word/theme/theme1.xml><?xml version="1.0" encoding="utf-8"?>
<a:theme xmlns:a="http://schemas.openxmlformats.org/drawingml/2006/main" name="Office Theme">
  <a:themeElements>
    <a:clrScheme name="Custom 2 new theme 1">
      <a:dk1>
        <a:srgbClr val="000000"/>
      </a:dk1>
      <a:lt1>
        <a:srgbClr val="FFFFFF"/>
      </a:lt1>
      <a:dk2>
        <a:srgbClr val="243646"/>
      </a:dk2>
      <a:lt2>
        <a:srgbClr val="E7E6E6"/>
      </a:lt2>
      <a:accent1>
        <a:srgbClr val="5D7D95"/>
      </a:accent1>
      <a:accent2>
        <a:srgbClr val="243646"/>
      </a:accent2>
      <a:accent3>
        <a:srgbClr val="87AF99"/>
      </a:accent3>
      <a:accent4>
        <a:srgbClr val="AC4324"/>
      </a:accent4>
      <a:accent5>
        <a:srgbClr val="CF3237"/>
      </a:accent5>
      <a:accent6>
        <a:srgbClr val="F6A81B"/>
      </a:accent6>
      <a:hlink>
        <a:srgbClr val="243646"/>
      </a:hlink>
      <a:folHlink>
        <a:srgbClr val="5D7D9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2" ma:contentTypeDescription="Create a new document." ma:contentTypeScope="" ma:versionID="ef9e81cc8ea135f7dd7143deedbca767">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f6f209b185d7905ebfc3951605bf0c4b"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AF2270-B4A9-402B-AA93-97EF1BC2CD1B}">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7fd2918-96a0-4d98-a0d4-247aed36e213"/>
    <ds:schemaRef ds:uri="http://purl.org/dc/elements/1.1/"/>
    <ds:schemaRef ds:uri="a280aedc-7c1a-4615-8d10-4ae4c28fa7aa"/>
    <ds:schemaRef ds:uri="http://www.w3.org/XML/1998/namespace"/>
    <ds:schemaRef ds:uri="http://purl.org/dc/dcmitype/"/>
  </ds:schemaRefs>
</ds:datastoreItem>
</file>

<file path=customXml/itemProps2.xml><?xml version="1.0" encoding="utf-8"?>
<ds:datastoreItem xmlns:ds="http://schemas.openxmlformats.org/officeDocument/2006/customXml" ds:itemID="{A16206EB-B0A1-4863-9E1F-69337CC5D8D8}">
  <ds:schemaRefs>
    <ds:schemaRef ds:uri="http://schemas.openxmlformats.org/officeDocument/2006/bibliography"/>
  </ds:schemaRefs>
</ds:datastoreItem>
</file>

<file path=customXml/itemProps3.xml><?xml version="1.0" encoding="utf-8"?>
<ds:datastoreItem xmlns:ds="http://schemas.openxmlformats.org/officeDocument/2006/customXml" ds:itemID="{0764A554-FE22-4CBD-AEF6-08913EE32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BF1BB4-4B2A-4349-8AED-E92AED2EB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Report_US.dotx</Template>
  <TotalTime>8</TotalTime>
  <Pages>44</Pages>
  <Words>15978</Words>
  <Characters>91078</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D6b Final Validation Part 2</vt:lpstr>
    </vt:vector>
  </TitlesOfParts>
  <Manager/>
  <Company>Booz Allen Hamilton</Company>
  <LinksUpToDate>false</LinksUpToDate>
  <CharactersWithSpaces>106843</CharactersWithSpaces>
  <SharedDoc>false</SharedDoc>
  <HyperlinkBase/>
  <HLinks>
    <vt:vector size="474" baseType="variant">
      <vt:variant>
        <vt:i4>262163</vt:i4>
      </vt:variant>
      <vt:variant>
        <vt:i4>363</vt:i4>
      </vt:variant>
      <vt:variant>
        <vt:i4>0</vt:i4>
      </vt:variant>
      <vt:variant>
        <vt:i4>5</vt:i4>
      </vt:variant>
      <vt:variant>
        <vt:lpwstr/>
      </vt:variant>
      <vt:variant>
        <vt:lpwstr>_Model_Comparator</vt:lpwstr>
      </vt:variant>
      <vt:variant>
        <vt:i4>5111877</vt:i4>
      </vt:variant>
      <vt:variant>
        <vt:i4>360</vt:i4>
      </vt:variant>
      <vt:variant>
        <vt:i4>0</vt:i4>
      </vt:variant>
      <vt:variant>
        <vt:i4>5</vt:i4>
      </vt:variant>
      <vt:variant>
        <vt:lpwstr/>
      </vt:variant>
      <vt:variant>
        <vt:lpwstr>_Policy_Validation</vt:lpwstr>
      </vt:variant>
      <vt:variant>
        <vt:i4>4391023</vt:i4>
      </vt:variant>
      <vt:variant>
        <vt:i4>357</vt:i4>
      </vt:variant>
      <vt:variant>
        <vt:i4>0</vt:i4>
      </vt:variant>
      <vt:variant>
        <vt:i4>5</vt:i4>
      </vt:variant>
      <vt:variant>
        <vt:lpwstr/>
      </vt:variant>
      <vt:variant>
        <vt:lpwstr>_Materials_Validation_1</vt:lpwstr>
      </vt:variant>
      <vt:variant>
        <vt:i4>7929885</vt:i4>
      </vt:variant>
      <vt:variant>
        <vt:i4>354</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351</vt:i4>
      </vt:variant>
      <vt:variant>
        <vt:i4>0</vt:i4>
      </vt:variant>
      <vt:variant>
        <vt:i4>5</vt:i4>
      </vt:variant>
      <vt:variant>
        <vt:lpwstr/>
      </vt:variant>
      <vt:variant>
        <vt:lpwstr>_Validation_by_Section_1</vt:lpwstr>
      </vt:variant>
      <vt:variant>
        <vt:i4>5505138</vt:i4>
      </vt:variant>
      <vt:variant>
        <vt:i4>348</vt:i4>
      </vt:variant>
      <vt:variant>
        <vt:i4>0</vt:i4>
      </vt:variant>
      <vt:variant>
        <vt:i4>5</vt:i4>
      </vt:variant>
      <vt:variant>
        <vt:lpwstr/>
      </vt:variant>
      <vt:variant>
        <vt:lpwstr>_Validation_by_Section</vt:lpwstr>
      </vt:variant>
      <vt:variant>
        <vt:i4>4391023</vt:i4>
      </vt:variant>
      <vt:variant>
        <vt:i4>345</vt:i4>
      </vt:variant>
      <vt:variant>
        <vt:i4>0</vt:i4>
      </vt:variant>
      <vt:variant>
        <vt:i4>5</vt:i4>
      </vt:variant>
      <vt:variant>
        <vt:lpwstr/>
      </vt:variant>
      <vt:variant>
        <vt:lpwstr>_Materials_Validation_1</vt:lpwstr>
      </vt:variant>
      <vt:variant>
        <vt:i4>7929885</vt:i4>
      </vt:variant>
      <vt:variant>
        <vt:i4>342</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339</vt:i4>
      </vt:variant>
      <vt:variant>
        <vt:i4>0</vt:i4>
      </vt:variant>
      <vt:variant>
        <vt:i4>5</vt:i4>
      </vt:variant>
      <vt:variant>
        <vt:lpwstr/>
      </vt:variant>
      <vt:variant>
        <vt:lpwstr>_Validation_by_Section_1</vt:lpwstr>
      </vt:variant>
      <vt:variant>
        <vt:i4>5505138</vt:i4>
      </vt:variant>
      <vt:variant>
        <vt:i4>336</vt:i4>
      </vt:variant>
      <vt:variant>
        <vt:i4>0</vt:i4>
      </vt:variant>
      <vt:variant>
        <vt:i4>5</vt:i4>
      </vt:variant>
      <vt:variant>
        <vt:lpwstr/>
      </vt:variant>
      <vt:variant>
        <vt:lpwstr>_Validation_by_Section</vt:lpwstr>
      </vt:variant>
      <vt:variant>
        <vt:i4>7929885</vt:i4>
      </vt:variant>
      <vt:variant>
        <vt:i4>333</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330</vt:i4>
      </vt:variant>
      <vt:variant>
        <vt:i4>0</vt:i4>
      </vt:variant>
      <vt:variant>
        <vt:i4>5</vt:i4>
      </vt:variant>
      <vt:variant>
        <vt:lpwstr/>
      </vt:variant>
      <vt:variant>
        <vt:lpwstr>_Validation_by_Section_1</vt:lpwstr>
      </vt:variant>
      <vt:variant>
        <vt:i4>5505138</vt:i4>
      </vt:variant>
      <vt:variant>
        <vt:i4>327</vt:i4>
      </vt:variant>
      <vt:variant>
        <vt:i4>0</vt:i4>
      </vt:variant>
      <vt:variant>
        <vt:i4>5</vt:i4>
      </vt:variant>
      <vt:variant>
        <vt:lpwstr/>
      </vt:variant>
      <vt:variant>
        <vt:lpwstr>_Validation_by_Section</vt:lpwstr>
      </vt:variant>
      <vt:variant>
        <vt:i4>4391023</vt:i4>
      </vt:variant>
      <vt:variant>
        <vt:i4>324</vt:i4>
      </vt:variant>
      <vt:variant>
        <vt:i4>0</vt:i4>
      </vt:variant>
      <vt:variant>
        <vt:i4>5</vt:i4>
      </vt:variant>
      <vt:variant>
        <vt:lpwstr/>
      </vt:variant>
      <vt:variant>
        <vt:lpwstr>_Materials_Validation_1</vt:lpwstr>
      </vt:variant>
      <vt:variant>
        <vt:i4>7929885</vt:i4>
      </vt:variant>
      <vt:variant>
        <vt:i4>321</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318</vt:i4>
      </vt:variant>
      <vt:variant>
        <vt:i4>0</vt:i4>
      </vt:variant>
      <vt:variant>
        <vt:i4>5</vt:i4>
      </vt:variant>
      <vt:variant>
        <vt:lpwstr/>
      </vt:variant>
      <vt:variant>
        <vt:lpwstr>_Validation_by_Section_1</vt:lpwstr>
      </vt:variant>
      <vt:variant>
        <vt:i4>5505138</vt:i4>
      </vt:variant>
      <vt:variant>
        <vt:i4>315</vt:i4>
      </vt:variant>
      <vt:variant>
        <vt:i4>0</vt:i4>
      </vt:variant>
      <vt:variant>
        <vt:i4>5</vt:i4>
      </vt:variant>
      <vt:variant>
        <vt:lpwstr/>
      </vt:variant>
      <vt:variant>
        <vt:lpwstr>_Validation_by_Section</vt:lpwstr>
      </vt:variant>
      <vt:variant>
        <vt:i4>7929885</vt:i4>
      </vt:variant>
      <vt:variant>
        <vt:i4>312</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5374048</vt:i4>
      </vt:variant>
      <vt:variant>
        <vt:i4>300</vt:i4>
      </vt:variant>
      <vt:variant>
        <vt:i4>0</vt:i4>
      </vt:variant>
      <vt:variant>
        <vt:i4>5</vt:i4>
      </vt:variant>
      <vt:variant>
        <vt:lpwstr/>
      </vt:variant>
      <vt:variant>
        <vt:lpwstr>_Statement_of_Work</vt:lpwstr>
      </vt:variant>
      <vt:variant>
        <vt:i4>852017</vt:i4>
      </vt:variant>
      <vt:variant>
        <vt:i4>297</vt:i4>
      </vt:variant>
      <vt:variant>
        <vt:i4>0</vt:i4>
      </vt:variant>
      <vt:variant>
        <vt:i4>5</vt:i4>
      </vt:variant>
      <vt:variant>
        <vt:lpwstr/>
      </vt:variant>
      <vt:variant>
        <vt:lpwstr>_Placeholder</vt:lpwstr>
      </vt:variant>
      <vt:variant>
        <vt:i4>720943</vt:i4>
      </vt:variant>
      <vt:variant>
        <vt:i4>294</vt:i4>
      </vt:variant>
      <vt:variant>
        <vt:i4>0</vt:i4>
      </vt:variant>
      <vt:variant>
        <vt:i4>5</vt:i4>
      </vt:variant>
      <vt:variant>
        <vt:lpwstr/>
      </vt:variant>
      <vt:variant>
        <vt:lpwstr>_Replication_of_Goodness-of-Fit</vt:lpwstr>
      </vt:variant>
      <vt:variant>
        <vt:i4>655447</vt:i4>
      </vt:variant>
      <vt:variant>
        <vt:i4>291</vt:i4>
      </vt:variant>
      <vt:variant>
        <vt:i4>0</vt:i4>
      </vt:variant>
      <vt:variant>
        <vt:i4>5</vt:i4>
      </vt:variant>
      <vt:variant>
        <vt:lpwstr>https://doi.org/10.2105/ajph.2018.304590</vt:lpwstr>
      </vt:variant>
      <vt:variant>
        <vt:lpwstr/>
      </vt:variant>
      <vt:variant>
        <vt:i4>6226011</vt:i4>
      </vt:variant>
      <vt:variant>
        <vt:i4>288</vt:i4>
      </vt:variant>
      <vt:variant>
        <vt:i4>0</vt:i4>
      </vt:variant>
      <vt:variant>
        <vt:i4>5</vt:i4>
      </vt:variant>
      <vt:variant>
        <vt:lpwstr>https://doi.org/10.1002/sdr.1630</vt:lpwstr>
      </vt:variant>
      <vt:variant>
        <vt:lpwstr/>
      </vt:variant>
      <vt:variant>
        <vt:i4>983049</vt:i4>
      </vt:variant>
      <vt:variant>
        <vt:i4>285</vt:i4>
      </vt:variant>
      <vt:variant>
        <vt:i4>0</vt:i4>
      </vt:variant>
      <vt:variant>
        <vt:i4>5</vt:i4>
      </vt:variant>
      <vt:variant>
        <vt:lpwstr/>
      </vt:variant>
      <vt:variant>
        <vt:lpwstr>_Usability_Assessment</vt:lpwstr>
      </vt:variant>
      <vt:variant>
        <vt:i4>4849769</vt:i4>
      </vt:variant>
      <vt:variant>
        <vt:i4>282</vt:i4>
      </vt:variant>
      <vt:variant>
        <vt:i4>0</vt:i4>
      </vt:variant>
      <vt:variant>
        <vt:i4>5</vt:i4>
      </vt:variant>
      <vt:variant>
        <vt:lpwstr/>
      </vt:variant>
      <vt:variant>
        <vt:lpwstr>_Recommendations_on_How</vt:lpwstr>
      </vt:variant>
      <vt:variant>
        <vt:i4>2490378</vt:i4>
      </vt:variant>
      <vt:variant>
        <vt:i4>279</vt:i4>
      </vt:variant>
      <vt:variant>
        <vt:i4>0</vt:i4>
      </vt:variant>
      <vt:variant>
        <vt:i4>5</vt:i4>
      </vt:variant>
      <vt:variant>
        <vt:lpwstr/>
      </vt:variant>
      <vt:variant>
        <vt:lpwstr>_Summary_of_Findings</vt:lpwstr>
      </vt:variant>
      <vt:variant>
        <vt:i4>327720</vt:i4>
      </vt:variant>
      <vt:variant>
        <vt:i4>255</vt:i4>
      </vt:variant>
      <vt:variant>
        <vt:i4>0</vt:i4>
      </vt:variant>
      <vt:variant>
        <vt:i4>5</vt:i4>
      </vt:variant>
      <vt:variant>
        <vt:lpwstr>http://sharepoint.fda.gov/orgs/CDER-OPSA/PEIS/opioidspolicytool/Shared Documents/Opioids Policy Tool/D05 - Validation Plan/D5_Validation Plan_Updated_202001170446.docx</vt:lpwstr>
      </vt:variant>
      <vt:variant>
        <vt:lpwstr/>
      </vt:variant>
      <vt:variant>
        <vt:i4>2228257</vt:i4>
      </vt:variant>
      <vt:variant>
        <vt:i4>252</vt:i4>
      </vt:variant>
      <vt:variant>
        <vt:i4>0</vt:i4>
      </vt:variant>
      <vt:variant>
        <vt:i4>5</vt:i4>
      </vt:variant>
      <vt:variant>
        <vt:lpwstr/>
      </vt:variant>
      <vt:variant>
        <vt:lpwstr>_Conclusion_2</vt:lpwstr>
      </vt:variant>
      <vt:variant>
        <vt:i4>2228257</vt:i4>
      </vt:variant>
      <vt:variant>
        <vt:i4>249</vt:i4>
      </vt:variant>
      <vt:variant>
        <vt:i4>0</vt:i4>
      </vt:variant>
      <vt:variant>
        <vt:i4>5</vt:i4>
      </vt:variant>
      <vt:variant>
        <vt:lpwstr/>
      </vt:variant>
      <vt:variant>
        <vt:lpwstr>_Conclusion_1</vt:lpwstr>
      </vt:variant>
      <vt:variant>
        <vt:i4>5111877</vt:i4>
      </vt:variant>
      <vt:variant>
        <vt:i4>246</vt:i4>
      </vt:variant>
      <vt:variant>
        <vt:i4>0</vt:i4>
      </vt:variant>
      <vt:variant>
        <vt:i4>5</vt:i4>
      </vt:variant>
      <vt:variant>
        <vt:lpwstr/>
      </vt:variant>
      <vt:variant>
        <vt:lpwstr>_Policy_Validation</vt:lpwstr>
      </vt:variant>
      <vt:variant>
        <vt:i4>6619181</vt:i4>
      </vt:variant>
      <vt:variant>
        <vt:i4>243</vt:i4>
      </vt:variant>
      <vt:variant>
        <vt:i4>0</vt:i4>
      </vt:variant>
      <vt:variant>
        <vt:i4>5</vt:i4>
      </vt:variant>
      <vt:variant>
        <vt:lpwstr/>
      </vt:variant>
      <vt:variant>
        <vt:lpwstr>_Validation_by_Section_1</vt:lpwstr>
      </vt:variant>
      <vt:variant>
        <vt:i4>5505138</vt:i4>
      </vt:variant>
      <vt:variant>
        <vt:i4>240</vt:i4>
      </vt:variant>
      <vt:variant>
        <vt:i4>0</vt:i4>
      </vt:variant>
      <vt:variant>
        <vt:i4>5</vt:i4>
      </vt:variant>
      <vt:variant>
        <vt:lpwstr/>
      </vt:variant>
      <vt:variant>
        <vt:lpwstr>_Validation_by_Section</vt:lpwstr>
      </vt:variant>
      <vt:variant>
        <vt:i4>1835009</vt:i4>
      </vt:variant>
      <vt:variant>
        <vt:i4>237</vt:i4>
      </vt:variant>
      <vt:variant>
        <vt:i4>0</vt:i4>
      </vt:variant>
      <vt:variant>
        <vt:i4>5</vt:i4>
      </vt:variant>
      <vt:variant>
        <vt:lpwstr/>
      </vt:variant>
      <vt:variant>
        <vt:lpwstr>_Materials_Validation</vt:lpwstr>
      </vt:variant>
      <vt:variant>
        <vt:i4>2883707</vt:i4>
      </vt:variant>
      <vt:variant>
        <vt:i4>234</vt:i4>
      </vt:variant>
      <vt:variant>
        <vt:i4>0</vt:i4>
      </vt:variant>
      <vt:variant>
        <vt:i4>5</vt:i4>
      </vt:variant>
      <vt:variant>
        <vt:lpwstr/>
      </vt:variant>
      <vt:variant>
        <vt:lpwstr>_Constraints_and_Limitations_1</vt:lpwstr>
      </vt:variant>
      <vt:variant>
        <vt:i4>7929885</vt:i4>
      </vt:variant>
      <vt:variant>
        <vt:i4>231</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7274553</vt:i4>
      </vt:variant>
      <vt:variant>
        <vt:i4>228</vt:i4>
      </vt:variant>
      <vt:variant>
        <vt:i4>0</vt:i4>
      </vt:variant>
      <vt:variant>
        <vt:i4>5</vt:i4>
      </vt:variant>
      <vt:variant>
        <vt:lpwstr>http://sharepoint.fda.gov/orgs/CDER-OPSA/PEIS/opioidspolicytool/Shared Documents/Opioids Policy Tool/D06ab - Initial Validation Report + Final Validation Report/D6b_ModelVerification2_20207101030.docx</vt:lpwstr>
      </vt:variant>
      <vt:variant>
        <vt:lpwstr/>
      </vt:variant>
      <vt:variant>
        <vt:i4>6750333</vt:i4>
      </vt:variant>
      <vt:variant>
        <vt:i4>225</vt:i4>
      </vt:variant>
      <vt:variant>
        <vt:i4>0</vt:i4>
      </vt:variant>
      <vt:variant>
        <vt:i4>5</vt:i4>
      </vt:variant>
      <vt:variant>
        <vt:lpwstr>http://sharepoint.fda.gov/orgs/CDER-OPSA/PEIS/opioidspolicytool/Shared Documents/Opioids Policy Tool/D06ab - Initial Validation Report + Final Validation Report/D6b_ModelVerification1_202005290841.docx</vt:lpwstr>
      </vt:variant>
      <vt:variant>
        <vt:lpwstr/>
      </vt:variant>
      <vt:variant>
        <vt:i4>2359299</vt:i4>
      </vt:variant>
      <vt:variant>
        <vt:i4>222</vt:i4>
      </vt:variant>
      <vt:variant>
        <vt:i4>0</vt:i4>
      </vt:variant>
      <vt:variant>
        <vt:i4>5</vt:i4>
      </vt:variant>
      <vt:variant>
        <vt:lpwstr>http://sharepoint.fda.gov/orgs/CDER-OPSA/PEIS/opioidspolicytool/Shared Documents/Opioids Policy Tool/D06ab - Initial Validation Report + Final Validation Report/D6a_Initial Validation_Report_202003270110.docx</vt:lpwstr>
      </vt:variant>
      <vt:variant>
        <vt:lpwstr/>
      </vt:variant>
      <vt:variant>
        <vt:i4>1245240</vt:i4>
      </vt:variant>
      <vt:variant>
        <vt:i4>212</vt:i4>
      </vt:variant>
      <vt:variant>
        <vt:i4>0</vt:i4>
      </vt:variant>
      <vt:variant>
        <vt:i4>5</vt:i4>
      </vt:variant>
      <vt:variant>
        <vt:lpwstr/>
      </vt:variant>
      <vt:variant>
        <vt:lpwstr>_Toc58783793</vt:lpwstr>
      </vt:variant>
      <vt:variant>
        <vt:i4>1900596</vt:i4>
      </vt:variant>
      <vt:variant>
        <vt:i4>203</vt:i4>
      </vt:variant>
      <vt:variant>
        <vt:i4>0</vt:i4>
      </vt:variant>
      <vt:variant>
        <vt:i4>5</vt:i4>
      </vt:variant>
      <vt:variant>
        <vt:lpwstr/>
      </vt:variant>
      <vt:variant>
        <vt:lpwstr>_Toc57192125</vt:lpwstr>
      </vt:variant>
      <vt:variant>
        <vt:i4>1835060</vt:i4>
      </vt:variant>
      <vt:variant>
        <vt:i4>197</vt:i4>
      </vt:variant>
      <vt:variant>
        <vt:i4>0</vt:i4>
      </vt:variant>
      <vt:variant>
        <vt:i4>5</vt:i4>
      </vt:variant>
      <vt:variant>
        <vt:lpwstr/>
      </vt:variant>
      <vt:variant>
        <vt:lpwstr>_Toc57192124</vt:lpwstr>
      </vt:variant>
      <vt:variant>
        <vt:i4>1769524</vt:i4>
      </vt:variant>
      <vt:variant>
        <vt:i4>191</vt:i4>
      </vt:variant>
      <vt:variant>
        <vt:i4>0</vt:i4>
      </vt:variant>
      <vt:variant>
        <vt:i4>5</vt:i4>
      </vt:variant>
      <vt:variant>
        <vt:lpwstr/>
      </vt:variant>
      <vt:variant>
        <vt:lpwstr>_Toc57192123</vt:lpwstr>
      </vt:variant>
      <vt:variant>
        <vt:i4>1703988</vt:i4>
      </vt:variant>
      <vt:variant>
        <vt:i4>185</vt:i4>
      </vt:variant>
      <vt:variant>
        <vt:i4>0</vt:i4>
      </vt:variant>
      <vt:variant>
        <vt:i4>5</vt:i4>
      </vt:variant>
      <vt:variant>
        <vt:lpwstr/>
      </vt:variant>
      <vt:variant>
        <vt:lpwstr>_Toc57192122</vt:lpwstr>
      </vt:variant>
      <vt:variant>
        <vt:i4>1638452</vt:i4>
      </vt:variant>
      <vt:variant>
        <vt:i4>179</vt:i4>
      </vt:variant>
      <vt:variant>
        <vt:i4>0</vt:i4>
      </vt:variant>
      <vt:variant>
        <vt:i4>5</vt:i4>
      </vt:variant>
      <vt:variant>
        <vt:lpwstr/>
      </vt:variant>
      <vt:variant>
        <vt:lpwstr>_Toc57192121</vt:lpwstr>
      </vt:variant>
      <vt:variant>
        <vt:i4>2031671</vt:i4>
      </vt:variant>
      <vt:variant>
        <vt:i4>170</vt:i4>
      </vt:variant>
      <vt:variant>
        <vt:i4>0</vt:i4>
      </vt:variant>
      <vt:variant>
        <vt:i4>5</vt:i4>
      </vt:variant>
      <vt:variant>
        <vt:lpwstr/>
      </vt:variant>
      <vt:variant>
        <vt:lpwstr>_Toc58783961</vt:lpwstr>
      </vt:variant>
      <vt:variant>
        <vt:i4>1966135</vt:i4>
      </vt:variant>
      <vt:variant>
        <vt:i4>164</vt:i4>
      </vt:variant>
      <vt:variant>
        <vt:i4>0</vt:i4>
      </vt:variant>
      <vt:variant>
        <vt:i4>5</vt:i4>
      </vt:variant>
      <vt:variant>
        <vt:lpwstr/>
      </vt:variant>
      <vt:variant>
        <vt:lpwstr>_Toc58783960</vt:lpwstr>
      </vt:variant>
      <vt:variant>
        <vt:i4>1507380</vt:i4>
      </vt:variant>
      <vt:variant>
        <vt:i4>158</vt:i4>
      </vt:variant>
      <vt:variant>
        <vt:i4>0</vt:i4>
      </vt:variant>
      <vt:variant>
        <vt:i4>5</vt:i4>
      </vt:variant>
      <vt:variant>
        <vt:lpwstr/>
      </vt:variant>
      <vt:variant>
        <vt:lpwstr>_Toc58783959</vt:lpwstr>
      </vt:variant>
      <vt:variant>
        <vt:i4>1441844</vt:i4>
      </vt:variant>
      <vt:variant>
        <vt:i4>152</vt:i4>
      </vt:variant>
      <vt:variant>
        <vt:i4>0</vt:i4>
      </vt:variant>
      <vt:variant>
        <vt:i4>5</vt:i4>
      </vt:variant>
      <vt:variant>
        <vt:lpwstr/>
      </vt:variant>
      <vt:variant>
        <vt:lpwstr>_Toc58783958</vt:lpwstr>
      </vt:variant>
      <vt:variant>
        <vt:i4>1638452</vt:i4>
      </vt:variant>
      <vt:variant>
        <vt:i4>146</vt:i4>
      </vt:variant>
      <vt:variant>
        <vt:i4>0</vt:i4>
      </vt:variant>
      <vt:variant>
        <vt:i4>5</vt:i4>
      </vt:variant>
      <vt:variant>
        <vt:lpwstr/>
      </vt:variant>
      <vt:variant>
        <vt:lpwstr>_Toc58783957</vt:lpwstr>
      </vt:variant>
      <vt:variant>
        <vt:i4>1572916</vt:i4>
      </vt:variant>
      <vt:variant>
        <vt:i4>140</vt:i4>
      </vt:variant>
      <vt:variant>
        <vt:i4>0</vt:i4>
      </vt:variant>
      <vt:variant>
        <vt:i4>5</vt:i4>
      </vt:variant>
      <vt:variant>
        <vt:lpwstr/>
      </vt:variant>
      <vt:variant>
        <vt:lpwstr>_Toc58783956</vt:lpwstr>
      </vt:variant>
      <vt:variant>
        <vt:i4>1769524</vt:i4>
      </vt:variant>
      <vt:variant>
        <vt:i4>134</vt:i4>
      </vt:variant>
      <vt:variant>
        <vt:i4>0</vt:i4>
      </vt:variant>
      <vt:variant>
        <vt:i4>5</vt:i4>
      </vt:variant>
      <vt:variant>
        <vt:lpwstr/>
      </vt:variant>
      <vt:variant>
        <vt:lpwstr>_Toc58783955</vt:lpwstr>
      </vt:variant>
      <vt:variant>
        <vt:i4>1703988</vt:i4>
      </vt:variant>
      <vt:variant>
        <vt:i4>128</vt:i4>
      </vt:variant>
      <vt:variant>
        <vt:i4>0</vt:i4>
      </vt:variant>
      <vt:variant>
        <vt:i4>5</vt:i4>
      </vt:variant>
      <vt:variant>
        <vt:lpwstr/>
      </vt:variant>
      <vt:variant>
        <vt:lpwstr>_Toc58783954</vt:lpwstr>
      </vt:variant>
      <vt:variant>
        <vt:i4>1900596</vt:i4>
      </vt:variant>
      <vt:variant>
        <vt:i4>122</vt:i4>
      </vt:variant>
      <vt:variant>
        <vt:i4>0</vt:i4>
      </vt:variant>
      <vt:variant>
        <vt:i4>5</vt:i4>
      </vt:variant>
      <vt:variant>
        <vt:lpwstr/>
      </vt:variant>
      <vt:variant>
        <vt:lpwstr>_Toc58783953</vt:lpwstr>
      </vt:variant>
      <vt:variant>
        <vt:i4>1835060</vt:i4>
      </vt:variant>
      <vt:variant>
        <vt:i4>116</vt:i4>
      </vt:variant>
      <vt:variant>
        <vt:i4>0</vt:i4>
      </vt:variant>
      <vt:variant>
        <vt:i4>5</vt:i4>
      </vt:variant>
      <vt:variant>
        <vt:lpwstr/>
      </vt:variant>
      <vt:variant>
        <vt:lpwstr>_Toc58783952</vt:lpwstr>
      </vt:variant>
      <vt:variant>
        <vt:i4>2031668</vt:i4>
      </vt:variant>
      <vt:variant>
        <vt:i4>110</vt:i4>
      </vt:variant>
      <vt:variant>
        <vt:i4>0</vt:i4>
      </vt:variant>
      <vt:variant>
        <vt:i4>5</vt:i4>
      </vt:variant>
      <vt:variant>
        <vt:lpwstr/>
      </vt:variant>
      <vt:variant>
        <vt:lpwstr>_Toc58783951</vt:lpwstr>
      </vt:variant>
      <vt:variant>
        <vt:i4>1966132</vt:i4>
      </vt:variant>
      <vt:variant>
        <vt:i4>104</vt:i4>
      </vt:variant>
      <vt:variant>
        <vt:i4>0</vt:i4>
      </vt:variant>
      <vt:variant>
        <vt:i4>5</vt:i4>
      </vt:variant>
      <vt:variant>
        <vt:lpwstr/>
      </vt:variant>
      <vt:variant>
        <vt:lpwstr>_Toc58783950</vt:lpwstr>
      </vt:variant>
      <vt:variant>
        <vt:i4>1507381</vt:i4>
      </vt:variant>
      <vt:variant>
        <vt:i4>98</vt:i4>
      </vt:variant>
      <vt:variant>
        <vt:i4>0</vt:i4>
      </vt:variant>
      <vt:variant>
        <vt:i4>5</vt:i4>
      </vt:variant>
      <vt:variant>
        <vt:lpwstr/>
      </vt:variant>
      <vt:variant>
        <vt:lpwstr>_Toc58783949</vt:lpwstr>
      </vt:variant>
      <vt:variant>
        <vt:i4>1441845</vt:i4>
      </vt:variant>
      <vt:variant>
        <vt:i4>92</vt:i4>
      </vt:variant>
      <vt:variant>
        <vt:i4>0</vt:i4>
      </vt:variant>
      <vt:variant>
        <vt:i4>5</vt:i4>
      </vt:variant>
      <vt:variant>
        <vt:lpwstr/>
      </vt:variant>
      <vt:variant>
        <vt:lpwstr>_Toc58783948</vt:lpwstr>
      </vt:variant>
      <vt:variant>
        <vt:i4>1638453</vt:i4>
      </vt:variant>
      <vt:variant>
        <vt:i4>86</vt:i4>
      </vt:variant>
      <vt:variant>
        <vt:i4>0</vt:i4>
      </vt:variant>
      <vt:variant>
        <vt:i4>5</vt:i4>
      </vt:variant>
      <vt:variant>
        <vt:lpwstr/>
      </vt:variant>
      <vt:variant>
        <vt:lpwstr>_Toc58783947</vt:lpwstr>
      </vt:variant>
      <vt:variant>
        <vt:i4>1572917</vt:i4>
      </vt:variant>
      <vt:variant>
        <vt:i4>80</vt:i4>
      </vt:variant>
      <vt:variant>
        <vt:i4>0</vt:i4>
      </vt:variant>
      <vt:variant>
        <vt:i4>5</vt:i4>
      </vt:variant>
      <vt:variant>
        <vt:lpwstr/>
      </vt:variant>
      <vt:variant>
        <vt:lpwstr>_Toc58783946</vt:lpwstr>
      </vt:variant>
      <vt:variant>
        <vt:i4>1769525</vt:i4>
      </vt:variant>
      <vt:variant>
        <vt:i4>74</vt:i4>
      </vt:variant>
      <vt:variant>
        <vt:i4>0</vt:i4>
      </vt:variant>
      <vt:variant>
        <vt:i4>5</vt:i4>
      </vt:variant>
      <vt:variant>
        <vt:lpwstr/>
      </vt:variant>
      <vt:variant>
        <vt:lpwstr>_Toc58783945</vt:lpwstr>
      </vt:variant>
      <vt:variant>
        <vt:i4>1703989</vt:i4>
      </vt:variant>
      <vt:variant>
        <vt:i4>68</vt:i4>
      </vt:variant>
      <vt:variant>
        <vt:i4>0</vt:i4>
      </vt:variant>
      <vt:variant>
        <vt:i4>5</vt:i4>
      </vt:variant>
      <vt:variant>
        <vt:lpwstr/>
      </vt:variant>
      <vt:variant>
        <vt:lpwstr>_Toc58783944</vt:lpwstr>
      </vt:variant>
      <vt:variant>
        <vt:i4>1900597</vt:i4>
      </vt:variant>
      <vt:variant>
        <vt:i4>62</vt:i4>
      </vt:variant>
      <vt:variant>
        <vt:i4>0</vt:i4>
      </vt:variant>
      <vt:variant>
        <vt:i4>5</vt:i4>
      </vt:variant>
      <vt:variant>
        <vt:lpwstr/>
      </vt:variant>
      <vt:variant>
        <vt:lpwstr>_Toc58783943</vt:lpwstr>
      </vt:variant>
      <vt:variant>
        <vt:i4>1835061</vt:i4>
      </vt:variant>
      <vt:variant>
        <vt:i4>56</vt:i4>
      </vt:variant>
      <vt:variant>
        <vt:i4>0</vt:i4>
      </vt:variant>
      <vt:variant>
        <vt:i4>5</vt:i4>
      </vt:variant>
      <vt:variant>
        <vt:lpwstr/>
      </vt:variant>
      <vt:variant>
        <vt:lpwstr>_Toc58783942</vt:lpwstr>
      </vt:variant>
      <vt:variant>
        <vt:i4>2031669</vt:i4>
      </vt:variant>
      <vt:variant>
        <vt:i4>50</vt:i4>
      </vt:variant>
      <vt:variant>
        <vt:i4>0</vt:i4>
      </vt:variant>
      <vt:variant>
        <vt:i4>5</vt:i4>
      </vt:variant>
      <vt:variant>
        <vt:lpwstr/>
      </vt:variant>
      <vt:variant>
        <vt:lpwstr>_Toc58783941</vt:lpwstr>
      </vt:variant>
      <vt:variant>
        <vt:i4>1966133</vt:i4>
      </vt:variant>
      <vt:variant>
        <vt:i4>44</vt:i4>
      </vt:variant>
      <vt:variant>
        <vt:i4>0</vt:i4>
      </vt:variant>
      <vt:variant>
        <vt:i4>5</vt:i4>
      </vt:variant>
      <vt:variant>
        <vt:lpwstr/>
      </vt:variant>
      <vt:variant>
        <vt:lpwstr>_Toc58783940</vt:lpwstr>
      </vt:variant>
      <vt:variant>
        <vt:i4>1507378</vt:i4>
      </vt:variant>
      <vt:variant>
        <vt:i4>38</vt:i4>
      </vt:variant>
      <vt:variant>
        <vt:i4>0</vt:i4>
      </vt:variant>
      <vt:variant>
        <vt:i4>5</vt:i4>
      </vt:variant>
      <vt:variant>
        <vt:lpwstr/>
      </vt:variant>
      <vt:variant>
        <vt:lpwstr>_Toc58783939</vt:lpwstr>
      </vt:variant>
      <vt:variant>
        <vt:i4>1441842</vt:i4>
      </vt:variant>
      <vt:variant>
        <vt:i4>32</vt:i4>
      </vt:variant>
      <vt:variant>
        <vt:i4>0</vt:i4>
      </vt:variant>
      <vt:variant>
        <vt:i4>5</vt:i4>
      </vt:variant>
      <vt:variant>
        <vt:lpwstr/>
      </vt:variant>
      <vt:variant>
        <vt:lpwstr>_Toc58783938</vt:lpwstr>
      </vt:variant>
      <vt:variant>
        <vt:i4>1638450</vt:i4>
      </vt:variant>
      <vt:variant>
        <vt:i4>26</vt:i4>
      </vt:variant>
      <vt:variant>
        <vt:i4>0</vt:i4>
      </vt:variant>
      <vt:variant>
        <vt:i4>5</vt:i4>
      </vt:variant>
      <vt:variant>
        <vt:lpwstr/>
      </vt:variant>
      <vt:variant>
        <vt:lpwstr>_Toc58783937</vt:lpwstr>
      </vt:variant>
      <vt:variant>
        <vt:i4>1572914</vt:i4>
      </vt:variant>
      <vt:variant>
        <vt:i4>20</vt:i4>
      </vt:variant>
      <vt:variant>
        <vt:i4>0</vt:i4>
      </vt:variant>
      <vt:variant>
        <vt:i4>5</vt:i4>
      </vt:variant>
      <vt:variant>
        <vt:lpwstr/>
      </vt:variant>
      <vt:variant>
        <vt:lpwstr>_Toc58783936</vt:lpwstr>
      </vt:variant>
      <vt:variant>
        <vt:i4>1769522</vt:i4>
      </vt:variant>
      <vt:variant>
        <vt:i4>14</vt:i4>
      </vt:variant>
      <vt:variant>
        <vt:i4>0</vt:i4>
      </vt:variant>
      <vt:variant>
        <vt:i4>5</vt:i4>
      </vt:variant>
      <vt:variant>
        <vt:lpwstr/>
      </vt:variant>
      <vt:variant>
        <vt:lpwstr>_Toc58783935</vt:lpwstr>
      </vt:variant>
      <vt:variant>
        <vt:i4>1703986</vt:i4>
      </vt:variant>
      <vt:variant>
        <vt:i4>8</vt:i4>
      </vt:variant>
      <vt:variant>
        <vt:i4>0</vt:i4>
      </vt:variant>
      <vt:variant>
        <vt:i4>5</vt:i4>
      </vt:variant>
      <vt:variant>
        <vt:lpwstr/>
      </vt:variant>
      <vt:variant>
        <vt:lpwstr>_Toc58783934</vt:lpwstr>
      </vt:variant>
      <vt:variant>
        <vt:i4>1900594</vt:i4>
      </vt:variant>
      <vt:variant>
        <vt:i4>2</vt:i4>
      </vt:variant>
      <vt:variant>
        <vt:i4>0</vt:i4>
      </vt:variant>
      <vt:variant>
        <vt:i4>5</vt:i4>
      </vt:variant>
      <vt:variant>
        <vt:lpwstr/>
      </vt:variant>
      <vt:variant>
        <vt:lpwstr>_Toc58783933</vt:lpwstr>
      </vt:variant>
      <vt:variant>
        <vt:i4>3211287</vt:i4>
      </vt:variant>
      <vt:variant>
        <vt:i4>15</vt:i4>
      </vt:variant>
      <vt:variant>
        <vt:i4>0</vt:i4>
      </vt:variant>
      <vt:variant>
        <vt:i4>5</vt:i4>
      </vt:variant>
      <vt:variant>
        <vt:lpwstr>mailto:611742@bah.com</vt:lpwstr>
      </vt:variant>
      <vt:variant>
        <vt:lpwstr/>
      </vt:variant>
      <vt:variant>
        <vt:i4>5374035</vt:i4>
      </vt:variant>
      <vt:variant>
        <vt:i4>12</vt:i4>
      </vt:variant>
      <vt:variant>
        <vt:i4>0</vt:i4>
      </vt:variant>
      <vt:variant>
        <vt:i4>5</vt:i4>
      </vt:variant>
      <vt:variant>
        <vt:lpwstr>mailto:Duncan_Sara@bah.com</vt:lpwstr>
      </vt:variant>
      <vt:variant>
        <vt:lpwstr/>
      </vt:variant>
      <vt:variant>
        <vt:i4>7077992</vt:i4>
      </vt:variant>
      <vt:variant>
        <vt:i4>9</vt:i4>
      </vt:variant>
      <vt:variant>
        <vt:i4>0</vt:i4>
      </vt:variant>
      <vt:variant>
        <vt:i4>5</vt:i4>
      </vt:variant>
      <vt:variant>
        <vt:lpwstr>mailto:Hemmati_Juliet@bah.com</vt:lpwstr>
      </vt:variant>
      <vt:variant>
        <vt:lpwstr/>
      </vt:variant>
      <vt:variant>
        <vt:i4>7077992</vt:i4>
      </vt:variant>
      <vt:variant>
        <vt:i4>6</vt:i4>
      </vt:variant>
      <vt:variant>
        <vt:i4>0</vt:i4>
      </vt:variant>
      <vt:variant>
        <vt:i4>5</vt:i4>
      </vt:variant>
      <vt:variant>
        <vt:lpwstr>mailto:Hemmati_Juliet@bah.com</vt:lpwstr>
      </vt:variant>
      <vt:variant>
        <vt:lpwstr/>
      </vt:variant>
      <vt:variant>
        <vt:i4>7077992</vt:i4>
      </vt:variant>
      <vt:variant>
        <vt:i4>3</vt:i4>
      </vt:variant>
      <vt:variant>
        <vt:i4>0</vt:i4>
      </vt:variant>
      <vt:variant>
        <vt:i4>5</vt:i4>
      </vt:variant>
      <vt:variant>
        <vt:lpwstr>mailto:Hemmati_Juliet@bah.com</vt:lpwstr>
      </vt:variant>
      <vt:variant>
        <vt:lpwstr/>
      </vt:variant>
      <vt:variant>
        <vt:i4>7077992</vt:i4>
      </vt:variant>
      <vt:variant>
        <vt:i4>0</vt:i4>
      </vt:variant>
      <vt:variant>
        <vt:i4>0</vt:i4>
      </vt:variant>
      <vt:variant>
        <vt:i4>5</vt:i4>
      </vt:variant>
      <vt:variant>
        <vt:lpwstr>mailto:Hemmati_Juliet@bah.com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D6b Final Validation Part 2</dc:title>
  <dc:subject/>
  <dc:creator>Booz Allen Hamilton</dc:creator>
  <cp:keywords/>
  <dc:description/>
  <cp:lastModifiedBy>Tse Yang Lim</cp:lastModifiedBy>
  <cp:revision>3</cp:revision>
  <cp:lastPrinted>2019-10-11T15:50:00Z</cp:lastPrinted>
  <dcterms:created xsi:type="dcterms:W3CDTF">2022-02-04T15:30:00Z</dcterms:created>
  <dcterms:modified xsi:type="dcterms:W3CDTF">2022-02-18T00:13:00Z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H_templateVersion">
    <vt:lpwstr>Report_2019.1</vt:lpwstr>
  </property>
  <property fmtid="{D5CDD505-2E9C-101B-9397-08002B2CF9AE}" pid="3" name="BAH_Classification">
    <vt:lpwstr>Booz Allen Hamilton Internal</vt:lpwstr>
  </property>
  <property fmtid="{D5CDD505-2E9C-101B-9397-08002B2CF9AE}" pid="4" name="ZOTERO_PREF_1">
    <vt:lpwstr>&lt;data data-version="3" zotero-version="5.0.74"&gt;&lt;session id="w1gQRZBh"/&gt;&lt;style id="http://www.zotero.org/styles/modern-humanities-research-association" hasBibliography="1" bibliographyStyleHasBeenSet="1"/&gt;&lt;prefs&gt;&lt;pref name="fieldType" value="Field"/&gt;&lt;pref </vt:lpwstr>
  </property>
  <property fmtid="{D5CDD505-2E9C-101B-9397-08002B2CF9AE}" pid="5" name="ZOTERO_PREF_2">
    <vt:lpwstr>name="automaticJournalAbbreviations" value="true"/&gt;&lt;pref name="noteType" value="1"/&gt;&lt;/prefs&gt;&lt;/data&gt;</vt:lpwstr>
  </property>
  <property fmtid="{D5CDD505-2E9C-101B-9397-08002B2CF9AE}" pid="6" name="ContentTypeId">
    <vt:lpwstr>0x010100A183296C2D9DE541958AD9D9A6E59D08</vt:lpwstr>
  </property>
  <property fmtid="{D5CDD505-2E9C-101B-9397-08002B2CF9AE}" pid="7" name="_dlc_DocIdItemGuid">
    <vt:lpwstr>fb6eead0-723c-4f03-a854-c97288bf9141</vt:lpwstr>
  </property>
</Properties>
</file>